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8BA89">
      <w:pPr>
        <w:keepNext w:val="0"/>
        <w:keepLines w:val="0"/>
        <w:pageBreakBefore w:val="0"/>
        <w:widowControl w:val="0"/>
        <w:kinsoku/>
        <w:wordWrap/>
        <w:overflowPunct/>
        <w:topLinePunct w:val="0"/>
        <w:autoSpaceDE w:val="0"/>
        <w:autoSpaceDN w:val="0"/>
        <w:bidi w:val="0"/>
        <w:adjustRightInd w:val="0"/>
        <w:snapToGrid w:val="0"/>
        <w:spacing w:before="157" w:beforeLines="50" w:beforeAutospacing="0" w:afterAutospacing="0" w:line="288" w:lineRule="auto"/>
        <w:ind w:left="0" w:leftChars="0" w:firstLine="0" w:firstLineChars="0"/>
        <w:jc w:val="both"/>
        <w:textAlignment w:val="auto"/>
        <w:outlineLvl w:val="9"/>
        <w:rPr>
          <w:rFonts w:hint="default" w:ascii="仿宋_GB2312" w:hAnsi="Times New Roman" w:eastAsia="仿宋_GB2312" w:cs="Times New Roman"/>
          <w:color w:val="auto"/>
          <w:kern w:val="0"/>
          <w:sz w:val="36"/>
          <w:szCs w:val="36"/>
          <w:u w:val="single"/>
          <w:lang w:val="en-US" w:eastAsia="zh-CN"/>
        </w:rPr>
      </w:pPr>
      <w:r>
        <w:rPr>
          <w:rFonts w:hint="eastAsia" w:ascii="仿宋_GB2312" w:hAnsi="仿宋_GB2312" w:eastAsia="仿宋_GB2312" w:cs="仿宋_GB2312"/>
          <w:color w:val="auto"/>
          <w:kern w:val="2"/>
          <w:sz w:val="36"/>
          <w:szCs w:val="36"/>
          <w:highlight w:val="none"/>
          <w:lang w:val="en-US" w:eastAsia="zh-CN"/>
        </w:rPr>
        <w:drawing>
          <wp:inline distT="0" distB="0" distL="114300" distR="114300">
            <wp:extent cx="5057775" cy="69437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057775" cy="6943725"/>
                    </a:xfrm>
                    <a:prstGeom prst="rect">
                      <a:avLst/>
                    </a:prstGeom>
                    <a:noFill/>
                    <a:ln>
                      <a:noFill/>
                    </a:ln>
                  </pic:spPr>
                </pic:pic>
              </a:graphicData>
            </a:graphic>
          </wp:inline>
        </w:drawing>
      </w:r>
      <w:r>
        <w:rPr>
          <w:rFonts w:hint="eastAsia"/>
          <w:lang w:val="en-US" w:eastAsia="zh-CN"/>
        </w:rPr>
        <w:t xml:space="preserve">        </w:t>
      </w:r>
      <w:r>
        <w:rPr>
          <w:rFonts w:hint="eastAsia" w:ascii="仿宋_GB2312" w:hAnsi="Times New Roman" w:eastAsia="仿宋_GB2312" w:cs="Times New Roman"/>
          <w:color w:val="auto"/>
          <w:kern w:val="0"/>
          <w:sz w:val="36"/>
          <w:szCs w:val="36"/>
          <w:highlight w:val="none"/>
          <w:u w:val="single"/>
          <w:lang w:val="en-US" w:eastAsia="zh-CN"/>
        </w:rPr>
        <w:t xml:space="preserve">            </w:t>
      </w:r>
    </w:p>
    <w:p w14:paraId="57022617">
      <w:pPr>
        <w:widowControl w:val="0"/>
        <w:adjustRightInd w:val="0"/>
        <w:snapToGrid w:val="0"/>
        <w:spacing w:line="288" w:lineRule="auto"/>
        <w:ind w:firstLine="1040"/>
        <w:rPr>
          <w:rFonts w:hint="eastAsia" w:ascii="仿宋_GB2312" w:hAnsi="Times New Roman" w:eastAsia="仿宋_GB2312" w:cs="Times New Roman"/>
          <w:color w:val="auto"/>
          <w:kern w:val="2"/>
          <w:sz w:val="36"/>
          <w:szCs w:val="36"/>
          <w:highlight w:val="none"/>
          <w:u w:val="single"/>
          <w:lang w:val="en-US" w:eastAsia="zh-CN"/>
        </w:rPr>
      </w:pPr>
      <w:bookmarkStart w:id="0" w:name="_Hlk57884087"/>
    </w:p>
    <w:bookmarkEnd w:id="0"/>
    <w:p w14:paraId="07FEAB9A">
      <w:pPr>
        <w:keepNext w:val="0"/>
        <w:keepLines w:val="0"/>
        <w:pageBreakBefore w:val="0"/>
        <w:widowControl w:val="0"/>
        <w:kinsoku/>
        <w:wordWrap/>
        <w:overflowPunct/>
        <w:topLinePunct w:val="0"/>
        <w:autoSpaceDE w:val="0"/>
        <w:autoSpaceDN w:val="0"/>
        <w:bidi w:val="0"/>
        <w:adjustRightInd w:val="0"/>
        <w:snapToGrid w:val="0"/>
        <w:spacing w:line="288" w:lineRule="auto"/>
        <w:ind w:firstLine="0" w:firstLineChars="0"/>
        <w:jc w:val="center"/>
        <w:textAlignment w:val="auto"/>
        <w:rPr>
          <w:rFonts w:hint="eastAsia" w:eastAsia="黑体"/>
          <w:snapToGrid w:val="0"/>
          <w:sz w:val="30"/>
          <w:szCs w:val="30"/>
          <w:lang w:val="en-US" w:eastAsia="zh-CN" w:bidi="ar-SA"/>
        </w:rPr>
      </w:pPr>
    </w:p>
    <w:p w14:paraId="206ACB8E">
      <w:pPr>
        <w:widowControl/>
        <w:spacing w:before="100" w:beforeAutospacing="1" w:after="100" w:afterAutospacing="1"/>
        <w:jc w:val="center"/>
        <w:outlineLvl w:val="0"/>
        <w:rPr>
          <w:rFonts w:eastAsia="黑体"/>
          <w:snapToGrid w:val="0"/>
          <w:sz w:val="30"/>
          <w:szCs w:val="30"/>
          <w:lang w:val="en-US" w:eastAsia="zh-CN" w:bidi="ar-SA"/>
        </w:rPr>
        <w:sectPr>
          <w:footerReference r:id="rId5" w:type="default"/>
          <w:footerReference r:id="rId6" w:type="even"/>
          <w:pgSz w:w="11906" w:h="16838"/>
          <w:pgMar w:top="1701" w:right="1531" w:bottom="1701" w:left="1531" w:header="851" w:footer="1077" w:gutter="0"/>
          <w:pgNumType w:start="3"/>
          <w:cols w:space="720" w:num="1"/>
          <w:docGrid w:linePitch="312" w:charSpace="0"/>
        </w:sectPr>
      </w:pPr>
    </w:p>
    <w:p w14:paraId="00D8CA19">
      <w:pPr>
        <w:widowControl/>
        <w:spacing w:before="100" w:beforeAutospacing="1" w:after="100" w:afterAutospacing="1"/>
        <w:jc w:val="center"/>
        <w:outlineLvl w:val="0"/>
        <w:rPr>
          <w:rFonts w:eastAsia="黑体"/>
          <w:snapToGrid w:val="0"/>
          <w:sz w:val="30"/>
          <w:szCs w:val="30"/>
          <w:lang w:val="en-US" w:eastAsia="zh-CN" w:bidi="ar-SA"/>
        </w:rPr>
        <w:sectPr>
          <w:headerReference r:id="rId7" w:type="default"/>
          <w:footerReference r:id="rId8"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0CB1A05B">
      <w:pPr>
        <w:keepNext w:val="0"/>
        <w:keepLines w:val="0"/>
        <w:pageBreakBefore w:val="0"/>
        <w:widowControl/>
        <w:kinsoku/>
        <w:wordWrap/>
        <w:overflowPunct/>
        <w:topLinePunct w:val="0"/>
        <w:autoSpaceDE/>
        <w:autoSpaceDN/>
        <w:bidi w:val="0"/>
        <w:adjustRightInd/>
        <w:snapToGrid/>
        <w:spacing w:before="100" w:beforeAutospacing="1" w:after="100" w:afterAutospacing="1" w:line="540" w:lineRule="exact"/>
        <w:ind w:firstLine="0" w:firstLineChars="0"/>
        <w:jc w:val="center"/>
        <w:textAlignment w:val="auto"/>
        <w:outlineLvl w:val="0"/>
        <w:rPr>
          <w:rFonts w:eastAsia="黑体"/>
          <w:snapToGrid w:val="0"/>
          <w:sz w:val="30"/>
          <w:szCs w:val="30"/>
          <w:lang w:val="en-US" w:eastAsia="zh-CN" w:bidi="ar-SA"/>
        </w:rPr>
      </w:pPr>
      <w:r>
        <w:rPr>
          <w:rFonts w:eastAsia="黑体"/>
          <w:snapToGrid w:val="0"/>
          <w:sz w:val="30"/>
          <w:szCs w:val="30"/>
          <w:lang w:val="en-US" w:eastAsia="zh-CN" w:bidi="ar-SA"/>
        </w:rPr>
        <w:t>一、建设项目基本情况</w:t>
      </w:r>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19"/>
        <w:gridCol w:w="1061"/>
        <w:gridCol w:w="1799"/>
        <w:gridCol w:w="1586"/>
        <w:gridCol w:w="3805"/>
      </w:tblGrid>
      <w:tr w14:paraId="2CFA58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2350" w:type="dxa"/>
            <w:gridSpan w:val="2"/>
            <w:noWrap w:val="0"/>
            <w:tcMar>
              <w:top w:w="16" w:type="dxa"/>
              <w:left w:w="16" w:type="dxa"/>
              <w:right w:w="16" w:type="dxa"/>
            </w:tcMar>
            <w:vAlign w:val="center"/>
          </w:tcPr>
          <w:p w14:paraId="3D409C3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建设项目名称</w:t>
            </w:r>
          </w:p>
        </w:tc>
        <w:tc>
          <w:tcPr>
            <w:tcW w:w="6520" w:type="dxa"/>
            <w:gridSpan w:val="3"/>
            <w:noWrap w:val="0"/>
            <w:vAlign w:val="center"/>
          </w:tcPr>
          <w:p w14:paraId="7B6D6F4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新增轻烃及碳五烷烃储运项目</w:t>
            </w:r>
          </w:p>
        </w:tc>
      </w:tr>
      <w:tr w14:paraId="0B03AE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350" w:type="dxa"/>
            <w:gridSpan w:val="2"/>
            <w:noWrap w:val="0"/>
            <w:tcMar>
              <w:top w:w="16" w:type="dxa"/>
              <w:left w:w="16" w:type="dxa"/>
              <w:right w:w="16" w:type="dxa"/>
            </w:tcMar>
            <w:vAlign w:val="center"/>
          </w:tcPr>
          <w:p w14:paraId="6908653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项目代码</w:t>
            </w:r>
          </w:p>
        </w:tc>
        <w:tc>
          <w:tcPr>
            <w:tcW w:w="6520" w:type="dxa"/>
            <w:gridSpan w:val="3"/>
            <w:noWrap w:val="0"/>
            <w:vAlign w:val="center"/>
          </w:tcPr>
          <w:p w14:paraId="45B257E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eastAsia" w:cs="Times New Roman"/>
                <w:kern w:val="2"/>
                <w:lang w:val="en-US" w:eastAsia="zh-CN" w:bidi="ar-SA"/>
              </w:rPr>
              <w:t xml:space="preserve"> </w:t>
            </w:r>
          </w:p>
        </w:tc>
      </w:tr>
      <w:tr w14:paraId="593AF8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350" w:type="dxa"/>
            <w:gridSpan w:val="2"/>
            <w:noWrap w:val="0"/>
            <w:tcMar>
              <w:top w:w="16" w:type="dxa"/>
              <w:left w:w="16" w:type="dxa"/>
              <w:right w:w="16" w:type="dxa"/>
            </w:tcMar>
            <w:vAlign w:val="center"/>
          </w:tcPr>
          <w:p w14:paraId="0EEF261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建设单位联系人</w:t>
            </w:r>
          </w:p>
        </w:tc>
        <w:tc>
          <w:tcPr>
            <w:tcW w:w="1945" w:type="dxa"/>
            <w:noWrap w:val="0"/>
            <w:vAlign w:val="center"/>
          </w:tcPr>
          <w:p w14:paraId="0B68A53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p>
        </w:tc>
        <w:tc>
          <w:tcPr>
            <w:tcW w:w="1603" w:type="dxa"/>
            <w:noWrap w:val="0"/>
            <w:vAlign w:val="center"/>
          </w:tcPr>
          <w:p w14:paraId="791F552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联系方式</w:t>
            </w:r>
          </w:p>
        </w:tc>
        <w:tc>
          <w:tcPr>
            <w:tcW w:w="2972" w:type="dxa"/>
            <w:noWrap w:val="0"/>
            <w:vAlign w:val="center"/>
          </w:tcPr>
          <w:p w14:paraId="3883DA4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p>
        </w:tc>
      </w:tr>
      <w:tr w14:paraId="4FA0A2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50" w:type="dxa"/>
            <w:gridSpan w:val="2"/>
            <w:noWrap w:val="0"/>
            <w:tcMar>
              <w:top w:w="16" w:type="dxa"/>
              <w:left w:w="16" w:type="dxa"/>
              <w:right w:w="16" w:type="dxa"/>
            </w:tcMar>
            <w:vAlign w:val="center"/>
          </w:tcPr>
          <w:p w14:paraId="1FEA54B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建设地点</w:t>
            </w:r>
          </w:p>
        </w:tc>
        <w:tc>
          <w:tcPr>
            <w:tcW w:w="6520" w:type="dxa"/>
            <w:gridSpan w:val="3"/>
            <w:noWrap w:val="0"/>
            <w:vAlign w:val="center"/>
          </w:tcPr>
          <w:p w14:paraId="448981F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新疆维吾尔自治区巴音郭楞蒙古自治州轮台工业园区拉依苏石油化工区巴州海祥石油化工有限公司现有厂区内</w:t>
            </w:r>
          </w:p>
        </w:tc>
      </w:tr>
      <w:tr w14:paraId="4FF7D7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350" w:type="dxa"/>
            <w:gridSpan w:val="2"/>
            <w:noWrap w:val="0"/>
            <w:tcMar>
              <w:top w:w="16" w:type="dxa"/>
              <w:left w:w="16" w:type="dxa"/>
              <w:right w:w="16" w:type="dxa"/>
            </w:tcMar>
            <w:vAlign w:val="center"/>
          </w:tcPr>
          <w:p w14:paraId="54B28CB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地理坐标</w:t>
            </w:r>
          </w:p>
        </w:tc>
        <w:tc>
          <w:tcPr>
            <w:tcW w:w="6520" w:type="dxa"/>
            <w:gridSpan w:val="3"/>
            <w:noWrap w:val="0"/>
            <w:vAlign w:val="center"/>
          </w:tcPr>
          <w:p w14:paraId="098A2176">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eastAsia="宋体" w:cs="Times New Roman"/>
                <w:kern w:val="2"/>
                <w:lang w:val="en-US" w:eastAsia="zh-CN" w:bidi="ar-SA"/>
              </w:rPr>
            </w:pPr>
          </w:p>
        </w:tc>
      </w:tr>
      <w:tr w14:paraId="377D9E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43" w:hRule="atLeast"/>
          <w:jc w:val="center"/>
        </w:trPr>
        <w:tc>
          <w:tcPr>
            <w:tcW w:w="2350" w:type="dxa"/>
            <w:gridSpan w:val="2"/>
            <w:noWrap w:val="0"/>
            <w:tcMar>
              <w:top w:w="16" w:type="dxa"/>
              <w:left w:w="16" w:type="dxa"/>
              <w:right w:w="16" w:type="dxa"/>
            </w:tcMar>
            <w:vAlign w:val="center"/>
          </w:tcPr>
          <w:p w14:paraId="6B46786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国民经济</w:t>
            </w:r>
          </w:p>
          <w:p w14:paraId="242018C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行业类别</w:t>
            </w:r>
          </w:p>
        </w:tc>
        <w:tc>
          <w:tcPr>
            <w:tcW w:w="1945" w:type="dxa"/>
            <w:noWrap w:val="0"/>
            <w:vAlign w:val="center"/>
          </w:tcPr>
          <w:p w14:paraId="6EAE253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G</w:t>
            </w:r>
            <w:r>
              <w:rPr>
                <w:rFonts w:hint="eastAsia" w:cs="Times New Roman"/>
                <w:kern w:val="2"/>
                <w:lang w:val="en-US" w:eastAsia="zh-CN" w:bidi="ar-SA"/>
              </w:rPr>
              <w:t>5</w:t>
            </w:r>
            <w:r>
              <w:rPr>
                <w:rFonts w:hint="default" w:ascii="Times New Roman" w:hAnsi="Times New Roman" w:eastAsia="宋体" w:cs="Times New Roman"/>
                <w:kern w:val="2"/>
                <w:lang w:val="en-US" w:eastAsia="zh-CN" w:bidi="ar-SA"/>
              </w:rPr>
              <w:t>942 危险化学品仓储</w:t>
            </w:r>
          </w:p>
        </w:tc>
        <w:tc>
          <w:tcPr>
            <w:tcW w:w="1603" w:type="dxa"/>
            <w:noWrap w:val="0"/>
            <w:vAlign w:val="center"/>
          </w:tcPr>
          <w:p w14:paraId="4A44AF8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bookmarkStart w:id="1" w:name="_Hlk49843745"/>
            <w:r>
              <w:rPr>
                <w:rFonts w:hint="default" w:ascii="Times New Roman" w:hAnsi="Times New Roman" w:eastAsia="宋体" w:cs="Times New Roman"/>
                <w:kern w:val="2"/>
                <w:lang w:val="en-US" w:eastAsia="zh-CN" w:bidi="ar-SA"/>
              </w:rPr>
              <w:t>建设项目</w:t>
            </w:r>
          </w:p>
          <w:p w14:paraId="0EB5A34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行业类别</w:t>
            </w:r>
            <w:bookmarkEnd w:id="1"/>
          </w:p>
        </w:tc>
        <w:tc>
          <w:tcPr>
            <w:tcW w:w="2972" w:type="dxa"/>
            <w:noWrap w:val="0"/>
            <w:vAlign w:val="center"/>
          </w:tcPr>
          <w:p w14:paraId="0D057D5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五十三、装卸搬运和仓储业59 149危险品仓储</w:t>
            </w:r>
            <w:bookmarkStart w:id="27" w:name="_GoBack"/>
            <w:bookmarkEnd w:id="27"/>
            <w:r>
              <w:rPr>
                <w:rFonts w:hint="default" w:ascii="Times New Roman" w:hAnsi="Times New Roman" w:eastAsia="宋体" w:cs="Times New Roman"/>
                <w:kern w:val="2"/>
                <w:lang w:val="en-US" w:eastAsia="zh-CN" w:bidi="ar-SA"/>
              </w:rPr>
              <w:t>594（不含加油站的油库；不含加气站的气库）</w:t>
            </w:r>
            <w:r>
              <w:rPr>
                <w:rFonts w:hint="eastAsia" w:eastAsia="宋体" w:cs="Times New Roman"/>
                <w:kern w:val="2"/>
                <w:lang w:val="en-US" w:eastAsia="zh-CN" w:bidi="ar-SA"/>
              </w:rPr>
              <w:t>-</w:t>
            </w:r>
            <w:r>
              <w:rPr>
                <w:rFonts w:hint="default" w:ascii="Times New Roman" w:hAnsi="Times New Roman" w:eastAsia="宋体" w:cs="Times New Roman"/>
                <w:kern w:val="2"/>
                <w:lang w:val="en-US" w:eastAsia="zh-CN" w:bidi="ar-SA"/>
              </w:rPr>
              <w:t>其他（含有毒、有害、危险品的仓储；含液化天然气库）</w:t>
            </w:r>
          </w:p>
        </w:tc>
      </w:tr>
      <w:tr w14:paraId="65CC8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50" w:type="dxa"/>
            <w:gridSpan w:val="2"/>
            <w:noWrap w:val="0"/>
            <w:tcMar>
              <w:top w:w="16" w:type="dxa"/>
              <w:left w:w="16" w:type="dxa"/>
              <w:right w:w="16" w:type="dxa"/>
            </w:tcMar>
            <w:vAlign w:val="center"/>
          </w:tcPr>
          <w:p w14:paraId="7D571DA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建设性质</w:t>
            </w:r>
          </w:p>
        </w:tc>
        <w:tc>
          <w:tcPr>
            <w:tcW w:w="1945" w:type="dxa"/>
            <w:noWrap w:val="0"/>
            <w:vAlign w:val="center"/>
          </w:tcPr>
          <w:p w14:paraId="563188B3">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sym w:font="Wingdings 2" w:char="F0A3"/>
            </w:r>
            <w:r>
              <w:rPr>
                <w:rFonts w:hint="default" w:ascii="Times New Roman" w:hAnsi="Times New Roman" w:eastAsia="宋体" w:cs="Times New Roman"/>
                <w:kern w:val="2"/>
                <w:lang w:val="en-US" w:eastAsia="zh-CN" w:bidi="ar-SA"/>
              </w:rPr>
              <w:t>新建（迁建）</w:t>
            </w:r>
          </w:p>
          <w:p w14:paraId="16AF5E12">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sym w:font="Wingdings 2" w:char="0052"/>
            </w:r>
            <w:r>
              <w:rPr>
                <w:rFonts w:hint="default" w:ascii="Times New Roman" w:hAnsi="Times New Roman" w:eastAsia="宋体" w:cs="Times New Roman"/>
                <w:kern w:val="2"/>
                <w:lang w:val="en-US" w:eastAsia="zh-CN" w:bidi="ar-SA"/>
              </w:rPr>
              <w:t>改建</w:t>
            </w:r>
          </w:p>
          <w:p w14:paraId="34300570">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sym w:font="Wingdings 2" w:char="F052"/>
            </w:r>
            <w:r>
              <w:rPr>
                <w:rFonts w:hint="default" w:ascii="Times New Roman" w:hAnsi="Times New Roman" w:eastAsia="宋体" w:cs="Times New Roman"/>
                <w:kern w:val="2"/>
                <w:lang w:val="en-US" w:eastAsia="zh-CN" w:bidi="ar-SA"/>
              </w:rPr>
              <w:t>扩建</w:t>
            </w:r>
          </w:p>
          <w:p w14:paraId="4A0E5A1F">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sym w:font="Wingdings 2" w:char="F0A3"/>
            </w:r>
            <w:r>
              <w:rPr>
                <w:rFonts w:hint="default" w:ascii="Times New Roman" w:hAnsi="Times New Roman" w:eastAsia="宋体" w:cs="Times New Roman"/>
                <w:kern w:val="2"/>
                <w:lang w:val="en-US" w:eastAsia="zh-CN" w:bidi="ar-SA"/>
              </w:rPr>
              <w:t>技术改造</w:t>
            </w:r>
          </w:p>
        </w:tc>
        <w:tc>
          <w:tcPr>
            <w:tcW w:w="1603" w:type="dxa"/>
            <w:noWrap w:val="0"/>
            <w:vAlign w:val="center"/>
          </w:tcPr>
          <w:p w14:paraId="5A69054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建设项目</w:t>
            </w:r>
          </w:p>
          <w:p w14:paraId="7C7A3C8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申报情形</w:t>
            </w:r>
          </w:p>
        </w:tc>
        <w:tc>
          <w:tcPr>
            <w:tcW w:w="2972" w:type="dxa"/>
            <w:noWrap w:val="0"/>
            <w:vAlign w:val="center"/>
          </w:tcPr>
          <w:p w14:paraId="67821666">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sym w:font="Wingdings 2" w:char="F052"/>
            </w:r>
            <w:r>
              <w:rPr>
                <w:rFonts w:hint="default" w:ascii="Times New Roman" w:hAnsi="Times New Roman" w:eastAsia="宋体" w:cs="Times New Roman"/>
                <w:kern w:val="2"/>
                <w:lang w:val="en-US" w:eastAsia="zh-CN" w:bidi="ar-SA"/>
              </w:rPr>
              <w:t>首次申报项目</w:t>
            </w:r>
          </w:p>
          <w:p w14:paraId="1006F6FB">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sym w:font="Wingdings 2" w:char="F0A3"/>
            </w:r>
            <w:r>
              <w:rPr>
                <w:rFonts w:hint="default" w:ascii="Times New Roman" w:hAnsi="Times New Roman" w:eastAsia="宋体" w:cs="Times New Roman"/>
                <w:kern w:val="2"/>
                <w:lang w:val="en-US" w:eastAsia="zh-CN" w:bidi="ar-SA"/>
              </w:rPr>
              <w:t>不予批准后再次申报项目</w:t>
            </w:r>
          </w:p>
          <w:p w14:paraId="78EC36FE">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sym w:font="Wingdings 2" w:char="F0A3"/>
            </w:r>
            <w:r>
              <w:rPr>
                <w:rFonts w:hint="default" w:ascii="Times New Roman" w:hAnsi="Times New Roman" w:eastAsia="宋体" w:cs="Times New Roman"/>
                <w:kern w:val="2"/>
                <w:lang w:val="en-US" w:eastAsia="zh-CN" w:bidi="ar-SA"/>
              </w:rPr>
              <w:t>超五年重新审核项目</w:t>
            </w:r>
          </w:p>
          <w:p w14:paraId="2CD99B4B">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sym w:font="Wingdings 2" w:char="F0A3"/>
            </w:r>
            <w:r>
              <w:rPr>
                <w:rFonts w:hint="default" w:ascii="Times New Roman" w:hAnsi="Times New Roman" w:eastAsia="宋体" w:cs="Times New Roman"/>
                <w:kern w:val="2"/>
                <w:lang w:val="en-US" w:eastAsia="zh-CN" w:bidi="ar-SA"/>
              </w:rPr>
              <w:t>重大变动重新报批项目</w:t>
            </w:r>
          </w:p>
        </w:tc>
      </w:tr>
      <w:tr w14:paraId="6C7D2C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50" w:type="dxa"/>
            <w:gridSpan w:val="2"/>
            <w:noWrap w:val="0"/>
            <w:tcMar>
              <w:top w:w="16" w:type="dxa"/>
              <w:left w:w="16" w:type="dxa"/>
              <w:right w:w="16" w:type="dxa"/>
            </w:tcMar>
            <w:vAlign w:val="center"/>
          </w:tcPr>
          <w:p w14:paraId="1A68776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项目审批（核准/</w:t>
            </w:r>
          </w:p>
          <w:p w14:paraId="1149A95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备案）部门（选填）</w:t>
            </w:r>
          </w:p>
        </w:tc>
        <w:tc>
          <w:tcPr>
            <w:tcW w:w="1945" w:type="dxa"/>
            <w:noWrap w:val="0"/>
            <w:vAlign w:val="center"/>
          </w:tcPr>
          <w:p w14:paraId="669362F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新疆轮台县发展和改革委员会</w:t>
            </w:r>
          </w:p>
        </w:tc>
        <w:tc>
          <w:tcPr>
            <w:tcW w:w="1603" w:type="dxa"/>
            <w:noWrap w:val="0"/>
            <w:vAlign w:val="center"/>
          </w:tcPr>
          <w:p w14:paraId="280293C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项目审批（核准/备案）文号（选填）</w:t>
            </w:r>
          </w:p>
        </w:tc>
        <w:tc>
          <w:tcPr>
            <w:tcW w:w="2972" w:type="dxa"/>
            <w:noWrap w:val="0"/>
            <w:vAlign w:val="center"/>
          </w:tcPr>
          <w:p w14:paraId="1621F21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2608180955652822000282</w:t>
            </w:r>
          </w:p>
        </w:tc>
      </w:tr>
      <w:tr w14:paraId="6973F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50" w:type="dxa"/>
            <w:gridSpan w:val="2"/>
            <w:noWrap w:val="0"/>
            <w:tcMar>
              <w:top w:w="16" w:type="dxa"/>
              <w:left w:w="16" w:type="dxa"/>
              <w:right w:w="16" w:type="dxa"/>
            </w:tcMar>
            <w:vAlign w:val="center"/>
          </w:tcPr>
          <w:p w14:paraId="3F0E200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总投资（万元）</w:t>
            </w:r>
          </w:p>
        </w:tc>
        <w:tc>
          <w:tcPr>
            <w:tcW w:w="1945" w:type="dxa"/>
            <w:noWrap w:val="0"/>
            <w:vAlign w:val="center"/>
          </w:tcPr>
          <w:p w14:paraId="0558277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2055</w:t>
            </w:r>
          </w:p>
        </w:tc>
        <w:tc>
          <w:tcPr>
            <w:tcW w:w="1603" w:type="dxa"/>
            <w:noWrap w:val="0"/>
            <w:tcMar>
              <w:top w:w="16" w:type="dxa"/>
              <w:left w:w="16" w:type="dxa"/>
              <w:right w:w="16" w:type="dxa"/>
            </w:tcMar>
            <w:vAlign w:val="center"/>
          </w:tcPr>
          <w:p w14:paraId="3D390E0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环保投资（万元）</w:t>
            </w:r>
          </w:p>
        </w:tc>
        <w:tc>
          <w:tcPr>
            <w:tcW w:w="2972" w:type="dxa"/>
            <w:noWrap w:val="0"/>
            <w:vAlign w:val="center"/>
          </w:tcPr>
          <w:p w14:paraId="4B0A045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highlight w:val="none"/>
                <w:lang w:val="en-US" w:eastAsia="zh-CN" w:bidi="ar-SA"/>
              </w:rPr>
            </w:pPr>
            <w:r>
              <w:rPr>
                <w:rFonts w:hint="eastAsia" w:cs="Times New Roman"/>
                <w:kern w:val="2"/>
                <w:highlight w:val="none"/>
                <w:lang w:val="en-US" w:eastAsia="zh-CN" w:bidi="ar-SA"/>
              </w:rPr>
              <w:t>50</w:t>
            </w:r>
          </w:p>
        </w:tc>
      </w:tr>
      <w:tr w14:paraId="4F9AD1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350" w:type="dxa"/>
            <w:gridSpan w:val="2"/>
            <w:noWrap w:val="0"/>
            <w:tcMar>
              <w:top w:w="16" w:type="dxa"/>
              <w:left w:w="16" w:type="dxa"/>
              <w:right w:w="16" w:type="dxa"/>
            </w:tcMar>
            <w:vAlign w:val="center"/>
          </w:tcPr>
          <w:p w14:paraId="59A0085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环保投资占比（%）</w:t>
            </w:r>
          </w:p>
        </w:tc>
        <w:tc>
          <w:tcPr>
            <w:tcW w:w="1945" w:type="dxa"/>
            <w:noWrap w:val="0"/>
            <w:vAlign w:val="center"/>
          </w:tcPr>
          <w:p w14:paraId="6194A6F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eastAsia" w:cs="Times New Roman"/>
                <w:kern w:val="2"/>
                <w:highlight w:val="none"/>
                <w:lang w:val="en-US" w:eastAsia="zh-CN" w:bidi="ar-SA"/>
              </w:rPr>
              <w:t>2.43</w:t>
            </w:r>
          </w:p>
        </w:tc>
        <w:tc>
          <w:tcPr>
            <w:tcW w:w="1603" w:type="dxa"/>
            <w:noWrap w:val="0"/>
            <w:tcMar>
              <w:top w:w="16" w:type="dxa"/>
              <w:left w:w="16" w:type="dxa"/>
              <w:right w:w="16" w:type="dxa"/>
            </w:tcMar>
            <w:vAlign w:val="center"/>
          </w:tcPr>
          <w:p w14:paraId="01D3D7C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施工工期</w:t>
            </w:r>
          </w:p>
        </w:tc>
        <w:tc>
          <w:tcPr>
            <w:tcW w:w="2972" w:type="dxa"/>
            <w:noWrap w:val="0"/>
            <w:vAlign w:val="center"/>
          </w:tcPr>
          <w:p w14:paraId="553EC43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highlight w:val="none"/>
                <w:lang w:val="en-US" w:eastAsia="zh-CN" w:bidi="ar-SA"/>
              </w:rPr>
            </w:pPr>
            <w:r>
              <w:rPr>
                <w:rFonts w:hint="default" w:ascii="Times New Roman" w:hAnsi="Times New Roman" w:eastAsia="宋体" w:cs="Times New Roman"/>
                <w:kern w:val="2"/>
                <w:highlight w:val="none"/>
                <w:lang w:val="en-US" w:eastAsia="zh-CN" w:bidi="ar-SA"/>
              </w:rPr>
              <w:t>3个月</w:t>
            </w:r>
          </w:p>
        </w:tc>
      </w:tr>
      <w:tr w14:paraId="461C8E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42" w:hRule="atLeast"/>
          <w:jc w:val="center"/>
        </w:trPr>
        <w:tc>
          <w:tcPr>
            <w:tcW w:w="2350" w:type="dxa"/>
            <w:gridSpan w:val="2"/>
            <w:noWrap w:val="0"/>
            <w:tcMar>
              <w:top w:w="16" w:type="dxa"/>
              <w:left w:w="16" w:type="dxa"/>
              <w:right w:w="16" w:type="dxa"/>
            </w:tcMar>
            <w:vAlign w:val="center"/>
          </w:tcPr>
          <w:p w14:paraId="06BEC70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是否开工建设</w:t>
            </w:r>
          </w:p>
        </w:tc>
        <w:tc>
          <w:tcPr>
            <w:tcW w:w="1945" w:type="dxa"/>
            <w:noWrap w:val="0"/>
            <w:vAlign w:val="center"/>
          </w:tcPr>
          <w:p w14:paraId="5C5A0A46">
            <w:pPr>
              <w:keepNext w:val="0"/>
              <w:keepLines w:val="0"/>
              <w:pageBreakBefore w:val="0"/>
              <w:widowControl w:val="0"/>
              <w:kinsoku/>
              <w:wordWrap/>
              <w:overflowPunct/>
              <w:topLinePunct w:val="0"/>
              <w:bidi w:val="0"/>
              <w:adjustRightInd w:val="0"/>
              <w:snapToGrid w:val="0"/>
              <w:spacing w:line="240" w:lineRule="auto"/>
              <w:ind w:firstLine="0" w:firstLineChars="0"/>
              <w:jc w:val="both"/>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sym w:font="Wingdings 2" w:char="0052"/>
            </w:r>
            <w:r>
              <w:rPr>
                <w:rFonts w:hint="default" w:ascii="Times New Roman" w:hAnsi="Times New Roman" w:eastAsia="宋体" w:cs="Times New Roman"/>
                <w:kern w:val="2"/>
                <w:lang w:val="en-US" w:eastAsia="zh-CN" w:bidi="ar-SA"/>
              </w:rPr>
              <w:t>否</w:t>
            </w:r>
          </w:p>
          <w:p w14:paraId="21C28630">
            <w:pPr>
              <w:keepNext w:val="0"/>
              <w:keepLines w:val="0"/>
              <w:pageBreakBefore w:val="0"/>
              <w:widowControl w:val="0"/>
              <w:kinsoku/>
              <w:wordWrap/>
              <w:overflowPunct/>
              <w:topLinePunct w:val="0"/>
              <w:bidi w:val="0"/>
              <w:adjustRightInd w:val="0"/>
              <w:snapToGrid w:val="0"/>
              <w:spacing w:line="240" w:lineRule="auto"/>
              <w:ind w:firstLine="0" w:firstLineChars="0"/>
              <w:jc w:val="both"/>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sym w:font="Wingdings 2" w:char="F0A3"/>
            </w:r>
            <w:r>
              <w:rPr>
                <w:rFonts w:hint="default" w:ascii="Times New Roman" w:hAnsi="Times New Roman" w:eastAsia="宋体" w:cs="Times New Roman"/>
                <w:kern w:val="2"/>
                <w:lang w:val="en-US" w:eastAsia="zh-CN" w:bidi="ar-SA"/>
              </w:rPr>
              <w:t>是：</w:t>
            </w:r>
            <w:r>
              <w:rPr>
                <w:rFonts w:hint="default" w:ascii="Times New Roman" w:hAnsi="Times New Roman" w:eastAsia="宋体" w:cs="Times New Roman"/>
                <w:kern w:val="2"/>
                <w:u w:val="single"/>
                <w:lang w:val="en-US" w:eastAsia="zh-CN" w:bidi="ar-SA"/>
              </w:rPr>
              <w:t xml:space="preserve">          </w:t>
            </w:r>
          </w:p>
        </w:tc>
        <w:tc>
          <w:tcPr>
            <w:tcW w:w="1603" w:type="dxa"/>
            <w:noWrap w:val="0"/>
            <w:tcMar>
              <w:top w:w="16" w:type="dxa"/>
              <w:left w:w="16" w:type="dxa"/>
              <w:right w:w="16" w:type="dxa"/>
            </w:tcMar>
            <w:vAlign w:val="center"/>
          </w:tcPr>
          <w:p w14:paraId="7CC7E2D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pacing w:val="-6"/>
                <w:kern w:val="2"/>
                <w:lang w:val="en-US" w:eastAsia="zh-CN" w:bidi="ar-SA"/>
              </w:rPr>
            </w:pPr>
            <w:r>
              <w:rPr>
                <w:rFonts w:hint="default" w:ascii="Times New Roman" w:hAnsi="Times New Roman" w:eastAsia="宋体" w:cs="Times New Roman"/>
                <w:spacing w:val="-6"/>
                <w:kern w:val="2"/>
                <w:lang w:val="en-US" w:eastAsia="zh-CN" w:bidi="ar-SA"/>
              </w:rPr>
              <w:t>用地（用海）</w:t>
            </w:r>
          </w:p>
          <w:p w14:paraId="6519E1D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spacing w:val="-6"/>
                <w:kern w:val="2"/>
                <w:lang w:val="en-US" w:eastAsia="zh-CN" w:bidi="ar-SA"/>
              </w:rPr>
              <w:t>面积（m</w:t>
            </w:r>
            <w:r>
              <w:rPr>
                <w:rFonts w:hint="default" w:ascii="Times New Roman" w:hAnsi="Times New Roman" w:eastAsia="宋体" w:cs="Times New Roman"/>
                <w:spacing w:val="-6"/>
                <w:kern w:val="2"/>
                <w:vertAlign w:val="superscript"/>
                <w:lang w:val="en-US" w:eastAsia="zh-CN" w:bidi="ar-SA"/>
              </w:rPr>
              <w:t>2</w:t>
            </w:r>
            <w:r>
              <w:rPr>
                <w:rFonts w:hint="default" w:ascii="Times New Roman" w:hAnsi="Times New Roman" w:eastAsia="宋体" w:cs="Times New Roman"/>
                <w:spacing w:val="-6"/>
                <w:kern w:val="2"/>
                <w:lang w:val="en-US" w:eastAsia="zh-CN" w:bidi="ar-SA"/>
              </w:rPr>
              <w:t>）</w:t>
            </w:r>
          </w:p>
        </w:tc>
        <w:tc>
          <w:tcPr>
            <w:tcW w:w="2972" w:type="dxa"/>
            <w:noWrap w:val="0"/>
            <w:vAlign w:val="center"/>
          </w:tcPr>
          <w:p w14:paraId="1F8B723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0</w:t>
            </w:r>
          </w:p>
        </w:tc>
      </w:tr>
      <w:tr w14:paraId="2BBBA8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2350" w:type="dxa"/>
            <w:gridSpan w:val="2"/>
            <w:noWrap w:val="0"/>
            <w:vAlign w:val="center"/>
          </w:tcPr>
          <w:p w14:paraId="16D467D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lang w:val="en-US" w:eastAsia="zh-CN" w:bidi="ar-SA"/>
              </w:rPr>
            </w:pPr>
            <w:r>
              <w:rPr>
                <w:rFonts w:hint="default" w:ascii="Times New Roman" w:hAnsi="Times New Roman" w:eastAsia="宋体" w:cs="Times New Roman"/>
                <w:lang w:val="en-US" w:eastAsia="zh-CN" w:bidi="ar-SA"/>
              </w:rPr>
              <w:t>专项评价设置情况</w:t>
            </w:r>
          </w:p>
        </w:tc>
        <w:tc>
          <w:tcPr>
            <w:tcW w:w="6520" w:type="dxa"/>
            <w:gridSpan w:val="3"/>
            <w:noWrap w:val="0"/>
            <w:vAlign w:val="center"/>
          </w:tcPr>
          <w:p w14:paraId="14F7032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lang w:val="en-US" w:eastAsia="zh-CN" w:bidi="ar-SA"/>
              </w:rPr>
            </w:pPr>
            <w:r>
              <w:rPr>
                <w:rFonts w:hint="default" w:ascii="Times New Roman" w:hAnsi="Times New Roman" w:eastAsia="宋体" w:cs="Times New Roman"/>
                <w:kern w:val="2"/>
                <w:lang w:val="en-US" w:eastAsia="zh-CN" w:bidi="ar-SA"/>
              </w:rPr>
              <w:t>设置《新增轻烃及碳五烷烃储运项目环境风险专项评价报告》：本项目为易燃易爆和有毒有害危险物质存储量超过临界量的建设项目。</w:t>
            </w:r>
          </w:p>
        </w:tc>
      </w:tr>
      <w:tr w14:paraId="1BAD60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50" w:type="dxa"/>
            <w:gridSpan w:val="2"/>
            <w:noWrap w:val="0"/>
            <w:vAlign w:val="center"/>
          </w:tcPr>
          <w:p w14:paraId="4C5B178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lang w:val="en-US" w:eastAsia="zh-CN" w:bidi="ar-SA"/>
              </w:rPr>
            </w:pPr>
            <w:r>
              <w:rPr>
                <w:rFonts w:hint="default" w:ascii="Times New Roman" w:hAnsi="Times New Roman" w:eastAsia="宋体" w:cs="Times New Roman"/>
                <w:kern w:val="2"/>
                <w:lang w:val="en-US" w:eastAsia="zh-CN" w:bidi="ar-SA"/>
              </w:rPr>
              <w:t>规划情况</w:t>
            </w:r>
          </w:p>
        </w:tc>
        <w:tc>
          <w:tcPr>
            <w:tcW w:w="6520" w:type="dxa"/>
            <w:gridSpan w:val="3"/>
            <w:shd w:val="clear" w:color="auto" w:fill="auto"/>
            <w:noWrap w:val="0"/>
            <w:vAlign w:val="center"/>
          </w:tcPr>
          <w:p w14:paraId="46C0291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规划名称：《轮台工业园区国土空间专项规划(2024-2035年)》；</w:t>
            </w:r>
          </w:p>
          <w:p w14:paraId="71D2958A">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审批机关：轮台县人民政府</w:t>
            </w:r>
          </w:p>
          <w:p w14:paraId="43711A2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kern w:val="2"/>
                <w:sz w:val="21"/>
                <w:lang w:val="en-US" w:eastAsia="zh-CN" w:bidi="ar-SA"/>
              </w:rPr>
            </w:pPr>
            <w:r>
              <w:rPr>
                <w:rFonts w:hint="default" w:ascii="Times New Roman" w:hAnsi="Times New Roman" w:eastAsia="宋体" w:cs="Times New Roman"/>
                <w:kern w:val="2"/>
                <w:lang w:val="en-US" w:eastAsia="zh-CN" w:bidi="ar-SA"/>
              </w:rPr>
              <w:t>审批文件名称：《关于对</w:t>
            </w:r>
            <w:r>
              <w:rPr>
                <w:rFonts w:hint="eastAsia" w:cs="Times New Roman"/>
                <w:kern w:val="2"/>
                <w:lang w:val="en-US" w:eastAsia="zh-CN" w:bidi="ar-SA"/>
              </w:rPr>
              <w:t>〈</w:t>
            </w:r>
            <w:r>
              <w:rPr>
                <w:rFonts w:hint="default" w:ascii="Times New Roman" w:hAnsi="Times New Roman" w:eastAsia="宋体" w:cs="Times New Roman"/>
                <w:kern w:val="2"/>
                <w:lang w:val="en-US" w:eastAsia="zh-CN" w:bidi="ar-SA"/>
              </w:rPr>
              <w:t>轮台工业园区国土空间专项规划(2024-2035)》</w:t>
            </w:r>
            <w:r>
              <w:rPr>
                <w:rFonts w:hint="eastAsia" w:cs="Times New Roman"/>
                <w:kern w:val="2"/>
                <w:lang w:val="en-US" w:eastAsia="zh-CN" w:bidi="ar-SA"/>
              </w:rPr>
              <w:t>〉</w:t>
            </w:r>
            <w:r>
              <w:rPr>
                <w:rFonts w:hint="default" w:ascii="Times New Roman" w:hAnsi="Times New Roman" w:eastAsia="宋体" w:cs="Times New Roman"/>
                <w:kern w:val="2"/>
                <w:lang w:val="en-US" w:eastAsia="zh-CN" w:bidi="ar-SA"/>
              </w:rPr>
              <w:t>的批复》。</w:t>
            </w:r>
          </w:p>
        </w:tc>
      </w:tr>
      <w:tr w14:paraId="7E7FCC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50" w:type="dxa"/>
            <w:gridSpan w:val="2"/>
            <w:noWrap w:val="0"/>
            <w:vAlign w:val="center"/>
          </w:tcPr>
          <w:p w14:paraId="163901D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lang w:val="en-US" w:eastAsia="zh-CN" w:bidi="ar-SA"/>
              </w:rPr>
            </w:pPr>
            <w:r>
              <w:rPr>
                <w:rFonts w:hint="default" w:ascii="Times New Roman" w:hAnsi="Times New Roman" w:eastAsia="宋体" w:cs="Times New Roman"/>
                <w:kern w:val="2"/>
                <w:lang w:val="en-US" w:eastAsia="zh-CN" w:bidi="ar-SA"/>
              </w:rPr>
              <w:t>规划环境影响评价情况</w:t>
            </w:r>
          </w:p>
        </w:tc>
        <w:tc>
          <w:tcPr>
            <w:tcW w:w="6520" w:type="dxa"/>
            <w:gridSpan w:val="3"/>
            <w:shd w:val="clear" w:color="auto" w:fill="auto"/>
            <w:noWrap w:val="0"/>
            <w:vAlign w:val="center"/>
          </w:tcPr>
          <w:p w14:paraId="0337BFC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规划环评文件名称：《轮台工业园区国土空间专项规划（2024-2035年）环境影响报告书》；</w:t>
            </w:r>
          </w:p>
          <w:p w14:paraId="61E28959">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kern w:val="2"/>
                <w:lang w:val="en-US" w:eastAsia="zh-CN" w:bidi="ar-SA"/>
              </w:rPr>
            </w:pPr>
            <w:r>
              <w:rPr>
                <w:rFonts w:hint="default" w:ascii="Times New Roman" w:hAnsi="Times New Roman" w:eastAsia="宋体" w:cs="Times New Roman"/>
                <w:kern w:val="2"/>
                <w:lang w:val="en-US" w:eastAsia="zh-CN" w:bidi="ar-SA"/>
              </w:rPr>
              <w:t>审批机关：新疆维吾尔自治区生态环境厅；</w:t>
            </w:r>
          </w:p>
          <w:p w14:paraId="13C3B1B8">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rPr>
                <w:rFonts w:hint="default" w:ascii="Times New Roman" w:hAnsi="Times New Roman" w:eastAsia="宋体" w:cs="Times New Roman"/>
                <w:kern w:val="2"/>
                <w:sz w:val="21"/>
                <w:lang w:val="en-US" w:eastAsia="zh-CN" w:bidi="ar-SA"/>
              </w:rPr>
            </w:pPr>
            <w:r>
              <w:rPr>
                <w:rFonts w:hint="default" w:ascii="Times New Roman" w:hAnsi="Times New Roman" w:eastAsia="宋体" w:cs="Times New Roman"/>
                <w:kern w:val="2"/>
                <w:lang w:val="en-US" w:eastAsia="zh-CN" w:bidi="ar-SA"/>
              </w:rPr>
              <w:t>审批文件名称及文号：《关于</w:t>
            </w:r>
            <w:r>
              <w:rPr>
                <w:rFonts w:hint="eastAsia" w:cs="Times New Roman"/>
                <w:kern w:val="2"/>
                <w:lang w:val="en-US" w:eastAsia="zh-CN" w:bidi="ar-SA"/>
              </w:rPr>
              <w:t>〈</w:t>
            </w:r>
            <w:r>
              <w:rPr>
                <w:rFonts w:hint="default" w:ascii="Times New Roman" w:hAnsi="Times New Roman" w:eastAsia="宋体" w:cs="Times New Roman"/>
                <w:kern w:val="2"/>
                <w:lang w:val="en-US" w:eastAsia="zh-CN" w:bidi="ar-SA"/>
              </w:rPr>
              <w:t>轮台工业园区国土空间专项(2024-2035年)环境影响报告书</w:t>
            </w:r>
            <w:r>
              <w:rPr>
                <w:rFonts w:hint="eastAsia" w:cs="Times New Roman"/>
                <w:kern w:val="2"/>
                <w:lang w:val="en-US" w:eastAsia="zh-CN" w:bidi="ar-SA"/>
              </w:rPr>
              <w:t>〉</w:t>
            </w:r>
            <w:r>
              <w:rPr>
                <w:rFonts w:hint="default" w:ascii="Times New Roman" w:hAnsi="Times New Roman" w:eastAsia="宋体" w:cs="Times New Roman"/>
                <w:kern w:val="2"/>
                <w:lang w:val="en-US" w:eastAsia="zh-CN" w:bidi="ar-SA"/>
              </w:rPr>
              <w:t>的审查意见》，新环审〔2025〕135号。</w:t>
            </w:r>
          </w:p>
        </w:tc>
      </w:tr>
      <w:tr w14:paraId="503B00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3" w:type="dxa"/>
            <w:noWrap w:val="0"/>
            <w:vAlign w:val="center"/>
          </w:tcPr>
          <w:p w14:paraId="0BB31D3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eastAsia="宋体"/>
                <w:lang w:val="en-US" w:eastAsia="zh-CN" w:bidi="ar-SA"/>
              </w:rPr>
            </w:pPr>
            <w:r>
              <w:rPr>
                <w:rFonts w:eastAsia="宋体"/>
                <w:sz w:val="21"/>
                <w:szCs w:val="21"/>
                <w:lang w:val="en-US" w:eastAsia="zh-CN" w:bidi="ar-SA"/>
              </w:rPr>
              <w:t>规划及规划环境影响评价符合性分析</w:t>
            </w:r>
          </w:p>
        </w:tc>
        <w:tc>
          <w:tcPr>
            <w:tcW w:w="7947" w:type="dxa"/>
            <w:gridSpan w:val="4"/>
            <w:noWrap w:val="0"/>
            <w:vAlign w:val="center"/>
          </w:tcPr>
          <w:p w14:paraId="11412903">
            <w:pPr>
              <w:pStyle w:val="2"/>
              <w:bidi w:val="0"/>
              <w:rPr>
                <w:lang w:val="en-US" w:eastAsia="zh-CN"/>
              </w:rPr>
            </w:pPr>
            <w:r>
              <w:rPr>
                <w:rFonts w:hint="eastAsia"/>
                <w:lang w:val="en-US" w:eastAsia="zh-CN"/>
              </w:rPr>
              <w:t xml:space="preserve">1 </w:t>
            </w:r>
            <w:r>
              <w:rPr>
                <w:lang w:val="en-US" w:eastAsia="zh-CN"/>
              </w:rPr>
              <w:t>与《轮台工业园区国土空间专项规划(2024-2035年)》符合性分析</w:t>
            </w:r>
          </w:p>
          <w:p w14:paraId="246889FE">
            <w:pPr>
              <w:bidi w:val="0"/>
              <w:rPr>
                <w:rFonts w:hint="default" w:ascii="Times New Roman" w:hAnsi="Times New Roman" w:cs="Times New Roman"/>
                <w:lang w:val="en-US" w:eastAsia="zh-CN"/>
              </w:rPr>
            </w:pPr>
            <w:r>
              <w:rPr>
                <w:rFonts w:hint="default" w:ascii="Times New Roman" w:hAnsi="Times New Roman" w:cs="Times New Roman"/>
                <w:lang w:val="en-US" w:eastAsia="zh-CN"/>
              </w:rPr>
              <w:t>规划范围：本次轮台工业园国土空间专项规划范围为轮台县国土空间城镇开发边界面积，规划总面积24.09km</w:t>
            </w:r>
            <w:r>
              <w:rPr>
                <w:rFonts w:hint="default" w:ascii="Times New Roman" w:hAnsi="Times New Roman" w:cs="Times New Roman"/>
                <w:vertAlign w:val="superscript"/>
                <w:lang w:val="en-US" w:eastAsia="zh-CN"/>
              </w:rPr>
              <w:t>2</w:t>
            </w:r>
            <w:r>
              <w:rPr>
                <w:rFonts w:hint="default" w:ascii="Times New Roman" w:hAnsi="Times New Roman" w:cs="Times New Roman"/>
                <w:lang w:val="en-US" w:eastAsia="zh-CN"/>
              </w:rPr>
              <w:t>，其中拉依苏石油化工区面积16.11km</w:t>
            </w:r>
            <w:r>
              <w:rPr>
                <w:rFonts w:hint="default" w:ascii="Times New Roman" w:hAnsi="Times New Roman" w:cs="Times New Roman"/>
                <w:vertAlign w:val="superscript"/>
                <w:lang w:val="en-US" w:eastAsia="zh-CN"/>
              </w:rPr>
              <w:t>2</w:t>
            </w:r>
            <w:r>
              <w:rPr>
                <w:rFonts w:hint="default" w:ascii="Times New Roman" w:hAnsi="Times New Roman" w:cs="Times New Roman"/>
                <w:lang w:val="en-US" w:eastAsia="zh-CN"/>
              </w:rPr>
              <w:t>（1611.8528公顷），红桥石油服务区面积7.98km</w:t>
            </w:r>
            <w:r>
              <w:rPr>
                <w:rFonts w:hint="default" w:ascii="Times New Roman" w:hAnsi="Times New Roman" w:cs="Times New Roman"/>
                <w:vertAlign w:val="superscript"/>
                <w:lang w:val="en-US" w:eastAsia="zh-CN"/>
              </w:rPr>
              <w:t>2</w:t>
            </w:r>
            <w:r>
              <w:rPr>
                <w:rFonts w:hint="default" w:ascii="Times New Roman" w:hAnsi="Times New Roman" w:cs="Times New Roman"/>
                <w:lang w:val="en-US" w:eastAsia="zh-CN"/>
              </w:rPr>
              <w:t>（797.7690公顷）。轮台工业园区化工产业集聚区规划范围为：规划用地面积1123.22公顷，均位于拉依苏石油化工区范围内。</w:t>
            </w:r>
          </w:p>
          <w:p w14:paraId="06222BED">
            <w:pPr>
              <w:bidi w:val="0"/>
              <w:rPr>
                <w:rFonts w:hint="default" w:ascii="Times New Roman" w:hAnsi="Times New Roman" w:cs="Times New Roman"/>
                <w:lang w:val="en-US" w:eastAsia="zh-CN"/>
              </w:rPr>
            </w:pPr>
            <w:r>
              <w:rPr>
                <w:rFonts w:hint="default" w:ascii="Times New Roman" w:hAnsi="Times New Roman" w:cs="Times New Roman"/>
                <w:lang w:val="en-US" w:eastAsia="zh-CN"/>
              </w:rPr>
              <w:t>发展定位：拉依苏石油化工区的发展定位是形成以石油天然气化工、硅基新材料产业为主导，以煤化工、现代能源为重点，以盐化工、精细化工为延伸，以资源循环利用为补充的现代化工产业体系。</w:t>
            </w:r>
          </w:p>
          <w:p w14:paraId="4CACE560">
            <w:pPr>
              <w:bidi w:val="0"/>
              <w:rPr>
                <w:rFonts w:hint="default" w:ascii="Times New Roman" w:hAnsi="Times New Roman" w:cs="Times New Roman"/>
                <w:lang w:val="en-US" w:eastAsia="zh-CN"/>
              </w:rPr>
            </w:pPr>
            <w:r>
              <w:rPr>
                <w:rFonts w:hint="default" w:ascii="Times New Roman" w:hAnsi="Times New Roman" w:cs="Times New Roman"/>
                <w:lang w:val="en-US" w:eastAsia="zh-CN"/>
              </w:rPr>
              <w:t>规划产业布局：拉依苏石油化工区与轮台工业园化工产业集聚区在产业布局上保持一致，共布置八大产业区，分别为石油天然气化工产业区、硅基新材料产业区、煤化工产业区、现代能源产业区、建材产业区、资源循环利用产业区、化工物流区、盐化工区。</w:t>
            </w:r>
          </w:p>
          <w:p w14:paraId="35C79F2A">
            <w:pPr>
              <w:bidi w:val="0"/>
              <w:rPr>
                <w:rFonts w:hint="default" w:ascii="Times New Roman" w:hAnsi="Times New Roman" w:cs="Times New Roman"/>
                <w:lang w:val="en-US" w:eastAsia="zh-CN"/>
              </w:rPr>
            </w:pPr>
            <w:r>
              <w:rPr>
                <w:rFonts w:hint="default" w:ascii="Times New Roman" w:hAnsi="Times New Roman" w:cs="Times New Roman"/>
                <w:lang w:val="en-US" w:eastAsia="zh-CN"/>
              </w:rPr>
              <w:t>巴州海祥石油化工有限公司主要从事轻烃精制及碳五烷烃等基础石油化工产品的生产、储运与经营。</w:t>
            </w:r>
            <w:r>
              <w:rPr>
                <w:rFonts w:hint="eastAsia" w:cs="Times New Roman"/>
                <w:lang w:val="en-US" w:eastAsia="zh-CN"/>
              </w:rPr>
              <w:t>公司</w:t>
            </w:r>
            <w:r>
              <w:rPr>
                <w:rFonts w:hint="default" w:ascii="Times New Roman" w:hAnsi="Times New Roman" w:cs="Times New Roman"/>
                <w:lang w:val="en-US" w:eastAsia="zh-CN"/>
              </w:rPr>
              <w:t>位于拉依苏石油化工区</w:t>
            </w:r>
            <w:r>
              <w:rPr>
                <w:rFonts w:hint="eastAsia" w:cs="Times New Roman"/>
                <w:lang w:val="en-US" w:eastAsia="zh-CN"/>
              </w:rPr>
              <w:t>的</w:t>
            </w:r>
            <w:r>
              <w:rPr>
                <w:rFonts w:hint="default" w:ascii="Times New Roman" w:hAnsi="Times New Roman" w:cs="Times New Roman"/>
                <w:lang w:val="en-US" w:eastAsia="zh-CN"/>
              </w:rPr>
              <w:t>石油天然气化工产业区</w:t>
            </w:r>
            <w:r>
              <w:rPr>
                <w:rFonts w:hint="eastAsia" w:cs="Times New Roman"/>
                <w:lang w:val="en-US" w:eastAsia="zh-CN"/>
              </w:rPr>
              <w:t>内。</w:t>
            </w:r>
            <w:r>
              <w:rPr>
                <w:rFonts w:hint="default" w:ascii="Times New Roman" w:hAnsi="Times New Roman" w:cs="Times New Roman"/>
                <w:lang w:val="en-US" w:eastAsia="zh-CN"/>
              </w:rPr>
              <w:t>本项目新增轻烃及碳五烷烃储罐，属于巴州海祥石油化工有限公司现有工程配套附属设施</w:t>
            </w:r>
            <w:r>
              <w:rPr>
                <w:rFonts w:hint="eastAsia" w:cs="Times New Roman"/>
                <w:lang w:val="en-US" w:eastAsia="zh-CN"/>
              </w:rPr>
              <w:t>，项目选址及建设内容均满足该专项规划相关管控要求</w:t>
            </w:r>
            <w:r>
              <w:rPr>
                <w:rFonts w:hint="default" w:ascii="Times New Roman" w:hAnsi="Times New Roman" w:cs="Times New Roman"/>
                <w:lang w:val="en-US" w:eastAsia="zh-CN"/>
              </w:rPr>
              <w:t>。项目与园区规划范围位置关系详见附图 1，与拉依苏石油化工区产业布局位置关系详见附图2，项目与拉依苏石油化工区用地规划位置关系见附图3。</w:t>
            </w:r>
          </w:p>
          <w:p w14:paraId="49E29830">
            <w:pPr>
              <w:pStyle w:val="2"/>
              <w:bidi w:val="0"/>
              <w:rPr>
                <w:lang w:val="en-US" w:eastAsia="zh-CN"/>
              </w:rPr>
            </w:pPr>
            <w:r>
              <w:rPr>
                <w:rFonts w:hint="eastAsia"/>
                <w:lang w:val="en-US" w:eastAsia="zh-CN"/>
              </w:rPr>
              <w:t xml:space="preserve">2 </w:t>
            </w:r>
            <w:r>
              <w:rPr>
                <w:lang w:val="en-US" w:eastAsia="zh-CN"/>
              </w:rPr>
              <w:t>与《</w:t>
            </w:r>
            <w:r>
              <w:rPr>
                <w:rFonts w:hint="eastAsia"/>
                <w:lang w:val="en-US" w:eastAsia="zh-CN"/>
              </w:rPr>
              <w:t>轮台工业园区国土空间专项(2024-2035年)环境影响报告书</w:t>
            </w:r>
            <w:r>
              <w:rPr>
                <w:lang w:val="en-US" w:eastAsia="zh-CN"/>
              </w:rPr>
              <w:t>》</w:t>
            </w:r>
            <w:r>
              <w:rPr>
                <w:rFonts w:hint="eastAsia"/>
                <w:lang w:val="en-US" w:eastAsia="zh-CN"/>
              </w:rPr>
              <w:t>结论</w:t>
            </w:r>
            <w:r>
              <w:rPr>
                <w:lang w:val="en-US" w:eastAsia="zh-CN"/>
              </w:rPr>
              <w:t>及其审查意见符合性分析</w:t>
            </w:r>
          </w:p>
          <w:p w14:paraId="0EF23097">
            <w:pPr>
              <w:pStyle w:val="4"/>
              <w:bidi w:val="0"/>
              <w:rPr>
                <w:lang w:val="en-US" w:eastAsia="zh-CN"/>
              </w:rPr>
            </w:pPr>
            <w:r>
              <w:rPr>
                <w:lang w:val="en-US" w:eastAsia="zh-CN"/>
              </w:rPr>
              <w:t>表1-</w:t>
            </w:r>
            <w:r>
              <w:rPr>
                <w:rFonts w:hint="eastAsia"/>
                <w:lang w:val="en-US" w:eastAsia="zh-CN"/>
              </w:rPr>
              <w:t>1</w:t>
            </w:r>
            <w:r>
              <w:rPr>
                <w:lang w:val="en-US" w:eastAsia="zh-CN"/>
              </w:rPr>
              <w:t xml:space="preserve">  与园区规划环境影响报告书结论及审查意见符合性分析</w:t>
            </w:r>
          </w:p>
          <w:tbl>
            <w:tblPr>
              <w:tblStyle w:val="19"/>
              <w:tblW w:w="4984"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310"/>
              <w:gridCol w:w="2736"/>
              <w:gridCol w:w="933"/>
            </w:tblGrid>
            <w:tr w14:paraId="2C60FF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00" w:type="pct"/>
                  <w:tcBorders>
                    <w:top w:val="single" w:color="auto" w:sz="4" w:space="0"/>
                    <w:left w:val="single" w:color="auto" w:sz="4" w:space="0"/>
                  </w:tcBorders>
                  <w:vAlign w:val="center"/>
                </w:tcPr>
                <w:p w14:paraId="7D4D6567">
                  <w:pPr>
                    <w:pStyle w:val="5"/>
                    <w:bidi w:val="0"/>
                    <w:rPr>
                      <w:lang w:val="en-US" w:eastAsia="zh-CN"/>
                    </w:rPr>
                  </w:pPr>
                  <w:r>
                    <w:rPr>
                      <w:lang w:val="en-US" w:eastAsia="zh-CN"/>
                    </w:rPr>
                    <w:t>文件要求</w:t>
                  </w:r>
                </w:p>
              </w:tc>
              <w:tc>
                <w:tcPr>
                  <w:tcW w:w="1714" w:type="pct"/>
                  <w:tcBorders>
                    <w:top w:val="single" w:color="auto" w:sz="4" w:space="0"/>
                  </w:tcBorders>
                  <w:shd w:val="clear" w:color="auto" w:fill="auto"/>
                  <w:vAlign w:val="center"/>
                </w:tcPr>
                <w:p w14:paraId="6F8457A3">
                  <w:pPr>
                    <w:pStyle w:val="5"/>
                    <w:bidi w:val="0"/>
                    <w:ind w:firstLine="0" w:firstLineChars="0"/>
                    <w:rPr>
                      <w:rFonts w:ascii="Times New Roman" w:hAnsi="Times New Roman" w:eastAsia="宋体" w:cs="Times New Roman"/>
                      <w:b w:val="0"/>
                      <w:bCs w:val="0"/>
                      <w:sz w:val="21"/>
                      <w:szCs w:val="21"/>
                      <w:lang w:val="en-US" w:eastAsia="zh-CN" w:bidi="ar-SA"/>
                    </w:rPr>
                  </w:pPr>
                  <w:r>
                    <w:rPr>
                      <w:lang w:val="en-US" w:eastAsia="zh-CN"/>
                    </w:rPr>
                    <w:t>拟建项目情况</w:t>
                  </w:r>
                </w:p>
              </w:tc>
              <w:tc>
                <w:tcPr>
                  <w:tcW w:w="584" w:type="pct"/>
                  <w:tcBorders>
                    <w:top w:val="single" w:color="auto" w:sz="4" w:space="0"/>
                    <w:right w:val="single" w:color="auto" w:sz="4" w:space="0"/>
                  </w:tcBorders>
                  <w:shd w:val="clear" w:color="auto" w:fill="auto"/>
                  <w:vAlign w:val="center"/>
                </w:tcPr>
                <w:p w14:paraId="21ABC827">
                  <w:pPr>
                    <w:pStyle w:val="5"/>
                    <w:bidi w:val="0"/>
                    <w:ind w:firstLine="0" w:firstLineChars="0"/>
                    <w:rPr>
                      <w:rFonts w:ascii="Times New Roman" w:hAnsi="Times New Roman" w:eastAsia="宋体" w:cs="Times New Roman"/>
                      <w:b w:val="0"/>
                      <w:bCs w:val="0"/>
                      <w:sz w:val="21"/>
                      <w:szCs w:val="21"/>
                      <w:lang w:val="en-US" w:eastAsia="zh-CN" w:bidi="ar-SA"/>
                    </w:rPr>
                  </w:pPr>
                  <w:r>
                    <w:rPr>
                      <w:lang w:val="en-US" w:eastAsia="zh-CN"/>
                    </w:rPr>
                    <w:t>符合性</w:t>
                  </w:r>
                </w:p>
              </w:tc>
            </w:tr>
            <w:tr w14:paraId="7A74D4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00" w:type="pct"/>
                  <w:tcBorders>
                    <w:left w:val="single" w:color="auto" w:sz="4" w:space="0"/>
                  </w:tcBorders>
                  <w:vAlign w:val="center"/>
                </w:tcPr>
                <w:p w14:paraId="79F4E707">
                  <w:pPr>
                    <w:pStyle w:val="5"/>
                    <w:bidi w:val="0"/>
                    <w:rPr>
                      <w:lang w:val="en-US" w:eastAsia="zh-CN"/>
                    </w:rPr>
                  </w:pPr>
                  <w:r>
                    <w:rPr>
                      <w:lang w:val="en-US" w:eastAsia="zh-CN"/>
                    </w:rPr>
                    <w:t>坚持绿色发展，优化产业结构、规划布局。坚持以环境质量改善为核心，遵循生态优先、绿色发展原则，依据区域环境和资源禀赋条件，合理确定园区各片区，尤其是拉依苏石油化工区发展定位、产业结构和规划布局。切实落实《报告书》提出的规划优化调整意见和生态环境保护对策措施，促进园区发展和环境保护相协调。严格按照集约开发的原则，优化土地用地布局，促进产业集聚，提高土地集约利用效率。</w:t>
                  </w:r>
                </w:p>
              </w:tc>
              <w:tc>
                <w:tcPr>
                  <w:tcW w:w="1714" w:type="pct"/>
                  <w:vAlign w:val="center"/>
                </w:tcPr>
                <w:p w14:paraId="4A1A73CF">
                  <w:pPr>
                    <w:pStyle w:val="5"/>
                    <w:bidi w:val="0"/>
                    <w:rPr>
                      <w:lang w:val="en-US" w:eastAsia="zh-CN"/>
                    </w:rPr>
                  </w:pPr>
                  <w:r>
                    <w:rPr>
                      <w:lang w:val="en-US" w:eastAsia="zh-CN"/>
                    </w:rPr>
                    <w:t>项目位于巴州海祥石油化工有限公司现有厂区内，不新增用地，</w:t>
                  </w:r>
                  <w:r>
                    <w:rPr>
                      <w:rFonts w:hint="eastAsia"/>
                      <w:lang w:val="en-US" w:eastAsia="zh-CN"/>
                    </w:rPr>
                    <w:t>符合</w:t>
                  </w:r>
                  <w:r>
                    <w:rPr>
                      <w:lang w:val="en-US" w:eastAsia="zh-CN"/>
                    </w:rPr>
                    <w:t>拉依苏石油化工区发展定位、产业结构和规划布局。</w:t>
                  </w:r>
                </w:p>
              </w:tc>
              <w:tc>
                <w:tcPr>
                  <w:tcW w:w="584" w:type="pct"/>
                  <w:tcBorders>
                    <w:right w:val="single" w:color="auto" w:sz="4" w:space="0"/>
                  </w:tcBorders>
                  <w:vAlign w:val="center"/>
                </w:tcPr>
                <w:p w14:paraId="7A0A2021">
                  <w:pPr>
                    <w:pStyle w:val="5"/>
                    <w:bidi w:val="0"/>
                    <w:rPr>
                      <w:lang w:val="en-US" w:eastAsia="zh-CN"/>
                    </w:rPr>
                  </w:pPr>
                  <w:r>
                    <w:rPr>
                      <w:lang w:val="en-US" w:eastAsia="zh-CN"/>
                    </w:rPr>
                    <w:t>符合</w:t>
                  </w:r>
                </w:p>
              </w:tc>
            </w:tr>
            <w:tr w14:paraId="6287D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00" w:type="pct"/>
                  <w:tcBorders>
                    <w:left w:val="single" w:color="auto" w:sz="4" w:space="0"/>
                  </w:tcBorders>
                  <w:vAlign w:val="center"/>
                </w:tcPr>
                <w:p w14:paraId="29AE7583">
                  <w:pPr>
                    <w:pStyle w:val="5"/>
                    <w:bidi w:val="0"/>
                    <w:rPr>
                      <w:rFonts w:hint="eastAsia"/>
                      <w:lang w:val="en-US" w:eastAsia="zh-CN"/>
                    </w:rPr>
                  </w:pPr>
                  <w:r>
                    <w:rPr>
                      <w:lang w:val="en-US" w:eastAsia="zh-CN"/>
                    </w:rPr>
                    <w:t>严守生态保护红线，加强空间管控。衔接巴音郭楞蒙古自治州及轮台县国土空间规划及生态环境分区管控要求，严格控制园区开发范围，明确各功能区用地要求，合理开发利用。重点关注区域大气环境质量、地下水环境、土壤环境、环境风险，对园区内企业提出具体管控要求。根据园区产业结构和产业链，完善生态环境准入清单，落实园区所在生态环境管控单元的管控要求，切实保障规划实施不突破区域生态保护红线、环境质量底线和资源利用上线</w:t>
                  </w:r>
                  <w:r>
                    <w:rPr>
                      <w:rFonts w:hint="eastAsia"/>
                      <w:lang w:val="en-US" w:eastAsia="zh-CN"/>
                    </w:rPr>
                    <w:t>。</w:t>
                  </w:r>
                </w:p>
              </w:tc>
              <w:tc>
                <w:tcPr>
                  <w:tcW w:w="1714" w:type="pct"/>
                  <w:vAlign w:val="center"/>
                </w:tcPr>
                <w:p w14:paraId="08672678">
                  <w:pPr>
                    <w:pStyle w:val="5"/>
                    <w:keepNext/>
                    <w:keepLines/>
                    <w:pageBreakBefore w:val="0"/>
                    <w:widowControl/>
                    <w:kinsoku/>
                    <w:wordWrap w:val="0"/>
                    <w:overflowPunct/>
                    <w:topLinePunct w:val="0"/>
                    <w:autoSpaceDE/>
                    <w:autoSpaceDN/>
                    <w:bidi w:val="0"/>
                    <w:adjustRightInd/>
                    <w:snapToGrid/>
                    <w:textAlignment w:val="auto"/>
                    <w:rPr>
                      <w:lang w:val="en-US" w:eastAsia="zh-CN"/>
                    </w:rPr>
                  </w:pPr>
                  <w:r>
                    <w:rPr>
                      <w:rFonts w:hint="eastAsia"/>
                      <w:lang w:val="en-US" w:eastAsia="zh-CN"/>
                    </w:rPr>
                    <w:t>本项目不涉及生态保护红线，符合园区生态空间管控要求；本项目符合《新疆维吾尔自治区生态环境分区管控动态更新成果》（新环环评发〔2024〕157号）、《关于印发巴音郭楞蒙古自治州“三线一单”生态环境分区管控动态更新成果（2023年）的通知》（巴政办发〔2024〕32号）中相关要求。</w:t>
                  </w:r>
                </w:p>
              </w:tc>
              <w:tc>
                <w:tcPr>
                  <w:tcW w:w="584" w:type="pct"/>
                  <w:tcBorders>
                    <w:right w:val="single" w:color="auto" w:sz="4" w:space="0"/>
                  </w:tcBorders>
                  <w:vAlign w:val="center"/>
                </w:tcPr>
                <w:p w14:paraId="4407BDFE">
                  <w:pPr>
                    <w:pStyle w:val="5"/>
                    <w:bidi w:val="0"/>
                    <w:rPr>
                      <w:lang w:val="en-US" w:eastAsia="zh-CN"/>
                    </w:rPr>
                  </w:pPr>
                  <w:r>
                    <w:rPr>
                      <w:lang w:val="en-US" w:eastAsia="zh-CN"/>
                    </w:rPr>
                    <w:t>符合</w:t>
                  </w:r>
                </w:p>
              </w:tc>
            </w:tr>
            <w:tr w14:paraId="7D1EB0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20" w:hRule="atLeast"/>
              </w:trPr>
              <w:tc>
                <w:tcPr>
                  <w:tcW w:w="2700" w:type="pct"/>
                  <w:tcBorders>
                    <w:left w:val="single" w:color="auto" w:sz="4" w:space="0"/>
                  </w:tcBorders>
                  <w:vAlign w:val="center"/>
                </w:tcPr>
                <w:p w14:paraId="7F9942CD">
                  <w:pPr>
                    <w:pStyle w:val="5"/>
                    <w:bidi w:val="0"/>
                    <w:rPr>
                      <w:lang w:val="en-US" w:eastAsia="zh-CN"/>
                    </w:rPr>
                  </w:pPr>
                  <w:r>
                    <w:rPr>
                      <w:lang w:val="en-US" w:eastAsia="zh-CN"/>
                    </w:rPr>
                    <w:t>严格管控区域污染物排放。严格控制开发强度，优化项目建设时序，落实污染物总量控制、减排任务。采取有效措施减少氮氧化物、颗粒物、挥发性有机物等污染物排放量，各类污染物排放须满足国家及自治区最新污染物排放标准要求。深入开展应对气候变化工作，提出污染物协同脱除、减污降碳协同控制要求，严格控制温室气体排放。</w:t>
                  </w:r>
                </w:p>
              </w:tc>
              <w:tc>
                <w:tcPr>
                  <w:tcW w:w="1714" w:type="pct"/>
                  <w:vAlign w:val="center"/>
                </w:tcPr>
                <w:p w14:paraId="1E438D00">
                  <w:pPr>
                    <w:pStyle w:val="5"/>
                    <w:bidi w:val="0"/>
                    <w:rPr>
                      <w:lang w:val="en-US" w:eastAsia="zh-CN"/>
                    </w:rPr>
                  </w:pPr>
                  <w:r>
                    <w:rPr>
                      <w:rFonts w:hint="eastAsia"/>
                      <w:lang w:val="en-US" w:eastAsia="zh-CN"/>
                    </w:rPr>
                    <w:t>现有</w:t>
                  </w:r>
                  <w:r>
                    <w:rPr>
                      <w:lang w:val="en-US" w:eastAsia="zh-CN"/>
                    </w:rPr>
                    <w:t>项目配套建设废气收集、处理装置。</w:t>
                  </w:r>
                  <w:r>
                    <w:rPr>
                      <w:rFonts w:hint="eastAsia"/>
                      <w:lang w:val="en-US" w:eastAsia="zh-CN"/>
                    </w:rPr>
                    <w:t>本项目废气治理措施均依托现有。</w:t>
                  </w:r>
                  <w:r>
                    <w:rPr>
                      <w:lang w:val="en-US" w:eastAsia="zh-CN"/>
                    </w:rPr>
                    <w:t>污染物排放及控制符合《石油化学工业污染物排放标准》（GB31571</w:t>
                  </w:r>
                  <w:r>
                    <w:rPr>
                      <w:rFonts w:hint="eastAsia"/>
                      <w:lang w:val="en-US" w:eastAsia="zh-CN"/>
                    </w:rPr>
                    <w:t>-2015</w:t>
                  </w:r>
                  <w:r>
                    <w:rPr>
                      <w:lang w:val="en-US" w:eastAsia="zh-CN"/>
                    </w:rPr>
                    <w:t>）</w:t>
                  </w:r>
                  <w:r>
                    <w:rPr>
                      <w:rFonts w:hint="eastAsia"/>
                      <w:lang w:val="en-US" w:eastAsia="zh-CN"/>
                    </w:rPr>
                    <w:t>（含2024年修改单）</w:t>
                  </w:r>
                  <w:r>
                    <w:rPr>
                      <w:lang w:val="en-US" w:eastAsia="zh-CN"/>
                    </w:rPr>
                    <w:t>等要求。</w:t>
                  </w:r>
                </w:p>
                <w:p w14:paraId="6D899498">
                  <w:pPr>
                    <w:pStyle w:val="5"/>
                    <w:bidi w:val="0"/>
                    <w:rPr>
                      <w:lang w:val="en-US" w:eastAsia="zh-CN"/>
                    </w:rPr>
                  </w:pPr>
                  <w:r>
                    <w:rPr>
                      <w:rFonts w:hint="eastAsia"/>
                      <w:lang w:val="en-US" w:eastAsia="zh-CN"/>
                    </w:rPr>
                    <w:t>本项目已落实</w:t>
                  </w:r>
                  <w:r>
                    <w:rPr>
                      <w:lang w:val="en-US" w:eastAsia="zh-CN"/>
                    </w:rPr>
                    <w:t>污染物总量控制</w:t>
                  </w:r>
                  <w:r>
                    <w:rPr>
                      <w:rFonts w:hint="eastAsia"/>
                      <w:lang w:val="en-US" w:eastAsia="zh-CN"/>
                    </w:rPr>
                    <w:t>。</w:t>
                  </w:r>
                </w:p>
              </w:tc>
              <w:tc>
                <w:tcPr>
                  <w:tcW w:w="584" w:type="pct"/>
                  <w:tcBorders>
                    <w:right w:val="single" w:color="auto" w:sz="4" w:space="0"/>
                  </w:tcBorders>
                  <w:vAlign w:val="center"/>
                </w:tcPr>
                <w:p w14:paraId="58FF276F">
                  <w:pPr>
                    <w:pStyle w:val="5"/>
                    <w:bidi w:val="0"/>
                    <w:rPr>
                      <w:lang w:val="en-US" w:eastAsia="zh-CN"/>
                    </w:rPr>
                  </w:pPr>
                  <w:r>
                    <w:rPr>
                      <w:lang w:val="en-US" w:eastAsia="zh-CN"/>
                    </w:rPr>
                    <w:t>符合</w:t>
                  </w:r>
                </w:p>
              </w:tc>
            </w:tr>
            <w:tr w14:paraId="14141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00" w:type="pct"/>
                  <w:tcBorders>
                    <w:left w:val="single" w:color="auto" w:sz="4" w:space="0"/>
                  </w:tcBorders>
                  <w:vAlign w:val="center"/>
                </w:tcPr>
                <w:p w14:paraId="7A55A6FF">
                  <w:pPr>
                    <w:pStyle w:val="5"/>
                    <w:bidi w:val="0"/>
                    <w:rPr>
                      <w:rFonts w:hint="eastAsia"/>
                      <w:lang w:val="en-US" w:eastAsia="zh-CN"/>
                    </w:rPr>
                  </w:pPr>
                  <w:r>
                    <w:rPr>
                      <w:lang w:val="en-US" w:eastAsia="zh-CN"/>
                    </w:rPr>
                    <w:t>严格资源利用总量控制，加快基础设施建设。以水资源承载力为基础，坚持“以水定产、以水定量”，合理确定园区用水规模，充分挖掘园区可利用的中水资源，优先采用中水作为水源，提高水资源利用率，最大限度节约新鲜水用量，确保园区工业用水满足水资源“三条红线”指标要求</w:t>
                  </w:r>
                  <w:r>
                    <w:rPr>
                      <w:rFonts w:hint="eastAsia"/>
                      <w:lang w:val="en-US" w:eastAsia="zh-CN"/>
                    </w:rPr>
                    <w:t>，</w:t>
                  </w:r>
                  <w:r>
                    <w:rPr>
                      <w:lang w:val="en-US" w:eastAsia="zh-CN"/>
                    </w:rPr>
                    <w:t>完善园区中水回用方案，加快完成园区中水回用系统及回用管网等基础设施建设。加强工业固体废物环境管理，以减量化、资源化、无害化为原则，推进固废资源化利用</w:t>
                  </w:r>
                  <w:r>
                    <w:rPr>
                      <w:rFonts w:hint="eastAsia"/>
                      <w:lang w:val="en-US" w:eastAsia="zh-CN"/>
                    </w:rPr>
                    <w:t>。</w:t>
                  </w:r>
                </w:p>
              </w:tc>
              <w:tc>
                <w:tcPr>
                  <w:tcW w:w="1714" w:type="pct"/>
                  <w:vAlign w:val="center"/>
                </w:tcPr>
                <w:p w14:paraId="52E9CBF2">
                  <w:pPr>
                    <w:pStyle w:val="5"/>
                    <w:bidi w:val="0"/>
                    <w:rPr>
                      <w:lang w:val="en-US" w:eastAsia="zh-CN"/>
                    </w:rPr>
                  </w:pPr>
                  <w:r>
                    <w:rPr>
                      <w:rFonts w:hint="eastAsia"/>
                      <w:lang w:val="en-US" w:eastAsia="zh-CN"/>
                    </w:rPr>
                    <w:t>本项目不新增新鲜水用量。</w:t>
                  </w:r>
                </w:p>
              </w:tc>
              <w:tc>
                <w:tcPr>
                  <w:tcW w:w="584" w:type="pct"/>
                  <w:tcBorders>
                    <w:right w:val="single" w:color="auto" w:sz="4" w:space="0"/>
                  </w:tcBorders>
                  <w:vAlign w:val="center"/>
                </w:tcPr>
                <w:p w14:paraId="44250369">
                  <w:pPr>
                    <w:pStyle w:val="5"/>
                    <w:bidi w:val="0"/>
                    <w:rPr>
                      <w:lang w:val="en-US" w:eastAsia="zh-CN"/>
                    </w:rPr>
                  </w:pPr>
                  <w:r>
                    <w:rPr>
                      <w:lang w:val="en-US" w:eastAsia="zh-CN"/>
                    </w:rPr>
                    <w:t>符合</w:t>
                  </w:r>
                </w:p>
              </w:tc>
            </w:tr>
            <w:tr w14:paraId="51BB32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700" w:type="pct"/>
                  <w:tcBorders>
                    <w:left w:val="single" w:color="auto" w:sz="4" w:space="0"/>
                    <w:bottom w:val="single" w:color="auto" w:sz="4" w:space="0"/>
                  </w:tcBorders>
                  <w:vAlign w:val="center"/>
                </w:tcPr>
                <w:p w14:paraId="6FCBADF2">
                  <w:pPr>
                    <w:pStyle w:val="5"/>
                    <w:bidi w:val="0"/>
                    <w:rPr>
                      <w:rFonts w:hint="eastAsia"/>
                      <w:lang w:val="en-US" w:eastAsia="zh-CN"/>
                    </w:rPr>
                  </w:pPr>
                  <w:r>
                    <w:rPr>
                      <w:lang w:val="en-US" w:eastAsia="zh-CN"/>
                    </w:rPr>
                    <w:t>强化环境风险监控和管理，健全园区环境风险防控、评估和应急响应体系。强化突发环境事件应急响应联动机制，保障生态环境安全。建立完善的环境空气、地下水、土壤等监控体系，落实园区环境质量跟踪监测计划，定期开展监测和评估，并根据监测评估结果及时对规划进行优化调整。加快编制并不断完善突发环境事件应急预案，关注对周边居民区、红桥河等环境敏感目标影响，足额配备应急物资，定期开展应急演练，提升环境风险防控和应急响应能力，防控园区规划实施可能引发的环境风险，保障区域环境安全</w:t>
                  </w:r>
                  <w:r>
                    <w:rPr>
                      <w:rFonts w:hint="eastAsia"/>
                      <w:lang w:val="en-US" w:eastAsia="zh-CN"/>
                    </w:rPr>
                    <w:t>。</w:t>
                  </w:r>
                </w:p>
              </w:tc>
              <w:tc>
                <w:tcPr>
                  <w:tcW w:w="1714" w:type="pct"/>
                  <w:tcBorders>
                    <w:bottom w:val="single" w:color="auto" w:sz="4" w:space="0"/>
                  </w:tcBorders>
                  <w:vAlign w:val="center"/>
                </w:tcPr>
                <w:p w14:paraId="65A4F1D4">
                  <w:pPr>
                    <w:pStyle w:val="5"/>
                    <w:bidi w:val="0"/>
                    <w:rPr>
                      <w:lang w:val="en-US" w:eastAsia="zh-CN"/>
                    </w:rPr>
                  </w:pPr>
                  <w:r>
                    <w:rPr>
                      <w:rFonts w:hint="eastAsia"/>
                      <w:lang w:val="en-US" w:eastAsia="zh-CN"/>
                    </w:rPr>
                    <w:t>企业已编制了突发环境事件应急预案并于2026年8月21日完成修订并备案，备案编号652800-2026-8-M，企业针对突发环境事件定期开展应急演练，配备了应急物资，并与园区突发环境事件应急预案相衔接，本次评价要求项目建设完成后，应及时更新并完善应急预案相关内容，并及时备案。</w:t>
                  </w:r>
                </w:p>
              </w:tc>
              <w:tc>
                <w:tcPr>
                  <w:tcW w:w="584" w:type="pct"/>
                  <w:tcBorders>
                    <w:bottom w:val="single" w:color="auto" w:sz="4" w:space="0"/>
                    <w:right w:val="single" w:color="auto" w:sz="4" w:space="0"/>
                  </w:tcBorders>
                  <w:vAlign w:val="center"/>
                </w:tcPr>
                <w:p w14:paraId="0745A53E">
                  <w:pPr>
                    <w:pStyle w:val="5"/>
                    <w:bidi w:val="0"/>
                    <w:rPr>
                      <w:rFonts w:hint="eastAsia"/>
                      <w:lang w:val="en-US" w:eastAsia="zh-CN"/>
                    </w:rPr>
                  </w:pPr>
                  <w:r>
                    <w:rPr>
                      <w:rFonts w:hint="eastAsia"/>
                      <w:lang w:val="en-US" w:eastAsia="zh-CN"/>
                    </w:rPr>
                    <w:t>符合</w:t>
                  </w:r>
                </w:p>
              </w:tc>
            </w:tr>
          </w:tbl>
          <w:p w14:paraId="2DA43CA6">
            <w:pPr>
              <w:bidi w:val="0"/>
              <w:rPr>
                <w:lang w:val="en-US" w:eastAsia="zh-CN"/>
              </w:rPr>
            </w:pPr>
            <w:r>
              <w:rPr>
                <w:lang w:val="en-US" w:eastAsia="zh-CN"/>
              </w:rPr>
              <w:t>综上，本项目符合</w:t>
            </w:r>
            <w:r>
              <w:rPr>
                <w:rFonts w:hint="eastAsia"/>
                <w:lang w:val="en-US" w:eastAsia="zh-CN"/>
              </w:rPr>
              <w:t>《</w:t>
            </w:r>
            <w:r>
              <w:rPr>
                <w:lang w:val="en-US" w:eastAsia="zh-CN"/>
              </w:rPr>
              <w:t>轮台工业园区国土空间专项(2024-2035年)环境影响报告书》</w:t>
            </w:r>
            <w:r>
              <w:rPr>
                <w:rFonts w:hint="eastAsia"/>
                <w:lang w:val="en-US" w:eastAsia="zh-CN"/>
              </w:rPr>
              <w:t>结论</w:t>
            </w:r>
            <w:r>
              <w:rPr>
                <w:lang w:val="en-US" w:eastAsia="zh-CN"/>
              </w:rPr>
              <w:t>及其审查意见</w:t>
            </w:r>
            <w:r>
              <w:rPr>
                <w:rFonts w:hint="eastAsia"/>
                <w:lang w:val="en-US" w:eastAsia="zh-CN"/>
              </w:rPr>
              <w:t>。</w:t>
            </w:r>
          </w:p>
        </w:tc>
      </w:tr>
      <w:tr w14:paraId="034DC7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3" w:type="dxa"/>
            <w:noWrap w:val="0"/>
            <w:vAlign w:val="center"/>
          </w:tcPr>
          <w:p w14:paraId="3768F4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eastAsia="宋体"/>
                <w:lang w:val="en-US" w:eastAsia="zh-CN" w:bidi="ar-SA"/>
              </w:rPr>
            </w:pPr>
            <w:r>
              <w:rPr>
                <w:rFonts w:eastAsia="宋体"/>
                <w:sz w:val="21"/>
                <w:szCs w:val="21"/>
                <w:lang w:val="en-US" w:eastAsia="zh-CN" w:bidi="ar-SA"/>
              </w:rPr>
              <w:t>其他符合性分析</w:t>
            </w:r>
          </w:p>
        </w:tc>
        <w:tc>
          <w:tcPr>
            <w:tcW w:w="7947" w:type="dxa"/>
            <w:gridSpan w:val="4"/>
            <w:noWrap w:val="0"/>
            <w:vAlign w:val="center"/>
          </w:tcPr>
          <w:p w14:paraId="4D6EE932">
            <w:pPr>
              <w:pStyle w:val="2"/>
              <w:bidi w:val="0"/>
              <w:rPr>
                <w:lang w:val="en-US" w:eastAsia="zh-CN"/>
              </w:rPr>
            </w:pPr>
            <w:r>
              <w:rPr>
                <w:lang w:val="en-US" w:eastAsia="zh-CN"/>
              </w:rPr>
              <w:t>1</w:t>
            </w:r>
            <w:r>
              <w:rPr>
                <w:rFonts w:hint="eastAsia"/>
                <w:lang w:val="en-US" w:eastAsia="zh-CN"/>
              </w:rPr>
              <w:t xml:space="preserve"> </w:t>
            </w:r>
            <w:r>
              <w:rPr>
                <w:lang w:val="en-US" w:eastAsia="zh-CN"/>
              </w:rPr>
              <w:t>产业政策相符性</w:t>
            </w:r>
          </w:p>
          <w:p w14:paraId="443F1D1B">
            <w:pPr>
              <w:bidi w:val="0"/>
              <w:rPr>
                <w:rFonts w:eastAsia="宋体"/>
                <w:bCs/>
                <w:lang w:val="en-US" w:eastAsia="zh-CN" w:bidi="ar-SA"/>
              </w:rPr>
            </w:pPr>
            <w:r>
              <w:rPr>
                <w:rFonts w:eastAsia="宋体"/>
                <w:bCs/>
                <w:lang w:val="en-US" w:eastAsia="zh-CN" w:bidi="ar-SA"/>
              </w:rPr>
              <w:t>根据《产业结构调整指导目录（2024本）》，本项目</w:t>
            </w:r>
            <w:r>
              <w:rPr>
                <w:rFonts w:hint="eastAsia" w:eastAsia="宋体"/>
                <w:bCs/>
                <w:lang w:val="en-US" w:eastAsia="zh-CN" w:bidi="ar-SA"/>
              </w:rPr>
              <w:t>不</w:t>
            </w:r>
            <w:r>
              <w:rPr>
                <w:rFonts w:eastAsia="宋体"/>
                <w:bCs/>
                <w:lang w:val="en-US" w:eastAsia="zh-CN" w:bidi="ar-SA"/>
              </w:rPr>
              <w:t>属于目录</w:t>
            </w:r>
            <w:r>
              <w:rPr>
                <w:rFonts w:hint="eastAsia" w:eastAsia="宋体"/>
                <w:bCs/>
                <w:lang w:val="en-US" w:eastAsia="zh-CN" w:bidi="ar-SA"/>
              </w:rPr>
              <w:t>“</w:t>
            </w:r>
            <w:r>
              <w:rPr>
                <w:rFonts w:eastAsia="宋体"/>
                <w:bCs/>
                <w:lang w:val="en-US" w:eastAsia="zh-CN" w:bidi="ar-SA"/>
              </w:rPr>
              <w:t>鼓励类</w:t>
            </w:r>
            <w:r>
              <w:rPr>
                <w:rFonts w:hint="eastAsia" w:eastAsia="宋体"/>
                <w:bCs/>
                <w:lang w:val="en-US" w:eastAsia="zh-CN" w:bidi="ar-SA"/>
              </w:rPr>
              <w:t>、限制类、禁止类”项目</w:t>
            </w:r>
            <w:r>
              <w:rPr>
                <w:rFonts w:eastAsia="宋体"/>
                <w:bCs/>
                <w:lang w:val="en-US" w:eastAsia="zh-CN" w:bidi="ar-SA"/>
              </w:rPr>
              <w:t>，</w:t>
            </w:r>
            <w:r>
              <w:rPr>
                <w:rFonts w:hint="eastAsia" w:eastAsia="宋体"/>
                <w:bCs/>
                <w:lang w:val="en-US" w:eastAsia="zh-CN" w:bidi="ar-SA"/>
              </w:rPr>
              <w:t>应属“允许类”，</w:t>
            </w:r>
            <w:r>
              <w:rPr>
                <w:rFonts w:eastAsia="宋体"/>
                <w:bCs/>
                <w:lang w:val="en-US" w:eastAsia="zh-CN" w:bidi="ar-SA"/>
              </w:rPr>
              <w:t>项目不涉及《产业结构调整指导目录（2024年本）》</w:t>
            </w:r>
            <w:r>
              <w:rPr>
                <w:rFonts w:eastAsia="宋体"/>
                <w:bCs/>
                <w:lang w:val="en-US" w:eastAsia="zh-CN" w:bidi="ar-SA"/>
              </w:rPr>
              <w:fldChar w:fldCharType="begin"/>
            </w:r>
            <w:r>
              <w:rPr>
                <w:rFonts w:eastAsia="宋体"/>
                <w:bCs/>
                <w:lang w:val="en-US" w:eastAsia="zh-CN" w:bidi="ar-SA"/>
              </w:rPr>
              <w:instrText xml:space="preserve"> HYPERLINK "https://www.ndrc.gov.cn/xxgk/zcfb/fzggwl/202312/t20231229_1362999.html" \o "《产业结构调整指导目录(2024年本)》 2023年第7号令" \t "https://so.ndrc.gov.cn/_blank" </w:instrText>
            </w:r>
            <w:r>
              <w:rPr>
                <w:rFonts w:eastAsia="宋体"/>
                <w:bCs/>
                <w:lang w:val="en-US" w:eastAsia="zh-CN" w:bidi="ar-SA"/>
              </w:rPr>
              <w:fldChar w:fldCharType="separate"/>
            </w:r>
            <w:r>
              <w:rPr>
                <w:rFonts w:eastAsia="宋体"/>
                <w:bCs/>
                <w:lang w:val="en-US" w:eastAsia="zh-CN" w:bidi="ar-SA"/>
              </w:rPr>
              <w:t>中</w:t>
            </w:r>
            <w:r>
              <w:rPr>
                <w:rFonts w:eastAsia="宋体"/>
                <w:bCs/>
                <w:lang w:val="en-US" w:eastAsia="zh-CN" w:bidi="ar-SA"/>
              </w:rPr>
              <w:fldChar w:fldCharType="end"/>
            </w:r>
            <w:r>
              <w:rPr>
                <w:rFonts w:eastAsia="宋体"/>
                <w:bCs/>
                <w:lang w:val="en-US" w:eastAsia="zh-CN" w:bidi="ar-SA"/>
              </w:rPr>
              <w:t>需要淘汰的落后工艺技术、装备及产品，符合国家产业政策的要求，因此，项目符合国家产业政策。</w:t>
            </w:r>
          </w:p>
          <w:p w14:paraId="2DBB75E7">
            <w:pPr>
              <w:pStyle w:val="2"/>
              <w:bidi w:val="0"/>
              <w:rPr>
                <w:lang w:val="en-US" w:eastAsia="zh-CN"/>
              </w:rPr>
            </w:pPr>
            <w:r>
              <w:rPr>
                <w:lang w:val="en-US" w:eastAsia="zh-CN"/>
              </w:rPr>
              <w:t>2</w:t>
            </w:r>
            <w:r>
              <w:rPr>
                <w:rFonts w:hint="eastAsia"/>
                <w:lang w:val="en-US" w:eastAsia="zh-CN"/>
              </w:rPr>
              <w:t xml:space="preserve"> </w:t>
            </w:r>
            <w:r>
              <w:rPr>
                <w:lang w:val="en-US" w:eastAsia="zh-CN"/>
              </w:rPr>
              <w:t>与《新疆维吾尔自治区新建化工项目准入条件》符合性分析</w:t>
            </w:r>
          </w:p>
          <w:p w14:paraId="06CC034D">
            <w:pPr>
              <w:pStyle w:val="4"/>
              <w:bidi w:val="0"/>
              <w:rPr>
                <w:lang w:val="en-US" w:eastAsia="zh-CN"/>
              </w:rPr>
            </w:pPr>
            <w:r>
              <w:rPr>
                <w:lang w:val="en-US" w:eastAsia="zh-CN"/>
              </w:rPr>
              <w:t>表1-</w:t>
            </w:r>
            <w:r>
              <w:rPr>
                <w:rFonts w:hint="eastAsia"/>
                <w:lang w:val="en-US" w:eastAsia="zh-CN"/>
              </w:rPr>
              <w:t>2</w:t>
            </w:r>
            <w:r>
              <w:rPr>
                <w:lang w:val="en-US" w:eastAsia="zh-CN"/>
              </w:rPr>
              <w:t xml:space="preserve">  与《新疆维吾尔自治区新建化工项目准入条件》符合性分析</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368"/>
              <w:gridCol w:w="2601"/>
              <w:gridCol w:w="709"/>
            </w:tblGrid>
            <w:tr w14:paraId="19B9F4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4" w:hRule="atLeast"/>
                <w:tblHeader/>
                <w:jc w:val="center"/>
              </w:trPr>
              <w:tc>
                <w:tcPr>
                  <w:tcW w:w="4368" w:type="dxa"/>
                  <w:noWrap w:val="0"/>
                  <w:vAlign w:val="center"/>
                </w:tcPr>
                <w:p w14:paraId="0B04F365">
                  <w:pPr>
                    <w:pStyle w:val="5"/>
                    <w:bidi w:val="0"/>
                    <w:rPr>
                      <w:lang w:val="en-US" w:eastAsia="zh-CN"/>
                    </w:rPr>
                  </w:pPr>
                  <w:r>
                    <w:rPr>
                      <w:lang w:val="en-US" w:eastAsia="zh-CN"/>
                    </w:rPr>
                    <w:t>相关要求</w:t>
                  </w:r>
                </w:p>
              </w:tc>
              <w:tc>
                <w:tcPr>
                  <w:tcW w:w="2601" w:type="dxa"/>
                  <w:noWrap w:val="0"/>
                  <w:vAlign w:val="center"/>
                </w:tcPr>
                <w:p w14:paraId="666D20DA">
                  <w:pPr>
                    <w:pStyle w:val="5"/>
                    <w:bidi w:val="0"/>
                    <w:rPr>
                      <w:lang w:val="en-US" w:eastAsia="zh-CN"/>
                    </w:rPr>
                  </w:pPr>
                  <w:r>
                    <w:rPr>
                      <w:lang w:val="en-US" w:eastAsia="zh-CN"/>
                    </w:rPr>
                    <w:t>本项目情况</w:t>
                  </w:r>
                </w:p>
              </w:tc>
              <w:tc>
                <w:tcPr>
                  <w:tcW w:w="709" w:type="dxa"/>
                  <w:noWrap w:val="0"/>
                  <w:vAlign w:val="center"/>
                </w:tcPr>
                <w:p w14:paraId="2AC304C5">
                  <w:pPr>
                    <w:pStyle w:val="5"/>
                    <w:bidi w:val="0"/>
                    <w:rPr>
                      <w:lang w:val="en-US" w:eastAsia="zh-CN"/>
                    </w:rPr>
                  </w:pPr>
                  <w:r>
                    <w:rPr>
                      <w:lang w:val="en-US" w:eastAsia="zh-CN"/>
                    </w:rPr>
                    <w:t>符合性</w:t>
                  </w:r>
                </w:p>
              </w:tc>
            </w:tr>
            <w:tr w14:paraId="43C370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4368" w:type="dxa"/>
                  <w:noWrap w:val="0"/>
                  <w:vAlign w:val="center"/>
                </w:tcPr>
                <w:p w14:paraId="2344E2C2">
                  <w:pPr>
                    <w:pStyle w:val="5"/>
                    <w:bidi w:val="0"/>
                    <w:rPr>
                      <w:lang w:val="en-US" w:eastAsia="zh-CN"/>
                    </w:rPr>
                  </w:pPr>
                  <w:r>
                    <w:rPr>
                      <w:rFonts w:hint="eastAsia"/>
                      <w:lang w:val="en-US" w:eastAsia="zh-CN"/>
                    </w:rPr>
                    <w:t>一、</w:t>
                  </w:r>
                  <w:r>
                    <w:rPr>
                      <w:lang w:val="en-US" w:eastAsia="zh-CN"/>
                    </w:rPr>
                    <w:t>严格项目源头准入</w:t>
                  </w:r>
                </w:p>
                <w:p w14:paraId="68103278">
                  <w:pPr>
                    <w:pStyle w:val="5"/>
                    <w:bidi w:val="0"/>
                    <w:rPr>
                      <w:lang w:val="en-US" w:eastAsia="zh-CN"/>
                    </w:rPr>
                  </w:pPr>
                  <w:r>
                    <w:rPr>
                      <w:lang w:val="en-US" w:eastAsia="zh-CN"/>
                    </w:rPr>
                    <w:t>（一）严格政策规划约束。严禁新建国家《产业结构调整指导目录》、自治区《禁止、控制和限制危险化学品目录》中淘汰类、禁止类危险化学品化工项目。按照国家《产业结构调整指导目录》中限制类产业及自治区《禁止、控制和限制危险化学品目录》控制和限制类危险化学品要求，严格控制过剩行业新增产能，确有必要建设的项目实行等量或减量置换，严格控制涉及有毒气体和爆炸危险性化学品的建设项目。坚决遏制“两高”项目盲目发展，石化、现代煤化工项目应纳入国家产业规划。</w:t>
                  </w:r>
                </w:p>
                <w:p w14:paraId="201CD986">
                  <w:pPr>
                    <w:pStyle w:val="5"/>
                    <w:bidi w:val="0"/>
                    <w:rPr>
                      <w:lang w:val="en-US" w:eastAsia="zh-CN"/>
                    </w:rPr>
                  </w:pPr>
                  <w:r>
                    <w:rPr>
                      <w:lang w:val="en-US" w:eastAsia="zh-CN"/>
                    </w:rPr>
                    <w:t>（二）严格项目核准备案。各级核准、备案机关要按照国务院《政府核准的投资项目目录（2016年本）》、国家发改委商务部《市场准入负面清单（2020年版》《新疆维吾尔自治区政府核准的投资项目目录（2017年本）》等</w:t>
                  </w:r>
                  <w:r>
                    <w:rPr>
                      <w:rFonts w:hint="eastAsia"/>
                      <w:lang w:val="en-US" w:eastAsia="zh-CN"/>
                    </w:rPr>
                    <w:t>有关规定</w:t>
                  </w:r>
                  <w:r>
                    <w:rPr>
                      <w:lang w:val="en-US" w:eastAsia="zh-CN"/>
                    </w:rPr>
                    <w:t>做好化工项目核准备案工作。涉及“两重点一重大”（重点监管的危险化工工艺、重点监管的危险化学品和危险化学品重大危险源）的危险化学品建设项目按国家有关规定，明确由自治区政府投资主管部门核准的，由自治区政府投资主管部门牵头，在委托评估的基础上，征求同级工业和信息化、应急管理、生态环境、自然资源等相关部门意见后，依法依规核准；应属地备案的，属地备案部门应依法依规征求同级相关部门意见后，依法依规备案。</w:t>
                  </w:r>
                </w:p>
                <w:p w14:paraId="4A31B959">
                  <w:pPr>
                    <w:pStyle w:val="5"/>
                    <w:bidi w:val="0"/>
                    <w:rPr>
                      <w:lang w:val="en-US" w:eastAsia="zh-CN"/>
                    </w:rPr>
                  </w:pPr>
                  <w:r>
                    <w:rPr>
                      <w:lang w:val="en-US" w:eastAsia="zh-CN"/>
                    </w:rPr>
                    <w:t>（三）严格项目投资准入。新建化工项目应当符合当地化工园区投资准入门槛。其中，涉及危险化学品生产项目（危险化学品详见最新版《危险化学品目录》），按照《建设项目安全设施“三同时”监督管理暂行办法》《建设项目环境保护管理条例》，增加安全、环保方面的投入，提高投资准入要求；列入国家《产业结构调整指导目录》和《鼓励外商投资产业指导目录》鼓励类以及搬迁入园项目，可适当放宽投资准入门槛，具体标准由各地（州、市）自行制定向社会公布。</w:t>
                  </w:r>
                </w:p>
              </w:tc>
              <w:tc>
                <w:tcPr>
                  <w:tcW w:w="2601" w:type="dxa"/>
                  <w:noWrap w:val="0"/>
                  <w:vAlign w:val="center"/>
                </w:tcPr>
                <w:p w14:paraId="65E2433C">
                  <w:pPr>
                    <w:pStyle w:val="5"/>
                    <w:bidi w:val="0"/>
                    <w:rPr>
                      <w:lang w:val="en-US" w:eastAsia="zh-CN"/>
                    </w:rPr>
                  </w:pPr>
                  <w:r>
                    <w:rPr>
                      <w:lang w:val="en-US" w:eastAsia="zh-CN"/>
                    </w:rPr>
                    <w:t>根据《产业结构调整指导目录（2024年版）》，本项目属于允许类。项目原料、产品及中间产品均不属于自治区《禁止、控制和限制危险化学品目录》中淘汰类、禁止类危险化学品，且未纳入《中国严格限制的有毒化学品名录》（2020年）。</w:t>
                  </w:r>
                </w:p>
                <w:p w14:paraId="3F2F1C95">
                  <w:pPr>
                    <w:pStyle w:val="5"/>
                    <w:keepNext/>
                    <w:keepLines/>
                    <w:pageBreakBefore w:val="0"/>
                    <w:widowControl/>
                    <w:kinsoku/>
                    <w:wordWrap w:val="0"/>
                    <w:overflowPunct/>
                    <w:topLinePunct w:val="0"/>
                    <w:autoSpaceDE/>
                    <w:autoSpaceDN/>
                    <w:bidi w:val="0"/>
                    <w:adjustRightInd/>
                    <w:snapToGrid/>
                    <w:textAlignment w:val="auto"/>
                    <w:rPr>
                      <w:lang w:val="en-US" w:eastAsia="zh-CN"/>
                    </w:rPr>
                  </w:pPr>
                  <w:r>
                    <w:rPr>
                      <w:lang w:val="en-US" w:eastAsia="zh-CN"/>
                    </w:rPr>
                    <w:t>本项目不属于自治区政府投资主管部门核准的项目。属于属地备案项目，已取得轮台县发展和改革委员会出具的备案文件（备案号：2608180955652822000282），项目代码：2608-652822-04-03-910854。</w:t>
                  </w:r>
                </w:p>
                <w:p w14:paraId="4CB059A8">
                  <w:pPr>
                    <w:pStyle w:val="5"/>
                    <w:bidi w:val="0"/>
                    <w:rPr>
                      <w:lang w:val="en-US" w:eastAsia="zh-CN"/>
                    </w:rPr>
                  </w:pPr>
                  <w:r>
                    <w:rPr>
                      <w:lang w:val="en-US" w:eastAsia="zh-CN"/>
                    </w:rPr>
                    <w:t>本项目按照《建设项目安全设施“三同时”监督管理暂行办法》《建设项目环境保护管理条例》建设。</w:t>
                  </w:r>
                </w:p>
                <w:p w14:paraId="6BF32C6C">
                  <w:pPr>
                    <w:pStyle w:val="5"/>
                    <w:bidi w:val="0"/>
                    <w:rPr>
                      <w:lang w:val="en-US" w:eastAsia="zh-CN"/>
                    </w:rPr>
                  </w:pPr>
                  <w:r>
                    <w:rPr>
                      <w:lang w:val="en-US" w:eastAsia="zh-CN"/>
                    </w:rPr>
                    <w:t>本项目符合《轮台工业园区国土空间专项规划</w:t>
                  </w:r>
                  <w:r>
                    <w:rPr>
                      <w:rFonts w:hint="eastAsia"/>
                      <w:lang w:val="en-US" w:eastAsia="zh-CN"/>
                    </w:rPr>
                    <w:t>（</w:t>
                  </w:r>
                  <w:r>
                    <w:rPr>
                      <w:lang w:val="en-US" w:eastAsia="zh-CN"/>
                    </w:rPr>
                    <w:t>2024-2035年）环境影响报告书》及《关于&lt;轮台工业园区国土空间专项(2024-2035年)环境影响报告书&gt;的审查意见》（新环审〔2025〕135号）中相关要求。</w:t>
                  </w:r>
                </w:p>
              </w:tc>
              <w:tc>
                <w:tcPr>
                  <w:tcW w:w="709" w:type="dxa"/>
                  <w:noWrap w:val="0"/>
                  <w:vAlign w:val="center"/>
                </w:tcPr>
                <w:p w14:paraId="33919B42">
                  <w:pPr>
                    <w:pStyle w:val="5"/>
                    <w:bidi w:val="0"/>
                    <w:rPr>
                      <w:lang w:val="en-US" w:eastAsia="zh-CN"/>
                    </w:rPr>
                  </w:pPr>
                  <w:r>
                    <w:rPr>
                      <w:lang w:val="en-US" w:eastAsia="zh-CN"/>
                    </w:rPr>
                    <w:t>符合</w:t>
                  </w:r>
                </w:p>
              </w:tc>
            </w:tr>
            <w:tr w14:paraId="21DA1A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 w:hRule="atLeast"/>
                <w:jc w:val="center"/>
              </w:trPr>
              <w:tc>
                <w:tcPr>
                  <w:tcW w:w="4368" w:type="dxa"/>
                  <w:noWrap w:val="0"/>
                  <w:vAlign w:val="center"/>
                </w:tcPr>
                <w:p w14:paraId="3A5E681F">
                  <w:pPr>
                    <w:pStyle w:val="5"/>
                    <w:bidi w:val="0"/>
                    <w:rPr>
                      <w:lang w:val="en-US" w:eastAsia="zh-CN"/>
                    </w:rPr>
                  </w:pPr>
                  <w:r>
                    <w:rPr>
                      <w:rFonts w:hint="eastAsia"/>
                      <w:lang w:val="en-US" w:eastAsia="zh-CN"/>
                    </w:rPr>
                    <w:t>二、</w:t>
                  </w:r>
                  <w:r>
                    <w:rPr>
                      <w:lang w:val="en-US" w:eastAsia="zh-CN"/>
                    </w:rPr>
                    <w:t>严格规划空间布局准入</w:t>
                  </w:r>
                </w:p>
                <w:p w14:paraId="16B7DB09">
                  <w:pPr>
                    <w:pStyle w:val="5"/>
                    <w:bidi w:val="0"/>
                    <w:rPr>
                      <w:lang w:val="en-US" w:eastAsia="zh-CN"/>
                    </w:rPr>
                  </w:pPr>
                  <w:r>
                    <w:rPr>
                      <w:lang w:val="en-US" w:eastAsia="zh-CN"/>
                    </w:rPr>
                    <w:t>（一）严守规划分区管控。严格执行生态保护红线、永久基本农田管控要求，禁止新（改扩）建化工项目违规占用生态保护红线和永久基本农田。已经建设化工项目涉及违规占用生态保护红线和永久基本农田的，按照有关规定，限期退出。</w:t>
                  </w:r>
                </w:p>
                <w:p w14:paraId="4E5323F1">
                  <w:pPr>
                    <w:pStyle w:val="5"/>
                    <w:bidi w:val="0"/>
                    <w:rPr>
                      <w:lang w:val="en-US" w:eastAsia="zh-CN"/>
                    </w:rPr>
                  </w:pPr>
                  <w:r>
                    <w:rPr>
                      <w:lang w:val="en-US" w:eastAsia="zh-CN"/>
                    </w:rPr>
                    <w:t>（二）严格岸线管理。在塔里木河、伊犁河、额尔齐斯河干流及主要支流岸线1公里范围内，除提升安全、环保、节能、智能化、产品质量水平的技术改造项目外，严格禁止新建、扩建化工项目，不得布局新的化工园区（含化工集中区，下同）；已批未开工项目，停止建设，按要求重新选址；已经开工建设的，严格进行检查评估，不符合岸线规划和环保、安全要求的，全部依法依规停建搬迁。</w:t>
                  </w:r>
                </w:p>
                <w:p w14:paraId="77BD2619">
                  <w:pPr>
                    <w:pStyle w:val="5"/>
                    <w:bidi w:val="0"/>
                    <w:rPr>
                      <w:lang w:val="en-US" w:eastAsia="zh-CN"/>
                    </w:rPr>
                  </w:pPr>
                  <w:r>
                    <w:rPr>
                      <w:lang w:val="en-US" w:eastAsia="zh-CN"/>
                    </w:rPr>
                    <w:t>（三）推进退城入园。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城市建成区、重点流域内已建成投产化工企业和危险化学品生产企业应加快退城入园，搬入化工园区前企业不应实施改扩建工程扩大生产规模。</w:t>
                  </w:r>
                </w:p>
              </w:tc>
              <w:tc>
                <w:tcPr>
                  <w:tcW w:w="2601" w:type="dxa"/>
                  <w:noWrap w:val="0"/>
                  <w:vAlign w:val="center"/>
                </w:tcPr>
                <w:p w14:paraId="0349FCF3">
                  <w:pPr>
                    <w:pStyle w:val="5"/>
                    <w:bidi w:val="0"/>
                    <w:rPr>
                      <w:lang w:val="en-US" w:eastAsia="zh-CN"/>
                    </w:rPr>
                  </w:pPr>
                  <w:r>
                    <w:rPr>
                      <w:lang w:val="en-US" w:eastAsia="zh-CN"/>
                    </w:rPr>
                    <w:t>（1）项目位于轮台工业园区，位于城镇开发边界内，不涉及生态保护红线和永久基本农田。</w:t>
                  </w:r>
                </w:p>
                <w:p w14:paraId="37013163">
                  <w:pPr>
                    <w:pStyle w:val="5"/>
                    <w:bidi w:val="0"/>
                    <w:rPr>
                      <w:lang w:val="en-US" w:eastAsia="zh-CN"/>
                    </w:rPr>
                  </w:pPr>
                  <w:r>
                    <w:rPr>
                      <w:lang w:val="en-US" w:eastAsia="zh-CN"/>
                    </w:rPr>
                    <w:t>（2）项目不涉及岸线。</w:t>
                  </w:r>
                </w:p>
                <w:p w14:paraId="7D51C9C6">
                  <w:pPr>
                    <w:pStyle w:val="5"/>
                    <w:bidi w:val="0"/>
                    <w:rPr>
                      <w:lang w:val="en-US" w:eastAsia="zh-CN"/>
                    </w:rPr>
                  </w:pPr>
                  <w:r>
                    <w:rPr>
                      <w:lang w:val="en-US" w:eastAsia="zh-CN"/>
                    </w:rPr>
                    <w:t>（3）项目园区属于自治区级工业园区化工产业集中区。</w:t>
                  </w:r>
                </w:p>
              </w:tc>
              <w:tc>
                <w:tcPr>
                  <w:tcW w:w="709" w:type="dxa"/>
                  <w:noWrap w:val="0"/>
                  <w:vAlign w:val="center"/>
                </w:tcPr>
                <w:p w14:paraId="5F0444A8">
                  <w:pPr>
                    <w:pStyle w:val="5"/>
                    <w:bidi w:val="0"/>
                    <w:rPr>
                      <w:lang w:val="en-US" w:eastAsia="zh-CN"/>
                    </w:rPr>
                  </w:pPr>
                  <w:r>
                    <w:rPr>
                      <w:lang w:val="en-US" w:eastAsia="zh-CN"/>
                    </w:rPr>
                    <w:t>符合</w:t>
                  </w:r>
                </w:p>
              </w:tc>
            </w:tr>
            <w:tr w14:paraId="569C30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4368" w:type="dxa"/>
                  <w:noWrap w:val="0"/>
                  <w:vAlign w:val="center"/>
                </w:tcPr>
                <w:p w14:paraId="61A66AE3">
                  <w:pPr>
                    <w:pStyle w:val="5"/>
                    <w:bidi w:val="0"/>
                    <w:rPr>
                      <w:lang w:val="en-US" w:eastAsia="zh-CN"/>
                    </w:rPr>
                  </w:pPr>
                  <w:r>
                    <w:rPr>
                      <w:rFonts w:hint="eastAsia"/>
                      <w:lang w:val="en-US" w:eastAsia="zh-CN"/>
                    </w:rPr>
                    <w:t>三、</w:t>
                  </w:r>
                  <w:r>
                    <w:rPr>
                      <w:lang w:val="en-US" w:eastAsia="zh-CN"/>
                    </w:rPr>
                    <w:t>严格安全环保准入</w:t>
                  </w:r>
                </w:p>
                <w:p w14:paraId="73D7E797">
                  <w:pPr>
                    <w:pStyle w:val="5"/>
                    <w:bidi w:val="0"/>
                    <w:rPr>
                      <w:lang w:val="en-US" w:eastAsia="zh-CN"/>
                    </w:rPr>
                  </w:pPr>
                  <w:r>
                    <w:rPr>
                      <w:lang w:val="en-US" w:eastAsia="zh-CN"/>
                    </w:rPr>
                    <w:t>（一）严格安全标准准入。新（改、扩）建危险化学品项目，严格按照《危险化学品建设项目安全监督管理办法》要求，履行建设项目安全审查，严禁未批先建。严格执行《淘汰落后危险化学品安全生产工艺技术设备目录（第一批）》（2020）。新（改、扩）建精细化工项目，按照《精细化工反应安全风险评估导则（试行》（2017）规定开展反应安全风险评估，禁止反应工艺危险度5级的项目，严格限制反应工艺危险度4级的项目。化工园区应当根据风险大小、企业数量、生产工艺要求等，优化园区内企业布局，建立健全与之配套的安全监管、隐患排查、风险评估、应急救援等机制，有效控制和降低整体安全风险。</w:t>
                  </w:r>
                </w:p>
                <w:p w14:paraId="67C42D1D">
                  <w:pPr>
                    <w:pStyle w:val="5"/>
                    <w:bidi w:val="0"/>
                    <w:rPr>
                      <w:lang w:val="en-US" w:eastAsia="zh-CN"/>
                    </w:rPr>
                  </w:pPr>
                  <w:r>
                    <w:rPr>
                      <w:lang w:val="en-US" w:eastAsia="zh-CN"/>
                    </w:rPr>
                    <w:t>（二）严格生态环境准入。新（改、扩）建化工项目应符合“三线一单”（生态保护红线、环境质量底线、资源利用上线和生态环境准入清单）生态环境分区管控要求，并符合园区产业定位、园区规划及规划环评要求，按照有关规定设置合理的环境防护距离，环境保护距离内不得有居民区、学校、医院等环境敏感目标，避免邻避效应。新（改、扩）建化工项目应按照国家及自治区相关排放标准，采取有效措施从严控制特征污染物的逸散与排放，无组织排放应达到相应标准，严禁生产废水直接外排，产生的生化污泥或盐泥等固体废物要按照国家及自治区相关标准收集、贮存、运输、利用和处置，蒸发塘、晾晒池、氧化塘、暂存池等要严格按照相关标准进行建设。新（改、扩）建化工项目满足重点污染物排放总量控制、相应行业建设项目环境准入条件、环评文件审批原则要求，依据区域环境质量改善目标，制定配套污染物削减方案，采取有效的污染物削减措施，腾出足够的环境容量。</w:t>
                  </w:r>
                </w:p>
              </w:tc>
              <w:tc>
                <w:tcPr>
                  <w:tcW w:w="2601" w:type="dxa"/>
                  <w:noWrap w:val="0"/>
                  <w:vAlign w:val="center"/>
                </w:tcPr>
                <w:p w14:paraId="09EB294A">
                  <w:pPr>
                    <w:pStyle w:val="5"/>
                    <w:bidi w:val="0"/>
                    <w:rPr>
                      <w:lang w:val="en-US" w:eastAsia="zh-CN"/>
                    </w:rPr>
                  </w:pPr>
                  <w:r>
                    <w:rPr>
                      <w:lang w:val="en-US" w:eastAsia="zh-CN"/>
                    </w:rPr>
                    <w:t>（1）项目为</w:t>
                  </w:r>
                  <w:r>
                    <w:rPr>
                      <w:rFonts w:hint="eastAsia"/>
                      <w:lang w:val="en-US" w:eastAsia="zh-CN"/>
                    </w:rPr>
                    <w:t>改</w:t>
                  </w:r>
                  <w:r>
                    <w:rPr>
                      <w:lang w:val="en-US" w:eastAsia="zh-CN"/>
                    </w:rPr>
                    <w:t>扩建项目，不使用列入《淘汰落后危险化学品安全生产工艺技术设备目录（第一批）》（2020）的工艺设备，项目无反应过程，不属于精细化工项目，不涉及危险工艺。</w:t>
                  </w:r>
                </w:p>
                <w:p w14:paraId="505B504F">
                  <w:pPr>
                    <w:pStyle w:val="5"/>
                    <w:bidi w:val="0"/>
                    <w:rPr>
                      <w:lang w:val="en-US" w:eastAsia="zh-CN"/>
                    </w:rPr>
                  </w:pPr>
                  <w:r>
                    <w:rPr>
                      <w:lang w:val="en-US" w:eastAsia="zh-CN"/>
                    </w:rPr>
                    <w:t>（</w:t>
                  </w:r>
                  <w:r>
                    <w:rPr>
                      <w:rFonts w:hint="eastAsia"/>
                      <w:lang w:val="en-US" w:eastAsia="zh-CN"/>
                    </w:rPr>
                    <w:t>2</w:t>
                  </w:r>
                  <w:r>
                    <w:rPr>
                      <w:lang w:val="en-US" w:eastAsia="zh-CN"/>
                    </w:rPr>
                    <w:t>）项目符合《新疆维吾尔自治区生态环境分区管控动态更新成果》（新环环评发〔2024〕157号）及《关于印发巴音郭楞蒙古自治州“三线一单”生态环境分区管控动态更新成果（2023年）的通知》相关要求；符合园区产业定位、规划环评要求；项目按现行技术导则设置合理卫生防护距离，防护距离范围内无居民区、学校、医院等环境敏感目标，可有效避免邻避效应；项目采取有效措施从严控制污染物排放；项目废气均采取有效措施控制，项目能耗较低。</w:t>
                  </w:r>
                </w:p>
              </w:tc>
              <w:tc>
                <w:tcPr>
                  <w:tcW w:w="709" w:type="dxa"/>
                  <w:noWrap w:val="0"/>
                  <w:vAlign w:val="center"/>
                </w:tcPr>
                <w:p w14:paraId="374344B9">
                  <w:pPr>
                    <w:pStyle w:val="5"/>
                    <w:bidi w:val="0"/>
                    <w:rPr>
                      <w:lang w:val="en-US" w:eastAsia="zh-CN"/>
                    </w:rPr>
                  </w:pPr>
                  <w:r>
                    <w:rPr>
                      <w:lang w:val="en-US" w:eastAsia="zh-CN"/>
                    </w:rPr>
                    <w:t>符合</w:t>
                  </w:r>
                </w:p>
              </w:tc>
            </w:tr>
            <w:tr w14:paraId="58825D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4368" w:type="dxa"/>
                  <w:noWrap w:val="0"/>
                  <w:vAlign w:val="center"/>
                </w:tcPr>
                <w:p w14:paraId="475B2B1B">
                  <w:pPr>
                    <w:pStyle w:val="5"/>
                    <w:bidi w:val="0"/>
                    <w:rPr>
                      <w:lang w:val="en-US" w:eastAsia="zh-CN"/>
                    </w:rPr>
                  </w:pPr>
                  <w:r>
                    <w:rPr>
                      <w:rFonts w:hint="eastAsia"/>
                      <w:lang w:val="en-US" w:eastAsia="zh-CN"/>
                    </w:rPr>
                    <w:t>四、</w:t>
                  </w:r>
                  <w:r>
                    <w:rPr>
                      <w:lang w:val="en-US" w:eastAsia="zh-CN"/>
                    </w:rPr>
                    <w:t>严格项目事中事后监管</w:t>
                  </w:r>
                </w:p>
                <w:p w14:paraId="2290B64E">
                  <w:pPr>
                    <w:pStyle w:val="5"/>
                    <w:bidi w:val="0"/>
                    <w:rPr>
                      <w:lang w:val="en-US" w:eastAsia="zh-CN"/>
                    </w:rPr>
                  </w:pPr>
                  <w:r>
                    <w:rPr>
                      <w:lang w:val="en-US" w:eastAsia="zh-CN"/>
                    </w:rPr>
                    <w:t>（一）新建化工项目应严格遵守《企业投资项目核准和备案管理条例》《企业投资项目事中事后监管办法》等相关法律法规和规定，建设单位按照有关要求，做好环境影响评价、安全评价、职业健康评价、节能评价、水土保持评价等，确保投资项目中的安全、环保、职业病防护、节能、水土保持等设施与主体工程同时设计、同时施工、同时投产使用。</w:t>
                  </w:r>
                </w:p>
                <w:p w14:paraId="396A3D46">
                  <w:pPr>
                    <w:pStyle w:val="5"/>
                    <w:bidi w:val="0"/>
                    <w:rPr>
                      <w:lang w:val="en-US" w:eastAsia="zh-CN"/>
                    </w:rPr>
                  </w:pPr>
                  <w:r>
                    <w:rPr>
                      <w:lang w:val="en-US" w:eastAsia="zh-CN"/>
                    </w:rPr>
                    <w:t>（二）各级负有监管职责的部门按照职责分工，对新建化工项目要强化监管、严格把关，对违规建设的化工项目，应当依法责令停止建设或者责令停产。</w:t>
                  </w:r>
                </w:p>
              </w:tc>
              <w:tc>
                <w:tcPr>
                  <w:tcW w:w="2601" w:type="dxa"/>
                  <w:noWrap w:val="0"/>
                  <w:vAlign w:val="center"/>
                </w:tcPr>
                <w:p w14:paraId="25AAC492">
                  <w:pPr>
                    <w:pStyle w:val="5"/>
                    <w:bidi w:val="0"/>
                    <w:rPr>
                      <w:lang w:val="en-US" w:eastAsia="zh-CN"/>
                    </w:rPr>
                  </w:pPr>
                  <w:r>
                    <w:rPr>
                      <w:lang w:val="en-US" w:eastAsia="zh-CN"/>
                    </w:rPr>
                    <w:t>项目遵守相关条例规定要求，同步开展环境影响评价工作，严格落实环保“三同时”制度。</w:t>
                  </w:r>
                </w:p>
              </w:tc>
              <w:tc>
                <w:tcPr>
                  <w:tcW w:w="709" w:type="dxa"/>
                  <w:noWrap w:val="0"/>
                  <w:vAlign w:val="center"/>
                </w:tcPr>
                <w:p w14:paraId="0EC956B6">
                  <w:pPr>
                    <w:pStyle w:val="5"/>
                    <w:bidi w:val="0"/>
                    <w:rPr>
                      <w:lang w:val="en-US" w:eastAsia="zh-CN"/>
                    </w:rPr>
                  </w:pPr>
                  <w:r>
                    <w:rPr>
                      <w:lang w:val="en-US" w:eastAsia="zh-CN"/>
                    </w:rPr>
                    <w:t>符合</w:t>
                  </w:r>
                </w:p>
              </w:tc>
            </w:tr>
          </w:tbl>
          <w:p w14:paraId="2CE3A75E">
            <w:pPr>
              <w:pStyle w:val="2"/>
              <w:bidi w:val="0"/>
              <w:rPr>
                <w:lang w:val="en-US" w:eastAsia="zh-CN"/>
              </w:rPr>
            </w:pPr>
            <w:r>
              <w:rPr>
                <w:lang w:val="en-US" w:eastAsia="zh-CN"/>
              </w:rPr>
              <w:t>3</w:t>
            </w:r>
            <w:r>
              <w:rPr>
                <w:rFonts w:hint="eastAsia"/>
                <w:lang w:val="en-US" w:eastAsia="zh-CN"/>
              </w:rPr>
              <w:t xml:space="preserve"> </w:t>
            </w:r>
            <w:r>
              <w:rPr>
                <w:lang w:val="en-US" w:eastAsia="zh-CN"/>
              </w:rPr>
              <w:t>与《新疆维吾尔自治区重点行业生态环境准入条件（2024年）》的符合性分析</w:t>
            </w:r>
          </w:p>
          <w:p w14:paraId="2B247E81">
            <w:pPr>
              <w:widowControl w:val="0"/>
              <w:spacing w:line="360" w:lineRule="auto"/>
              <w:ind w:firstLine="480" w:firstLineChars="200"/>
              <w:jc w:val="both"/>
              <w:rPr>
                <w:rFonts w:eastAsia="宋体"/>
                <w:kern w:val="2"/>
                <w:lang w:val="en-US" w:eastAsia="zh-CN" w:bidi="ar-SA"/>
              </w:rPr>
            </w:pPr>
            <w:r>
              <w:rPr>
                <w:rFonts w:eastAsia="宋体"/>
                <w:kern w:val="2"/>
                <w:lang w:val="en-US" w:eastAsia="zh-CN" w:bidi="ar-SA"/>
              </w:rPr>
              <w:t>本项目与《新疆维吾尔自治区重点行业生态环境准入条件（2024年）》（新环环评发〔2024〕93号）符合性分析，见表1-</w:t>
            </w:r>
            <w:r>
              <w:rPr>
                <w:rFonts w:hint="eastAsia"/>
                <w:kern w:val="2"/>
                <w:lang w:val="en-US" w:eastAsia="zh-CN" w:bidi="ar-SA"/>
              </w:rPr>
              <w:t>3</w:t>
            </w:r>
            <w:r>
              <w:rPr>
                <w:rFonts w:eastAsia="宋体"/>
                <w:kern w:val="2"/>
                <w:lang w:val="en-US" w:eastAsia="zh-CN" w:bidi="ar-SA"/>
              </w:rPr>
              <w:t>。</w:t>
            </w:r>
          </w:p>
          <w:p w14:paraId="01C805E6">
            <w:pPr>
              <w:pStyle w:val="4"/>
              <w:bidi w:val="0"/>
              <w:rPr>
                <w:lang w:val="en-US" w:eastAsia="zh-CN"/>
              </w:rPr>
            </w:pPr>
            <w:r>
              <w:rPr>
                <w:lang w:val="en-US" w:eastAsia="zh-CN"/>
              </w:rPr>
              <w:t>表1-</w:t>
            </w:r>
            <w:r>
              <w:rPr>
                <w:rFonts w:hint="eastAsia"/>
                <w:lang w:val="en-US" w:eastAsia="zh-CN"/>
              </w:rPr>
              <w:t xml:space="preserve">3 </w:t>
            </w:r>
            <w:r>
              <w:rPr>
                <w:lang w:val="en-US" w:eastAsia="zh-CN"/>
              </w:rPr>
              <w:t xml:space="preserve"> 与《新疆维吾尔自治区重点行业生态环境准入条件（2024年）》符合性分析</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6"/>
              <w:gridCol w:w="849"/>
              <w:gridCol w:w="2717"/>
              <w:gridCol w:w="3129"/>
              <w:gridCol w:w="750"/>
            </w:tblGrid>
            <w:tr w14:paraId="0735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56" w:type="pct"/>
                  <w:tcBorders>
                    <w:tl2br w:val="nil"/>
                    <w:tr2bl w:val="nil"/>
                  </w:tcBorders>
                  <w:noWrap w:val="0"/>
                  <w:vAlign w:val="center"/>
                </w:tcPr>
                <w:p w14:paraId="6F270247">
                  <w:pPr>
                    <w:pStyle w:val="5"/>
                    <w:bidi w:val="0"/>
                    <w:rPr>
                      <w:lang w:val="en-US" w:eastAsia="zh-CN"/>
                    </w:rPr>
                  </w:pPr>
                  <w:r>
                    <w:rPr>
                      <w:lang w:val="en-US" w:eastAsia="zh-CN"/>
                    </w:rPr>
                    <w:t>序号</w:t>
                  </w:r>
                </w:p>
              </w:tc>
              <w:tc>
                <w:tcPr>
                  <w:tcW w:w="2226" w:type="pct"/>
                  <w:gridSpan w:val="3"/>
                  <w:tcBorders>
                    <w:tl2br w:val="nil"/>
                    <w:tr2bl w:val="nil"/>
                  </w:tcBorders>
                  <w:noWrap w:val="0"/>
                  <w:vAlign w:val="center"/>
                </w:tcPr>
                <w:p w14:paraId="5567D4C9">
                  <w:pPr>
                    <w:pStyle w:val="5"/>
                    <w:bidi w:val="0"/>
                    <w:rPr>
                      <w:lang w:val="en-US" w:eastAsia="zh-CN"/>
                    </w:rPr>
                  </w:pPr>
                  <w:r>
                    <w:rPr>
                      <w:lang w:val="en-US" w:eastAsia="zh-CN"/>
                    </w:rPr>
                    <w:t>相关要求</w:t>
                  </w:r>
                </w:p>
              </w:tc>
              <w:tc>
                <w:tcPr>
                  <w:tcW w:w="1950" w:type="pct"/>
                  <w:tcBorders>
                    <w:tl2br w:val="nil"/>
                    <w:tr2bl w:val="nil"/>
                  </w:tcBorders>
                  <w:noWrap w:val="0"/>
                  <w:vAlign w:val="center"/>
                </w:tcPr>
                <w:p w14:paraId="31617E57">
                  <w:pPr>
                    <w:pStyle w:val="5"/>
                    <w:bidi w:val="0"/>
                    <w:rPr>
                      <w:lang w:val="en-US" w:eastAsia="zh-CN"/>
                    </w:rPr>
                  </w:pPr>
                  <w:r>
                    <w:rPr>
                      <w:lang w:val="en-US" w:eastAsia="zh-CN"/>
                    </w:rPr>
                    <w:t>本项目情况</w:t>
                  </w:r>
                </w:p>
              </w:tc>
              <w:tc>
                <w:tcPr>
                  <w:tcW w:w="466" w:type="pct"/>
                  <w:tcBorders>
                    <w:tl2br w:val="nil"/>
                    <w:tr2bl w:val="nil"/>
                  </w:tcBorders>
                  <w:noWrap w:val="0"/>
                  <w:vAlign w:val="center"/>
                </w:tcPr>
                <w:p w14:paraId="4680B250">
                  <w:pPr>
                    <w:pStyle w:val="5"/>
                    <w:bidi w:val="0"/>
                    <w:rPr>
                      <w:lang w:val="en-US" w:eastAsia="zh-CN"/>
                    </w:rPr>
                  </w:pPr>
                  <w:r>
                    <w:rPr>
                      <w:lang w:val="en-US" w:eastAsia="zh-CN"/>
                    </w:rPr>
                    <w:t>符合性</w:t>
                  </w:r>
                </w:p>
              </w:tc>
            </w:tr>
            <w:tr w14:paraId="6B8D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2AC857CA">
                  <w:pPr>
                    <w:pStyle w:val="5"/>
                    <w:bidi w:val="0"/>
                    <w:rPr>
                      <w:lang w:val="en-US" w:eastAsia="zh-CN"/>
                    </w:rPr>
                  </w:pPr>
                  <w:r>
                    <w:rPr>
                      <w:lang w:val="en-US" w:eastAsia="zh-CN"/>
                    </w:rPr>
                    <w:t>一</w:t>
                  </w:r>
                </w:p>
              </w:tc>
              <w:tc>
                <w:tcPr>
                  <w:tcW w:w="4643" w:type="pct"/>
                  <w:gridSpan w:val="5"/>
                  <w:tcBorders>
                    <w:tl2br w:val="nil"/>
                    <w:tr2bl w:val="nil"/>
                  </w:tcBorders>
                  <w:noWrap w:val="0"/>
                  <w:vAlign w:val="center"/>
                </w:tcPr>
                <w:p w14:paraId="77D8BC05">
                  <w:pPr>
                    <w:pStyle w:val="5"/>
                    <w:bidi w:val="0"/>
                    <w:rPr>
                      <w:lang w:val="en-US" w:eastAsia="zh-CN"/>
                    </w:rPr>
                  </w:pPr>
                  <w:r>
                    <w:rPr>
                      <w:lang w:val="en-US" w:eastAsia="zh-CN"/>
                    </w:rPr>
                    <w:t>生态环境准入总体要求</w:t>
                  </w:r>
                </w:p>
              </w:tc>
            </w:tr>
            <w:tr w14:paraId="32C5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7DBF8C25">
                  <w:pPr>
                    <w:pStyle w:val="5"/>
                    <w:bidi w:val="0"/>
                    <w:rPr>
                      <w:lang w:val="en-US" w:eastAsia="zh-CN"/>
                    </w:rPr>
                  </w:pPr>
                  <w:r>
                    <w:rPr>
                      <w:lang w:val="en-US" w:eastAsia="zh-CN"/>
                    </w:rPr>
                    <w:t>1</w:t>
                  </w:r>
                </w:p>
              </w:tc>
              <w:tc>
                <w:tcPr>
                  <w:tcW w:w="2226" w:type="pct"/>
                  <w:gridSpan w:val="3"/>
                  <w:tcBorders>
                    <w:tl2br w:val="nil"/>
                    <w:tr2bl w:val="nil"/>
                  </w:tcBorders>
                  <w:noWrap w:val="0"/>
                  <w:vAlign w:val="center"/>
                </w:tcPr>
                <w:p w14:paraId="150ECF58">
                  <w:pPr>
                    <w:pStyle w:val="5"/>
                    <w:bidi w:val="0"/>
                    <w:rPr>
                      <w:lang w:val="en-US" w:eastAsia="zh-CN"/>
                    </w:rPr>
                  </w:pPr>
                  <w:r>
                    <w:rPr>
                      <w:lang w:val="en-US" w:eastAsia="zh-CN"/>
                    </w:rPr>
                    <w:t>建设单位应依法依规组织编制环境影响评价文件，并报具有审批权限的生态环境部门审批。</w:t>
                  </w:r>
                </w:p>
              </w:tc>
              <w:tc>
                <w:tcPr>
                  <w:tcW w:w="1950" w:type="pct"/>
                  <w:tcBorders>
                    <w:tl2br w:val="nil"/>
                    <w:tr2bl w:val="nil"/>
                  </w:tcBorders>
                  <w:noWrap w:val="0"/>
                  <w:vAlign w:val="center"/>
                </w:tcPr>
                <w:p w14:paraId="737C4640">
                  <w:pPr>
                    <w:pStyle w:val="5"/>
                    <w:bidi w:val="0"/>
                    <w:rPr>
                      <w:lang w:val="en-US" w:eastAsia="zh-CN"/>
                    </w:rPr>
                  </w:pPr>
                  <w:r>
                    <w:rPr>
                      <w:lang w:val="en-US" w:eastAsia="zh-CN"/>
                    </w:rPr>
                    <w:t>本项目</w:t>
                  </w:r>
                  <w:r>
                    <w:rPr>
                      <w:rFonts w:hint="eastAsia"/>
                      <w:lang w:val="en-US" w:eastAsia="zh-CN"/>
                    </w:rPr>
                    <w:t>正在</w:t>
                  </w:r>
                  <w:r>
                    <w:rPr>
                      <w:lang w:val="en-US" w:eastAsia="zh-CN"/>
                    </w:rPr>
                    <w:t>开展环境影响评价工作，并报具有审批权限的生态环境部门审批</w:t>
                  </w:r>
                </w:p>
              </w:tc>
              <w:tc>
                <w:tcPr>
                  <w:tcW w:w="466" w:type="pct"/>
                  <w:tcBorders>
                    <w:tl2br w:val="nil"/>
                    <w:tr2bl w:val="nil"/>
                  </w:tcBorders>
                  <w:noWrap w:val="0"/>
                  <w:vAlign w:val="center"/>
                </w:tcPr>
                <w:p w14:paraId="25220E3A">
                  <w:pPr>
                    <w:pStyle w:val="5"/>
                    <w:bidi w:val="0"/>
                    <w:rPr>
                      <w:lang w:val="en-US" w:eastAsia="zh-CN"/>
                    </w:rPr>
                  </w:pPr>
                  <w:r>
                    <w:rPr>
                      <w:lang w:val="en-US" w:eastAsia="zh-CN"/>
                    </w:rPr>
                    <w:t>符合</w:t>
                  </w:r>
                </w:p>
              </w:tc>
            </w:tr>
            <w:tr w14:paraId="1A28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2D02F4DE">
                  <w:pPr>
                    <w:pStyle w:val="5"/>
                    <w:bidi w:val="0"/>
                    <w:rPr>
                      <w:lang w:val="en-US" w:eastAsia="zh-CN"/>
                    </w:rPr>
                  </w:pPr>
                  <w:r>
                    <w:rPr>
                      <w:lang w:val="en-US" w:eastAsia="zh-CN"/>
                    </w:rPr>
                    <w:t>2</w:t>
                  </w:r>
                </w:p>
              </w:tc>
              <w:tc>
                <w:tcPr>
                  <w:tcW w:w="2226" w:type="pct"/>
                  <w:gridSpan w:val="3"/>
                  <w:tcBorders>
                    <w:tl2br w:val="nil"/>
                    <w:tr2bl w:val="nil"/>
                  </w:tcBorders>
                  <w:noWrap w:val="0"/>
                  <w:vAlign w:val="center"/>
                </w:tcPr>
                <w:p w14:paraId="2141522F">
                  <w:pPr>
                    <w:pStyle w:val="5"/>
                    <w:bidi w:val="0"/>
                    <w:rPr>
                      <w:lang w:val="en-US" w:eastAsia="zh-CN"/>
                    </w:rPr>
                  </w:pPr>
                  <w:r>
                    <w:rPr>
                      <w:lang w:val="en-US" w:eastAsia="zh-CN"/>
                    </w:rPr>
                    <w:t>建设项目应符合国家、自治区相关法律法规规章、产业政策要求，采用的工艺、技术和设备应符合《产业结构调整指导目录》《产业转移指导目录》《鼓励外商投资产业目录》《西部地区鼓励类产业目录》等相关要求，不得采用国家和自治区限制、淘汰或禁止使用的工艺、技术和设备。在环评审批中，严格落实国家及自治区有关行业产能替代、压减等措施。</w:t>
                  </w:r>
                </w:p>
              </w:tc>
              <w:tc>
                <w:tcPr>
                  <w:tcW w:w="1950" w:type="pct"/>
                  <w:tcBorders>
                    <w:tl2br w:val="nil"/>
                    <w:tr2bl w:val="nil"/>
                  </w:tcBorders>
                  <w:noWrap w:val="0"/>
                  <w:vAlign w:val="center"/>
                </w:tcPr>
                <w:p w14:paraId="43E2936D">
                  <w:pPr>
                    <w:pStyle w:val="5"/>
                    <w:bidi w:val="0"/>
                    <w:rPr>
                      <w:lang w:val="en-US" w:eastAsia="zh-CN"/>
                    </w:rPr>
                  </w:pPr>
                  <w:r>
                    <w:rPr>
                      <w:lang w:val="en-US" w:eastAsia="zh-CN"/>
                    </w:rPr>
                    <w:t>（1）项目建设符合《产业结构调整指导目录（2024年本）》《产业转移指导目录》《鼓励外商投资产业目录》《西部地区鼓励类产业目录》等相关要求。</w:t>
                  </w:r>
                </w:p>
                <w:p w14:paraId="7D9151B5">
                  <w:pPr>
                    <w:pStyle w:val="5"/>
                    <w:bidi w:val="0"/>
                    <w:rPr>
                      <w:lang w:val="en-US" w:eastAsia="zh-CN"/>
                    </w:rPr>
                  </w:pPr>
                  <w:r>
                    <w:rPr>
                      <w:lang w:val="en-US" w:eastAsia="zh-CN"/>
                    </w:rPr>
                    <w:t>（2）本项目未采用国家和自治区淘汰或禁止使用的工艺、技术和设备，采用的工艺、技术和设备符合相关要求。</w:t>
                  </w:r>
                </w:p>
              </w:tc>
              <w:tc>
                <w:tcPr>
                  <w:tcW w:w="466" w:type="pct"/>
                  <w:tcBorders>
                    <w:tl2br w:val="nil"/>
                    <w:tr2bl w:val="nil"/>
                  </w:tcBorders>
                  <w:noWrap w:val="0"/>
                  <w:vAlign w:val="center"/>
                </w:tcPr>
                <w:p w14:paraId="0E10A26F">
                  <w:pPr>
                    <w:pStyle w:val="5"/>
                    <w:bidi w:val="0"/>
                    <w:rPr>
                      <w:lang w:val="en-US" w:eastAsia="zh-CN"/>
                    </w:rPr>
                  </w:pPr>
                  <w:r>
                    <w:rPr>
                      <w:lang w:val="en-US" w:eastAsia="zh-CN"/>
                    </w:rPr>
                    <w:t>符合</w:t>
                  </w:r>
                </w:p>
              </w:tc>
            </w:tr>
            <w:tr w14:paraId="059A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36E5D8B6">
                  <w:pPr>
                    <w:pStyle w:val="5"/>
                    <w:bidi w:val="0"/>
                    <w:rPr>
                      <w:lang w:val="en-US" w:eastAsia="zh-CN"/>
                    </w:rPr>
                  </w:pPr>
                  <w:r>
                    <w:rPr>
                      <w:lang w:val="en-US" w:eastAsia="zh-CN"/>
                    </w:rPr>
                    <w:t>3</w:t>
                  </w:r>
                </w:p>
              </w:tc>
              <w:tc>
                <w:tcPr>
                  <w:tcW w:w="2226" w:type="pct"/>
                  <w:gridSpan w:val="3"/>
                  <w:tcBorders>
                    <w:tl2br w:val="nil"/>
                    <w:tr2bl w:val="nil"/>
                  </w:tcBorders>
                  <w:noWrap w:val="0"/>
                  <w:vAlign w:val="center"/>
                </w:tcPr>
                <w:p w14:paraId="21F9A986">
                  <w:pPr>
                    <w:pStyle w:val="5"/>
                    <w:bidi w:val="0"/>
                    <w:rPr>
                      <w:lang w:val="en-US" w:eastAsia="zh-CN"/>
                    </w:rPr>
                  </w:pPr>
                  <w:r>
                    <w:rPr>
                      <w:lang w:val="en-US" w:eastAsia="zh-CN"/>
                    </w:rPr>
                    <w:t>一切开发建设活动应符合国家、自治区主体功能区规划、自治区和各地颁布实施的国民经济发展规划、生态功能区划、国土空间规划、产业发展规划等相关规划及生态环境分区管控要求</w:t>
                  </w:r>
                  <w:r>
                    <w:rPr>
                      <w:rFonts w:hint="eastAsia"/>
                      <w:lang w:val="en-US" w:eastAsia="zh-CN"/>
                    </w:rPr>
                    <w:t>，</w:t>
                  </w:r>
                  <w:r>
                    <w:rPr>
                      <w:lang w:val="en-US" w:eastAsia="zh-CN"/>
                    </w:rPr>
                    <w:t>符合区域（流域）或产业规划环评及审查意见要求。</w:t>
                  </w:r>
                </w:p>
              </w:tc>
              <w:tc>
                <w:tcPr>
                  <w:tcW w:w="1950" w:type="pct"/>
                  <w:tcBorders>
                    <w:tl2br w:val="nil"/>
                    <w:tr2bl w:val="nil"/>
                  </w:tcBorders>
                  <w:noWrap w:val="0"/>
                  <w:vAlign w:val="center"/>
                </w:tcPr>
                <w:p w14:paraId="7CF95394">
                  <w:pPr>
                    <w:pStyle w:val="5"/>
                    <w:bidi w:val="0"/>
                    <w:rPr>
                      <w:lang w:val="en-US" w:eastAsia="zh-CN"/>
                    </w:rPr>
                  </w:pPr>
                  <w:r>
                    <w:rPr>
                      <w:lang w:val="en-US" w:eastAsia="zh-CN"/>
                    </w:rPr>
                    <w:t>（1）本项目符合国家、自治区主体功能区规划、国民经济发展规划、产业发展规划、城乡总体规划、土地利用规划等相关规划要求。</w:t>
                  </w:r>
                </w:p>
                <w:p w14:paraId="0268761A">
                  <w:pPr>
                    <w:pStyle w:val="5"/>
                    <w:bidi w:val="0"/>
                    <w:rPr>
                      <w:lang w:val="en-US" w:eastAsia="zh-CN"/>
                    </w:rPr>
                  </w:pPr>
                  <w:r>
                    <w:rPr>
                      <w:lang w:val="en-US" w:eastAsia="zh-CN"/>
                    </w:rPr>
                    <w:t>（2）本项目建设符合《新疆生态环境功能区划》、符合国土空间规划、符合《轮台工业园区国土空间专项规划</w:t>
                  </w:r>
                  <w:r>
                    <w:rPr>
                      <w:rFonts w:hint="eastAsia"/>
                      <w:lang w:val="en-US" w:eastAsia="zh-CN"/>
                    </w:rPr>
                    <w:t>（</w:t>
                  </w:r>
                  <w:r>
                    <w:rPr>
                      <w:lang w:val="en-US" w:eastAsia="zh-CN"/>
                    </w:rPr>
                    <w:t>2024-2035年）环境影响报告书》及《关于&lt;轮台工业园区国土空间专项(2024-2035年)环境影响报告书&gt;的审查意见》（新环审〔2025〕135号）。</w:t>
                  </w:r>
                </w:p>
              </w:tc>
              <w:tc>
                <w:tcPr>
                  <w:tcW w:w="466" w:type="pct"/>
                  <w:tcBorders>
                    <w:tl2br w:val="nil"/>
                    <w:tr2bl w:val="nil"/>
                  </w:tcBorders>
                  <w:noWrap w:val="0"/>
                  <w:vAlign w:val="center"/>
                </w:tcPr>
                <w:p w14:paraId="20711A97">
                  <w:pPr>
                    <w:pStyle w:val="5"/>
                    <w:bidi w:val="0"/>
                    <w:rPr>
                      <w:lang w:val="en-US" w:eastAsia="zh-CN"/>
                    </w:rPr>
                  </w:pPr>
                  <w:r>
                    <w:rPr>
                      <w:lang w:val="en-US" w:eastAsia="zh-CN"/>
                    </w:rPr>
                    <w:t>符合</w:t>
                  </w:r>
                </w:p>
              </w:tc>
            </w:tr>
            <w:tr w14:paraId="6D46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7445521D">
                  <w:pPr>
                    <w:pStyle w:val="5"/>
                    <w:bidi w:val="0"/>
                    <w:rPr>
                      <w:lang w:val="en-US" w:eastAsia="zh-CN"/>
                    </w:rPr>
                  </w:pPr>
                  <w:r>
                    <w:rPr>
                      <w:lang w:val="en-US" w:eastAsia="zh-CN"/>
                    </w:rPr>
                    <w:t>4</w:t>
                  </w:r>
                </w:p>
              </w:tc>
              <w:tc>
                <w:tcPr>
                  <w:tcW w:w="2226" w:type="pct"/>
                  <w:gridSpan w:val="3"/>
                  <w:tcBorders>
                    <w:tl2br w:val="nil"/>
                    <w:tr2bl w:val="nil"/>
                  </w:tcBorders>
                  <w:noWrap w:val="0"/>
                  <w:vAlign w:val="center"/>
                </w:tcPr>
                <w:p w14:paraId="5C39376D">
                  <w:pPr>
                    <w:pStyle w:val="5"/>
                    <w:bidi w:val="0"/>
                    <w:rPr>
                      <w:lang w:val="en-US" w:eastAsia="zh-CN"/>
                    </w:rPr>
                  </w:pPr>
                  <w:r>
                    <w:rPr>
                      <w:lang w:val="en-US" w:eastAsia="zh-CN"/>
                    </w:rPr>
                    <w:t>禁止在自然保护区、世界自然遗产地、风景名胜区、自然公园（森林公园、地质公园、湿地公园、沙漠公园等）、重要湿地、饮用水水源保护区等依法划定禁止开发建设的环境敏感区及其它法律法规规章禁止的区域进行污染环境的任何开发活动。禁止在青藏高原水土流失严重、生态脆弱的区域开展可能造成水土流失的生产建设活动。</w:t>
                  </w:r>
                </w:p>
              </w:tc>
              <w:tc>
                <w:tcPr>
                  <w:tcW w:w="1950" w:type="pct"/>
                  <w:tcBorders>
                    <w:tl2br w:val="nil"/>
                    <w:tr2bl w:val="nil"/>
                  </w:tcBorders>
                  <w:noWrap w:val="0"/>
                  <w:vAlign w:val="center"/>
                </w:tcPr>
                <w:p w14:paraId="48A0AAEA">
                  <w:pPr>
                    <w:pStyle w:val="5"/>
                    <w:bidi w:val="0"/>
                    <w:rPr>
                      <w:lang w:val="en-US" w:eastAsia="zh-CN"/>
                    </w:rPr>
                  </w:pPr>
                  <w:r>
                    <w:rPr>
                      <w:lang w:val="en-US" w:eastAsia="zh-CN"/>
                    </w:rPr>
                    <w:t>本项目选址不涉及环境敏感区。</w:t>
                  </w:r>
                </w:p>
              </w:tc>
              <w:tc>
                <w:tcPr>
                  <w:tcW w:w="466" w:type="pct"/>
                  <w:tcBorders>
                    <w:tl2br w:val="nil"/>
                    <w:tr2bl w:val="nil"/>
                  </w:tcBorders>
                  <w:noWrap w:val="0"/>
                  <w:vAlign w:val="center"/>
                </w:tcPr>
                <w:p w14:paraId="1E7F7AC1">
                  <w:pPr>
                    <w:pStyle w:val="5"/>
                    <w:bidi w:val="0"/>
                    <w:rPr>
                      <w:lang w:val="en-US" w:eastAsia="zh-CN"/>
                    </w:rPr>
                  </w:pPr>
                  <w:r>
                    <w:rPr>
                      <w:lang w:val="en-US" w:eastAsia="zh-CN"/>
                    </w:rPr>
                    <w:t>符合</w:t>
                  </w:r>
                </w:p>
              </w:tc>
            </w:tr>
            <w:tr w14:paraId="3E45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1F1275DC">
                  <w:pPr>
                    <w:pStyle w:val="5"/>
                    <w:bidi w:val="0"/>
                    <w:rPr>
                      <w:lang w:val="en-US" w:eastAsia="zh-CN"/>
                    </w:rPr>
                  </w:pPr>
                  <w:r>
                    <w:rPr>
                      <w:lang w:val="en-US" w:eastAsia="zh-CN"/>
                    </w:rPr>
                    <w:t>5</w:t>
                  </w:r>
                </w:p>
              </w:tc>
              <w:tc>
                <w:tcPr>
                  <w:tcW w:w="2226" w:type="pct"/>
                  <w:gridSpan w:val="3"/>
                  <w:tcBorders>
                    <w:tl2br w:val="nil"/>
                    <w:tr2bl w:val="nil"/>
                  </w:tcBorders>
                  <w:noWrap w:val="0"/>
                  <w:vAlign w:val="center"/>
                </w:tcPr>
                <w:p w14:paraId="5603CDAC">
                  <w:pPr>
                    <w:pStyle w:val="5"/>
                    <w:bidi w:val="0"/>
                    <w:rPr>
                      <w:lang w:val="en-US" w:eastAsia="zh-CN"/>
                    </w:rPr>
                  </w:pPr>
                  <w:r>
                    <w:rPr>
                      <w:lang w:val="en-US" w:eastAsia="zh-CN"/>
                    </w:rPr>
                    <w:t>建设项目用地原则上不得占用基本农田，确需占用的，应符合《中华人民共和国基本农田保护条例》相关要求；占用耕地、林地或草地的建设项目应符合国家、自治区有关规定。</w:t>
                  </w:r>
                </w:p>
              </w:tc>
              <w:tc>
                <w:tcPr>
                  <w:tcW w:w="1950" w:type="pct"/>
                  <w:tcBorders>
                    <w:tl2br w:val="nil"/>
                    <w:tr2bl w:val="nil"/>
                  </w:tcBorders>
                  <w:noWrap w:val="0"/>
                  <w:vAlign w:val="center"/>
                </w:tcPr>
                <w:p w14:paraId="24F4513F">
                  <w:pPr>
                    <w:pStyle w:val="5"/>
                    <w:bidi w:val="0"/>
                    <w:rPr>
                      <w:lang w:val="en-US" w:eastAsia="zh-CN"/>
                    </w:rPr>
                  </w:pPr>
                  <w:r>
                    <w:rPr>
                      <w:lang w:val="en-US" w:eastAsia="zh-CN"/>
                    </w:rPr>
                    <w:t>本项目建设地点位于巴州海祥石油化工有限公司现有厂区内，不占用基本农田。</w:t>
                  </w:r>
                </w:p>
              </w:tc>
              <w:tc>
                <w:tcPr>
                  <w:tcW w:w="466" w:type="pct"/>
                  <w:tcBorders>
                    <w:tl2br w:val="nil"/>
                    <w:tr2bl w:val="nil"/>
                  </w:tcBorders>
                  <w:noWrap w:val="0"/>
                  <w:vAlign w:val="center"/>
                </w:tcPr>
                <w:p w14:paraId="52EFB669">
                  <w:pPr>
                    <w:pStyle w:val="5"/>
                    <w:bidi w:val="0"/>
                    <w:rPr>
                      <w:lang w:val="en-US" w:eastAsia="zh-CN"/>
                    </w:rPr>
                  </w:pPr>
                  <w:r>
                    <w:rPr>
                      <w:lang w:val="en-US" w:eastAsia="zh-CN"/>
                    </w:rPr>
                    <w:t>符合</w:t>
                  </w:r>
                </w:p>
              </w:tc>
            </w:tr>
            <w:tr w14:paraId="2C51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2D72A5DE">
                  <w:pPr>
                    <w:pStyle w:val="5"/>
                    <w:bidi w:val="0"/>
                    <w:rPr>
                      <w:lang w:val="en-US" w:eastAsia="zh-CN"/>
                    </w:rPr>
                  </w:pPr>
                  <w:r>
                    <w:rPr>
                      <w:lang w:val="en-US" w:eastAsia="zh-CN"/>
                    </w:rPr>
                    <w:t>6</w:t>
                  </w:r>
                </w:p>
              </w:tc>
              <w:tc>
                <w:tcPr>
                  <w:tcW w:w="2226" w:type="pct"/>
                  <w:gridSpan w:val="3"/>
                  <w:tcBorders>
                    <w:tl2br w:val="nil"/>
                    <w:tr2bl w:val="nil"/>
                  </w:tcBorders>
                  <w:noWrap w:val="0"/>
                  <w:vAlign w:val="center"/>
                </w:tcPr>
                <w:p w14:paraId="37BBD0B8">
                  <w:pPr>
                    <w:pStyle w:val="5"/>
                    <w:bidi w:val="0"/>
                    <w:rPr>
                      <w:lang w:val="en-US" w:eastAsia="zh-CN"/>
                    </w:rPr>
                  </w:pPr>
                  <w:r>
                    <w:rPr>
                      <w:lang w:val="en-US" w:eastAsia="zh-CN"/>
                    </w:rPr>
                    <w:t>新建、扩建工业项目原则上应布置于依法合规设立、环境保护基础设施完善的产业园区、工业聚集区或规划矿区，并符合相关规划、规划环评及其审查意见要求；法律法规规章和政策另有规定的，从其规定。选址和厂区布置不合理的现有污染企业应根据相关要求，通过“搬迁、转产、停产”等方式限期整改，退城进园。</w:t>
                  </w:r>
                </w:p>
              </w:tc>
              <w:tc>
                <w:tcPr>
                  <w:tcW w:w="1950" w:type="pct"/>
                  <w:tcBorders>
                    <w:tl2br w:val="nil"/>
                    <w:tr2bl w:val="nil"/>
                  </w:tcBorders>
                  <w:noWrap w:val="0"/>
                  <w:vAlign w:val="center"/>
                </w:tcPr>
                <w:p w14:paraId="3E4287D3">
                  <w:pPr>
                    <w:pStyle w:val="5"/>
                    <w:bidi w:val="0"/>
                    <w:rPr>
                      <w:lang w:val="en-US" w:eastAsia="zh-CN"/>
                    </w:rPr>
                  </w:pPr>
                  <w:r>
                    <w:rPr>
                      <w:lang w:val="en-US" w:eastAsia="zh-CN"/>
                    </w:rPr>
                    <w:t>本项目建设地点位于轮台工业园区拉依苏石油化工区巴州海祥石油化工有限公司现有厂区内，轮台工业园区拉依苏石油化工区属于依法合规设立、环境保护基础设施完善的产业园区，项目建设符合园区规划、规划环评及审查意见要求。</w:t>
                  </w:r>
                </w:p>
              </w:tc>
              <w:tc>
                <w:tcPr>
                  <w:tcW w:w="466" w:type="pct"/>
                  <w:tcBorders>
                    <w:tl2br w:val="nil"/>
                    <w:tr2bl w:val="nil"/>
                  </w:tcBorders>
                  <w:noWrap w:val="0"/>
                  <w:vAlign w:val="center"/>
                </w:tcPr>
                <w:p w14:paraId="2938BCC7">
                  <w:pPr>
                    <w:pStyle w:val="5"/>
                    <w:bidi w:val="0"/>
                    <w:rPr>
                      <w:lang w:val="en-US" w:eastAsia="zh-CN"/>
                    </w:rPr>
                  </w:pPr>
                  <w:r>
                    <w:rPr>
                      <w:lang w:val="en-US" w:eastAsia="zh-CN"/>
                    </w:rPr>
                    <w:t>符合</w:t>
                  </w:r>
                </w:p>
              </w:tc>
            </w:tr>
            <w:tr w14:paraId="22A5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0AED363A">
                  <w:pPr>
                    <w:pStyle w:val="5"/>
                    <w:bidi w:val="0"/>
                    <w:rPr>
                      <w:lang w:val="en-US" w:eastAsia="zh-CN"/>
                    </w:rPr>
                  </w:pPr>
                  <w:r>
                    <w:rPr>
                      <w:lang w:val="en-US" w:eastAsia="zh-CN"/>
                    </w:rPr>
                    <w:t>7</w:t>
                  </w:r>
                </w:p>
              </w:tc>
              <w:tc>
                <w:tcPr>
                  <w:tcW w:w="2226" w:type="pct"/>
                  <w:gridSpan w:val="3"/>
                  <w:tcBorders>
                    <w:tl2br w:val="nil"/>
                    <w:tr2bl w:val="nil"/>
                  </w:tcBorders>
                  <w:noWrap w:val="0"/>
                  <w:vAlign w:val="center"/>
                </w:tcPr>
                <w:p w14:paraId="1F18CB72">
                  <w:pPr>
                    <w:pStyle w:val="5"/>
                    <w:bidi w:val="0"/>
                    <w:rPr>
                      <w:lang w:val="en-US" w:eastAsia="zh-CN"/>
                    </w:rPr>
                  </w:pPr>
                  <w:r>
                    <w:rPr>
                      <w:lang w:val="en-US" w:eastAsia="zh-CN"/>
                    </w:rPr>
                    <w:t>按照国家和自治区排污许可规定，按期持证排污、按证排污，不得无证排污。新增主要污染物排放总量的建设项目必须落实主要污染物排放总量指标来源和控制要求。石化、煤化工、燃煤发电（含热电）、钢铁、有色金属冶炼等新增主要污染物排放量的建设项目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区域削减方案应符合建设项目环境影响评价管理要求，同时符合国家和地方主要污染物排放总量控制要求。涉重金属的新建、改扩建项目其重金属污染物遵循“等量替代”或“减量替代”原则。</w:t>
                  </w:r>
                </w:p>
              </w:tc>
              <w:tc>
                <w:tcPr>
                  <w:tcW w:w="1950" w:type="pct"/>
                  <w:tcBorders>
                    <w:tl2br w:val="nil"/>
                    <w:tr2bl w:val="nil"/>
                  </w:tcBorders>
                  <w:noWrap w:val="0"/>
                  <w:vAlign w:val="center"/>
                </w:tcPr>
                <w:p w14:paraId="720BE29F">
                  <w:pPr>
                    <w:pStyle w:val="5"/>
                    <w:bidi w:val="0"/>
                    <w:rPr>
                      <w:lang w:val="en-US" w:eastAsia="zh-CN"/>
                    </w:rPr>
                  </w:pPr>
                  <w:r>
                    <w:rPr>
                      <w:rFonts w:hint="eastAsia"/>
                      <w:lang w:val="en-US" w:eastAsia="zh-CN"/>
                    </w:rPr>
                    <w:t>本企业已取得排污许可证，持证排污。</w:t>
                  </w:r>
                  <w:r>
                    <w:rPr>
                      <w:lang w:val="en-US" w:eastAsia="zh-CN"/>
                    </w:rPr>
                    <w:t>各类污染物排放满足国家及自治区最新污染物排放标准要求，现有工程</w:t>
                  </w:r>
                  <w:r>
                    <w:rPr>
                      <w:rFonts w:hint="eastAsia"/>
                      <w:lang w:val="en-US" w:eastAsia="zh-CN"/>
                    </w:rPr>
                    <w:t>总量许可</w:t>
                  </w:r>
                  <w:r>
                    <w:rPr>
                      <w:lang w:val="en-US" w:eastAsia="zh-CN"/>
                    </w:rPr>
                    <w:t>排放量满足</w:t>
                  </w:r>
                  <w:r>
                    <w:rPr>
                      <w:rFonts w:hint="eastAsia"/>
                      <w:lang w:val="en-US" w:eastAsia="zh-CN"/>
                    </w:rPr>
                    <w:t>本次工程和</w:t>
                  </w:r>
                  <w:r>
                    <w:rPr>
                      <w:lang w:val="en-US" w:eastAsia="zh-CN"/>
                    </w:rPr>
                    <w:t>现有</w:t>
                  </w:r>
                  <w:r>
                    <w:rPr>
                      <w:rFonts w:hint="eastAsia"/>
                      <w:lang w:val="en-US" w:eastAsia="zh-CN"/>
                    </w:rPr>
                    <w:t>污染物排放</w:t>
                  </w:r>
                  <w:r>
                    <w:rPr>
                      <w:lang w:val="en-US" w:eastAsia="zh-CN"/>
                    </w:rPr>
                    <w:t>，</w:t>
                  </w:r>
                  <w:r>
                    <w:rPr>
                      <w:rFonts w:hint="eastAsia"/>
                      <w:lang w:val="en-US" w:eastAsia="zh-CN"/>
                    </w:rPr>
                    <w:t>故本次不进行总量申请</w:t>
                  </w:r>
                  <w:r>
                    <w:rPr>
                      <w:lang w:val="en-US" w:eastAsia="zh-CN"/>
                    </w:rPr>
                    <w:t>。</w:t>
                  </w:r>
                </w:p>
              </w:tc>
              <w:tc>
                <w:tcPr>
                  <w:tcW w:w="466" w:type="pct"/>
                  <w:tcBorders>
                    <w:tl2br w:val="nil"/>
                    <w:tr2bl w:val="nil"/>
                  </w:tcBorders>
                  <w:noWrap w:val="0"/>
                  <w:vAlign w:val="center"/>
                </w:tcPr>
                <w:p w14:paraId="40C96234">
                  <w:pPr>
                    <w:pStyle w:val="5"/>
                    <w:bidi w:val="0"/>
                    <w:rPr>
                      <w:lang w:val="en-US" w:eastAsia="zh-CN"/>
                    </w:rPr>
                  </w:pPr>
                  <w:r>
                    <w:rPr>
                      <w:lang w:val="en-US" w:eastAsia="zh-CN"/>
                    </w:rPr>
                    <w:t>符合</w:t>
                  </w:r>
                </w:p>
              </w:tc>
            </w:tr>
            <w:tr w14:paraId="65A5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2750D787">
                  <w:pPr>
                    <w:pStyle w:val="5"/>
                    <w:bidi w:val="0"/>
                    <w:rPr>
                      <w:lang w:val="en-US" w:eastAsia="zh-CN"/>
                    </w:rPr>
                  </w:pPr>
                  <w:r>
                    <w:rPr>
                      <w:lang w:val="en-US" w:eastAsia="zh-CN"/>
                    </w:rPr>
                    <w:t>8</w:t>
                  </w:r>
                </w:p>
              </w:tc>
              <w:tc>
                <w:tcPr>
                  <w:tcW w:w="2226" w:type="pct"/>
                  <w:gridSpan w:val="3"/>
                  <w:tcBorders>
                    <w:tl2br w:val="nil"/>
                    <w:tr2bl w:val="nil"/>
                  </w:tcBorders>
                  <w:noWrap w:val="0"/>
                  <w:vAlign w:val="center"/>
                </w:tcPr>
                <w:p w14:paraId="5C5183EE">
                  <w:pPr>
                    <w:pStyle w:val="5"/>
                    <w:bidi w:val="0"/>
                    <w:rPr>
                      <w:lang w:val="en-US" w:eastAsia="zh-CN"/>
                    </w:rPr>
                  </w:pPr>
                  <w:r>
                    <w:rPr>
                      <w:lang w:val="en-US" w:eastAsia="zh-CN"/>
                    </w:rPr>
                    <w:t>存在地下水和土壤污染途径的建设项目应采取分区防渗措施，防止地下水和土壤污染。存在环境风险的建设项目，提出有效的环境风险防范措施及环境风险应急预案编制原则和要求，纳入区域环境风险应急联动机制。</w:t>
                  </w:r>
                </w:p>
              </w:tc>
              <w:tc>
                <w:tcPr>
                  <w:tcW w:w="1950" w:type="pct"/>
                  <w:tcBorders>
                    <w:tl2br w:val="nil"/>
                    <w:tr2bl w:val="nil"/>
                  </w:tcBorders>
                  <w:noWrap w:val="0"/>
                  <w:vAlign w:val="center"/>
                </w:tcPr>
                <w:p w14:paraId="59DAF8BE">
                  <w:pPr>
                    <w:pStyle w:val="5"/>
                    <w:bidi w:val="0"/>
                    <w:rPr>
                      <w:lang w:val="en-US" w:eastAsia="zh-CN"/>
                    </w:rPr>
                  </w:pPr>
                  <w:r>
                    <w:rPr>
                      <w:lang w:val="en-US" w:eastAsia="zh-CN"/>
                    </w:rPr>
                    <w:t>（1）本项目为</w:t>
                  </w:r>
                  <w:r>
                    <w:rPr>
                      <w:rFonts w:hint="eastAsia"/>
                      <w:lang w:val="en-US" w:eastAsia="zh-CN"/>
                    </w:rPr>
                    <w:t>改</w:t>
                  </w:r>
                  <w:r>
                    <w:rPr>
                      <w:lang w:val="en-US" w:eastAsia="zh-CN"/>
                    </w:rPr>
                    <w:t>扩建项目，全厂在平面布置、工艺及设备选择、自动控制、消防及火灾报警系统、可燃及有毒气体检测报警系统等方面采取风险防范措施。</w:t>
                  </w:r>
                </w:p>
                <w:p w14:paraId="39A5DECC">
                  <w:pPr>
                    <w:pStyle w:val="5"/>
                    <w:bidi w:val="0"/>
                    <w:rPr>
                      <w:lang w:val="en-US" w:eastAsia="zh-CN"/>
                    </w:rPr>
                  </w:pPr>
                  <w:r>
                    <w:rPr>
                      <w:lang w:val="en-US" w:eastAsia="zh-CN"/>
                    </w:rPr>
                    <w:t>（2）企业已制定环境风险应急预案，防范有毒有害废气等非正常排放污染控制。本次评价提出环境风险防范措施及环境风险应急预案编制原则和要求。</w:t>
                  </w:r>
                </w:p>
                <w:p w14:paraId="4EB184C7">
                  <w:pPr>
                    <w:pStyle w:val="5"/>
                    <w:bidi w:val="0"/>
                    <w:rPr>
                      <w:lang w:val="en-US" w:eastAsia="zh-CN"/>
                    </w:rPr>
                  </w:pPr>
                  <w:r>
                    <w:rPr>
                      <w:lang w:val="en-US" w:eastAsia="zh-CN"/>
                    </w:rPr>
                    <w:t>（3）本项目提出分区防渗措施。</w:t>
                  </w:r>
                </w:p>
              </w:tc>
              <w:tc>
                <w:tcPr>
                  <w:tcW w:w="466" w:type="pct"/>
                  <w:tcBorders>
                    <w:tl2br w:val="nil"/>
                    <w:tr2bl w:val="nil"/>
                  </w:tcBorders>
                  <w:noWrap w:val="0"/>
                  <w:vAlign w:val="center"/>
                </w:tcPr>
                <w:p w14:paraId="786FE686">
                  <w:pPr>
                    <w:pStyle w:val="5"/>
                    <w:bidi w:val="0"/>
                    <w:rPr>
                      <w:lang w:val="en-US" w:eastAsia="zh-CN"/>
                    </w:rPr>
                  </w:pPr>
                  <w:r>
                    <w:rPr>
                      <w:lang w:val="en-US" w:eastAsia="zh-CN"/>
                    </w:rPr>
                    <w:t>符合</w:t>
                  </w:r>
                </w:p>
              </w:tc>
            </w:tr>
            <w:tr w14:paraId="09CB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6D01FAA9">
                  <w:pPr>
                    <w:pStyle w:val="5"/>
                    <w:bidi w:val="0"/>
                    <w:rPr>
                      <w:lang w:val="en-US" w:eastAsia="zh-CN"/>
                    </w:rPr>
                  </w:pPr>
                  <w:r>
                    <w:rPr>
                      <w:lang w:val="en-US" w:eastAsia="zh-CN"/>
                    </w:rPr>
                    <w:t>9</w:t>
                  </w:r>
                </w:p>
              </w:tc>
              <w:tc>
                <w:tcPr>
                  <w:tcW w:w="2226" w:type="pct"/>
                  <w:gridSpan w:val="3"/>
                  <w:tcBorders>
                    <w:tl2br w:val="nil"/>
                    <w:tr2bl w:val="nil"/>
                  </w:tcBorders>
                  <w:noWrap w:val="0"/>
                  <w:vAlign w:val="center"/>
                </w:tcPr>
                <w:p w14:paraId="05219175">
                  <w:pPr>
                    <w:pStyle w:val="5"/>
                    <w:bidi w:val="0"/>
                    <w:rPr>
                      <w:lang w:val="en-US" w:eastAsia="zh-CN"/>
                    </w:rPr>
                  </w:pPr>
                  <w:r>
                    <w:rPr>
                      <w:lang w:val="en-US" w:eastAsia="zh-CN"/>
                    </w:rPr>
                    <w:t>企业排污车间或工段与环境敏感区距离应满足国家、地方规定或环境影响评价文件提出的大气环境防护距离要求，环境防护距离范围内不应有居民区、学校、医院等环境敏感目标。</w:t>
                  </w:r>
                </w:p>
              </w:tc>
              <w:tc>
                <w:tcPr>
                  <w:tcW w:w="1950" w:type="pct"/>
                  <w:tcBorders>
                    <w:tl2br w:val="nil"/>
                    <w:tr2bl w:val="nil"/>
                  </w:tcBorders>
                  <w:noWrap w:val="0"/>
                  <w:vAlign w:val="center"/>
                </w:tcPr>
                <w:p w14:paraId="6FE47CB9">
                  <w:pPr>
                    <w:pStyle w:val="5"/>
                    <w:bidi w:val="0"/>
                    <w:rPr>
                      <w:lang w:val="en-US" w:eastAsia="zh-CN"/>
                    </w:rPr>
                  </w:pPr>
                  <w:r>
                    <w:rPr>
                      <w:lang w:val="en-US" w:eastAsia="zh-CN"/>
                    </w:rPr>
                    <w:t>项目按现行技术导则设置合理卫生防护距离，防护距离范围内无居民区、学校、医院等环境敏感目标，可有效避免邻避效应</w:t>
                  </w:r>
                  <w:r>
                    <w:rPr>
                      <w:rFonts w:hint="eastAsia"/>
                      <w:lang w:val="en-US" w:eastAsia="zh-CN"/>
                    </w:rPr>
                    <w:t>。</w:t>
                  </w:r>
                </w:p>
              </w:tc>
              <w:tc>
                <w:tcPr>
                  <w:tcW w:w="466" w:type="pct"/>
                  <w:tcBorders>
                    <w:tl2br w:val="nil"/>
                    <w:tr2bl w:val="nil"/>
                  </w:tcBorders>
                  <w:noWrap w:val="0"/>
                  <w:vAlign w:val="center"/>
                </w:tcPr>
                <w:p w14:paraId="2E61758B">
                  <w:pPr>
                    <w:pStyle w:val="5"/>
                    <w:bidi w:val="0"/>
                    <w:rPr>
                      <w:lang w:val="en-US" w:eastAsia="zh-CN"/>
                    </w:rPr>
                  </w:pPr>
                  <w:r>
                    <w:rPr>
                      <w:lang w:val="en-US" w:eastAsia="zh-CN"/>
                    </w:rPr>
                    <w:t>符合</w:t>
                  </w:r>
                </w:p>
              </w:tc>
            </w:tr>
            <w:tr w14:paraId="49DE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62D658DB">
                  <w:pPr>
                    <w:pStyle w:val="5"/>
                    <w:bidi w:val="0"/>
                    <w:rPr>
                      <w:lang w:val="en-US" w:eastAsia="zh-CN"/>
                    </w:rPr>
                  </w:pPr>
                  <w:r>
                    <w:rPr>
                      <w:lang w:val="en-US" w:eastAsia="zh-CN"/>
                    </w:rPr>
                    <w:t>10</w:t>
                  </w:r>
                </w:p>
              </w:tc>
              <w:tc>
                <w:tcPr>
                  <w:tcW w:w="2226" w:type="pct"/>
                  <w:gridSpan w:val="3"/>
                  <w:tcBorders>
                    <w:tl2br w:val="nil"/>
                    <w:tr2bl w:val="nil"/>
                  </w:tcBorders>
                  <w:noWrap w:val="0"/>
                  <w:vAlign w:val="center"/>
                </w:tcPr>
                <w:p w14:paraId="4FA3F910">
                  <w:pPr>
                    <w:pStyle w:val="5"/>
                    <w:bidi w:val="0"/>
                    <w:rPr>
                      <w:lang w:val="en-US" w:eastAsia="zh-CN"/>
                    </w:rPr>
                  </w:pPr>
                  <w:r>
                    <w:rPr>
                      <w:lang w:val="en-US" w:eastAsia="zh-CN"/>
                    </w:rPr>
                    <w:t>根据《固体废物鉴别标准 通则》（GB34330）《建设项目危险废物环境影响评价指南》，对建设项目产生的所有副产物，应依据产生来源、利用和处置过程鉴别该副产物是否属于固体废物，作为固体废物管理的副产物应按照《国家危险废物名录》《危险废物鉴别标准 通则》（GB5085.7）等进行危险废物属性判定或鉴别。环评阶段不具备开展危险特性鉴别条件的可能含有危险特性的固体废物，应明确疑似危险废物的名称、种类、可能的有害成分，并明确暂按危险废物从严管理，并要求在该类固体废物产生后开展危险特性鉴别。建设单位应持续提高资源产出率，大宗工业固体废物综合利用率应达到国家及自治区有关要求。</w:t>
                  </w:r>
                </w:p>
              </w:tc>
              <w:tc>
                <w:tcPr>
                  <w:tcW w:w="1950" w:type="pct"/>
                  <w:tcBorders>
                    <w:tl2br w:val="nil"/>
                    <w:tr2bl w:val="nil"/>
                  </w:tcBorders>
                  <w:noWrap w:val="0"/>
                  <w:vAlign w:val="center"/>
                </w:tcPr>
                <w:p w14:paraId="5D18A32C">
                  <w:pPr>
                    <w:pStyle w:val="5"/>
                    <w:bidi w:val="0"/>
                    <w:rPr>
                      <w:lang w:val="en-US" w:eastAsia="zh-CN"/>
                    </w:rPr>
                  </w:pPr>
                  <w:r>
                    <w:rPr>
                      <w:lang w:val="en-US" w:eastAsia="zh-CN"/>
                    </w:rPr>
                    <w:t>本次</w:t>
                  </w:r>
                  <w:r>
                    <w:rPr>
                      <w:rFonts w:hint="eastAsia"/>
                      <w:lang w:val="en-US" w:eastAsia="zh-CN"/>
                    </w:rPr>
                    <w:t>改</w:t>
                  </w:r>
                  <w:r>
                    <w:rPr>
                      <w:lang w:val="en-US" w:eastAsia="zh-CN"/>
                    </w:rPr>
                    <w:t>扩建项目无新增固废。</w:t>
                  </w:r>
                </w:p>
              </w:tc>
              <w:tc>
                <w:tcPr>
                  <w:tcW w:w="466" w:type="pct"/>
                  <w:tcBorders>
                    <w:tl2br w:val="nil"/>
                    <w:tr2bl w:val="nil"/>
                  </w:tcBorders>
                  <w:noWrap w:val="0"/>
                  <w:vAlign w:val="center"/>
                </w:tcPr>
                <w:p w14:paraId="0BB4EB5B">
                  <w:pPr>
                    <w:pStyle w:val="5"/>
                    <w:bidi w:val="0"/>
                    <w:rPr>
                      <w:lang w:val="en-US" w:eastAsia="zh-CN"/>
                    </w:rPr>
                  </w:pPr>
                  <w:r>
                    <w:rPr>
                      <w:lang w:val="en-US" w:eastAsia="zh-CN"/>
                    </w:rPr>
                    <w:t>符合</w:t>
                  </w:r>
                </w:p>
              </w:tc>
            </w:tr>
            <w:tr w14:paraId="7450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323297E3">
                  <w:pPr>
                    <w:pStyle w:val="5"/>
                    <w:bidi w:val="0"/>
                    <w:rPr>
                      <w:lang w:val="en-US" w:eastAsia="zh-CN"/>
                    </w:rPr>
                  </w:pPr>
                  <w:r>
                    <w:rPr>
                      <w:lang w:val="en-US" w:eastAsia="zh-CN"/>
                    </w:rPr>
                    <w:t>11</w:t>
                  </w:r>
                </w:p>
              </w:tc>
              <w:tc>
                <w:tcPr>
                  <w:tcW w:w="2226" w:type="pct"/>
                  <w:gridSpan w:val="3"/>
                  <w:tcBorders>
                    <w:tl2br w:val="nil"/>
                    <w:tr2bl w:val="nil"/>
                  </w:tcBorders>
                  <w:noWrap w:val="0"/>
                  <w:vAlign w:val="center"/>
                </w:tcPr>
                <w:p w14:paraId="3F70EB1B">
                  <w:pPr>
                    <w:pStyle w:val="5"/>
                    <w:bidi w:val="0"/>
                    <w:rPr>
                      <w:lang w:val="en-US" w:eastAsia="zh-CN"/>
                    </w:rPr>
                  </w:pPr>
                  <w:r>
                    <w:rPr>
                      <w:lang w:val="en-US" w:eastAsia="zh-CN"/>
                    </w:rPr>
                    <w:t>建设项目清洁生产水平应达到国家清洁生产标准的国际先进、国内领先水平或满足清洁生产评价指标体系中的清洁生产企业要求。无国家清洁生产标准和清洁生产评价指标体系的建设项目，其生产工艺与装备要求、资源能源利用指标、污染物产生指标、废物回收利用指标、环境管理要求等各项指标水平应达到国内同行业现有企业先进水平。</w:t>
                  </w:r>
                </w:p>
              </w:tc>
              <w:tc>
                <w:tcPr>
                  <w:tcW w:w="1950" w:type="pct"/>
                  <w:tcBorders>
                    <w:tl2br w:val="nil"/>
                    <w:tr2bl w:val="nil"/>
                  </w:tcBorders>
                  <w:noWrap w:val="0"/>
                  <w:vAlign w:val="center"/>
                </w:tcPr>
                <w:p w14:paraId="059C7B3A">
                  <w:pPr>
                    <w:pStyle w:val="5"/>
                    <w:bidi w:val="0"/>
                    <w:rPr>
                      <w:lang w:val="en-US" w:eastAsia="zh-CN"/>
                    </w:rPr>
                  </w:pPr>
                  <w:r>
                    <w:rPr>
                      <w:lang w:val="en-US" w:eastAsia="zh-CN"/>
                    </w:rPr>
                    <w:t>本项目为</w:t>
                  </w:r>
                  <w:r>
                    <w:rPr>
                      <w:rFonts w:hint="eastAsia"/>
                      <w:lang w:val="en-US" w:eastAsia="zh-CN"/>
                    </w:rPr>
                    <w:t>改</w:t>
                  </w:r>
                  <w:r>
                    <w:rPr>
                      <w:lang w:val="en-US" w:eastAsia="zh-CN"/>
                    </w:rPr>
                    <w:t>扩建项目，采用先进的工艺、节能型设备，提高项目单位产品综合能耗水平；对产生的“三废”尽量回收利用，不能回收利用的均采取切实可行的末端治理措施。参照《清洁生产标准 石油炼制业》（HJ/T125-2003）中石油炼制业企业清洁生产标准的指标要求，本项目清洁生产水平处于国内清洁生产先进水平，符合清洁生产要求。</w:t>
                  </w:r>
                </w:p>
              </w:tc>
              <w:tc>
                <w:tcPr>
                  <w:tcW w:w="466" w:type="pct"/>
                  <w:tcBorders>
                    <w:tl2br w:val="nil"/>
                    <w:tr2bl w:val="nil"/>
                  </w:tcBorders>
                  <w:noWrap w:val="0"/>
                  <w:vAlign w:val="center"/>
                </w:tcPr>
                <w:p w14:paraId="021AABF0">
                  <w:pPr>
                    <w:pStyle w:val="5"/>
                    <w:bidi w:val="0"/>
                    <w:rPr>
                      <w:lang w:val="en-US" w:eastAsia="zh-CN"/>
                    </w:rPr>
                  </w:pPr>
                  <w:r>
                    <w:rPr>
                      <w:lang w:val="en-US" w:eastAsia="zh-CN"/>
                    </w:rPr>
                    <w:t>符合</w:t>
                  </w:r>
                </w:p>
              </w:tc>
            </w:tr>
            <w:tr w14:paraId="7422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63427B01">
                  <w:pPr>
                    <w:pStyle w:val="5"/>
                    <w:bidi w:val="0"/>
                    <w:rPr>
                      <w:lang w:val="en-US" w:eastAsia="zh-CN"/>
                    </w:rPr>
                  </w:pPr>
                  <w:r>
                    <w:rPr>
                      <w:lang w:val="en-US" w:eastAsia="zh-CN"/>
                    </w:rPr>
                    <w:t>12</w:t>
                  </w:r>
                </w:p>
              </w:tc>
              <w:tc>
                <w:tcPr>
                  <w:tcW w:w="2226" w:type="pct"/>
                  <w:gridSpan w:val="3"/>
                  <w:tcBorders>
                    <w:tl2br w:val="nil"/>
                    <w:tr2bl w:val="nil"/>
                  </w:tcBorders>
                  <w:noWrap w:val="0"/>
                  <w:vAlign w:val="center"/>
                </w:tcPr>
                <w:p w14:paraId="463E1E1C">
                  <w:pPr>
                    <w:pStyle w:val="5"/>
                    <w:bidi w:val="0"/>
                    <w:rPr>
                      <w:lang w:val="en-US" w:eastAsia="zh-CN"/>
                    </w:rPr>
                  </w:pPr>
                  <w:r>
                    <w:rPr>
                      <w:lang w:val="en-US" w:eastAsia="zh-CN"/>
                    </w:rPr>
                    <w:t>鼓励合理利用资源、能源。尽可能采用清洁能源，生产过程中产生的余热、余气、余压应合理利用。采用天然气作原料的应符合天然气利用政策，高污染燃料的使用应符合本通则及其他相关政策要求。按照“清污分流、一水多用、循环使用”的原则，加强节水和统筹用水的管理。鼓励矿井水、中水利用，严格限制使用地下水，最大限度提高水的复用率，减少外排量或实现零排放。</w:t>
                  </w:r>
                </w:p>
              </w:tc>
              <w:tc>
                <w:tcPr>
                  <w:tcW w:w="1950" w:type="pct"/>
                  <w:tcBorders>
                    <w:tl2br w:val="nil"/>
                    <w:tr2bl w:val="nil"/>
                  </w:tcBorders>
                  <w:noWrap w:val="0"/>
                  <w:vAlign w:val="center"/>
                </w:tcPr>
                <w:p w14:paraId="51DC9E37">
                  <w:pPr>
                    <w:pStyle w:val="5"/>
                    <w:bidi w:val="0"/>
                    <w:rPr>
                      <w:lang w:val="en-US" w:eastAsia="zh-CN"/>
                    </w:rPr>
                  </w:pPr>
                  <w:r>
                    <w:rPr>
                      <w:lang w:val="en-US" w:eastAsia="zh-CN"/>
                    </w:rPr>
                    <w:t>本次</w:t>
                  </w:r>
                  <w:r>
                    <w:rPr>
                      <w:rFonts w:hint="eastAsia"/>
                      <w:lang w:val="en-US" w:eastAsia="zh-CN"/>
                    </w:rPr>
                    <w:t>改</w:t>
                  </w:r>
                  <w:r>
                    <w:rPr>
                      <w:lang w:val="en-US" w:eastAsia="zh-CN"/>
                    </w:rPr>
                    <w:t>扩建不新增燃料用量，不新增水用量。</w:t>
                  </w:r>
                </w:p>
              </w:tc>
              <w:tc>
                <w:tcPr>
                  <w:tcW w:w="466" w:type="pct"/>
                  <w:tcBorders>
                    <w:tl2br w:val="nil"/>
                    <w:tr2bl w:val="nil"/>
                  </w:tcBorders>
                  <w:noWrap w:val="0"/>
                  <w:vAlign w:val="center"/>
                </w:tcPr>
                <w:p w14:paraId="78CDB85F">
                  <w:pPr>
                    <w:pStyle w:val="5"/>
                    <w:bidi w:val="0"/>
                    <w:rPr>
                      <w:lang w:val="en-US" w:eastAsia="zh-CN"/>
                    </w:rPr>
                  </w:pPr>
                  <w:r>
                    <w:rPr>
                      <w:lang w:val="en-US" w:eastAsia="zh-CN"/>
                    </w:rPr>
                    <w:t>符合</w:t>
                  </w:r>
                </w:p>
              </w:tc>
            </w:tr>
            <w:tr w14:paraId="6D4E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4BC73EC7">
                  <w:pPr>
                    <w:pStyle w:val="5"/>
                    <w:bidi w:val="0"/>
                    <w:rPr>
                      <w:lang w:val="en-US" w:eastAsia="zh-CN"/>
                    </w:rPr>
                  </w:pPr>
                  <w:r>
                    <w:rPr>
                      <w:lang w:val="en-US" w:eastAsia="zh-CN"/>
                    </w:rPr>
                    <w:t>13</w:t>
                  </w:r>
                </w:p>
              </w:tc>
              <w:tc>
                <w:tcPr>
                  <w:tcW w:w="2226" w:type="pct"/>
                  <w:gridSpan w:val="3"/>
                  <w:tcBorders>
                    <w:tl2br w:val="nil"/>
                    <w:tr2bl w:val="nil"/>
                  </w:tcBorders>
                  <w:noWrap w:val="0"/>
                  <w:vAlign w:val="center"/>
                </w:tcPr>
                <w:p w14:paraId="5B1C40AD">
                  <w:pPr>
                    <w:pStyle w:val="5"/>
                    <w:bidi w:val="0"/>
                    <w:rPr>
                      <w:lang w:val="en-US" w:eastAsia="zh-CN"/>
                    </w:rPr>
                  </w:pPr>
                  <w:r>
                    <w:rPr>
                      <w:lang w:val="en-US" w:eastAsia="zh-CN"/>
                    </w:rPr>
                    <w:t>改扩建、扩建项目，应对现有工程的环境保护措施及效果进行全面梳理评估，针对项目原有环境污染和生态破坏提出有效防治措施并纳入竣工环保验收。</w:t>
                  </w:r>
                </w:p>
              </w:tc>
              <w:tc>
                <w:tcPr>
                  <w:tcW w:w="1950" w:type="pct"/>
                  <w:tcBorders>
                    <w:tl2br w:val="nil"/>
                    <w:tr2bl w:val="nil"/>
                  </w:tcBorders>
                  <w:noWrap w:val="0"/>
                  <w:vAlign w:val="center"/>
                </w:tcPr>
                <w:p w14:paraId="24113C1A">
                  <w:pPr>
                    <w:pStyle w:val="5"/>
                    <w:bidi w:val="0"/>
                    <w:rPr>
                      <w:lang w:val="en-US" w:eastAsia="zh-CN"/>
                    </w:rPr>
                  </w:pPr>
                  <w:r>
                    <w:rPr>
                      <w:lang w:val="en-US" w:eastAsia="zh-CN"/>
                    </w:rPr>
                    <w:t>本项目为</w:t>
                  </w:r>
                  <w:r>
                    <w:rPr>
                      <w:rFonts w:hint="eastAsia"/>
                      <w:lang w:val="en-US" w:eastAsia="zh-CN"/>
                    </w:rPr>
                    <w:t>改</w:t>
                  </w:r>
                  <w:r>
                    <w:rPr>
                      <w:lang w:val="en-US" w:eastAsia="zh-CN"/>
                    </w:rPr>
                    <w:t>扩建项目，对现有工程的环境保护措施及效果进行全面梳理评估，针对项目原有环境污染和生态破坏提出有效防治措施并纳入竣工环保验收。</w:t>
                  </w:r>
                </w:p>
              </w:tc>
              <w:tc>
                <w:tcPr>
                  <w:tcW w:w="466" w:type="pct"/>
                  <w:tcBorders>
                    <w:tl2br w:val="nil"/>
                    <w:tr2bl w:val="nil"/>
                  </w:tcBorders>
                  <w:noWrap w:val="0"/>
                  <w:vAlign w:val="center"/>
                </w:tcPr>
                <w:p w14:paraId="017330CF">
                  <w:pPr>
                    <w:pStyle w:val="5"/>
                    <w:bidi w:val="0"/>
                    <w:rPr>
                      <w:lang w:val="en-US" w:eastAsia="zh-CN"/>
                    </w:rPr>
                  </w:pPr>
                  <w:r>
                    <w:rPr>
                      <w:lang w:val="en-US" w:eastAsia="zh-CN"/>
                    </w:rPr>
                    <w:t>符合</w:t>
                  </w:r>
                </w:p>
              </w:tc>
            </w:tr>
            <w:tr w14:paraId="34D2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6" w:type="pct"/>
                  <w:tcBorders>
                    <w:tl2br w:val="nil"/>
                    <w:tr2bl w:val="nil"/>
                  </w:tcBorders>
                  <w:noWrap w:val="0"/>
                  <w:vAlign w:val="center"/>
                </w:tcPr>
                <w:p w14:paraId="6904B7DE">
                  <w:pPr>
                    <w:pStyle w:val="5"/>
                    <w:bidi w:val="0"/>
                    <w:rPr>
                      <w:lang w:val="en-US" w:eastAsia="zh-CN"/>
                    </w:rPr>
                  </w:pPr>
                  <w:r>
                    <w:rPr>
                      <w:lang w:val="en-US" w:eastAsia="zh-CN"/>
                    </w:rPr>
                    <w:t>二</w:t>
                  </w:r>
                </w:p>
              </w:tc>
              <w:tc>
                <w:tcPr>
                  <w:tcW w:w="4643" w:type="pct"/>
                  <w:gridSpan w:val="5"/>
                  <w:tcBorders>
                    <w:tl2br w:val="nil"/>
                    <w:tr2bl w:val="nil"/>
                  </w:tcBorders>
                  <w:noWrap w:val="0"/>
                  <w:vAlign w:val="center"/>
                </w:tcPr>
                <w:p w14:paraId="3A7C927D">
                  <w:pPr>
                    <w:pStyle w:val="5"/>
                    <w:bidi w:val="0"/>
                    <w:rPr>
                      <w:lang w:val="en-US" w:eastAsia="zh-CN"/>
                    </w:rPr>
                  </w:pPr>
                  <w:r>
                    <w:rPr>
                      <w:lang w:val="en-US" w:eastAsia="en-US"/>
                    </w:rPr>
                    <w:t>石油天然气化工</w:t>
                  </w:r>
                  <w:r>
                    <w:rPr>
                      <w:lang w:val="en-US" w:eastAsia="zh-CN"/>
                    </w:rPr>
                    <w:t>要求</w:t>
                  </w:r>
                </w:p>
              </w:tc>
            </w:tr>
            <w:tr w14:paraId="3460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 w:type="pct"/>
                  <w:gridSpan w:val="2"/>
                  <w:vMerge w:val="restart"/>
                  <w:tcBorders>
                    <w:tl2br w:val="nil"/>
                    <w:tr2bl w:val="nil"/>
                  </w:tcBorders>
                  <w:noWrap w:val="0"/>
                  <w:vAlign w:val="center"/>
                </w:tcPr>
                <w:p w14:paraId="016952B8">
                  <w:pPr>
                    <w:pStyle w:val="5"/>
                    <w:bidi w:val="0"/>
                    <w:rPr>
                      <w:lang w:val="en-US" w:eastAsia="zh-CN"/>
                    </w:rPr>
                  </w:pPr>
                  <w:r>
                    <w:rPr>
                      <w:lang w:val="en-US" w:eastAsia="zh-CN"/>
                    </w:rPr>
                    <w:t>1</w:t>
                  </w:r>
                </w:p>
              </w:tc>
              <w:tc>
                <w:tcPr>
                  <w:tcW w:w="529" w:type="pct"/>
                  <w:vMerge w:val="restart"/>
                  <w:tcBorders>
                    <w:tl2br w:val="nil"/>
                    <w:tr2bl w:val="nil"/>
                  </w:tcBorders>
                  <w:noWrap w:val="0"/>
                  <w:vAlign w:val="center"/>
                </w:tcPr>
                <w:p w14:paraId="57D8A069">
                  <w:pPr>
                    <w:pStyle w:val="5"/>
                    <w:bidi w:val="0"/>
                    <w:rPr>
                      <w:lang w:val="en-US" w:eastAsia="zh-CN"/>
                    </w:rPr>
                  </w:pPr>
                  <w:r>
                    <w:rPr>
                      <w:lang w:val="en-US" w:eastAsia="zh-CN"/>
                    </w:rPr>
                    <w:t>（二）选址和空间布局</w:t>
                  </w:r>
                </w:p>
              </w:tc>
              <w:tc>
                <w:tcPr>
                  <w:tcW w:w="1693" w:type="pct"/>
                  <w:tcBorders>
                    <w:tl2br w:val="nil"/>
                    <w:tr2bl w:val="nil"/>
                  </w:tcBorders>
                  <w:noWrap w:val="0"/>
                  <w:vAlign w:val="center"/>
                </w:tcPr>
                <w:p w14:paraId="7C16F576">
                  <w:pPr>
                    <w:pStyle w:val="5"/>
                    <w:bidi w:val="0"/>
                    <w:rPr>
                      <w:lang w:val="en-US" w:eastAsia="zh-CN"/>
                    </w:rPr>
                  </w:pPr>
                  <w:r>
                    <w:rPr>
                      <w:lang w:val="en-US" w:eastAsia="zh-CN"/>
                    </w:rPr>
                    <w:t>1.新、改、扩建现代煤化工、传统煤化工（焦化）、石油天然气化工、电石等化工项目应布设在依法设立、环境保护基础设施齐全，并符合规划、规划环评及其审查意见要求的产业园区。新建项目应符合《新疆维吾尔自治区新建化工项目准入条件（试行）》（新工信石化〔2021〕1号）。</w:t>
                  </w:r>
                </w:p>
              </w:tc>
              <w:tc>
                <w:tcPr>
                  <w:tcW w:w="1950" w:type="pct"/>
                  <w:tcBorders>
                    <w:tl2br w:val="nil"/>
                    <w:tr2bl w:val="nil"/>
                  </w:tcBorders>
                  <w:noWrap w:val="0"/>
                  <w:vAlign w:val="center"/>
                </w:tcPr>
                <w:p w14:paraId="635AA2EE">
                  <w:pPr>
                    <w:pStyle w:val="5"/>
                    <w:bidi w:val="0"/>
                    <w:rPr>
                      <w:lang w:val="en-US" w:eastAsia="zh-CN"/>
                    </w:rPr>
                  </w:pPr>
                  <w:r>
                    <w:rPr>
                      <w:lang w:val="en-US" w:eastAsia="zh-CN"/>
                    </w:rPr>
                    <w:t>本项目属于石油化工项目，位于轮台工业园区，均属于依法设立、环境保护基础设施齐全，并符合规划、规划环评及其审查意见要求的产业园区。项目属于</w:t>
                  </w:r>
                  <w:r>
                    <w:rPr>
                      <w:rFonts w:hint="eastAsia"/>
                      <w:lang w:val="en-US" w:eastAsia="zh-CN"/>
                    </w:rPr>
                    <w:t>改</w:t>
                  </w:r>
                  <w:r>
                    <w:rPr>
                      <w:lang w:val="en-US" w:eastAsia="zh-CN"/>
                    </w:rPr>
                    <w:t>扩建项目，符合《新疆维吾尔自治区新建化工项目准入条件（试行）》（新工信石化〔2021〕1号）。</w:t>
                  </w:r>
                </w:p>
              </w:tc>
              <w:tc>
                <w:tcPr>
                  <w:tcW w:w="466" w:type="pct"/>
                  <w:tcBorders>
                    <w:tl2br w:val="nil"/>
                    <w:tr2bl w:val="nil"/>
                  </w:tcBorders>
                  <w:noWrap w:val="0"/>
                  <w:vAlign w:val="center"/>
                </w:tcPr>
                <w:p w14:paraId="75E49AE1">
                  <w:pPr>
                    <w:pStyle w:val="5"/>
                    <w:bidi w:val="0"/>
                    <w:rPr>
                      <w:lang w:val="en-US" w:eastAsia="zh-CN"/>
                    </w:rPr>
                  </w:pPr>
                  <w:r>
                    <w:rPr>
                      <w:lang w:val="en-US" w:eastAsia="zh-CN"/>
                    </w:rPr>
                    <w:t>符合</w:t>
                  </w:r>
                </w:p>
              </w:tc>
            </w:tr>
            <w:tr w14:paraId="4BB2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 w:type="pct"/>
                  <w:gridSpan w:val="2"/>
                  <w:vMerge w:val="continue"/>
                  <w:tcBorders>
                    <w:tl2br w:val="nil"/>
                    <w:tr2bl w:val="nil"/>
                  </w:tcBorders>
                  <w:noWrap w:val="0"/>
                  <w:vAlign w:val="center"/>
                </w:tcPr>
                <w:p w14:paraId="69B6BB74">
                  <w:pPr>
                    <w:pStyle w:val="5"/>
                    <w:bidi w:val="0"/>
                    <w:rPr>
                      <w:lang w:val="en-US" w:eastAsia="zh-CN"/>
                    </w:rPr>
                  </w:pPr>
                </w:p>
              </w:tc>
              <w:tc>
                <w:tcPr>
                  <w:tcW w:w="529" w:type="pct"/>
                  <w:vMerge w:val="continue"/>
                  <w:tcBorders>
                    <w:tl2br w:val="nil"/>
                    <w:tr2bl w:val="nil"/>
                  </w:tcBorders>
                  <w:noWrap w:val="0"/>
                  <w:vAlign w:val="center"/>
                </w:tcPr>
                <w:p w14:paraId="75ABC8CA">
                  <w:pPr>
                    <w:pStyle w:val="5"/>
                    <w:bidi w:val="0"/>
                    <w:rPr>
                      <w:lang w:val="en-US" w:eastAsia="zh-CN"/>
                    </w:rPr>
                  </w:pPr>
                </w:p>
              </w:tc>
              <w:tc>
                <w:tcPr>
                  <w:tcW w:w="1693" w:type="pct"/>
                  <w:tcBorders>
                    <w:tl2br w:val="nil"/>
                    <w:tr2bl w:val="nil"/>
                  </w:tcBorders>
                  <w:noWrap w:val="0"/>
                  <w:vAlign w:val="center"/>
                </w:tcPr>
                <w:p w14:paraId="39425F41">
                  <w:pPr>
                    <w:pStyle w:val="5"/>
                    <w:bidi w:val="0"/>
                    <w:rPr>
                      <w:lang w:val="en-US" w:eastAsia="zh-CN"/>
                    </w:rPr>
                  </w:pPr>
                  <w:r>
                    <w:rPr>
                      <w:lang w:val="en-US" w:eastAsia="zh-CN"/>
                    </w:rPr>
                    <w:t>2.新、改、扩建现代煤化工、传统煤化工（焦化）、石油天然气化工、电石等化工项目应符合国家、自治区产业政策、布局及产能置换要求。焦化、电石等项目应符合产能过剩行业政策要求。鼓励电石装置与兰炭、石灰石、发电等上游原料和能源，聚氯乙烯、1,4-丁二醇等下游产品生产装置配套建设。国家有明确规定的现代煤化工项目选址应符合现代煤化工创新发展布局方案等有关产业规划。</w:t>
                  </w:r>
                </w:p>
              </w:tc>
              <w:tc>
                <w:tcPr>
                  <w:tcW w:w="1950" w:type="pct"/>
                  <w:tcBorders>
                    <w:tl2br w:val="nil"/>
                    <w:tr2bl w:val="nil"/>
                  </w:tcBorders>
                  <w:noWrap w:val="0"/>
                  <w:vAlign w:val="center"/>
                </w:tcPr>
                <w:p w14:paraId="2FD97431">
                  <w:pPr>
                    <w:pStyle w:val="5"/>
                    <w:bidi w:val="0"/>
                    <w:rPr>
                      <w:lang w:val="en-US" w:eastAsia="zh-CN"/>
                    </w:rPr>
                  </w:pPr>
                  <w:r>
                    <w:rPr>
                      <w:lang w:val="en-US" w:eastAsia="zh-CN"/>
                    </w:rPr>
                    <w:t>项目属于</w:t>
                  </w:r>
                  <w:r>
                    <w:rPr>
                      <w:rFonts w:hint="eastAsia"/>
                      <w:lang w:val="en-US" w:eastAsia="zh-CN"/>
                    </w:rPr>
                    <w:t>改</w:t>
                  </w:r>
                  <w:r>
                    <w:rPr>
                      <w:lang w:val="en-US" w:eastAsia="zh-CN"/>
                    </w:rPr>
                    <w:t>扩建石油化工项目，符合国家、自治区产业政策、布局及产能置换要求。</w:t>
                  </w:r>
                </w:p>
              </w:tc>
              <w:tc>
                <w:tcPr>
                  <w:tcW w:w="466" w:type="pct"/>
                  <w:tcBorders>
                    <w:tl2br w:val="nil"/>
                    <w:tr2bl w:val="nil"/>
                  </w:tcBorders>
                  <w:noWrap w:val="0"/>
                  <w:vAlign w:val="center"/>
                </w:tcPr>
                <w:p w14:paraId="46B3B7B3">
                  <w:pPr>
                    <w:pStyle w:val="5"/>
                    <w:bidi w:val="0"/>
                    <w:rPr>
                      <w:lang w:val="en-US" w:eastAsia="zh-CN"/>
                    </w:rPr>
                  </w:pPr>
                  <w:r>
                    <w:rPr>
                      <w:lang w:val="en-US" w:eastAsia="zh-CN"/>
                    </w:rPr>
                    <w:t>符合</w:t>
                  </w:r>
                </w:p>
              </w:tc>
            </w:tr>
            <w:tr w14:paraId="2A13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 w:type="pct"/>
                  <w:gridSpan w:val="2"/>
                  <w:vMerge w:val="continue"/>
                  <w:tcBorders>
                    <w:tl2br w:val="nil"/>
                    <w:tr2bl w:val="nil"/>
                  </w:tcBorders>
                  <w:noWrap w:val="0"/>
                  <w:vAlign w:val="center"/>
                </w:tcPr>
                <w:p w14:paraId="337CAF66">
                  <w:pPr>
                    <w:pStyle w:val="5"/>
                    <w:bidi w:val="0"/>
                    <w:rPr>
                      <w:lang w:val="en-US" w:eastAsia="zh-CN"/>
                    </w:rPr>
                  </w:pPr>
                </w:p>
              </w:tc>
              <w:tc>
                <w:tcPr>
                  <w:tcW w:w="529" w:type="pct"/>
                  <w:vMerge w:val="continue"/>
                  <w:tcBorders>
                    <w:tl2br w:val="nil"/>
                    <w:tr2bl w:val="nil"/>
                  </w:tcBorders>
                  <w:noWrap w:val="0"/>
                  <w:vAlign w:val="center"/>
                </w:tcPr>
                <w:p w14:paraId="375AB011">
                  <w:pPr>
                    <w:pStyle w:val="5"/>
                    <w:bidi w:val="0"/>
                    <w:rPr>
                      <w:lang w:val="en-US" w:eastAsia="zh-CN"/>
                    </w:rPr>
                  </w:pPr>
                </w:p>
              </w:tc>
              <w:tc>
                <w:tcPr>
                  <w:tcW w:w="1693" w:type="pct"/>
                  <w:tcBorders>
                    <w:tl2br w:val="nil"/>
                    <w:tr2bl w:val="nil"/>
                  </w:tcBorders>
                  <w:noWrap w:val="0"/>
                  <w:vAlign w:val="center"/>
                </w:tcPr>
                <w:p w14:paraId="42BEE4D6">
                  <w:pPr>
                    <w:pStyle w:val="5"/>
                    <w:bidi w:val="0"/>
                    <w:rPr>
                      <w:lang w:val="en-US" w:eastAsia="zh-CN"/>
                    </w:rPr>
                  </w:pPr>
                  <w:r>
                    <w:rPr>
                      <w:lang w:val="en-US" w:eastAsia="zh-CN"/>
                    </w:rPr>
                    <w:t>3.在符合产业政策、满足区域大气环境空气质量改善和污染物总量控制要求、不扩大生产规模的前提下，允许不在通过认定的化工园区和化工聚集区的现代煤化工、传统煤化工（焦化）、石油天然气化工、电石等生产企业进行工艺优化升级、安全条件改善、事故隐患治理和环保水平提高的相关技术改造。</w:t>
                  </w:r>
                </w:p>
              </w:tc>
              <w:tc>
                <w:tcPr>
                  <w:tcW w:w="1950" w:type="pct"/>
                  <w:tcBorders>
                    <w:tl2br w:val="nil"/>
                    <w:tr2bl w:val="nil"/>
                  </w:tcBorders>
                  <w:noWrap w:val="0"/>
                  <w:vAlign w:val="center"/>
                </w:tcPr>
                <w:p w14:paraId="34AFD647">
                  <w:pPr>
                    <w:pStyle w:val="5"/>
                    <w:bidi w:val="0"/>
                    <w:rPr>
                      <w:lang w:val="en-US" w:eastAsia="zh-CN"/>
                    </w:rPr>
                  </w:pPr>
                  <w:r>
                    <w:rPr>
                      <w:lang w:val="en-US" w:eastAsia="zh-CN"/>
                    </w:rPr>
                    <w:t>本项目符合产业政策、满足区域大气环境空气质量改善和污染物总量控制要求。项目位于轮台工业园区。</w:t>
                  </w:r>
                </w:p>
              </w:tc>
              <w:tc>
                <w:tcPr>
                  <w:tcW w:w="466" w:type="pct"/>
                  <w:tcBorders>
                    <w:tl2br w:val="nil"/>
                    <w:tr2bl w:val="nil"/>
                  </w:tcBorders>
                  <w:noWrap w:val="0"/>
                  <w:vAlign w:val="center"/>
                </w:tcPr>
                <w:p w14:paraId="75F827F2">
                  <w:pPr>
                    <w:pStyle w:val="5"/>
                    <w:bidi w:val="0"/>
                    <w:rPr>
                      <w:lang w:val="en-US" w:eastAsia="zh-CN"/>
                    </w:rPr>
                  </w:pPr>
                  <w:r>
                    <w:rPr>
                      <w:lang w:val="en-US" w:eastAsia="zh-CN"/>
                    </w:rPr>
                    <w:t>符合</w:t>
                  </w:r>
                </w:p>
              </w:tc>
            </w:tr>
            <w:tr w14:paraId="039C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 w:type="pct"/>
                  <w:gridSpan w:val="2"/>
                  <w:vMerge w:val="restart"/>
                  <w:tcBorders>
                    <w:tl2br w:val="nil"/>
                    <w:tr2bl w:val="nil"/>
                  </w:tcBorders>
                  <w:noWrap w:val="0"/>
                  <w:vAlign w:val="center"/>
                </w:tcPr>
                <w:p w14:paraId="06A43502">
                  <w:pPr>
                    <w:pStyle w:val="5"/>
                    <w:bidi w:val="0"/>
                    <w:rPr>
                      <w:lang w:val="en-US" w:eastAsia="zh-CN"/>
                    </w:rPr>
                  </w:pPr>
                  <w:r>
                    <w:rPr>
                      <w:lang w:val="en-US" w:eastAsia="zh-CN"/>
                    </w:rPr>
                    <w:t>2</w:t>
                  </w:r>
                </w:p>
              </w:tc>
              <w:tc>
                <w:tcPr>
                  <w:tcW w:w="529" w:type="pct"/>
                  <w:vMerge w:val="restart"/>
                  <w:tcBorders>
                    <w:tl2br w:val="nil"/>
                    <w:tr2bl w:val="nil"/>
                  </w:tcBorders>
                  <w:noWrap w:val="0"/>
                  <w:vAlign w:val="center"/>
                </w:tcPr>
                <w:p w14:paraId="00F2832E">
                  <w:pPr>
                    <w:pStyle w:val="5"/>
                    <w:bidi w:val="0"/>
                    <w:rPr>
                      <w:lang w:val="en-US" w:eastAsia="zh-CN"/>
                    </w:rPr>
                  </w:pPr>
                  <w:r>
                    <w:rPr>
                      <w:lang w:val="en-US" w:eastAsia="zh-CN"/>
                    </w:rPr>
                    <w:t>（三）污染防治与环境影响</w:t>
                  </w:r>
                </w:p>
              </w:tc>
              <w:tc>
                <w:tcPr>
                  <w:tcW w:w="1693" w:type="pct"/>
                  <w:tcBorders>
                    <w:tl2br w:val="nil"/>
                    <w:tr2bl w:val="nil"/>
                  </w:tcBorders>
                  <w:noWrap w:val="0"/>
                  <w:vAlign w:val="center"/>
                </w:tcPr>
                <w:p w14:paraId="1693D0E4">
                  <w:pPr>
                    <w:pStyle w:val="5"/>
                    <w:bidi w:val="0"/>
                    <w:rPr>
                      <w:lang w:val="en-US" w:eastAsia="zh-CN"/>
                    </w:rPr>
                  </w:pPr>
                  <w:r>
                    <w:rPr>
                      <w:lang w:val="en-US" w:eastAsia="zh-CN"/>
                    </w:rPr>
                    <w:t>1.新、改、扩建石油天然气化工项目应配套建设废气收集、处理装置。加热炉、转化炉、裂解炉等应使用脱硫干气等清洁燃料，采取低氮燃烧等氮氧化物控制措施；催化裂化装置和动力站锅炉等应采取必要的脱硫、脱硝和除尘措施；其他有组织工艺废气应采取有效治理措施，减少污染物排放；原则上不得设置废气旁路，确需保留的应急类旁路，应安装流量计等自动监测设备。动力站锅炉烟气排放应符合《锅炉大气污染物排放标准》（GB13271）或《火电厂大气污染物排放标准》（GB13223）要求；恶臭污染物排放应符合《恶臭污染物排放标准》（GB14554）要求；其他污染物排放及控制应符合《石油炼制工业污染物排放标准》（GB31570）、《石油化学工业污染物排放标准》（GB31571）、《合成树脂工业污染物排放标准》（GB31572）等要求。所使用的工业炉窑废气排放应满足《工业炉窑大气污染物排放标准》（GB9078）和自治区工业炉窑大气污染综合治理相关要求。</w:t>
                  </w:r>
                </w:p>
              </w:tc>
              <w:tc>
                <w:tcPr>
                  <w:tcW w:w="1950" w:type="pct"/>
                  <w:tcBorders>
                    <w:tl2br w:val="nil"/>
                    <w:tr2bl w:val="nil"/>
                  </w:tcBorders>
                  <w:noWrap w:val="0"/>
                  <w:vAlign w:val="center"/>
                </w:tcPr>
                <w:p w14:paraId="05AE4A48">
                  <w:pPr>
                    <w:pStyle w:val="5"/>
                    <w:bidi w:val="0"/>
                    <w:rPr>
                      <w:lang w:val="en-US" w:eastAsia="zh-CN"/>
                    </w:rPr>
                  </w:pPr>
                  <w:r>
                    <w:rPr>
                      <w:rFonts w:hint="eastAsia"/>
                      <w:lang w:val="en-US" w:eastAsia="zh-CN"/>
                    </w:rPr>
                    <w:t>现有</w:t>
                  </w:r>
                  <w:r>
                    <w:rPr>
                      <w:lang w:val="en-US" w:eastAsia="zh-CN"/>
                    </w:rPr>
                    <w:t>项目配套建设废气收集、处理装置。污染物排放及控制符合《石油化学工业污染物排放标准》（GB31571</w:t>
                  </w:r>
                  <w:r>
                    <w:rPr>
                      <w:rFonts w:hint="eastAsia"/>
                      <w:lang w:val="en-US" w:eastAsia="zh-CN"/>
                    </w:rPr>
                    <w:t>-2015</w:t>
                  </w:r>
                  <w:r>
                    <w:rPr>
                      <w:lang w:val="en-US" w:eastAsia="zh-CN"/>
                    </w:rPr>
                    <w:t>）</w:t>
                  </w:r>
                  <w:r>
                    <w:rPr>
                      <w:rFonts w:hint="eastAsia"/>
                      <w:lang w:val="en-US" w:eastAsia="zh-CN"/>
                    </w:rPr>
                    <w:t>（含2024年修改单）</w:t>
                  </w:r>
                  <w:r>
                    <w:rPr>
                      <w:lang w:val="en-US" w:eastAsia="zh-CN"/>
                    </w:rPr>
                    <w:t>等要求。</w:t>
                  </w:r>
                </w:p>
              </w:tc>
              <w:tc>
                <w:tcPr>
                  <w:tcW w:w="466" w:type="pct"/>
                  <w:tcBorders>
                    <w:tl2br w:val="nil"/>
                    <w:tr2bl w:val="nil"/>
                  </w:tcBorders>
                  <w:noWrap w:val="0"/>
                  <w:vAlign w:val="center"/>
                </w:tcPr>
                <w:p w14:paraId="1EDABD65">
                  <w:pPr>
                    <w:pStyle w:val="5"/>
                    <w:bidi w:val="0"/>
                    <w:rPr>
                      <w:lang w:val="en-US" w:eastAsia="zh-CN"/>
                    </w:rPr>
                  </w:pPr>
                  <w:r>
                    <w:rPr>
                      <w:lang w:val="en-US" w:eastAsia="zh-CN"/>
                    </w:rPr>
                    <w:t>符合</w:t>
                  </w:r>
                </w:p>
              </w:tc>
            </w:tr>
            <w:tr w14:paraId="51F9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 w:type="pct"/>
                  <w:gridSpan w:val="2"/>
                  <w:vMerge w:val="continue"/>
                  <w:tcBorders>
                    <w:tl2br w:val="nil"/>
                    <w:tr2bl w:val="nil"/>
                  </w:tcBorders>
                  <w:noWrap w:val="0"/>
                  <w:vAlign w:val="center"/>
                </w:tcPr>
                <w:p w14:paraId="69309655">
                  <w:pPr>
                    <w:pStyle w:val="5"/>
                    <w:bidi w:val="0"/>
                    <w:rPr>
                      <w:lang w:val="en-US" w:eastAsia="zh-CN"/>
                    </w:rPr>
                  </w:pPr>
                </w:p>
              </w:tc>
              <w:tc>
                <w:tcPr>
                  <w:tcW w:w="529" w:type="pct"/>
                  <w:vMerge w:val="continue"/>
                  <w:tcBorders>
                    <w:tl2br w:val="nil"/>
                    <w:tr2bl w:val="nil"/>
                  </w:tcBorders>
                  <w:noWrap w:val="0"/>
                  <w:vAlign w:val="center"/>
                </w:tcPr>
                <w:p w14:paraId="69441004">
                  <w:pPr>
                    <w:pStyle w:val="5"/>
                    <w:bidi w:val="0"/>
                    <w:rPr>
                      <w:lang w:val="en-US" w:eastAsia="zh-CN"/>
                    </w:rPr>
                  </w:pPr>
                </w:p>
              </w:tc>
              <w:tc>
                <w:tcPr>
                  <w:tcW w:w="1693" w:type="pct"/>
                  <w:tcBorders>
                    <w:tl2br w:val="nil"/>
                    <w:tr2bl w:val="nil"/>
                  </w:tcBorders>
                  <w:noWrap w:val="0"/>
                  <w:vAlign w:val="center"/>
                </w:tcPr>
                <w:p w14:paraId="7F1435E4">
                  <w:pPr>
                    <w:pStyle w:val="5"/>
                    <w:bidi w:val="0"/>
                    <w:rPr>
                      <w:lang w:val="en-US" w:eastAsia="zh-CN"/>
                    </w:rPr>
                  </w:pPr>
                  <w:r>
                    <w:rPr>
                      <w:lang w:val="en-US" w:eastAsia="zh-CN"/>
                    </w:rPr>
                    <w:t>2.上下游装置间宜通过管道直接输送，减少中间储罐；通过优化设备、储罐选型，加强源头、过程、末端全流程管控，减少污染物无组织排放；挥发性有机液体装载优先采用底部装载，采用顶部浸没式装载的应采用高效密封方式；废水预处理、污泥储存处置等环节密闭化；有机废气应收尽收，鼓励污水均质罐、污油罐、浮渣罐及酸性水罐有机废气收集处理；依据废气特征、挥发性有机物组分及浓度、生产工况等合理选择治理技术，高、低浓度有机废气分质收集处理，高浓度有机废气宜单独收集治理，优先回收利用，无法回收利用的采用预处理+催化氧化、焚烧等高效处理工艺，除单一恶臭异味治理外，一般不单独使用低温等离子、光催化、光氧化等技术；明确设备泄漏检测与修复（LDAR）制度。无组织废气应符合相应行业排放标准要求，厂区内挥发性有机物浓度应满足《挥发性有机物无组织排放控制标准》（GB37822）要求。</w:t>
                  </w:r>
                </w:p>
              </w:tc>
              <w:tc>
                <w:tcPr>
                  <w:tcW w:w="1950" w:type="pct"/>
                  <w:tcBorders>
                    <w:tl2br w:val="nil"/>
                    <w:tr2bl w:val="nil"/>
                  </w:tcBorders>
                  <w:noWrap w:val="0"/>
                  <w:vAlign w:val="center"/>
                </w:tcPr>
                <w:p w14:paraId="3A9768AA">
                  <w:pPr>
                    <w:pStyle w:val="5"/>
                    <w:bidi w:val="0"/>
                    <w:rPr>
                      <w:lang w:val="en-US" w:eastAsia="zh-CN"/>
                    </w:rPr>
                  </w:pPr>
                  <w:r>
                    <w:rPr>
                      <w:lang w:val="en-US" w:eastAsia="zh-CN"/>
                    </w:rPr>
                    <w:t>本项目</w:t>
                  </w:r>
                  <w:r>
                    <w:rPr>
                      <w:rFonts w:hint="eastAsia"/>
                      <w:lang w:val="en-US" w:eastAsia="zh-CN"/>
                    </w:rPr>
                    <w:t>选用全压力储罐储存1#轻烃和碳五烷烃，减少物料日常存储产生的挥发</w:t>
                  </w:r>
                  <w:r>
                    <w:rPr>
                      <w:lang w:val="en-US" w:eastAsia="zh-CN"/>
                    </w:rPr>
                    <w:t>，</w:t>
                  </w:r>
                  <w:r>
                    <w:rPr>
                      <w:rFonts w:hint="eastAsia"/>
                      <w:lang w:val="en-US" w:eastAsia="zh-CN"/>
                    </w:rPr>
                    <w:t>1#轻烃</w:t>
                  </w:r>
                  <w:r>
                    <w:rPr>
                      <w:lang w:val="en-US" w:eastAsia="zh-CN"/>
                    </w:rPr>
                    <w:t>均采用汽车装载，采用底部装载方式。装卸平台、罐区设1套油气回收系统，采用“冷凝+活性炭吸附”处理后排放；设备设有泄漏检测与修复（LDAR）设施；厂界非甲烷总烃无组织排放执行《石油化学工业污染物排放标准》（GB31571</w:t>
                  </w:r>
                  <w:r>
                    <w:rPr>
                      <w:rFonts w:hint="eastAsia"/>
                      <w:lang w:val="en-US" w:eastAsia="zh-CN"/>
                    </w:rPr>
                    <w:t>-2015</w:t>
                  </w:r>
                  <w:r>
                    <w:rPr>
                      <w:lang w:val="en-US" w:eastAsia="zh-CN"/>
                    </w:rPr>
                    <w:t>）</w:t>
                  </w:r>
                  <w:r>
                    <w:rPr>
                      <w:rFonts w:hint="eastAsia"/>
                      <w:lang w:val="en-US" w:eastAsia="zh-CN"/>
                    </w:rPr>
                    <w:t>（含2024年修改单）</w:t>
                  </w:r>
                  <w:r>
                    <w:rPr>
                      <w:lang w:val="en-US" w:eastAsia="zh-CN"/>
                    </w:rPr>
                    <w:t>浓度限值；厂区内VOCS无组织排放执行《挥发性有机物无组织排放控制标准》（GB37822-2019）附录A表A.1排放限值要求。</w:t>
                  </w:r>
                </w:p>
              </w:tc>
              <w:tc>
                <w:tcPr>
                  <w:tcW w:w="466" w:type="pct"/>
                  <w:tcBorders>
                    <w:tl2br w:val="nil"/>
                    <w:tr2bl w:val="nil"/>
                  </w:tcBorders>
                  <w:noWrap w:val="0"/>
                  <w:vAlign w:val="center"/>
                </w:tcPr>
                <w:p w14:paraId="641EA714">
                  <w:pPr>
                    <w:pStyle w:val="5"/>
                    <w:bidi w:val="0"/>
                    <w:rPr>
                      <w:lang w:val="en-US" w:eastAsia="zh-CN"/>
                    </w:rPr>
                  </w:pPr>
                  <w:r>
                    <w:rPr>
                      <w:lang w:val="en-US" w:eastAsia="zh-CN"/>
                    </w:rPr>
                    <w:t>符合</w:t>
                  </w:r>
                </w:p>
              </w:tc>
            </w:tr>
            <w:tr w14:paraId="7666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 w:type="pct"/>
                  <w:gridSpan w:val="2"/>
                  <w:vMerge w:val="continue"/>
                  <w:tcBorders>
                    <w:tl2br w:val="nil"/>
                    <w:tr2bl w:val="nil"/>
                  </w:tcBorders>
                  <w:noWrap w:val="0"/>
                  <w:vAlign w:val="center"/>
                </w:tcPr>
                <w:p w14:paraId="4AE5E01E">
                  <w:pPr>
                    <w:pStyle w:val="5"/>
                    <w:bidi w:val="0"/>
                    <w:rPr>
                      <w:lang w:val="en-US" w:eastAsia="zh-CN"/>
                    </w:rPr>
                  </w:pPr>
                </w:p>
              </w:tc>
              <w:tc>
                <w:tcPr>
                  <w:tcW w:w="529" w:type="pct"/>
                  <w:vMerge w:val="continue"/>
                  <w:tcBorders>
                    <w:tl2br w:val="nil"/>
                    <w:tr2bl w:val="nil"/>
                  </w:tcBorders>
                  <w:noWrap w:val="0"/>
                  <w:vAlign w:val="center"/>
                </w:tcPr>
                <w:p w14:paraId="4E4D420C">
                  <w:pPr>
                    <w:pStyle w:val="5"/>
                    <w:bidi w:val="0"/>
                    <w:rPr>
                      <w:lang w:val="en-US" w:eastAsia="zh-CN"/>
                    </w:rPr>
                  </w:pPr>
                </w:p>
              </w:tc>
              <w:tc>
                <w:tcPr>
                  <w:tcW w:w="1693" w:type="pct"/>
                  <w:tcBorders>
                    <w:tl2br w:val="nil"/>
                    <w:tr2bl w:val="nil"/>
                  </w:tcBorders>
                  <w:noWrap w:val="0"/>
                  <w:vAlign w:val="center"/>
                </w:tcPr>
                <w:p w14:paraId="7964C3DB">
                  <w:pPr>
                    <w:pStyle w:val="5"/>
                    <w:bidi w:val="0"/>
                    <w:rPr>
                      <w:lang w:val="en-US" w:eastAsia="zh-CN"/>
                    </w:rPr>
                  </w:pPr>
                  <w:r>
                    <w:rPr>
                      <w:lang w:val="en-US" w:eastAsia="zh-CN"/>
                    </w:rPr>
                    <w:t>3.做好雨污分流、清污分流、污污分流。废水分类收集、分质处理、优先回用，含油废水、含硫废水经处理后最大限度回用，含盐废水进行适当深度处理，污染雨水收集处理。石油天然气化工生产企业内部须设置必要的废水处理单元，废水经企业内部预处理后，应进入所在化工园区或化工聚集区集中污水处理厂进一步处理达标后排放或综合利用。</w:t>
                  </w:r>
                </w:p>
              </w:tc>
              <w:tc>
                <w:tcPr>
                  <w:tcW w:w="1950" w:type="pct"/>
                  <w:tcBorders>
                    <w:tl2br w:val="nil"/>
                    <w:tr2bl w:val="nil"/>
                  </w:tcBorders>
                  <w:noWrap w:val="0"/>
                  <w:vAlign w:val="center"/>
                </w:tcPr>
                <w:p w14:paraId="1CC73206">
                  <w:pPr>
                    <w:pStyle w:val="5"/>
                    <w:bidi w:val="0"/>
                    <w:rPr>
                      <w:lang w:val="en-US" w:eastAsia="zh-CN"/>
                    </w:rPr>
                  </w:pPr>
                  <w:r>
                    <w:rPr>
                      <w:lang w:val="en-US" w:eastAsia="zh-CN"/>
                    </w:rPr>
                    <w:t>本项目不新增废水，现有工程污水全部进入厂区污水处理设施。</w:t>
                  </w:r>
                </w:p>
              </w:tc>
              <w:tc>
                <w:tcPr>
                  <w:tcW w:w="466" w:type="pct"/>
                  <w:tcBorders>
                    <w:tl2br w:val="nil"/>
                    <w:tr2bl w:val="nil"/>
                  </w:tcBorders>
                  <w:noWrap w:val="0"/>
                  <w:vAlign w:val="center"/>
                </w:tcPr>
                <w:p w14:paraId="58C47C77">
                  <w:pPr>
                    <w:pStyle w:val="5"/>
                    <w:bidi w:val="0"/>
                    <w:rPr>
                      <w:lang w:val="en-US" w:eastAsia="zh-CN"/>
                    </w:rPr>
                  </w:pPr>
                  <w:r>
                    <w:rPr>
                      <w:lang w:val="en-US" w:eastAsia="zh-CN"/>
                    </w:rPr>
                    <w:t>符合</w:t>
                  </w:r>
                </w:p>
              </w:tc>
            </w:tr>
            <w:tr w14:paraId="4747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 w:type="pct"/>
                  <w:gridSpan w:val="2"/>
                  <w:vMerge w:val="continue"/>
                  <w:tcBorders>
                    <w:tl2br w:val="nil"/>
                    <w:tr2bl w:val="nil"/>
                  </w:tcBorders>
                  <w:noWrap w:val="0"/>
                  <w:vAlign w:val="center"/>
                </w:tcPr>
                <w:p w14:paraId="1C11AA70">
                  <w:pPr>
                    <w:pStyle w:val="5"/>
                    <w:bidi w:val="0"/>
                    <w:rPr>
                      <w:lang w:val="en-US" w:eastAsia="zh-CN"/>
                    </w:rPr>
                  </w:pPr>
                </w:p>
              </w:tc>
              <w:tc>
                <w:tcPr>
                  <w:tcW w:w="529" w:type="pct"/>
                  <w:vMerge w:val="continue"/>
                  <w:tcBorders>
                    <w:tl2br w:val="nil"/>
                    <w:tr2bl w:val="nil"/>
                  </w:tcBorders>
                  <w:noWrap w:val="0"/>
                  <w:vAlign w:val="center"/>
                </w:tcPr>
                <w:p w14:paraId="0040BF24">
                  <w:pPr>
                    <w:pStyle w:val="5"/>
                    <w:bidi w:val="0"/>
                    <w:rPr>
                      <w:lang w:val="en-US" w:eastAsia="zh-CN"/>
                    </w:rPr>
                  </w:pPr>
                </w:p>
              </w:tc>
              <w:tc>
                <w:tcPr>
                  <w:tcW w:w="1693" w:type="pct"/>
                  <w:tcBorders>
                    <w:tl2br w:val="nil"/>
                    <w:tr2bl w:val="nil"/>
                  </w:tcBorders>
                  <w:noWrap w:val="0"/>
                  <w:vAlign w:val="center"/>
                </w:tcPr>
                <w:p w14:paraId="3D917CE4">
                  <w:pPr>
                    <w:pStyle w:val="5"/>
                    <w:bidi w:val="0"/>
                    <w:rPr>
                      <w:lang w:val="en-US" w:eastAsia="zh-CN"/>
                    </w:rPr>
                  </w:pPr>
                  <w:r>
                    <w:rPr>
                      <w:lang w:val="en-US" w:eastAsia="zh-CN"/>
                    </w:rPr>
                    <w:t>4.噪声排放执行《工业企业厂界环境噪声排放标准》（GB12348）。</w:t>
                  </w:r>
                </w:p>
              </w:tc>
              <w:tc>
                <w:tcPr>
                  <w:tcW w:w="1950" w:type="pct"/>
                  <w:tcBorders>
                    <w:tl2br w:val="nil"/>
                    <w:tr2bl w:val="nil"/>
                  </w:tcBorders>
                  <w:noWrap w:val="0"/>
                  <w:vAlign w:val="center"/>
                </w:tcPr>
                <w:p w14:paraId="4CF639E7">
                  <w:pPr>
                    <w:pStyle w:val="5"/>
                    <w:bidi w:val="0"/>
                    <w:rPr>
                      <w:lang w:val="en-US" w:eastAsia="zh-CN"/>
                    </w:rPr>
                  </w:pPr>
                  <w:r>
                    <w:rPr>
                      <w:lang w:val="en-US" w:eastAsia="zh-CN"/>
                    </w:rPr>
                    <w:t>噪声排放执行《工业企业厂界环境噪声排放标准》（GB12348-2008）。</w:t>
                  </w:r>
                </w:p>
              </w:tc>
              <w:tc>
                <w:tcPr>
                  <w:tcW w:w="466" w:type="pct"/>
                  <w:tcBorders>
                    <w:tl2br w:val="nil"/>
                    <w:tr2bl w:val="nil"/>
                  </w:tcBorders>
                  <w:noWrap w:val="0"/>
                  <w:vAlign w:val="center"/>
                </w:tcPr>
                <w:p w14:paraId="1ACCF67F">
                  <w:pPr>
                    <w:pStyle w:val="5"/>
                    <w:bidi w:val="0"/>
                    <w:rPr>
                      <w:lang w:val="en-US" w:eastAsia="zh-CN"/>
                    </w:rPr>
                  </w:pPr>
                  <w:r>
                    <w:rPr>
                      <w:lang w:val="en-US" w:eastAsia="zh-CN"/>
                    </w:rPr>
                    <w:t>符合</w:t>
                  </w:r>
                </w:p>
              </w:tc>
            </w:tr>
            <w:tr w14:paraId="3CCF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 w:type="pct"/>
                  <w:gridSpan w:val="2"/>
                  <w:vMerge w:val="continue"/>
                  <w:tcBorders>
                    <w:tl2br w:val="nil"/>
                    <w:tr2bl w:val="nil"/>
                  </w:tcBorders>
                  <w:noWrap w:val="0"/>
                  <w:vAlign w:val="center"/>
                </w:tcPr>
                <w:p w14:paraId="12818A8D">
                  <w:pPr>
                    <w:pStyle w:val="5"/>
                    <w:bidi w:val="0"/>
                    <w:rPr>
                      <w:lang w:val="en-US" w:eastAsia="zh-CN"/>
                    </w:rPr>
                  </w:pPr>
                </w:p>
              </w:tc>
              <w:tc>
                <w:tcPr>
                  <w:tcW w:w="529" w:type="pct"/>
                  <w:vMerge w:val="continue"/>
                  <w:tcBorders>
                    <w:tl2br w:val="nil"/>
                    <w:tr2bl w:val="nil"/>
                  </w:tcBorders>
                  <w:noWrap w:val="0"/>
                  <w:vAlign w:val="center"/>
                </w:tcPr>
                <w:p w14:paraId="4787D8C7">
                  <w:pPr>
                    <w:pStyle w:val="5"/>
                    <w:bidi w:val="0"/>
                    <w:rPr>
                      <w:lang w:val="en-US" w:eastAsia="zh-CN"/>
                    </w:rPr>
                  </w:pPr>
                </w:p>
              </w:tc>
              <w:tc>
                <w:tcPr>
                  <w:tcW w:w="1693" w:type="pct"/>
                  <w:tcBorders>
                    <w:tl2br w:val="nil"/>
                    <w:tr2bl w:val="nil"/>
                  </w:tcBorders>
                  <w:noWrap w:val="0"/>
                  <w:vAlign w:val="center"/>
                </w:tcPr>
                <w:p w14:paraId="3AD9496D">
                  <w:pPr>
                    <w:pStyle w:val="5"/>
                    <w:bidi w:val="0"/>
                    <w:rPr>
                      <w:lang w:val="en-US" w:eastAsia="zh-CN"/>
                    </w:rPr>
                  </w:pPr>
                  <w:r>
                    <w:rPr>
                      <w:lang w:val="en-US" w:eastAsia="zh-CN"/>
                    </w:rPr>
                    <w:t>5.固体废物处置（理）应符合有关法律法规和环保标准要求的规定，工业固体废物无害化处置率须达到100%。一般工业固体废物和危险废物贮存和处置应分别达到《一般工业固体废物贮存和填埋污染控制标准》（GB 18599）和《危险废物贮存污染控制标准》（GB18597）、《危险废物填埋污染控制标准》（GB18598）等相关要求。</w:t>
                  </w:r>
                </w:p>
              </w:tc>
              <w:tc>
                <w:tcPr>
                  <w:tcW w:w="1950" w:type="pct"/>
                  <w:tcBorders>
                    <w:tl2br w:val="nil"/>
                    <w:tr2bl w:val="nil"/>
                  </w:tcBorders>
                  <w:noWrap w:val="0"/>
                  <w:vAlign w:val="center"/>
                </w:tcPr>
                <w:p w14:paraId="1B3384A0">
                  <w:pPr>
                    <w:pStyle w:val="5"/>
                    <w:bidi w:val="0"/>
                    <w:rPr>
                      <w:lang w:val="en-US" w:eastAsia="zh-CN"/>
                    </w:rPr>
                  </w:pPr>
                  <w:r>
                    <w:rPr>
                      <w:lang w:val="en-US" w:eastAsia="zh-CN"/>
                    </w:rPr>
                    <w:t>一般工业固体废物贮存、处置执行《一般工业固体废物贮存和填埋污染控制标准》（GB18599-2020）；危险废物执行《危险废物贮存污染控制标准》（GB18597-2023）；生活垃圾处置执行《生活垃圾填埋污染控制标准》（GB16889-2024）。</w:t>
                  </w:r>
                </w:p>
              </w:tc>
              <w:tc>
                <w:tcPr>
                  <w:tcW w:w="466" w:type="pct"/>
                  <w:tcBorders>
                    <w:tl2br w:val="nil"/>
                    <w:tr2bl w:val="nil"/>
                  </w:tcBorders>
                  <w:noWrap w:val="0"/>
                  <w:vAlign w:val="center"/>
                </w:tcPr>
                <w:p w14:paraId="7000876E">
                  <w:pPr>
                    <w:pStyle w:val="5"/>
                    <w:bidi w:val="0"/>
                    <w:rPr>
                      <w:lang w:val="en-US" w:eastAsia="zh-CN"/>
                    </w:rPr>
                  </w:pPr>
                  <w:r>
                    <w:rPr>
                      <w:lang w:val="en-US" w:eastAsia="zh-CN"/>
                    </w:rPr>
                    <w:t>符合</w:t>
                  </w:r>
                </w:p>
              </w:tc>
            </w:tr>
            <w:tr w14:paraId="56C7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 w:type="pct"/>
                  <w:gridSpan w:val="2"/>
                  <w:vMerge w:val="continue"/>
                  <w:tcBorders>
                    <w:tl2br w:val="nil"/>
                    <w:tr2bl w:val="nil"/>
                  </w:tcBorders>
                  <w:noWrap w:val="0"/>
                  <w:vAlign w:val="center"/>
                </w:tcPr>
                <w:p w14:paraId="75EC5B48">
                  <w:pPr>
                    <w:pStyle w:val="5"/>
                    <w:bidi w:val="0"/>
                    <w:rPr>
                      <w:lang w:val="en-US" w:eastAsia="zh-CN"/>
                    </w:rPr>
                  </w:pPr>
                </w:p>
              </w:tc>
              <w:tc>
                <w:tcPr>
                  <w:tcW w:w="529" w:type="pct"/>
                  <w:vMerge w:val="continue"/>
                  <w:tcBorders>
                    <w:tl2br w:val="nil"/>
                    <w:tr2bl w:val="nil"/>
                  </w:tcBorders>
                  <w:noWrap w:val="0"/>
                  <w:vAlign w:val="center"/>
                </w:tcPr>
                <w:p w14:paraId="760B8B9B">
                  <w:pPr>
                    <w:pStyle w:val="5"/>
                    <w:bidi w:val="0"/>
                    <w:rPr>
                      <w:lang w:val="en-US" w:eastAsia="zh-CN"/>
                    </w:rPr>
                  </w:pPr>
                </w:p>
              </w:tc>
              <w:tc>
                <w:tcPr>
                  <w:tcW w:w="1693" w:type="pct"/>
                  <w:tcBorders>
                    <w:tl2br w:val="nil"/>
                    <w:tr2bl w:val="nil"/>
                  </w:tcBorders>
                  <w:noWrap w:val="0"/>
                  <w:vAlign w:val="center"/>
                </w:tcPr>
                <w:p w14:paraId="5F13C6D7">
                  <w:pPr>
                    <w:pStyle w:val="5"/>
                    <w:bidi w:val="0"/>
                    <w:rPr>
                      <w:lang w:val="en-US" w:eastAsia="zh-CN"/>
                    </w:rPr>
                  </w:pPr>
                  <w:r>
                    <w:rPr>
                      <w:lang w:val="en-US" w:eastAsia="zh-CN"/>
                    </w:rPr>
                    <w:t>6.新建、扩建项目应采用先进适用的工艺技术和装备，单位产品物耗、能耗、水耗、污染物排放量和资源综合利用率等应达到行业先进水平。炼油、乙烯、对二甲苯项目能效应达到行业标杆水平。</w:t>
                  </w:r>
                </w:p>
              </w:tc>
              <w:tc>
                <w:tcPr>
                  <w:tcW w:w="1950" w:type="pct"/>
                  <w:tcBorders>
                    <w:tl2br w:val="nil"/>
                    <w:tr2bl w:val="nil"/>
                  </w:tcBorders>
                  <w:noWrap w:val="0"/>
                  <w:vAlign w:val="center"/>
                </w:tcPr>
                <w:p w14:paraId="6532046E">
                  <w:pPr>
                    <w:pStyle w:val="5"/>
                    <w:bidi w:val="0"/>
                    <w:rPr>
                      <w:lang w:val="en-US" w:eastAsia="zh-CN"/>
                    </w:rPr>
                  </w:pPr>
                  <w:r>
                    <w:rPr>
                      <w:lang w:val="en-US" w:eastAsia="zh-CN"/>
                    </w:rPr>
                    <w:t>本项目采用先进的工艺、节能型设备，提高项目单位产品综合能耗水平；对产生的“三废”尽量回收利用，单位产品物耗、能耗、水耗、污染物排放量和资源综合利用率等应达到行业先进水平。</w:t>
                  </w:r>
                </w:p>
              </w:tc>
              <w:tc>
                <w:tcPr>
                  <w:tcW w:w="466" w:type="pct"/>
                  <w:tcBorders>
                    <w:tl2br w:val="nil"/>
                    <w:tr2bl w:val="nil"/>
                  </w:tcBorders>
                  <w:noWrap w:val="0"/>
                  <w:vAlign w:val="center"/>
                </w:tcPr>
                <w:p w14:paraId="29BEEEA3">
                  <w:pPr>
                    <w:pStyle w:val="5"/>
                    <w:bidi w:val="0"/>
                    <w:rPr>
                      <w:lang w:val="en-US" w:eastAsia="zh-CN"/>
                    </w:rPr>
                  </w:pPr>
                  <w:r>
                    <w:rPr>
                      <w:lang w:val="en-US" w:eastAsia="zh-CN"/>
                    </w:rPr>
                    <w:t>符合</w:t>
                  </w:r>
                </w:p>
              </w:tc>
            </w:tr>
            <w:tr w14:paraId="2A74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0" w:type="pct"/>
                  <w:gridSpan w:val="2"/>
                  <w:vMerge w:val="continue"/>
                  <w:tcBorders>
                    <w:tl2br w:val="nil"/>
                    <w:tr2bl w:val="nil"/>
                  </w:tcBorders>
                  <w:noWrap w:val="0"/>
                  <w:vAlign w:val="center"/>
                </w:tcPr>
                <w:p w14:paraId="485A12DE">
                  <w:pPr>
                    <w:pStyle w:val="5"/>
                    <w:bidi w:val="0"/>
                    <w:rPr>
                      <w:lang w:val="en-US" w:eastAsia="zh-CN"/>
                    </w:rPr>
                  </w:pPr>
                </w:p>
              </w:tc>
              <w:tc>
                <w:tcPr>
                  <w:tcW w:w="529" w:type="pct"/>
                  <w:vMerge w:val="continue"/>
                  <w:tcBorders>
                    <w:tl2br w:val="nil"/>
                    <w:tr2bl w:val="nil"/>
                  </w:tcBorders>
                  <w:noWrap w:val="0"/>
                  <w:vAlign w:val="center"/>
                </w:tcPr>
                <w:p w14:paraId="03FEF758">
                  <w:pPr>
                    <w:pStyle w:val="5"/>
                    <w:bidi w:val="0"/>
                    <w:rPr>
                      <w:lang w:val="en-US" w:eastAsia="zh-CN"/>
                    </w:rPr>
                  </w:pPr>
                </w:p>
              </w:tc>
              <w:tc>
                <w:tcPr>
                  <w:tcW w:w="1693" w:type="pct"/>
                  <w:tcBorders>
                    <w:tl2br w:val="nil"/>
                    <w:tr2bl w:val="nil"/>
                  </w:tcBorders>
                  <w:noWrap w:val="0"/>
                  <w:vAlign w:val="center"/>
                </w:tcPr>
                <w:p w14:paraId="072CE3BE">
                  <w:pPr>
                    <w:pStyle w:val="5"/>
                    <w:bidi w:val="0"/>
                    <w:rPr>
                      <w:lang w:val="en-US" w:eastAsia="zh-CN"/>
                    </w:rPr>
                  </w:pPr>
                  <w:r>
                    <w:rPr>
                      <w:lang w:val="en-US" w:eastAsia="zh-CN"/>
                    </w:rPr>
                    <w:t>7.将温室气体排放纳入建设项目环境影响评价，核算建设项目温室气体排放量，推进减污降碳协同增效，推动减碳技术创新示范应用。</w:t>
                  </w:r>
                </w:p>
              </w:tc>
              <w:tc>
                <w:tcPr>
                  <w:tcW w:w="1950" w:type="pct"/>
                  <w:tcBorders>
                    <w:tl2br w:val="nil"/>
                    <w:tr2bl w:val="nil"/>
                  </w:tcBorders>
                  <w:noWrap w:val="0"/>
                  <w:vAlign w:val="center"/>
                </w:tcPr>
                <w:p w14:paraId="315BA93D">
                  <w:pPr>
                    <w:pStyle w:val="5"/>
                    <w:bidi w:val="0"/>
                    <w:rPr>
                      <w:lang w:val="en-US" w:eastAsia="zh-CN"/>
                    </w:rPr>
                  </w:pPr>
                  <w:r>
                    <w:rPr>
                      <w:lang w:val="en-US" w:eastAsia="zh-CN"/>
                    </w:rPr>
                    <w:t>项目</w:t>
                  </w:r>
                  <w:r>
                    <w:rPr>
                      <w:rFonts w:hint="eastAsia"/>
                      <w:lang w:val="en-US" w:eastAsia="zh-CN"/>
                    </w:rPr>
                    <w:t>不涉及</w:t>
                  </w:r>
                  <w:r>
                    <w:rPr>
                      <w:lang w:val="en-US" w:eastAsia="zh-CN"/>
                    </w:rPr>
                    <w:t>温室气体排放。</w:t>
                  </w:r>
                </w:p>
              </w:tc>
              <w:tc>
                <w:tcPr>
                  <w:tcW w:w="466" w:type="pct"/>
                  <w:tcBorders>
                    <w:tl2br w:val="nil"/>
                    <w:tr2bl w:val="nil"/>
                  </w:tcBorders>
                  <w:noWrap w:val="0"/>
                  <w:vAlign w:val="center"/>
                </w:tcPr>
                <w:p w14:paraId="0B66FB64">
                  <w:pPr>
                    <w:pStyle w:val="5"/>
                    <w:bidi w:val="0"/>
                    <w:rPr>
                      <w:lang w:val="en-US" w:eastAsia="zh-CN"/>
                    </w:rPr>
                  </w:pPr>
                  <w:r>
                    <w:rPr>
                      <w:lang w:val="en-US" w:eastAsia="zh-CN"/>
                    </w:rPr>
                    <w:t>符合</w:t>
                  </w:r>
                </w:p>
              </w:tc>
            </w:tr>
          </w:tbl>
          <w:p w14:paraId="00C4A6EB">
            <w:pPr>
              <w:widowControl w:val="0"/>
              <w:spacing w:line="360" w:lineRule="auto"/>
              <w:ind w:firstLine="480" w:firstLineChars="200"/>
              <w:jc w:val="both"/>
              <w:rPr>
                <w:rFonts w:eastAsia="宋体"/>
                <w:kern w:val="2"/>
                <w:lang w:val="en-US" w:eastAsia="zh-CN" w:bidi="ar-SA"/>
              </w:rPr>
            </w:pPr>
            <w:r>
              <w:rPr>
                <w:rFonts w:eastAsia="宋体"/>
                <w:kern w:val="2"/>
                <w:lang w:val="en-US" w:eastAsia="zh-CN" w:bidi="ar-SA"/>
              </w:rPr>
              <w:t>综上分析，本项目符合《新疆维吾尔自治区重点行业生态环境准入条件（2024年）》（新环环评发〔2024〕93号）要求。</w:t>
            </w:r>
          </w:p>
          <w:p w14:paraId="7885E099">
            <w:pPr>
              <w:keepNext/>
              <w:keepLines/>
              <w:pageBreakBefore w:val="0"/>
              <w:widowControl w:val="0"/>
              <w:kinsoku/>
              <w:wordWrap/>
              <w:overflowPunct/>
              <w:topLinePunct w:val="0"/>
              <w:autoSpaceDE/>
              <w:autoSpaceDN/>
              <w:bidi w:val="0"/>
              <w:adjustRightInd/>
              <w:snapToGrid/>
              <w:spacing w:line="360" w:lineRule="auto"/>
              <w:jc w:val="both"/>
              <w:textAlignment w:val="auto"/>
              <w:outlineLvl w:val="3"/>
              <w:rPr>
                <w:rFonts w:eastAsia="宋体"/>
                <w:b/>
                <w:bCs/>
                <w:kern w:val="2"/>
                <w:lang w:val="en-US" w:eastAsia="zh-CN" w:bidi="ar-SA"/>
              </w:rPr>
            </w:pPr>
            <w:r>
              <w:rPr>
                <w:rFonts w:eastAsia="宋体"/>
                <w:b/>
                <w:bCs/>
                <w:kern w:val="2"/>
                <w:lang w:val="en-US" w:eastAsia="zh-CN" w:bidi="ar-SA"/>
              </w:rPr>
              <w:t>4</w:t>
            </w:r>
            <w:r>
              <w:rPr>
                <w:rFonts w:hint="eastAsia"/>
                <w:b/>
                <w:bCs/>
                <w:kern w:val="2"/>
                <w:lang w:val="en-US" w:eastAsia="zh-CN" w:bidi="ar-SA"/>
              </w:rPr>
              <w:t xml:space="preserve"> </w:t>
            </w:r>
            <w:r>
              <w:rPr>
                <w:rFonts w:eastAsia="宋体"/>
                <w:b/>
                <w:bCs/>
                <w:kern w:val="2"/>
                <w:lang w:val="en-US" w:eastAsia="zh-CN" w:bidi="ar-SA"/>
              </w:rPr>
              <w:t>与《市场准入负面清单（2025年版）》的符合性分析</w:t>
            </w:r>
          </w:p>
          <w:p w14:paraId="05AEB87E">
            <w:pPr>
              <w:widowControl w:val="0"/>
              <w:spacing w:line="360" w:lineRule="auto"/>
              <w:ind w:firstLine="480" w:firstLineChars="200"/>
              <w:jc w:val="both"/>
              <w:rPr>
                <w:rFonts w:eastAsia="宋体"/>
                <w:kern w:val="2"/>
                <w:lang w:val="en-US" w:eastAsia="zh-CN" w:bidi="ar-SA"/>
              </w:rPr>
            </w:pPr>
            <w:r>
              <w:rPr>
                <w:rFonts w:eastAsia="宋体"/>
                <w:kern w:val="2"/>
                <w:lang w:val="en-US" w:eastAsia="zh-CN" w:bidi="ar-SA"/>
              </w:rPr>
              <w:t>本项目与《市场准入负面清单（2025年版）》（发改体改规〔2025〕466号）符合性分析见表</w:t>
            </w:r>
            <w:r>
              <w:rPr>
                <w:rFonts w:hint="eastAsia" w:eastAsia="宋体"/>
                <w:kern w:val="2"/>
                <w:lang w:val="en-US" w:eastAsia="zh-CN" w:bidi="ar-SA"/>
              </w:rPr>
              <w:t>1-</w:t>
            </w:r>
            <w:r>
              <w:rPr>
                <w:rFonts w:hint="eastAsia"/>
                <w:kern w:val="2"/>
                <w:lang w:val="en-US" w:eastAsia="zh-CN" w:bidi="ar-SA"/>
              </w:rPr>
              <w:t>4</w:t>
            </w:r>
            <w:r>
              <w:rPr>
                <w:rFonts w:eastAsia="宋体"/>
                <w:kern w:val="2"/>
                <w:lang w:val="en-US" w:eastAsia="zh-CN" w:bidi="ar-SA"/>
              </w:rPr>
              <w:t>。</w:t>
            </w:r>
          </w:p>
          <w:p w14:paraId="156FA795">
            <w:pPr>
              <w:pStyle w:val="4"/>
              <w:bidi w:val="0"/>
              <w:rPr>
                <w:lang w:val="en-US" w:eastAsia="zh-CN"/>
              </w:rPr>
            </w:pPr>
            <w:r>
              <w:rPr>
                <w:lang w:val="en-US" w:eastAsia="zh-CN"/>
              </w:rPr>
              <w:t>表</w:t>
            </w:r>
            <w:r>
              <w:rPr>
                <w:rFonts w:hint="eastAsia"/>
                <w:lang w:val="en-US" w:eastAsia="zh-CN"/>
              </w:rPr>
              <w:t xml:space="preserve">1-4 </w:t>
            </w:r>
            <w:r>
              <w:rPr>
                <w:lang w:val="en-US" w:eastAsia="zh-CN"/>
              </w:rPr>
              <w:t xml:space="preserve"> 与《市场准入负面清单（2025年版）》符合性分析一览表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10"/>
              <w:gridCol w:w="2085"/>
              <w:gridCol w:w="3680"/>
              <w:gridCol w:w="650"/>
            </w:tblGrid>
            <w:tr w14:paraId="7CBC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5000" w:type="pct"/>
                  <w:gridSpan w:val="4"/>
                  <w:noWrap w:val="0"/>
                  <w:vAlign w:val="center"/>
                </w:tcPr>
                <w:p w14:paraId="11FF3212">
                  <w:pPr>
                    <w:pStyle w:val="5"/>
                    <w:bidi w:val="0"/>
                    <w:rPr>
                      <w:lang w:val="en-US" w:eastAsia="zh-CN"/>
                    </w:rPr>
                  </w:pPr>
                  <w:r>
                    <w:rPr>
                      <w:lang w:val="en-US" w:eastAsia="zh-CN"/>
                    </w:rPr>
                    <w:t>一、禁止准入类</w:t>
                  </w:r>
                </w:p>
              </w:tc>
            </w:tr>
            <w:tr w14:paraId="0131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1003" w:type="pct"/>
                  <w:noWrap w:val="0"/>
                  <w:vAlign w:val="center"/>
                </w:tcPr>
                <w:p w14:paraId="5A83B663">
                  <w:pPr>
                    <w:pStyle w:val="5"/>
                    <w:bidi w:val="0"/>
                    <w:rPr>
                      <w:lang w:val="en-US" w:eastAsia="zh-CN"/>
                    </w:rPr>
                  </w:pPr>
                  <w:r>
                    <w:rPr>
                      <w:lang w:val="en-US" w:eastAsia="zh-CN"/>
                    </w:rPr>
                    <w:t>禁止或许可事项</w:t>
                  </w:r>
                </w:p>
              </w:tc>
              <w:tc>
                <w:tcPr>
                  <w:tcW w:w="1299" w:type="pct"/>
                  <w:noWrap w:val="0"/>
                  <w:vAlign w:val="center"/>
                </w:tcPr>
                <w:p w14:paraId="76B760AA">
                  <w:pPr>
                    <w:pStyle w:val="5"/>
                    <w:bidi w:val="0"/>
                    <w:rPr>
                      <w:lang w:val="en-US" w:eastAsia="zh-CN"/>
                    </w:rPr>
                  </w:pPr>
                  <w:r>
                    <w:rPr>
                      <w:lang w:val="en-US" w:eastAsia="zh-CN"/>
                    </w:rPr>
                    <w:t>禁止或许可准入措施描述</w:t>
                  </w:r>
                </w:p>
              </w:tc>
              <w:tc>
                <w:tcPr>
                  <w:tcW w:w="2293" w:type="pct"/>
                  <w:noWrap w:val="0"/>
                  <w:vAlign w:val="center"/>
                </w:tcPr>
                <w:p w14:paraId="073F1885">
                  <w:pPr>
                    <w:pStyle w:val="5"/>
                    <w:bidi w:val="0"/>
                    <w:rPr>
                      <w:lang w:val="en-US" w:eastAsia="zh-CN"/>
                    </w:rPr>
                  </w:pPr>
                  <w:r>
                    <w:rPr>
                      <w:lang w:val="en-US" w:eastAsia="zh-CN"/>
                    </w:rPr>
                    <w:t>本项目情况</w:t>
                  </w:r>
                </w:p>
              </w:tc>
              <w:tc>
                <w:tcPr>
                  <w:tcW w:w="403" w:type="pct"/>
                  <w:noWrap w:val="0"/>
                  <w:vAlign w:val="center"/>
                </w:tcPr>
                <w:p w14:paraId="2F3DF85B">
                  <w:pPr>
                    <w:pStyle w:val="5"/>
                    <w:bidi w:val="0"/>
                    <w:rPr>
                      <w:lang w:val="en-US" w:eastAsia="zh-CN"/>
                    </w:rPr>
                  </w:pPr>
                  <w:r>
                    <w:rPr>
                      <w:lang w:val="en-US" w:eastAsia="zh-CN"/>
                    </w:rPr>
                    <w:t>符合性</w:t>
                  </w:r>
                </w:p>
              </w:tc>
            </w:tr>
            <w:tr w14:paraId="4A2C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 w:hRule="atLeast"/>
                <w:jc w:val="center"/>
              </w:trPr>
              <w:tc>
                <w:tcPr>
                  <w:tcW w:w="1003" w:type="pct"/>
                  <w:noWrap w:val="0"/>
                  <w:vAlign w:val="center"/>
                </w:tcPr>
                <w:p w14:paraId="024423FE">
                  <w:pPr>
                    <w:pStyle w:val="5"/>
                    <w:bidi w:val="0"/>
                    <w:rPr>
                      <w:lang w:val="en-US" w:eastAsia="zh-CN"/>
                    </w:rPr>
                  </w:pPr>
                  <w:r>
                    <w:rPr>
                      <w:lang w:val="en-US" w:eastAsia="zh-CN"/>
                    </w:rPr>
                    <w:t>国家产业政策明令淘汰和限制的产品、技术、工艺、设备及行为</w:t>
                  </w:r>
                </w:p>
              </w:tc>
              <w:tc>
                <w:tcPr>
                  <w:tcW w:w="1299" w:type="pct"/>
                  <w:noWrap w:val="0"/>
                  <w:vAlign w:val="center"/>
                </w:tcPr>
                <w:p w14:paraId="260E5E80">
                  <w:pPr>
                    <w:pStyle w:val="5"/>
                    <w:bidi w:val="0"/>
                    <w:rPr>
                      <w:lang w:val="en-US" w:eastAsia="zh-CN"/>
                    </w:rPr>
                  </w:pPr>
                  <w:r>
                    <w:rPr>
                      <w:lang w:val="en-US" w:eastAsia="zh-CN"/>
                    </w:rPr>
                    <w:t>《产业结构调整指导目录》中的淘汰类项目，禁止投资；限制类项目，禁止新建。</w:t>
                  </w:r>
                </w:p>
              </w:tc>
              <w:tc>
                <w:tcPr>
                  <w:tcW w:w="2293" w:type="pct"/>
                  <w:noWrap w:val="0"/>
                  <w:vAlign w:val="center"/>
                </w:tcPr>
                <w:p w14:paraId="064A7594">
                  <w:pPr>
                    <w:pStyle w:val="5"/>
                    <w:bidi w:val="0"/>
                    <w:rPr>
                      <w:lang w:val="en-US" w:eastAsia="zh-CN"/>
                    </w:rPr>
                  </w:pPr>
                  <w:r>
                    <w:rPr>
                      <w:lang w:val="en-US" w:eastAsia="zh-CN"/>
                    </w:rPr>
                    <w:t>本项目建设符合国家、自治区相关法律法规、产业政策要求，采用的工艺、技术和设备符合《产业结构调整指导目录（2024年本）》，未采用国家和自治区淘汰或禁止使用的工艺、技术和设备。</w:t>
                  </w:r>
                </w:p>
              </w:tc>
              <w:tc>
                <w:tcPr>
                  <w:tcW w:w="403" w:type="pct"/>
                  <w:noWrap w:val="0"/>
                  <w:vAlign w:val="center"/>
                </w:tcPr>
                <w:p w14:paraId="58F29A64">
                  <w:pPr>
                    <w:pStyle w:val="5"/>
                    <w:bidi w:val="0"/>
                    <w:rPr>
                      <w:lang w:val="en-US" w:eastAsia="zh-CN"/>
                    </w:rPr>
                  </w:pPr>
                  <w:r>
                    <w:rPr>
                      <w:lang w:val="en-US" w:eastAsia="zh-CN"/>
                    </w:rPr>
                    <w:t>符合</w:t>
                  </w:r>
                </w:p>
              </w:tc>
            </w:tr>
            <w:tr w14:paraId="1431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1003" w:type="pct"/>
                  <w:noWrap w:val="0"/>
                  <w:vAlign w:val="center"/>
                </w:tcPr>
                <w:p w14:paraId="32F00FAA">
                  <w:pPr>
                    <w:pStyle w:val="5"/>
                    <w:bidi w:val="0"/>
                    <w:rPr>
                      <w:lang w:val="en-US" w:eastAsia="zh-CN"/>
                    </w:rPr>
                  </w:pPr>
                  <w:r>
                    <w:rPr>
                      <w:lang w:val="en-US" w:eastAsia="zh-CN"/>
                    </w:rPr>
                    <w:t>不符合主体功能区建设要求的各类开发活动</w:t>
                  </w:r>
                </w:p>
              </w:tc>
              <w:tc>
                <w:tcPr>
                  <w:tcW w:w="1299" w:type="pct"/>
                  <w:noWrap w:val="0"/>
                  <w:vAlign w:val="center"/>
                </w:tcPr>
                <w:p w14:paraId="1EF5C9C1">
                  <w:pPr>
                    <w:pStyle w:val="5"/>
                    <w:bidi w:val="0"/>
                    <w:rPr>
                      <w:lang w:val="en-US" w:eastAsia="zh-CN"/>
                    </w:rPr>
                  </w:pPr>
                  <w:r>
                    <w:rPr>
                      <w:lang w:val="en-US" w:eastAsia="zh-CN"/>
                    </w:rPr>
                    <w:t>地方国家重点生态功能区产业准入负面清单（或禁止限制目录）、农产品主产区产业准入负面清单（或禁止限制目录）所列有关事项。</w:t>
                  </w:r>
                </w:p>
              </w:tc>
              <w:tc>
                <w:tcPr>
                  <w:tcW w:w="2293" w:type="pct"/>
                  <w:noWrap w:val="0"/>
                  <w:vAlign w:val="center"/>
                </w:tcPr>
                <w:p w14:paraId="42D3C622">
                  <w:pPr>
                    <w:pStyle w:val="5"/>
                    <w:bidi w:val="0"/>
                    <w:rPr>
                      <w:lang w:val="en-US" w:eastAsia="zh-CN"/>
                    </w:rPr>
                  </w:pPr>
                  <w:r>
                    <w:rPr>
                      <w:lang w:val="en-US" w:eastAsia="zh-CN"/>
                    </w:rPr>
                    <w:t>本项目位于轮台工业园区，符合国家、自治区主体功能区规划和各地颁布实施的生态环境功能区规划和</w:t>
                  </w:r>
                  <w:r>
                    <w:rPr>
                      <w:rFonts w:hint="eastAsia"/>
                      <w:lang w:val="en-US" w:eastAsia="zh-CN"/>
                    </w:rPr>
                    <w:t>生态保护红线</w:t>
                  </w:r>
                  <w:r>
                    <w:rPr>
                      <w:lang w:val="en-US" w:eastAsia="zh-CN"/>
                    </w:rPr>
                    <w:t>、国民经济发展规划、产业发展规划、城乡总体规划、土地利用规划等相关规划及重点生态功能区负面清单要求，符合区域或产业规划环评要求。</w:t>
                  </w:r>
                </w:p>
              </w:tc>
              <w:tc>
                <w:tcPr>
                  <w:tcW w:w="403" w:type="pct"/>
                  <w:noWrap w:val="0"/>
                  <w:vAlign w:val="center"/>
                </w:tcPr>
                <w:p w14:paraId="3F946451">
                  <w:pPr>
                    <w:pStyle w:val="5"/>
                    <w:bidi w:val="0"/>
                    <w:rPr>
                      <w:lang w:val="en-US" w:eastAsia="zh-CN"/>
                    </w:rPr>
                  </w:pPr>
                  <w:r>
                    <w:rPr>
                      <w:lang w:val="en-US" w:eastAsia="zh-CN"/>
                    </w:rPr>
                    <w:t>符合</w:t>
                  </w:r>
                </w:p>
              </w:tc>
            </w:tr>
          </w:tbl>
          <w:p w14:paraId="3BB21B5C">
            <w:pPr>
              <w:widowControl w:val="0"/>
              <w:spacing w:line="360" w:lineRule="auto"/>
              <w:ind w:firstLine="480" w:firstLineChars="200"/>
              <w:jc w:val="both"/>
              <w:rPr>
                <w:rFonts w:eastAsia="宋体"/>
                <w:kern w:val="2"/>
                <w:lang w:val="en-US" w:eastAsia="zh-CN" w:bidi="ar-SA"/>
              </w:rPr>
            </w:pPr>
            <w:r>
              <w:rPr>
                <w:rFonts w:eastAsia="宋体"/>
                <w:kern w:val="2"/>
                <w:lang w:val="en-US" w:eastAsia="zh-CN" w:bidi="ar-SA"/>
              </w:rPr>
              <w:t>根据上表分析，本项目建设符合《市场准入负面清单（2025年版）》相关要求。</w:t>
            </w:r>
          </w:p>
          <w:p w14:paraId="1864DF92">
            <w:pPr>
              <w:keepNext/>
              <w:keepLines/>
              <w:pageBreakBefore w:val="0"/>
              <w:widowControl w:val="0"/>
              <w:kinsoku/>
              <w:wordWrap/>
              <w:overflowPunct/>
              <w:topLinePunct w:val="0"/>
              <w:autoSpaceDE/>
              <w:autoSpaceDN/>
              <w:bidi w:val="0"/>
              <w:adjustRightInd/>
              <w:snapToGrid/>
              <w:spacing w:line="360" w:lineRule="auto"/>
              <w:jc w:val="both"/>
              <w:textAlignment w:val="auto"/>
              <w:outlineLvl w:val="3"/>
              <w:rPr>
                <w:rFonts w:eastAsia="宋体"/>
                <w:b/>
                <w:bCs/>
                <w:kern w:val="2"/>
                <w:lang w:val="en-US" w:eastAsia="zh-CN" w:bidi="ar-SA"/>
              </w:rPr>
            </w:pPr>
            <w:r>
              <w:rPr>
                <w:rFonts w:hint="eastAsia" w:eastAsia="宋体"/>
                <w:b/>
                <w:bCs/>
                <w:kern w:val="2"/>
                <w:lang w:val="en-US" w:eastAsia="zh-CN" w:bidi="ar-SA"/>
              </w:rPr>
              <w:t>5</w:t>
            </w:r>
            <w:r>
              <w:rPr>
                <w:rFonts w:hint="eastAsia"/>
                <w:b/>
                <w:bCs/>
                <w:kern w:val="2"/>
                <w:lang w:val="en-US" w:eastAsia="zh-CN" w:bidi="ar-SA"/>
              </w:rPr>
              <w:t xml:space="preserve"> </w:t>
            </w:r>
            <w:r>
              <w:rPr>
                <w:rFonts w:eastAsia="宋体"/>
                <w:b/>
                <w:bCs/>
                <w:kern w:val="2"/>
                <w:lang w:val="en-US" w:eastAsia="zh-CN" w:bidi="ar-SA"/>
              </w:rPr>
              <w:t>与《关于深入打好污染防治攻坚战的实施方案》的符合性分析</w:t>
            </w:r>
          </w:p>
          <w:p w14:paraId="34B3AD64">
            <w:pPr>
              <w:widowControl w:val="0"/>
              <w:spacing w:line="360" w:lineRule="auto"/>
              <w:ind w:firstLine="480" w:firstLineChars="200"/>
              <w:jc w:val="both"/>
              <w:rPr>
                <w:rFonts w:eastAsia="宋体"/>
                <w:kern w:val="2"/>
                <w:lang w:val="en-US" w:eastAsia="zh-CN" w:bidi="ar-SA"/>
              </w:rPr>
            </w:pPr>
            <w:r>
              <w:rPr>
                <w:rFonts w:eastAsia="宋体"/>
                <w:kern w:val="2"/>
                <w:lang w:val="en-US" w:eastAsia="zh-CN" w:bidi="ar-SA"/>
              </w:rPr>
              <w:t>2022年7月26日自治区党委、自治区人民政府印发了《关于深入打好污染防治攻坚战的实施方案》，项目与该实施方案的符合性分析见表1-</w:t>
            </w:r>
            <w:r>
              <w:rPr>
                <w:rFonts w:hint="eastAsia"/>
                <w:kern w:val="2"/>
                <w:lang w:val="en-US" w:eastAsia="zh-CN" w:bidi="ar-SA"/>
              </w:rPr>
              <w:t>5</w:t>
            </w:r>
            <w:r>
              <w:rPr>
                <w:rFonts w:eastAsia="宋体"/>
                <w:kern w:val="2"/>
                <w:lang w:val="en-US" w:eastAsia="zh-CN" w:bidi="ar-SA"/>
              </w:rPr>
              <w:t>。</w:t>
            </w:r>
          </w:p>
          <w:p w14:paraId="55E08E3B">
            <w:pPr>
              <w:keepNext w:val="0"/>
              <w:keepLines w:val="0"/>
              <w:pageBreakBefore w:val="0"/>
              <w:widowControl w:val="0"/>
              <w:kinsoku/>
              <w:wordWrap/>
              <w:overflowPunct/>
              <w:topLinePunct w:val="0"/>
              <w:autoSpaceDE/>
              <w:autoSpaceDN/>
              <w:bidi w:val="0"/>
              <w:adjustRightInd w:val="0"/>
              <w:snapToGrid w:val="0"/>
              <w:spacing w:before="120" w:beforeLines="50" w:line="240" w:lineRule="auto"/>
              <w:jc w:val="center"/>
              <w:textAlignment w:val="auto"/>
              <w:rPr>
                <w:rFonts w:eastAsia="宋体"/>
                <w:b/>
                <w:kern w:val="2"/>
                <w:lang w:val="en-US" w:eastAsia="zh-CN" w:bidi="ar-SA"/>
              </w:rPr>
            </w:pPr>
            <w:r>
              <w:rPr>
                <w:rFonts w:eastAsia="宋体"/>
                <w:b/>
                <w:kern w:val="2"/>
                <w:lang w:val="en-US" w:eastAsia="zh-CN" w:bidi="ar-SA"/>
              </w:rPr>
              <w:t>表1-</w:t>
            </w:r>
            <w:r>
              <w:rPr>
                <w:rFonts w:hint="eastAsia"/>
                <w:b/>
                <w:kern w:val="2"/>
                <w:lang w:val="en-US" w:eastAsia="zh-CN" w:bidi="ar-SA"/>
              </w:rPr>
              <w:t xml:space="preserve">5 </w:t>
            </w:r>
            <w:r>
              <w:rPr>
                <w:rFonts w:eastAsia="宋体"/>
                <w:b/>
                <w:kern w:val="2"/>
                <w:lang w:val="en-US" w:eastAsia="zh-CN" w:bidi="ar-SA"/>
              </w:rPr>
              <w:t xml:space="preserve"> 与《关于深入打好污染防治攻坚战的实施方案》符合性分析</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27"/>
              <w:gridCol w:w="3626"/>
              <w:gridCol w:w="2970"/>
              <w:gridCol w:w="762"/>
            </w:tblGrid>
            <w:tr w14:paraId="697AFF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627" w:type="dxa"/>
                  <w:noWrap w:val="0"/>
                  <w:vAlign w:val="center"/>
                </w:tcPr>
                <w:p w14:paraId="0E6FC7DA">
                  <w:pPr>
                    <w:pStyle w:val="5"/>
                    <w:bidi w:val="0"/>
                    <w:rPr>
                      <w:lang w:val="en-US" w:eastAsia="zh-CN"/>
                    </w:rPr>
                  </w:pPr>
                  <w:r>
                    <w:rPr>
                      <w:lang w:val="en-US" w:eastAsia="zh-CN"/>
                    </w:rPr>
                    <w:t>序号</w:t>
                  </w:r>
                </w:p>
              </w:tc>
              <w:tc>
                <w:tcPr>
                  <w:tcW w:w="3626" w:type="dxa"/>
                  <w:noWrap w:val="0"/>
                  <w:vAlign w:val="center"/>
                </w:tcPr>
                <w:p w14:paraId="06EFC294">
                  <w:pPr>
                    <w:pStyle w:val="5"/>
                    <w:bidi w:val="0"/>
                    <w:rPr>
                      <w:lang w:val="en-US" w:eastAsia="zh-CN"/>
                    </w:rPr>
                  </w:pPr>
                  <w:r>
                    <w:rPr>
                      <w:lang w:val="en-US" w:eastAsia="zh-CN"/>
                    </w:rPr>
                    <w:t>相关要求</w:t>
                  </w:r>
                </w:p>
              </w:tc>
              <w:tc>
                <w:tcPr>
                  <w:tcW w:w="2970" w:type="dxa"/>
                  <w:noWrap w:val="0"/>
                  <w:vAlign w:val="center"/>
                </w:tcPr>
                <w:p w14:paraId="562BD7BB">
                  <w:pPr>
                    <w:pStyle w:val="5"/>
                    <w:bidi w:val="0"/>
                    <w:rPr>
                      <w:lang w:val="en-US" w:eastAsia="zh-CN"/>
                    </w:rPr>
                  </w:pPr>
                  <w:r>
                    <w:rPr>
                      <w:lang w:val="en-US" w:eastAsia="zh-CN"/>
                    </w:rPr>
                    <w:t>本项目情况</w:t>
                  </w:r>
                </w:p>
              </w:tc>
              <w:tc>
                <w:tcPr>
                  <w:tcW w:w="762" w:type="dxa"/>
                  <w:noWrap w:val="0"/>
                  <w:vAlign w:val="center"/>
                </w:tcPr>
                <w:p w14:paraId="0156197A">
                  <w:pPr>
                    <w:pStyle w:val="5"/>
                    <w:bidi w:val="0"/>
                    <w:rPr>
                      <w:lang w:val="en-US" w:eastAsia="zh-CN"/>
                    </w:rPr>
                  </w:pPr>
                  <w:r>
                    <w:rPr>
                      <w:lang w:val="en-US" w:eastAsia="zh-CN"/>
                    </w:rPr>
                    <w:t>符合性</w:t>
                  </w:r>
                </w:p>
              </w:tc>
            </w:tr>
            <w:tr w14:paraId="2F8E8B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627" w:type="dxa"/>
                  <w:noWrap w:val="0"/>
                  <w:vAlign w:val="center"/>
                </w:tcPr>
                <w:p w14:paraId="3141E29F">
                  <w:pPr>
                    <w:pStyle w:val="5"/>
                    <w:bidi w:val="0"/>
                    <w:rPr>
                      <w:lang w:val="en-US" w:eastAsia="zh-CN"/>
                    </w:rPr>
                  </w:pPr>
                  <w:r>
                    <w:rPr>
                      <w:lang w:val="en-US" w:eastAsia="zh-CN"/>
                    </w:rPr>
                    <w:t>1</w:t>
                  </w:r>
                </w:p>
              </w:tc>
              <w:tc>
                <w:tcPr>
                  <w:tcW w:w="3626" w:type="dxa"/>
                  <w:noWrap w:val="0"/>
                  <w:vAlign w:val="center"/>
                </w:tcPr>
                <w:p w14:paraId="334CD219">
                  <w:pPr>
                    <w:pStyle w:val="5"/>
                    <w:bidi w:val="0"/>
                    <w:rPr>
                      <w:lang w:val="en-US" w:eastAsia="zh-CN"/>
                    </w:rPr>
                  </w:pPr>
                  <w:r>
                    <w:rPr>
                      <w:lang w:val="en-US" w:eastAsia="zh-CN"/>
                    </w:rPr>
                    <w:t>（八）推动能源资源节约高效利用。以碳达峰碳中和工作为引领，着力提高能源资源利用效率。引导重点行业深入实施清洁生产改造，钢铁、建材、石油化工等重点行业以及其他行业重点用能单位持续开展节能降耗。</w:t>
                  </w:r>
                </w:p>
              </w:tc>
              <w:tc>
                <w:tcPr>
                  <w:tcW w:w="2970" w:type="dxa"/>
                  <w:noWrap w:val="0"/>
                  <w:vAlign w:val="center"/>
                </w:tcPr>
                <w:p w14:paraId="4A39B9B7">
                  <w:pPr>
                    <w:pStyle w:val="5"/>
                    <w:bidi w:val="0"/>
                    <w:rPr>
                      <w:lang w:val="en-US" w:eastAsia="zh-CN"/>
                    </w:rPr>
                  </w:pPr>
                  <w:r>
                    <w:rPr>
                      <w:lang w:val="en-US" w:eastAsia="zh-CN"/>
                    </w:rPr>
                    <w:t>本项目属于</w:t>
                  </w:r>
                  <w:r>
                    <w:rPr>
                      <w:rFonts w:hint="eastAsia"/>
                      <w:lang w:val="en-US" w:eastAsia="zh-CN"/>
                    </w:rPr>
                    <w:t>改</w:t>
                  </w:r>
                  <w:r>
                    <w:rPr>
                      <w:lang w:val="en-US" w:eastAsia="zh-CN"/>
                    </w:rPr>
                    <w:t>扩建项目，项目仅新增少量用电量，新增能源消耗较少。</w:t>
                  </w:r>
                </w:p>
              </w:tc>
              <w:tc>
                <w:tcPr>
                  <w:tcW w:w="762" w:type="dxa"/>
                  <w:noWrap w:val="0"/>
                  <w:vAlign w:val="center"/>
                </w:tcPr>
                <w:p w14:paraId="27F3FBF4">
                  <w:pPr>
                    <w:pStyle w:val="5"/>
                    <w:bidi w:val="0"/>
                    <w:rPr>
                      <w:lang w:val="en-US" w:eastAsia="zh-CN"/>
                    </w:rPr>
                  </w:pPr>
                  <w:r>
                    <w:rPr>
                      <w:lang w:val="en-US" w:eastAsia="zh-CN"/>
                    </w:rPr>
                    <w:t>符合</w:t>
                  </w:r>
                </w:p>
              </w:tc>
            </w:tr>
            <w:tr w14:paraId="443044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627" w:type="dxa"/>
                  <w:noWrap w:val="0"/>
                  <w:vAlign w:val="center"/>
                </w:tcPr>
                <w:p w14:paraId="7DB87888">
                  <w:pPr>
                    <w:pStyle w:val="5"/>
                    <w:bidi w:val="0"/>
                    <w:rPr>
                      <w:lang w:val="en-US" w:eastAsia="zh-CN"/>
                    </w:rPr>
                  </w:pPr>
                  <w:r>
                    <w:rPr>
                      <w:lang w:val="en-US" w:eastAsia="zh-CN"/>
                    </w:rPr>
                    <w:t>2</w:t>
                  </w:r>
                </w:p>
              </w:tc>
              <w:tc>
                <w:tcPr>
                  <w:tcW w:w="3626" w:type="dxa"/>
                  <w:noWrap w:val="0"/>
                  <w:vAlign w:val="center"/>
                </w:tcPr>
                <w:p w14:paraId="019C03B0">
                  <w:pPr>
                    <w:pStyle w:val="5"/>
                    <w:bidi w:val="0"/>
                    <w:rPr>
                      <w:lang w:val="en-US" w:eastAsia="zh-CN"/>
                    </w:rPr>
                  </w:pPr>
                  <w:r>
                    <w:rPr>
                      <w:lang w:val="en-US" w:eastAsia="zh-CN"/>
                    </w:rPr>
                    <w:t>（九）加强生态环境分区管控。贯彻落实《新疆维吾尔自治区国土空间规划（2021</w:t>
                  </w:r>
                  <w:r>
                    <w:rPr>
                      <w:rFonts w:hint="eastAsia"/>
                      <w:lang w:val="en-US" w:eastAsia="zh-CN"/>
                    </w:rPr>
                    <w:t>—</w:t>
                  </w:r>
                  <w:r>
                    <w:rPr>
                      <w:lang w:val="en-US" w:eastAsia="zh-CN"/>
                    </w:rPr>
                    <w:t>2035年）》《新疆维吾尔自治区“三线一单”生态环境分区管控方案》相关要求，将生态保护红线、环境质量底线、资源利用上线的硬约束落实到环境管控单元。建立差别化的生态环境准入清单，加强“三线一单”成果在政策制定、环境准入、园区管理、监管执法等方面的应用。</w:t>
                  </w:r>
                </w:p>
              </w:tc>
              <w:tc>
                <w:tcPr>
                  <w:tcW w:w="2970" w:type="dxa"/>
                  <w:noWrap w:val="0"/>
                  <w:vAlign w:val="center"/>
                </w:tcPr>
                <w:p w14:paraId="3BAAF03A">
                  <w:pPr>
                    <w:pStyle w:val="5"/>
                    <w:bidi w:val="0"/>
                    <w:rPr>
                      <w:lang w:val="en-US" w:eastAsia="zh-CN"/>
                    </w:rPr>
                  </w:pPr>
                  <w:r>
                    <w:rPr>
                      <w:lang w:val="en-US" w:eastAsia="zh-CN"/>
                    </w:rPr>
                    <w:t>本项目符合《关于印发巴音郭楞蒙古自治州“三线一单”生态环境分区管控动态更新成果（2023年）的通知》（巴政办发</w:t>
                  </w:r>
                  <w:r>
                    <w:rPr>
                      <w:rFonts w:hint="eastAsia"/>
                      <w:lang w:val="en-US" w:eastAsia="zh-CN"/>
                    </w:rPr>
                    <w:t>〔2024〕32号</w:t>
                  </w:r>
                  <w:r>
                    <w:rPr>
                      <w:lang w:val="en-US" w:eastAsia="zh-CN"/>
                    </w:rPr>
                    <w:t>）相关要求。</w:t>
                  </w:r>
                </w:p>
              </w:tc>
              <w:tc>
                <w:tcPr>
                  <w:tcW w:w="762" w:type="dxa"/>
                  <w:noWrap w:val="0"/>
                  <w:vAlign w:val="center"/>
                </w:tcPr>
                <w:p w14:paraId="415E5FB1">
                  <w:pPr>
                    <w:pStyle w:val="5"/>
                    <w:bidi w:val="0"/>
                    <w:rPr>
                      <w:lang w:val="en-US" w:eastAsia="zh-CN"/>
                    </w:rPr>
                  </w:pPr>
                  <w:r>
                    <w:rPr>
                      <w:lang w:val="en-US" w:eastAsia="zh-CN"/>
                    </w:rPr>
                    <w:t>符合</w:t>
                  </w:r>
                </w:p>
              </w:tc>
            </w:tr>
            <w:tr w14:paraId="255B38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627" w:type="dxa"/>
                  <w:noWrap w:val="0"/>
                  <w:vAlign w:val="center"/>
                </w:tcPr>
                <w:p w14:paraId="22E92471">
                  <w:pPr>
                    <w:pStyle w:val="5"/>
                    <w:bidi w:val="0"/>
                    <w:rPr>
                      <w:lang w:val="en-US" w:eastAsia="zh-CN"/>
                    </w:rPr>
                  </w:pPr>
                  <w:r>
                    <w:rPr>
                      <w:lang w:val="en-US" w:eastAsia="zh-CN"/>
                    </w:rPr>
                    <w:t>3</w:t>
                  </w:r>
                </w:p>
              </w:tc>
              <w:tc>
                <w:tcPr>
                  <w:tcW w:w="3626" w:type="dxa"/>
                  <w:noWrap w:val="0"/>
                  <w:vAlign w:val="center"/>
                </w:tcPr>
                <w:p w14:paraId="2C07B425">
                  <w:pPr>
                    <w:pStyle w:val="5"/>
                    <w:bidi w:val="0"/>
                    <w:rPr>
                      <w:lang w:val="en-US" w:eastAsia="zh-CN"/>
                    </w:rPr>
                  </w:pPr>
                  <w:r>
                    <w:rPr>
                      <w:lang w:val="en-US" w:eastAsia="zh-CN"/>
                    </w:rPr>
                    <w:t>（十二）着力打好臭氧污染防治攻坚战。积极遏制臭氧浓度增长趋势，推进挥发性有机物和氮氧化物协同减排。以石化、化工、涂装、医药、包装印刷、油品储运销等行业领域为重点，安全高效推进挥发性有机物综合治理，实施原辅材料和产品源头替代工程。</w:t>
                  </w:r>
                </w:p>
              </w:tc>
              <w:tc>
                <w:tcPr>
                  <w:tcW w:w="2970" w:type="dxa"/>
                  <w:noWrap w:val="0"/>
                  <w:vAlign w:val="center"/>
                </w:tcPr>
                <w:p w14:paraId="76F99C11">
                  <w:pPr>
                    <w:pStyle w:val="5"/>
                    <w:bidi w:val="0"/>
                    <w:rPr>
                      <w:lang w:val="en-US" w:eastAsia="zh-CN"/>
                    </w:rPr>
                  </w:pPr>
                  <w:r>
                    <w:rPr>
                      <w:lang w:val="en-US" w:eastAsia="zh-CN"/>
                    </w:rPr>
                    <w:t>本项目罐区和装卸平台设1套油气回收系统，采用“冷凝+吸附”处理后排放；设备设有泄漏检测与修复（LDAR）设施。</w:t>
                  </w:r>
                </w:p>
              </w:tc>
              <w:tc>
                <w:tcPr>
                  <w:tcW w:w="762" w:type="dxa"/>
                  <w:noWrap w:val="0"/>
                  <w:vAlign w:val="center"/>
                </w:tcPr>
                <w:p w14:paraId="45A604DC">
                  <w:pPr>
                    <w:pStyle w:val="5"/>
                    <w:bidi w:val="0"/>
                    <w:rPr>
                      <w:lang w:val="en-US" w:eastAsia="zh-CN"/>
                    </w:rPr>
                  </w:pPr>
                  <w:r>
                    <w:rPr>
                      <w:lang w:val="en-US" w:eastAsia="zh-CN"/>
                    </w:rPr>
                    <w:t>符合</w:t>
                  </w:r>
                </w:p>
              </w:tc>
            </w:tr>
            <w:tr w14:paraId="379B35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627" w:type="dxa"/>
                  <w:noWrap w:val="0"/>
                  <w:vAlign w:val="center"/>
                </w:tcPr>
                <w:p w14:paraId="386BB31B">
                  <w:pPr>
                    <w:pStyle w:val="5"/>
                    <w:bidi w:val="0"/>
                    <w:rPr>
                      <w:lang w:val="en-US" w:eastAsia="zh-CN"/>
                    </w:rPr>
                  </w:pPr>
                  <w:r>
                    <w:rPr>
                      <w:lang w:val="en-US" w:eastAsia="zh-CN"/>
                    </w:rPr>
                    <w:t>4</w:t>
                  </w:r>
                </w:p>
              </w:tc>
              <w:tc>
                <w:tcPr>
                  <w:tcW w:w="3626" w:type="dxa"/>
                  <w:noWrap w:val="0"/>
                  <w:vAlign w:val="center"/>
                </w:tcPr>
                <w:p w14:paraId="0FA9E903">
                  <w:pPr>
                    <w:pStyle w:val="5"/>
                    <w:bidi w:val="0"/>
                    <w:rPr>
                      <w:lang w:val="en-US" w:eastAsia="zh-CN"/>
                    </w:rPr>
                  </w:pPr>
                  <w:r>
                    <w:rPr>
                      <w:lang w:val="en-US" w:eastAsia="zh-CN"/>
                    </w:rPr>
                    <w:t>（十四）加强大气面源和噪声污染治理。提升城市精细化管理水平，强化施工、道路、堆场、裸露地面等扬尘管控。</w:t>
                  </w:r>
                </w:p>
              </w:tc>
              <w:tc>
                <w:tcPr>
                  <w:tcW w:w="2970" w:type="dxa"/>
                  <w:noWrap w:val="0"/>
                  <w:vAlign w:val="center"/>
                </w:tcPr>
                <w:p w14:paraId="41A1DC0A">
                  <w:pPr>
                    <w:pStyle w:val="5"/>
                    <w:bidi w:val="0"/>
                    <w:rPr>
                      <w:lang w:val="en-US" w:eastAsia="zh-CN"/>
                    </w:rPr>
                  </w:pPr>
                  <w:r>
                    <w:rPr>
                      <w:lang w:val="en-US" w:eastAsia="zh-CN"/>
                    </w:rPr>
                    <w:t>本项目施工期施工单位应当制定具体的施工扬尘污染防治实施方案，向负责监督管理扬尘污染防治的主管部门备案，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施工单位应当在施工工地公示扬尘污染防治措施、负责人、扬尘监督管理主管部门等信息，所有建筑施工工地必须严格按照项目环境影响评价确定的施工全过程污染防治实施方案要求，组织落实各项污染防治措施。</w:t>
                  </w:r>
                </w:p>
              </w:tc>
              <w:tc>
                <w:tcPr>
                  <w:tcW w:w="762" w:type="dxa"/>
                  <w:noWrap w:val="0"/>
                  <w:vAlign w:val="center"/>
                </w:tcPr>
                <w:p w14:paraId="5ED221BB">
                  <w:pPr>
                    <w:pStyle w:val="5"/>
                    <w:bidi w:val="0"/>
                    <w:rPr>
                      <w:lang w:val="en-US" w:eastAsia="zh-CN"/>
                    </w:rPr>
                  </w:pPr>
                  <w:r>
                    <w:rPr>
                      <w:lang w:val="en-US" w:eastAsia="zh-CN"/>
                    </w:rPr>
                    <w:t>符合</w:t>
                  </w:r>
                </w:p>
              </w:tc>
            </w:tr>
            <w:tr w14:paraId="2FC18D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627" w:type="dxa"/>
                  <w:noWrap w:val="0"/>
                  <w:vAlign w:val="center"/>
                </w:tcPr>
                <w:p w14:paraId="101B25FA">
                  <w:pPr>
                    <w:pStyle w:val="5"/>
                    <w:bidi w:val="0"/>
                    <w:rPr>
                      <w:lang w:val="en-US" w:eastAsia="zh-CN"/>
                    </w:rPr>
                  </w:pPr>
                  <w:r>
                    <w:rPr>
                      <w:lang w:val="en-US" w:eastAsia="zh-CN"/>
                    </w:rPr>
                    <w:t>5</w:t>
                  </w:r>
                </w:p>
              </w:tc>
              <w:tc>
                <w:tcPr>
                  <w:tcW w:w="3626" w:type="dxa"/>
                  <w:noWrap w:val="0"/>
                  <w:vAlign w:val="center"/>
                </w:tcPr>
                <w:p w14:paraId="26BBC9A9">
                  <w:pPr>
                    <w:pStyle w:val="5"/>
                    <w:bidi w:val="0"/>
                    <w:rPr>
                      <w:lang w:val="en-US" w:eastAsia="zh-CN"/>
                    </w:rPr>
                  </w:pPr>
                  <w:r>
                    <w:rPr>
                      <w:lang w:val="en-US" w:eastAsia="zh-CN"/>
                    </w:rPr>
                    <w:t>（三十三）提升生态环境监管执法效能。全面推行排污许可“一证式”管理，压实排污单位自行监测主体责任，建立基于排污许可证的排污单位监管执法体系和自行监测监管机制，强化证后监管。实施排污单位自动监控系统现场端升级改造，提高污染源自动监控的覆盖面。依法严厉查处无证和不按证排污环境违法行为。</w:t>
                  </w:r>
                </w:p>
              </w:tc>
              <w:tc>
                <w:tcPr>
                  <w:tcW w:w="2970" w:type="dxa"/>
                  <w:noWrap w:val="0"/>
                  <w:vAlign w:val="center"/>
                </w:tcPr>
                <w:p w14:paraId="1ECF9B2E">
                  <w:pPr>
                    <w:pStyle w:val="5"/>
                    <w:wordWrap w:val="0"/>
                    <w:bidi w:val="0"/>
                    <w:rPr>
                      <w:lang w:val="en-US" w:eastAsia="zh-CN"/>
                    </w:rPr>
                  </w:pPr>
                  <w:r>
                    <w:rPr>
                      <w:lang w:val="en-US" w:eastAsia="zh-CN"/>
                    </w:rPr>
                    <w:t>巴州海祥石油化工有限公司设立有完善的环保管理制度和专门的环境管理工作机构，巴州海祥石油化工有限公司已申领排污许可证，排污许可证编号为91652822MA775YA181001P，有效期限：2023年4月14日至2028年4月13日。</w:t>
                  </w:r>
                </w:p>
              </w:tc>
              <w:tc>
                <w:tcPr>
                  <w:tcW w:w="762" w:type="dxa"/>
                  <w:noWrap w:val="0"/>
                  <w:vAlign w:val="center"/>
                </w:tcPr>
                <w:p w14:paraId="41B256E5">
                  <w:pPr>
                    <w:pStyle w:val="5"/>
                    <w:bidi w:val="0"/>
                    <w:rPr>
                      <w:lang w:val="en-US" w:eastAsia="zh-CN"/>
                    </w:rPr>
                  </w:pPr>
                  <w:r>
                    <w:rPr>
                      <w:lang w:val="en-US" w:eastAsia="zh-CN"/>
                    </w:rPr>
                    <w:t>符合</w:t>
                  </w:r>
                </w:p>
              </w:tc>
            </w:tr>
          </w:tbl>
          <w:p w14:paraId="2C866BD9">
            <w:pPr>
              <w:widowControl w:val="0"/>
              <w:spacing w:line="360" w:lineRule="auto"/>
              <w:ind w:firstLine="480" w:firstLineChars="200"/>
              <w:jc w:val="both"/>
              <w:rPr>
                <w:rFonts w:eastAsia="宋体"/>
                <w:bCs/>
                <w:lang w:val="en-US" w:eastAsia="zh-CN" w:bidi="ar-SA"/>
              </w:rPr>
            </w:pPr>
            <w:r>
              <w:rPr>
                <w:rFonts w:eastAsia="宋体"/>
                <w:bCs/>
                <w:lang w:val="en-US" w:eastAsia="zh-CN" w:bidi="ar-SA"/>
              </w:rPr>
              <w:t>综上所述，本项目符合《关于深入打好污染防治攻坚战的实施方案》的相关要求。</w:t>
            </w:r>
          </w:p>
          <w:p w14:paraId="5D01A4F6">
            <w:pPr>
              <w:pStyle w:val="2"/>
              <w:bidi w:val="0"/>
              <w:rPr>
                <w:lang w:val="en-US" w:eastAsia="zh-CN"/>
              </w:rPr>
            </w:pPr>
            <w:r>
              <w:rPr>
                <w:rFonts w:hint="eastAsia"/>
                <w:lang w:val="en-US" w:eastAsia="zh-CN"/>
              </w:rPr>
              <w:t xml:space="preserve">6 </w:t>
            </w:r>
            <w:r>
              <w:rPr>
                <w:lang w:val="en-US" w:eastAsia="zh-CN"/>
              </w:rPr>
              <w:t>与《新疆维吾尔自治区大气污染防治条例》的符合性分析</w:t>
            </w:r>
          </w:p>
          <w:p w14:paraId="035A7186">
            <w:pPr>
              <w:bidi w:val="0"/>
              <w:rPr>
                <w:lang w:val="en-US" w:eastAsia="zh-CN"/>
              </w:rPr>
            </w:pPr>
            <w:r>
              <w:rPr>
                <w:lang w:val="en-US" w:eastAsia="zh-CN"/>
              </w:rPr>
              <w:t>项目与《新疆维吾尔自治区大气污染防治条例》（新疆维吾尔自治区第十三届人民代表大会常务委员会公告第15号）的符合性分析见表1-</w:t>
            </w:r>
            <w:r>
              <w:rPr>
                <w:rFonts w:hint="eastAsia"/>
                <w:lang w:val="en-US" w:eastAsia="zh-CN"/>
              </w:rPr>
              <w:t>6</w:t>
            </w:r>
            <w:r>
              <w:rPr>
                <w:lang w:val="en-US" w:eastAsia="zh-CN"/>
              </w:rPr>
              <w:t>。</w:t>
            </w:r>
          </w:p>
          <w:p w14:paraId="783B9E92">
            <w:pPr>
              <w:pStyle w:val="4"/>
              <w:bidi w:val="0"/>
              <w:rPr>
                <w:lang w:val="en-US" w:eastAsia="zh-CN"/>
              </w:rPr>
            </w:pPr>
            <w:r>
              <w:rPr>
                <w:lang w:val="en-US" w:eastAsia="zh-CN"/>
              </w:rPr>
              <w:t>表1-</w:t>
            </w:r>
            <w:r>
              <w:rPr>
                <w:rFonts w:hint="eastAsia"/>
                <w:lang w:val="en-US" w:eastAsia="zh-CN"/>
              </w:rPr>
              <w:t>6</w:t>
            </w:r>
            <w:r>
              <w:rPr>
                <w:lang w:val="en-US" w:eastAsia="zh-CN"/>
              </w:rPr>
              <w:t xml:space="preserve">  与《新疆维吾尔自治区大气污染防治条例》的符合性分析一览表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89"/>
              <w:gridCol w:w="3140"/>
              <w:gridCol w:w="3097"/>
              <w:gridCol w:w="917"/>
            </w:tblGrid>
            <w:tr w14:paraId="0C5FC5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689" w:type="dxa"/>
                  <w:noWrap/>
                  <w:vAlign w:val="center"/>
                </w:tcPr>
                <w:p w14:paraId="7F93B27A">
                  <w:pPr>
                    <w:pStyle w:val="5"/>
                    <w:bidi w:val="0"/>
                    <w:rPr>
                      <w:lang w:val="en-US" w:eastAsia="zh-CN"/>
                    </w:rPr>
                  </w:pPr>
                  <w:r>
                    <w:rPr>
                      <w:lang w:val="en-US" w:eastAsia="zh-CN"/>
                    </w:rPr>
                    <w:t>序号</w:t>
                  </w:r>
                </w:p>
              </w:tc>
              <w:tc>
                <w:tcPr>
                  <w:tcW w:w="3140" w:type="dxa"/>
                  <w:noWrap w:val="0"/>
                  <w:vAlign w:val="center"/>
                </w:tcPr>
                <w:p w14:paraId="5A573F5A">
                  <w:pPr>
                    <w:pStyle w:val="5"/>
                    <w:bidi w:val="0"/>
                    <w:rPr>
                      <w:lang w:val="en-US" w:eastAsia="zh-CN"/>
                    </w:rPr>
                  </w:pPr>
                  <w:r>
                    <w:rPr>
                      <w:lang w:val="en-US" w:eastAsia="zh-CN"/>
                    </w:rPr>
                    <w:t>相关要求</w:t>
                  </w:r>
                </w:p>
              </w:tc>
              <w:tc>
                <w:tcPr>
                  <w:tcW w:w="3097" w:type="dxa"/>
                  <w:noWrap w:val="0"/>
                  <w:vAlign w:val="center"/>
                </w:tcPr>
                <w:p w14:paraId="35EF44C4">
                  <w:pPr>
                    <w:pStyle w:val="5"/>
                    <w:bidi w:val="0"/>
                    <w:rPr>
                      <w:lang w:val="en-US" w:eastAsia="zh-CN"/>
                    </w:rPr>
                  </w:pPr>
                  <w:r>
                    <w:rPr>
                      <w:lang w:val="en-US" w:eastAsia="zh-CN"/>
                    </w:rPr>
                    <w:t>本项目情况</w:t>
                  </w:r>
                </w:p>
              </w:tc>
              <w:tc>
                <w:tcPr>
                  <w:tcW w:w="917" w:type="dxa"/>
                  <w:noWrap/>
                  <w:vAlign w:val="center"/>
                </w:tcPr>
                <w:p w14:paraId="2AA210C7">
                  <w:pPr>
                    <w:pStyle w:val="5"/>
                    <w:bidi w:val="0"/>
                    <w:rPr>
                      <w:lang w:val="en-US" w:eastAsia="zh-CN"/>
                    </w:rPr>
                  </w:pPr>
                  <w:r>
                    <w:rPr>
                      <w:lang w:val="en-US" w:eastAsia="zh-CN"/>
                    </w:rPr>
                    <w:t>符合性</w:t>
                  </w:r>
                </w:p>
              </w:tc>
            </w:tr>
            <w:tr w14:paraId="60A064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689" w:type="dxa"/>
                  <w:noWrap/>
                  <w:vAlign w:val="center"/>
                </w:tcPr>
                <w:p w14:paraId="7EB70B5E">
                  <w:pPr>
                    <w:pStyle w:val="5"/>
                    <w:bidi w:val="0"/>
                    <w:rPr>
                      <w:lang w:val="en-US" w:eastAsia="zh-CN"/>
                    </w:rPr>
                  </w:pPr>
                  <w:r>
                    <w:rPr>
                      <w:lang w:val="en-US" w:eastAsia="zh-CN"/>
                    </w:rPr>
                    <w:t>1</w:t>
                  </w:r>
                </w:p>
              </w:tc>
              <w:tc>
                <w:tcPr>
                  <w:tcW w:w="3140" w:type="dxa"/>
                  <w:noWrap w:val="0"/>
                  <w:vAlign w:val="center"/>
                </w:tcPr>
                <w:p w14:paraId="01C3453F">
                  <w:pPr>
                    <w:pStyle w:val="5"/>
                    <w:bidi w:val="0"/>
                    <w:rPr>
                      <w:lang w:val="en-US" w:eastAsia="zh-CN"/>
                    </w:rPr>
                  </w:pPr>
                  <w:r>
                    <w:rPr>
                      <w:lang w:val="en-US" w:eastAsia="zh-CN"/>
                    </w:rPr>
                    <w:t>向大气排放工业废气或者排放国家规定的有毒有害大气污染物的企业事业单位、集中供热设施的燃煤热源生产运营单位，以及其他依法实行排污许可管理的单位，应当依法取得排污许可证。</w:t>
                  </w:r>
                </w:p>
              </w:tc>
              <w:tc>
                <w:tcPr>
                  <w:tcW w:w="3097" w:type="dxa"/>
                  <w:noWrap w:val="0"/>
                  <w:vAlign w:val="center"/>
                </w:tcPr>
                <w:p w14:paraId="1C86A708">
                  <w:pPr>
                    <w:pStyle w:val="5"/>
                    <w:keepNext/>
                    <w:keepLines/>
                    <w:pageBreakBefore w:val="0"/>
                    <w:widowControl/>
                    <w:kinsoku/>
                    <w:wordWrap w:val="0"/>
                    <w:overflowPunct/>
                    <w:topLinePunct w:val="0"/>
                    <w:autoSpaceDE/>
                    <w:autoSpaceDN/>
                    <w:bidi w:val="0"/>
                    <w:adjustRightInd/>
                    <w:snapToGrid/>
                    <w:textAlignment w:val="auto"/>
                    <w:rPr>
                      <w:lang w:val="en-US" w:eastAsia="zh-CN"/>
                    </w:rPr>
                  </w:pPr>
                  <w:r>
                    <w:rPr>
                      <w:lang w:val="en-US" w:eastAsia="zh-CN"/>
                    </w:rPr>
                    <w:t>巴州海祥石油化工有限公司设立有完善的环保管理制度和专门的环境管理工作机构，巴州海祥石油化工有限公司已申领排污许可证，排污许可证编号为91652822MA775YA181001P，有效期限：2023年4月14日至2028年4月13日。本项目投产前按要求进行变更。</w:t>
                  </w:r>
                </w:p>
              </w:tc>
              <w:tc>
                <w:tcPr>
                  <w:tcW w:w="917" w:type="dxa"/>
                  <w:noWrap/>
                  <w:vAlign w:val="center"/>
                </w:tcPr>
                <w:p w14:paraId="6A57A36B">
                  <w:pPr>
                    <w:pStyle w:val="5"/>
                    <w:bidi w:val="0"/>
                    <w:rPr>
                      <w:lang w:val="en-US" w:eastAsia="zh-CN"/>
                    </w:rPr>
                  </w:pPr>
                  <w:r>
                    <w:rPr>
                      <w:lang w:val="en-US" w:eastAsia="zh-CN"/>
                    </w:rPr>
                    <w:t>符合</w:t>
                  </w:r>
                </w:p>
              </w:tc>
            </w:tr>
            <w:tr w14:paraId="21AB4B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689" w:type="dxa"/>
                  <w:noWrap/>
                  <w:vAlign w:val="center"/>
                </w:tcPr>
                <w:p w14:paraId="7041648D">
                  <w:pPr>
                    <w:pStyle w:val="5"/>
                    <w:bidi w:val="0"/>
                    <w:rPr>
                      <w:lang w:val="en-US" w:eastAsia="zh-CN"/>
                    </w:rPr>
                  </w:pPr>
                  <w:r>
                    <w:rPr>
                      <w:lang w:val="en-US" w:eastAsia="zh-CN"/>
                    </w:rPr>
                    <w:t>2</w:t>
                  </w:r>
                </w:p>
              </w:tc>
              <w:tc>
                <w:tcPr>
                  <w:tcW w:w="3140" w:type="dxa"/>
                  <w:noWrap w:val="0"/>
                  <w:vAlign w:val="center"/>
                </w:tcPr>
                <w:p w14:paraId="67FFF5AE">
                  <w:pPr>
                    <w:pStyle w:val="5"/>
                    <w:bidi w:val="0"/>
                    <w:rPr>
                      <w:lang w:val="en-US" w:eastAsia="zh-CN"/>
                    </w:rPr>
                  </w:pPr>
                  <w:r>
                    <w:rPr>
                      <w:lang w:val="en-US" w:eastAsia="zh-CN"/>
                    </w:rPr>
                    <w:t>向大气排放污染物的排污单位，应当按照国家和自治区的规定，设置大气污染物排放口，并明确其标志。</w:t>
                  </w:r>
                </w:p>
              </w:tc>
              <w:tc>
                <w:tcPr>
                  <w:tcW w:w="3097" w:type="dxa"/>
                  <w:noWrap w:val="0"/>
                  <w:vAlign w:val="center"/>
                </w:tcPr>
                <w:p w14:paraId="75F5F990">
                  <w:pPr>
                    <w:pStyle w:val="5"/>
                    <w:bidi w:val="0"/>
                    <w:rPr>
                      <w:lang w:val="en-US" w:eastAsia="zh-CN"/>
                    </w:rPr>
                  </w:pPr>
                  <w:r>
                    <w:rPr>
                      <w:lang w:val="en-US" w:eastAsia="zh-CN"/>
                    </w:rPr>
                    <w:t>巴州海祥石油化工有限公司设有规范的大气污染物排放口及标识。</w:t>
                  </w:r>
                </w:p>
              </w:tc>
              <w:tc>
                <w:tcPr>
                  <w:tcW w:w="917" w:type="dxa"/>
                  <w:noWrap/>
                  <w:vAlign w:val="center"/>
                </w:tcPr>
                <w:p w14:paraId="385EC163">
                  <w:pPr>
                    <w:pStyle w:val="5"/>
                    <w:bidi w:val="0"/>
                    <w:rPr>
                      <w:lang w:val="en-US" w:eastAsia="zh-CN"/>
                    </w:rPr>
                  </w:pPr>
                  <w:r>
                    <w:rPr>
                      <w:lang w:val="en-US" w:eastAsia="zh-CN"/>
                    </w:rPr>
                    <w:t>符合</w:t>
                  </w:r>
                </w:p>
              </w:tc>
            </w:tr>
            <w:tr w14:paraId="4D2C67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689" w:type="dxa"/>
                  <w:noWrap/>
                  <w:vAlign w:val="center"/>
                </w:tcPr>
                <w:p w14:paraId="159F6060">
                  <w:pPr>
                    <w:pStyle w:val="5"/>
                    <w:bidi w:val="0"/>
                    <w:rPr>
                      <w:lang w:val="en-US" w:eastAsia="zh-CN"/>
                    </w:rPr>
                  </w:pPr>
                  <w:r>
                    <w:rPr>
                      <w:lang w:val="en-US" w:eastAsia="zh-CN"/>
                    </w:rPr>
                    <w:t>3</w:t>
                  </w:r>
                </w:p>
              </w:tc>
              <w:tc>
                <w:tcPr>
                  <w:tcW w:w="3140" w:type="dxa"/>
                  <w:noWrap w:val="0"/>
                  <w:vAlign w:val="center"/>
                </w:tcPr>
                <w:p w14:paraId="2B34BA2D">
                  <w:pPr>
                    <w:pStyle w:val="5"/>
                    <w:bidi w:val="0"/>
                    <w:rPr>
                      <w:lang w:val="en-US" w:eastAsia="zh-CN"/>
                    </w:rPr>
                  </w:pPr>
                  <w:r>
                    <w:rPr>
                      <w:lang w:val="en-US" w:eastAsia="zh-CN"/>
                    </w:rPr>
                    <w:t>向大气排放污染物的企业事业单位和其他生产经营者，应当按照国家有关规定和监测规范，自行或者委托有资质的监测机构监测大气污染物排放情况，并保存原始监测数据记录。</w:t>
                  </w:r>
                </w:p>
              </w:tc>
              <w:tc>
                <w:tcPr>
                  <w:tcW w:w="3097" w:type="dxa"/>
                  <w:noWrap w:val="0"/>
                  <w:vAlign w:val="center"/>
                </w:tcPr>
                <w:p w14:paraId="639D9C6B">
                  <w:pPr>
                    <w:pStyle w:val="5"/>
                    <w:bidi w:val="0"/>
                    <w:rPr>
                      <w:lang w:val="en-US" w:eastAsia="zh-CN"/>
                    </w:rPr>
                  </w:pPr>
                  <w:r>
                    <w:rPr>
                      <w:lang w:val="en-US" w:eastAsia="zh-CN"/>
                    </w:rPr>
                    <w:t>巴州海祥石油化工有限公司委托监测单位负责全厂的环境监测工作，并保存原始监测数据记录。</w:t>
                  </w:r>
                </w:p>
              </w:tc>
              <w:tc>
                <w:tcPr>
                  <w:tcW w:w="917" w:type="dxa"/>
                  <w:noWrap/>
                  <w:vAlign w:val="center"/>
                </w:tcPr>
                <w:p w14:paraId="61E79220">
                  <w:pPr>
                    <w:pStyle w:val="5"/>
                    <w:bidi w:val="0"/>
                    <w:rPr>
                      <w:lang w:val="en-US" w:eastAsia="zh-CN"/>
                    </w:rPr>
                  </w:pPr>
                  <w:r>
                    <w:rPr>
                      <w:lang w:val="en-US" w:eastAsia="zh-CN"/>
                    </w:rPr>
                    <w:t>符合</w:t>
                  </w:r>
                </w:p>
              </w:tc>
            </w:tr>
            <w:tr w14:paraId="3D41E4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689" w:type="dxa"/>
                  <w:noWrap/>
                  <w:vAlign w:val="center"/>
                </w:tcPr>
                <w:p w14:paraId="3F0B7FBA">
                  <w:pPr>
                    <w:pStyle w:val="5"/>
                    <w:bidi w:val="0"/>
                    <w:rPr>
                      <w:lang w:val="en-US" w:eastAsia="zh-CN"/>
                    </w:rPr>
                  </w:pPr>
                  <w:r>
                    <w:rPr>
                      <w:rFonts w:hint="eastAsia"/>
                      <w:lang w:val="en-US" w:eastAsia="zh-CN"/>
                    </w:rPr>
                    <w:t>4</w:t>
                  </w:r>
                </w:p>
              </w:tc>
              <w:tc>
                <w:tcPr>
                  <w:tcW w:w="3140" w:type="dxa"/>
                  <w:noWrap w:val="0"/>
                  <w:vAlign w:val="center"/>
                </w:tcPr>
                <w:p w14:paraId="72692FE3">
                  <w:pPr>
                    <w:pStyle w:val="5"/>
                    <w:bidi w:val="0"/>
                    <w:rPr>
                      <w:lang w:val="en-US" w:eastAsia="zh-CN"/>
                    </w:rPr>
                  </w:pPr>
                  <w:r>
                    <w:rPr>
                      <w:lang w:val="en-US" w:eastAsia="zh-CN"/>
                    </w:rPr>
                    <w:t>禁止在自治区行政区域内引进能（水）耗不符合相关国家标准中准入值要求且污染物排放和环境风险防控不符合国家（地方）标准及有关产业准入条件的高污染（排放）、高能（水）耗、高环境风险的工业项目。</w:t>
                  </w:r>
                </w:p>
              </w:tc>
              <w:tc>
                <w:tcPr>
                  <w:tcW w:w="3097" w:type="dxa"/>
                  <w:noWrap w:val="0"/>
                  <w:vAlign w:val="center"/>
                </w:tcPr>
                <w:p w14:paraId="1E737FF0">
                  <w:pPr>
                    <w:pStyle w:val="5"/>
                    <w:bidi w:val="0"/>
                    <w:rPr>
                      <w:lang w:val="en-US" w:eastAsia="zh-CN"/>
                    </w:rPr>
                  </w:pPr>
                  <w:r>
                    <w:rPr>
                      <w:lang w:val="en-US" w:eastAsia="zh-CN"/>
                    </w:rPr>
                    <w:t>本项目物耗、能耗水平较低，环境风险可防可控，且满足新疆重点行业准入条件。</w:t>
                  </w:r>
                </w:p>
              </w:tc>
              <w:tc>
                <w:tcPr>
                  <w:tcW w:w="917" w:type="dxa"/>
                  <w:noWrap/>
                  <w:vAlign w:val="center"/>
                </w:tcPr>
                <w:p w14:paraId="29E68732">
                  <w:pPr>
                    <w:pStyle w:val="5"/>
                    <w:bidi w:val="0"/>
                    <w:rPr>
                      <w:lang w:val="en-US" w:eastAsia="zh-CN"/>
                    </w:rPr>
                  </w:pPr>
                  <w:r>
                    <w:rPr>
                      <w:lang w:val="en-US" w:eastAsia="zh-CN"/>
                    </w:rPr>
                    <w:t>符合</w:t>
                  </w:r>
                </w:p>
              </w:tc>
            </w:tr>
          </w:tbl>
          <w:p w14:paraId="27B0DECB">
            <w:pPr>
              <w:widowControl w:val="0"/>
              <w:spacing w:line="360" w:lineRule="auto"/>
              <w:ind w:firstLine="480" w:firstLineChars="200"/>
              <w:jc w:val="both"/>
              <w:rPr>
                <w:rFonts w:eastAsia="宋体"/>
                <w:kern w:val="2"/>
                <w:lang w:val="en-US" w:eastAsia="zh-CN" w:bidi="ar-SA"/>
              </w:rPr>
            </w:pPr>
            <w:r>
              <w:rPr>
                <w:rFonts w:eastAsia="宋体"/>
                <w:kern w:val="2"/>
                <w:lang w:val="en-US" w:eastAsia="zh-CN" w:bidi="ar-SA"/>
              </w:rPr>
              <w:t>综上所述，本项目符合《新疆维吾尔自治区大气污染防治条例》的相关要求。</w:t>
            </w:r>
          </w:p>
          <w:p w14:paraId="5EF9EA86">
            <w:pPr>
              <w:keepNext/>
              <w:keepLines/>
              <w:pageBreakBefore w:val="0"/>
              <w:widowControl w:val="0"/>
              <w:kinsoku/>
              <w:wordWrap/>
              <w:overflowPunct/>
              <w:topLinePunct w:val="0"/>
              <w:autoSpaceDE/>
              <w:autoSpaceDN/>
              <w:bidi w:val="0"/>
              <w:adjustRightInd w:val="0"/>
              <w:snapToGrid w:val="0"/>
              <w:spacing w:line="360" w:lineRule="auto"/>
              <w:jc w:val="both"/>
              <w:textAlignment w:val="auto"/>
              <w:outlineLvl w:val="3"/>
              <w:rPr>
                <w:rFonts w:eastAsia="宋体"/>
                <w:b/>
                <w:bCs/>
                <w:kern w:val="2"/>
                <w:lang w:val="en-US" w:eastAsia="zh-CN" w:bidi="ar-SA"/>
              </w:rPr>
            </w:pPr>
            <w:r>
              <w:rPr>
                <w:rFonts w:hint="eastAsia" w:eastAsia="宋体"/>
                <w:b/>
                <w:bCs/>
                <w:kern w:val="2"/>
                <w:lang w:val="en-US" w:eastAsia="zh-CN" w:bidi="ar-SA"/>
              </w:rPr>
              <w:t>7</w:t>
            </w:r>
            <w:r>
              <w:rPr>
                <w:rFonts w:hint="eastAsia"/>
                <w:b/>
                <w:bCs/>
                <w:kern w:val="2"/>
                <w:lang w:val="en-US" w:eastAsia="zh-CN" w:bidi="ar-SA"/>
              </w:rPr>
              <w:t xml:space="preserve"> </w:t>
            </w:r>
            <w:r>
              <w:rPr>
                <w:rFonts w:eastAsia="宋体"/>
                <w:b/>
                <w:bCs/>
                <w:kern w:val="2"/>
                <w:lang w:val="en-US" w:eastAsia="zh-CN" w:bidi="ar-SA"/>
              </w:rPr>
              <w:t>与《新疆维吾尔自治区2025年空气质量持续改善行动实施方案》的符合性分析</w:t>
            </w:r>
          </w:p>
          <w:p w14:paraId="113A54E9">
            <w:pPr>
              <w:widowControl w:val="0"/>
              <w:spacing w:line="360" w:lineRule="auto"/>
              <w:ind w:firstLine="480" w:firstLineChars="200"/>
              <w:jc w:val="both"/>
              <w:rPr>
                <w:rFonts w:eastAsia="宋体"/>
                <w:kern w:val="2"/>
                <w:lang w:val="en-US" w:eastAsia="zh-CN" w:bidi="ar-SA"/>
              </w:rPr>
            </w:pPr>
            <w:r>
              <w:rPr>
                <w:rFonts w:eastAsia="宋体"/>
                <w:kern w:val="2"/>
                <w:lang w:val="en-US" w:eastAsia="zh-CN" w:bidi="ar-SA"/>
              </w:rPr>
              <w:t>项目与《关于印发新疆维吾尔自治区2025年空气质量持续改善行动实施方案的通知》（新政办发〔2024〕58号）符合性详见表1-</w:t>
            </w:r>
            <w:r>
              <w:rPr>
                <w:rFonts w:hint="eastAsia"/>
                <w:kern w:val="2"/>
                <w:lang w:val="en-US" w:eastAsia="zh-CN" w:bidi="ar-SA"/>
              </w:rPr>
              <w:t>7</w:t>
            </w:r>
            <w:r>
              <w:rPr>
                <w:rFonts w:eastAsia="宋体"/>
                <w:kern w:val="2"/>
                <w:lang w:val="en-US" w:eastAsia="zh-CN" w:bidi="ar-SA"/>
              </w:rPr>
              <w:t>。</w:t>
            </w:r>
          </w:p>
          <w:p w14:paraId="1ADF520A">
            <w:pPr>
              <w:pStyle w:val="4"/>
              <w:bidi w:val="0"/>
              <w:rPr>
                <w:lang w:val="en-US" w:eastAsia="zh-CN"/>
              </w:rPr>
            </w:pPr>
            <w:r>
              <w:rPr>
                <w:lang w:val="en-US" w:eastAsia="zh-CN"/>
              </w:rPr>
              <w:t>表1-</w:t>
            </w:r>
            <w:r>
              <w:rPr>
                <w:rFonts w:hint="eastAsia"/>
                <w:lang w:val="en-US" w:eastAsia="zh-CN"/>
              </w:rPr>
              <w:t>7</w:t>
            </w:r>
            <w:r>
              <w:rPr>
                <w:lang w:val="en-US" w:eastAsia="zh-CN"/>
              </w:rPr>
              <w:t xml:space="preserve">  与《新疆维吾尔自治区2025年空气质量持续改善行动实施方案》符合性分析</w:t>
            </w:r>
          </w:p>
          <w:tbl>
            <w:tblPr>
              <w:tblStyle w:val="19"/>
              <w:tblW w:w="787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5"/>
              <w:gridCol w:w="4318"/>
              <w:gridCol w:w="1764"/>
              <w:gridCol w:w="786"/>
            </w:tblGrid>
            <w:tr w14:paraId="08FAD6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tblHeader/>
                <w:jc w:val="center"/>
              </w:trPr>
              <w:tc>
                <w:tcPr>
                  <w:tcW w:w="5323" w:type="dxa"/>
                  <w:gridSpan w:val="2"/>
                  <w:tcBorders>
                    <w:bottom w:val="single" w:color="auto" w:sz="6" w:space="0"/>
                  </w:tcBorders>
                  <w:noWrap w:val="0"/>
                  <w:vAlign w:val="center"/>
                </w:tcPr>
                <w:p w14:paraId="3F40B12C">
                  <w:pPr>
                    <w:pStyle w:val="5"/>
                    <w:bidi w:val="0"/>
                    <w:rPr>
                      <w:lang w:val="en-US" w:eastAsia="zh-CN"/>
                    </w:rPr>
                  </w:pPr>
                  <w:r>
                    <w:rPr>
                      <w:lang w:val="en-US" w:eastAsia="zh-CN"/>
                    </w:rPr>
                    <w:t>相关要求</w:t>
                  </w:r>
                </w:p>
              </w:tc>
              <w:tc>
                <w:tcPr>
                  <w:tcW w:w="1764" w:type="dxa"/>
                  <w:tcBorders>
                    <w:bottom w:val="single" w:color="auto" w:sz="6" w:space="0"/>
                    <w:right w:val="single" w:color="auto" w:sz="4" w:space="0"/>
                  </w:tcBorders>
                  <w:noWrap w:val="0"/>
                  <w:vAlign w:val="center"/>
                </w:tcPr>
                <w:p w14:paraId="10B42A2F">
                  <w:pPr>
                    <w:pStyle w:val="5"/>
                    <w:bidi w:val="0"/>
                    <w:rPr>
                      <w:lang w:val="en-US" w:eastAsia="zh-CN"/>
                    </w:rPr>
                  </w:pPr>
                  <w:r>
                    <w:rPr>
                      <w:lang w:val="en-US" w:eastAsia="zh-CN"/>
                    </w:rPr>
                    <w:t>本项目情况</w:t>
                  </w:r>
                </w:p>
              </w:tc>
              <w:tc>
                <w:tcPr>
                  <w:tcW w:w="786" w:type="dxa"/>
                  <w:tcBorders>
                    <w:left w:val="single" w:color="auto" w:sz="4" w:space="0"/>
                    <w:bottom w:val="single" w:color="auto" w:sz="6" w:space="0"/>
                  </w:tcBorders>
                  <w:noWrap w:val="0"/>
                  <w:vAlign w:val="center"/>
                </w:tcPr>
                <w:p w14:paraId="7AA3587A">
                  <w:pPr>
                    <w:pStyle w:val="5"/>
                    <w:bidi w:val="0"/>
                    <w:rPr>
                      <w:lang w:val="en-US" w:eastAsia="zh-CN"/>
                    </w:rPr>
                  </w:pPr>
                  <w:r>
                    <w:rPr>
                      <w:lang w:val="en-US" w:eastAsia="zh-CN"/>
                    </w:rPr>
                    <w:t>符合性</w:t>
                  </w:r>
                </w:p>
              </w:tc>
            </w:tr>
            <w:tr w14:paraId="045D38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005" w:type="dxa"/>
                  <w:tcBorders>
                    <w:top w:val="single" w:color="auto" w:sz="6" w:space="0"/>
                    <w:bottom w:val="single" w:color="auto" w:sz="6" w:space="0"/>
                  </w:tcBorders>
                  <w:noWrap w:val="0"/>
                  <w:vAlign w:val="center"/>
                </w:tcPr>
                <w:p w14:paraId="2149146D">
                  <w:pPr>
                    <w:pStyle w:val="5"/>
                    <w:bidi w:val="0"/>
                    <w:rPr>
                      <w:lang w:val="en-US" w:eastAsia="zh-CN"/>
                    </w:rPr>
                  </w:pPr>
                  <w:r>
                    <w:rPr>
                      <w:lang w:val="en-US" w:eastAsia="zh-CN"/>
                    </w:rPr>
                    <w:t>持续优化产业结构</w:t>
                  </w:r>
                </w:p>
              </w:tc>
              <w:tc>
                <w:tcPr>
                  <w:tcW w:w="4318" w:type="dxa"/>
                  <w:tcBorders>
                    <w:top w:val="single" w:color="auto" w:sz="6" w:space="0"/>
                    <w:bottom w:val="single" w:color="auto" w:sz="6" w:space="0"/>
                  </w:tcBorders>
                  <w:noWrap w:val="0"/>
                  <w:vAlign w:val="center"/>
                </w:tcPr>
                <w:p w14:paraId="4ABCCEE9">
                  <w:pPr>
                    <w:pStyle w:val="5"/>
                    <w:bidi w:val="0"/>
                    <w:rPr>
                      <w:lang w:val="en-US" w:eastAsia="zh-CN"/>
                    </w:rPr>
                  </w:pPr>
                  <w:r>
                    <w:rPr>
                      <w:lang w:val="en-US" w:eastAsia="zh-CN"/>
                    </w:rPr>
                    <w:t>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tc>
              <w:tc>
                <w:tcPr>
                  <w:tcW w:w="1764" w:type="dxa"/>
                  <w:tcBorders>
                    <w:top w:val="single" w:color="auto" w:sz="6" w:space="0"/>
                    <w:bottom w:val="single" w:color="auto" w:sz="6" w:space="0"/>
                    <w:right w:val="single" w:color="auto" w:sz="4" w:space="0"/>
                  </w:tcBorders>
                  <w:noWrap w:val="0"/>
                  <w:vAlign w:val="center"/>
                </w:tcPr>
                <w:p w14:paraId="58023AD9">
                  <w:pPr>
                    <w:pStyle w:val="5"/>
                    <w:bidi w:val="0"/>
                    <w:rPr>
                      <w:lang w:val="en-US" w:eastAsia="zh-CN"/>
                    </w:rPr>
                  </w:pPr>
                  <w:r>
                    <w:rPr>
                      <w:rFonts w:hint="eastAsia"/>
                      <w:lang w:val="en-US" w:eastAsia="zh-CN"/>
                    </w:rPr>
                    <w:t>本项目不属于</w:t>
                  </w:r>
                  <w:r>
                    <w:rPr>
                      <w:lang w:val="en-US" w:eastAsia="zh-CN"/>
                    </w:rPr>
                    <w:t>高耗能、高排放、低水平项目</w:t>
                  </w:r>
                </w:p>
              </w:tc>
              <w:tc>
                <w:tcPr>
                  <w:tcW w:w="786" w:type="dxa"/>
                  <w:tcBorders>
                    <w:top w:val="single" w:color="auto" w:sz="6" w:space="0"/>
                    <w:left w:val="single" w:color="auto" w:sz="4" w:space="0"/>
                    <w:bottom w:val="single" w:color="auto" w:sz="6" w:space="0"/>
                  </w:tcBorders>
                  <w:noWrap w:val="0"/>
                  <w:vAlign w:val="center"/>
                </w:tcPr>
                <w:p w14:paraId="6568852A">
                  <w:pPr>
                    <w:pStyle w:val="5"/>
                    <w:bidi w:val="0"/>
                    <w:rPr>
                      <w:lang w:val="en-US" w:eastAsia="zh-CN"/>
                    </w:rPr>
                  </w:pPr>
                  <w:r>
                    <w:rPr>
                      <w:lang w:val="en-US" w:eastAsia="zh-CN"/>
                    </w:rPr>
                    <w:t>符合</w:t>
                  </w:r>
                </w:p>
              </w:tc>
            </w:tr>
            <w:tr w14:paraId="0C692B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005" w:type="dxa"/>
                  <w:tcBorders>
                    <w:top w:val="single" w:color="auto" w:sz="6" w:space="0"/>
                    <w:bottom w:val="single" w:color="auto" w:sz="6" w:space="0"/>
                  </w:tcBorders>
                  <w:noWrap w:val="0"/>
                  <w:vAlign w:val="center"/>
                </w:tcPr>
                <w:p w14:paraId="47517472">
                  <w:pPr>
                    <w:pStyle w:val="5"/>
                    <w:bidi w:val="0"/>
                    <w:rPr>
                      <w:lang w:val="en-US" w:eastAsia="zh-CN"/>
                    </w:rPr>
                  </w:pPr>
                  <w:r>
                    <w:rPr>
                      <w:lang w:val="en-US" w:eastAsia="zh-CN"/>
                    </w:rPr>
                    <w:t>持续优化能源结构</w:t>
                  </w:r>
                </w:p>
              </w:tc>
              <w:tc>
                <w:tcPr>
                  <w:tcW w:w="4318" w:type="dxa"/>
                  <w:tcBorders>
                    <w:top w:val="single" w:color="auto" w:sz="6" w:space="0"/>
                    <w:bottom w:val="single" w:color="auto" w:sz="6" w:space="0"/>
                  </w:tcBorders>
                  <w:noWrap w:val="0"/>
                  <w:vAlign w:val="center"/>
                </w:tcPr>
                <w:p w14:paraId="5BC611E0">
                  <w:pPr>
                    <w:pStyle w:val="5"/>
                    <w:bidi w:val="0"/>
                    <w:rPr>
                      <w:lang w:val="en-US" w:eastAsia="zh-CN"/>
                    </w:rPr>
                  </w:pPr>
                  <w:r>
                    <w:rPr>
                      <w:lang w:val="en-US" w:eastAsia="zh-CN"/>
                    </w:rPr>
                    <w:t>严格合理控制煤炭消费总量。在保障能源安全供应前提下，联防联控区合理控制新改扩建用煤项目；不得将石油焦、焦炭、兰炭等高污染燃料作为煤炭削减量。完善联防联控区煤炭消费减量替代管理，煤矸石、原料用煤不纳入煤炭消费总量。</w:t>
                  </w:r>
                </w:p>
              </w:tc>
              <w:tc>
                <w:tcPr>
                  <w:tcW w:w="1764" w:type="dxa"/>
                  <w:tcBorders>
                    <w:top w:val="single" w:color="auto" w:sz="6" w:space="0"/>
                    <w:bottom w:val="single" w:color="auto" w:sz="6" w:space="0"/>
                    <w:right w:val="single" w:color="auto" w:sz="4" w:space="0"/>
                  </w:tcBorders>
                  <w:noWrap w:val="0"/>
                  <w:vAlign w:val="center"/>
                </w:tcPr>
                <w:p w14:paraId="669FE59D">
                  <w:pPr>
                    <w:pStyle w:val="5"/>
                    <w:bidi w:val="0"/>
                    <w:rPr>
                      <w:lang w:val="en-US" w:eastAsia="zh-CN"/>
                    </w:rPr>
                  </w:pPr>
                  <w:r>
                    <w:rPr>
                      <w:lang w:val="en-US" w:eastAsia="zh-CN"/>
                    </w:rPr>
                    <w:t>本项目不属于新增煤炭用量项目</w:t>
                  </w:r>
                </w:p>
              </w:tc>
              <w:tc>
                <w:tcPr>
                  <w:tcW w:w="786" w:type="dxa"/>
                  <w:tcBorders>
                    <w:top w:val="single" w:color="auto" w:sz="6" w:space="0"/>
                    <w:left w:val="single" w:color="auto" w:sz="4" w:space="0"/>
                    <w:bottom w:val="single" w:color="auto" w:sz="6" w:space="0"/>
                  </w:tcBorders>
                  <w:noWrap w:val="0"/>
                  <w:vAlign w:val="center"/>
                </w:tcPr>
                <w:p w14:paraId="44148A82">
                  <w:pPr>
                    <w:pStyle w:val="5"/>
                    <w:bidi w:val="0"/>
                    <w:rPr>
                      <w:lang w:val="en-US" w:eastAsia="zh-CN"/>
                    </w:rPr>
                  </w:pPr>
                  <w:r>
                    <w:rPr>
                      <w:lang w:val="en-US" w:eastAsia="zh-CN"/>
                    </w:rPr>
                    <w:t>符合</w:t>
                  </w:r>
                </w:p>
              </w:tc>
            </w:tr>
            <w:tr w14:paraId="75D703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005" w:type="dxa"/>
                  <w:tcBorders>
                    <w:top w:val="single" w:color="auto" w:sz="6" w:space="0"/>
                    <w:bottom w:val="single" w:color="auto" w:sz="6" w:space="0"/>
                  </w:tcBorders>
                  <w:noWrap w:val="0"/>
                  <w:vAlign w:val="center"/>
                </w:tcPr>
                <w:p w14:paraId="533552A4">
                  <w:pPr>
                    <w:pStyle w:val="5"/>
                    <w:bidi w:val="0"/>
                    <w:rPr>
                      <w:lang w:val="en-US" w:eastAsia="zh-CN"/>
                    </w:rPr>
                  </w:pPr>
                  <w:r>
                    <w:rPr>
                      <w:lang w:val="en-US" w:eastAsia="zh-CN"/>
                    </w:rPr>
                    <w:t>持续优化交通结构</w:t>
                  </w:r>
                </w:p>
              </w:tc>
              <w:tc>
                <w:tcPr>
                  <w:tcW w:w="4318" w:type="dxa"/>
                  <w:tcBorders>
                    <w:top w:val="single" w:color="auto" w:sz="6" w:space="0"/>
                    <w:bottom w:val="single" w:color="auto" w:sz="6" w:space="0"/>
                  </w:tcBorders>
                  <w:noWrap w:val="0"/>
                  <w:vAlign w:val="center"/>
                </w:tcPr>
                <w:p w14:paraId="0A70F357">
                  <w:pPr>
                    <w:pStyle w:val="5"/>
                    <w:bidi w:val="0"/>
                    <w:rPr>
                      <w:lang w:val="en-US" w:eastAsia="zh-CN"/>
                    </w:rPr>
                  </w:pPr>
                  <w:r>
                    <w:rPr>
                      <w:lang w:val="en-US" w:eastAsia="zh-CN"/>
                    </w:rPr>
                    <w:t>优化货物运输结构。大宗货物中长距离运输优先采用铁路运输，短距离运输优先采用封闭式皮带廊道或新能源车辆。</w:t>
                  </w:r>
                </w:p>
              </w:tc>
              <w:tc>
                <w:tcPr>
                  <w:tcW w:w="1764" w:type="dxa"/>
                  <w:tcBorders>
                    <w:top w:val="single" w:color="auto" w:sz="6" w:space="0"/>
                    <w:bottom w:val="single" w:color="auto" w:sz="6" w:space="0"/>
                    <w:right w:val="single" w:color="auto" w:sz="4" w:space="0"/>
                  </w:tcBorders>
                  <w:noWrap w:val="0"/>
                  <w:vAlign w:val="center"/>
                </w:tcPr>
                <w:p w14:paraId="1C750492">
                  <w:pPr>
                    <w:pStyle w:val="5"/>
                    <w:bidi w:val="0"/>
                    <w:rPr>
                      <w:lang w:val="en-US" w:eastAsia="zh-CN"/>
                    </w:rPr>
                  </w:pPr>
                  <w:r>
                    <w:rPr>
                      <w:lang w:val="en-US" w:eastAsia="zh-CN"/>
                    </w:rPr>
                    <w:t>本项目产品外运依托汽车运输</w:t>
                  </w:r>
                </w:p>
              </w:tc>
              <w:tc>
                <w:tcPr>
                  <w:tcW w:w="786" w:type="dxa"/>
                  <w:tcBorders>
                    <w:top w:val="single" w:color="auto" w:sz="6" w:space="0"/>
                    <w:left w:val="single" w:color="auto" w:sz="4" w:space="0"/>
                    <w:bottom w:val="single" w:color="auto" w:sz="6" w:space="0"/>
                  </w:tcBorders>
                  <w:noWrap w:val="0"/>
                  <w:vAlign w:val="center"/>
                </w:tcPr>
                <w:p w14:paraId="496E11E5">
                  <w:pPr>
                    <w:pStyle w:val="5"/>
                    <w:bidi w:val="0"/>
                    <w:rPr>
                      <w:lang w:val="en-US" w:eastAsia="zh-CN"/>
                    </w:rPr>
                  </w:pPr>
                  <w:r>
                    <w:rPr>
                      <w:lang w:val="en-US" w:eastAsia="zh-CN"/>
                    </w:rPr>
                    <w:t>符合</w:t>
                  </w:r>
                </w:p>
              </w:tc>
            </w:tr>
            <w:tr w14:paraId="629358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005" w:type="dxa"/>
                  <w:tcBorders>
                    <w:top w:val="single" w:color="auto" w:sz="6" w:space="0"/>
                    <w:bottom w:val="single" w:color="auto" w:sz="6" w:space="0"/>
                  </w:tcBorders>
                  <w:noWrap w:val="0"/>
                  <w:vAlign w:val="center"/>
                </w:tcPr>
                <w:p w14:paraId="1C9D8426">
                  <w:pPr>
                    <w:pStyle w:val="5"/>
                    <w:bidi w:val="0"/>
                    <w:rPr>
                      <w:lang w:val="en-US" w:eastAsia="zh-CN"/>
                    </w:rPr>
                  </w:pPr>
                  <w:r>
                    <w:rPr>
                      <w:lang w:val="en-US" w:eastAsia="zh-CN"/>
                    </w:rPr>
                    <w:t>全面加强面源污染治理</w:t>
                  </w:r>
                </w:p>
              </w:tc>
              <w:tc>
                <w:tcPr>
                  <w:tcW w:w="4318" w:type="dxa"/>
                  <w:tcBorders>
                    <w:top w:val="single" w:color="auto" w:sz="6" w:space="0"/>
                    <w:bottom w:val="single" w:color="auto" w:sz="6" w:space="0"/>
                  </w:tcBorders>
                  <w:noWrap w:val="0"/>
                  <w:vAlign w:val="center"/>
                </w:tcPr>
                <w:p w14:paraId="48411C92">
                  <w:pPr>
                    <w:pStyle w:val="5"/>
                    <w:bidi w:val="0"/>
                    <w:rPr>
                      <w:lang w:val="en-US" w:eastAsia="zh-CN"/>
                    </w:rPr>
                  </w:pPr>
                  <w:r>
                    <w:rPr>
                      <w:lang w:val="en-US" w:eastAsia="zh-CN"/>
                    </w:rPr>
                    <w:t>持续强化扬尘污染综合管控。施工场地严格落实“六个百分百”要求。扬尘污染防治费用纳入工程造价，3000m</w:t>
                  </w:r>
                  <w:r>
                    <w:rPr>
                      <w:vertAlign w:val="superscript"/>
                      <w:lang w:val="en-US" w:eastAsia="zh-CN"/>
                    </w:rPr>
                    <w:t>2</w:t>
                  </w:r>
                  <w:r>
                    <w:rPr>
                      <w:lang w:val="en-US" w:eastAsia="zh-CN"/>
                    </w:rPr>
                    <w:t>及以上建筑工地安装视频监控并接入当地监管平台。道路、水务等长距离线性工程实行分段施工。城市建成区主次干道机械化清扫率达到80%。</w:t>
                  </w:r>
                </w:p>
              </w:tc>
              <w:tc>
                <w:tcPr>
                  <w:tcW w:w="1764" w:type="dxa"/>
                  <w:tcBorders>
                    <w:top w:val="single" w:color="auto" w:sz="6" w:space="0"/>
                    <w:bottom w:val="single" w:color="auto" w:sz="6" w:space="0"/>
                    <w:right w:val="single" w:color="auto" w:sz="4" w:space="0"/>
                  </w:tcBorders>
                  <w:noWrap w:val="0"/>
                  <w:vAlign w:val="center"/>
                </w:tcPr>
                <w:p w14:paraId="04ADB744">
                  <w:pPr>
                    <w:pStyle w:val="5"/>
                    <w:bidi w:val="0"/>
                    <w:rPr>
                      <w:lang w:val="en-US" w:eastAsia="zh-CN"/>
                    </w:rPr>
                  </w:pPr>
                  <w:r>
                    <w:rPr>
                      <w:lang w:val="en-US" w:eastAsia="zh-CN"/>
                    </w:rPr>
                    <w:t>本项目施工期严格执行“六个百分之百”，将防治扬尘污染费用纳入工程造价等措施。</w:t>
                  </w:r>
                </w:p>
              </w:tc>
              <w:tc>
                <w:tcPr>
                  <w:tcW w:w="786" w:type="dxa"/>
                  <w:tcBorders>
                    <w:top w:val="single" w:color="auto" w:sz="6" w:space="0"/>
                    <w:left w:val="single" w:color="auto" w:sz="4" w:space="0"/>
                    <w:bottom w:val="single" w:color="auto" w:sz="6" w:space="0"/>
                  </w:tcBorders>
                  <w:noWrap w:val="0"/>
                  <w:vAlign w:val="center"/>
                </w:tcPr>
                <w:p w14:paraId="2920D298">
                  <w:pPr>
                    <w:pStyle w:val="5"/>
                    <w:bidi w:val="0"/>
                    <w:rPr>
                      <w:lang w:val="en-US" w:eastAsia="zh-CN"/>
                    </w:rPr>
                  </w:pPr>
                  <w:r>
                    <w:rPr>
                      <w:lang w:val="en-US" w:eastAsia="zh-CN"/>
                    </w:rPr>
                    <w:t>符合</w:t>
                  </w:r>
                </w:p>
              </w:tc>
            </w:tr>
            <w:tr w14:paraId="0F9501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005" w:type="dxa"/>
                  <w:vMerge w:val="restart"/>
                  <w:tcBorders>
                    <w:top w:val="single" w:color="auto" w:sz="6" w:space="0"/>
                    <w:bottom w:val="single" w:color="auto" w:sz="6" w:space="0"/>
                  </w:tcBorders>
                  <w:noWrap w:val="0"/>
                  <w:vAlign w:val="center"/>
                </w:tcPr>
                <w:p w14:paraId="55180C70">
                  <w:pPr>
                    <w:pStyle w:val="5"/>
                    <w:bidi w:val="0"/>
                    <w:rPr>
                      <w:lang w:val="en-US" w:eastAsia="zh-CN"/>
                    </w:rPr>
                  </w:pPr>
                  <w:r>
                    <w:rPr>
                      <w:lang w:val="en-US" w:eastAsia="zh-CN"/>
                    </w:rPr>
                    <w:t>强化多污染物减排</w:t>
                  </w:r>
                </w:p>
              </w:tc>
              <w:tc>
                <w:tcPr>
                  <w:tcW w:w="4318" w:type="dxa"/>
                  <w:tcBorders>
                    <w:top w:val="single" w:color="auto" w:sz="6" w:space="0"/>
                    <w:bottom w:val="single" w:color="auto" w:sz="6" w:space="0"/>
                  </w:tcBorders>
                  <w:noWrap w:val="0"/>
                  <w:vAlign w:val="center"/>
                </w:tcPr>
                <w:p w14:paraId="6014A620">
                  <w:pPr>
                    <w:pStyle w:val="5"/>
                    <w:bidi w:val="0"/>
                    <w:rPr>
                      <w:lang w:val="en-US" w:eastAsia="zh-CN"/>
                    </w:rPr>
                  </w:pPr>
                  <w:r>
                    <w:rPr>
                      <w:lang w:val="en-US" w:eastAsia="zh-CN"/>
                    </w:rPr>
                    <w:t>持续开展重点行业污染深度治理。高质量推进钢铁、水泥、焦化等行业超低排放改造，到2025年底，全区钢铁行业80%的产能完成超低排放改造，联防联控区水泥、焦化行业基本完成超低排放改造。开展失效低效污染治理设施排查整治。扎实推进环保绩效“创A晋B”，各地结合实际制定“一企一策”污染治理方案，提升企业环保绩效水平。强化治污设施运行维护，减少非正常工况排放，逐步取消烟气和含VOCs废气旁路，因安全生产需要无法取消的，安装在线监控系统及备用处置设施。</w:t>
                  </w:r>
                </w:p>
              </w:tc>
              <w:tc>
                <w:tcPr>
                  <w:tcW w:w="1764" w:type="dxa"/>
                  <w:tcBorders>
                    <w:top w:val="single" w:color="auto" w:sz="6" w:space="0"/>
                    <w:bottom w:val="single" w:color="auto" w:sz="6" w:space="0"/>
                    <w:right w:val="single" w:color="auto" w:sz="4" w:space="0"/>
                  </w:tcBorders>
                  <w:noWrap w:val="0"/>
                  <w:vAlign w:val="center"/>
                </w:tcPr>
                <w:p w14:paraId="73D07522">
                  <w:pPr>
                    <w:pStyle w:val="5"/>
                    <w:bidi w:val="0"/>
                    <w:rPr>
                      <w:lang w:val="en-US" w:eastAsia="zh-CN"/>
                    </w:rPr>
                  </w:pPr>
                  <w:r>
                    <w:rPr>
                      <w:lang w:val="en-US" w:eastAsia="zh-CN"/>
                    </w:rPr>
                    <w:t>巴州海祥石油化工有限公司制定了相应的应急管理措施。</w:t>
                  </w:r>
                </w:p>
              </w:tc>
              <w:tc>
                <w:tcPr>
                  <w:tcW w:w="786" w:type="dxa"/>
                  <w:tcBorders>
                    <w:top w:val="single" w:color="auto" w:sz="6" w:space="0"/>
                    <w:left w:val="single" w:color="auto" w:sz="4" w:space="0"/>
                    <w:bottom w:val="single" w:color="auto" w:sz="6" w:space="0"/>
                  </w:tcBorders>
                  <w:noWrap w:val="0"/>
                  <w:vAlign w:val="center"/>
                </w:tcPr>
                <w:p w14:paraId="48489D48">
                  <w:pPr>
                    <w:pStyle w:val="5"/>
                    <w:bidi w:val="0"/>
                    <w:rPr>
                      <w:lang w:val="en-US" w:eastAsia="zh-CN"/>
                    </w:rPr>
                  </w:pPr>
                  <w:r>
                    <w:rPr>
                      <w:lang w:val="en-US" w:eastAsia="zh-CN"/>
                    </w:rPr>
                    <w:t>符合</w:t>
                  </w:r>
                </w:p>
              </w:tc>
            </w:tr>
            <w:tr w14:paraId="0599C8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1005" w:type="dxa"/>
                  <w:vMerge w:val="continue"/>
                  <w:tcBorders>
                    <w:top w:val="single" w:color="auto" w:sz="6" w:space="0"/>
                  </w:tcBorders>
                  <w:noWrap w:val="0"/>
                  <w:vAlign w:val="center"/>
                </w:tcPr>
                <w:p w14:paraId="36242E39">
                  <w:pPr>
                    <w:pStyle w:val="5"/>
                    <w:bidi w:val="0"/>
                    <w:rPr>
                      <w:lang w:val="en-US" w:eastAsia="zh-CN"/>
                    </w:rPr>
                  </w:pPr>
                </w:p>
              </w:tc>
              <w:tc>
                <w:tcPr>
                  <w:tcW w:w="4318" w:type="dxa"/>
                  <w:tcBorders>
                    <w:top w:val="single" w:color="auto" w:sz="6" w:space="0"/>
                  </w:tcBorders>
                  <w:noWrap w:val="0"/>
                  <w:vAlign w:val="center"/>
                </w:tcPr>
                <w:p w14:paraId="0EF89CC0">
                  <w:pPr>
                    <w:pStyle w:val="5"/>
                    <w:bidi w:val="0"/>
                    <w:rPr>
                      <w:lang w:val="en-US" w:eastAsia="zh-CN"/>
                    </w:rPr>
                  </w:pPr>
                  <w:r>
                    <w:rPr>
                      <w:lang w:val="en-US" w:eastAsia="zh-CN"/>
                    </w:rPr>
                    <w:t>强化挥发性有机物和氮氧化物综合治理。优化含VOCs原辅材料和产品结构，加快推进含VOCs原辅材料源头替代，推广使用低（无）VOCs含量涂料，严格执行VOCs含量限值标准。实施石化、化工、工业涂装、包装印刷等重点行业及油品储运销（储罐）VOCs深度治理。企业开停工、检维修期间，及时收集处理退料、清洗、吹扫等作业产生的VOCs废气，不得将火炬燃烧装置作为日常大气污染处理设施。联防联控区石化、化工行业集中的园区，建立统一的泄漏检测与修复信息管理平台。加大锅炉、炉窑及移动源氮氧化物减排力度，有序实施燃气锅炉低氮燃烧改造。加强氮肥、纯碱等行业大气氨排放治理，强化工业源烟气脱硫脱硝氨逃逸防控。</w:t>
                  </w:r>
                </w:p>
              </w:tc>
              <w:tc>
                <w:tcPr>
                  <w:tcW w:w="1764" w:type="dxa"/>
                  <w:tcBorders>
                    <w:top w:val="single" w:color="auto" w:sz="6" w:space="0"/>
                    <w:right w:val="single" w:color="auto" w:sz="4" w:space="0"/>
                  </w:tcBorders>
                  <w:noWrap w:val="0"/>
                  <w:vAlign w:val="center"/>
                </w:tcPr>
                <w:p w14:paraId="2B25F7D5">
                  <w:pPr>
                    <w:pStyle w:val="5"/>
                    <w:bidi w:val="0"/>
                    <w:rPr>
                      <w:lang w:val="en-US" w:eastAsia="zh-CN"/>
                    </w:rPr>
                  </w:pPr>
                  <w:r>
                    <w:rPr>
                      <w:lang w:val="en-US" w:eastAsia="zh-CN"/>
                    </w:rPr>
                    <w:t>本项目采用</w:t>
                  </w:r>
                  <w:r>
                    <w:rPr>
                      <w:rFonts w:hint="eastAsia"/>
                      <w:lang w:val="en-US" w:eastAsia="zh-CN"/>
                    </w:rPr>
                    <w:t>无</w:t>
                  </w:r>
                  <w:r>
                    <w:rPr>
                      <w:lang w:val="en-US" w:eastAsia="zh-CN"/>
                    </w:rPr>
                    <w:t>泄漏设备降低含挥发性有机物物料的设备与管线组件泄漏与挥发，项目实施后开展LDAR工作；罐区和装卸平台采用“冷凝+吸附”处理后排放；设备设有泄漏检测与修复（LDAR）设施。</w:t>
                  </w:r>
                </w:p>
              </w:tc>
              <w:tc>
                <w:tcPr>
                  <w:tcW w:w="786" w:type="dxa"/>
                  <w:tcBorders>
                    <w:top w:val="single" w:color="auto" w:sz="6" w:space="0"/>
                    <w:left w:val="single" w:color="auto" w:sz="4" w:space="0"/>
                  </w:tcBorders>
                  <w:noWrap w:val="0"/>
                  <w:vAlign w:val="center"/>
                </w:tcPr>
                <w:p w14:paraId="533C3C5F">
                  <w:pPr>
                    <w:pStyle w:val="5"/>
                    <w:bidi w:val="0"/>
                    <w:rPr>
                      <w:lang w:val="en-US" w:eastAsia="zh-CN"/>
                    </w:rPr>
                  </w:pPr>
                  <w:r>
                    <w:rPr>
                      <w:lang w:val="en-US" w:eastAsia="zh-CN"/>
                    </w:rPr>
                    <w:t>符合</w:t>
                  </w:r>
                </w:p>
              </w:tc>
            </w:tr>
          </w:tbl>
          <w:p w14:paraId="164803FC">
            <w:pPr>
              <w:pStyle w:val="2"/>
              <w:bidi w:val="0"/>
              <w:rPr>
                <w:lang w:val="en-US" w:eastAsia="zh-CN"/>
              </w:rPr>
            </w:pPr>
            <w:r>
              <w:rPr>
                <w:rFonts w:hint="eastAsia"/>
                <w:lang w:val="en-US" w:eastAsia="zh-CN"/>
              </w:rPr>
              <w:t xml:space="preserve">8 </w:t>
            </w:r>
            <w:r>
              <w:rPr>
                <w:lang w:val="en-US" w:eastAsia="zh-CN"/>
              </w:rPr>
              <w:t>与《关于加快解决当前挥发性有机物治理突出问题的通知》（环大气〔2021〕65号）的符合性分析</w:t>
            </w:r>
          </w:p>
          <w:p w14:paraId="147334C0">
            <w:pPr>
              <w:bidi w:val="0"/>
              <w:rPr>
                <w:lang w:val="en-US" w:eastAsia="zh-CN"/>
              </w:rPr>
            </w:pPr>
            <w:r>
              <w:rPr>
                <w:lang w:val="en-US" w:eastAsia="zh-CN"/>
              </w:rPr>
              <w:t>本项目与《</w:t>
            </w:r>
            <w:bookmarkStart w:id="2" w:name="_Hlk199147591"/>
            <w:r>
              <w:rPr>
                <w:lang w:val="en-US" w:eastAsia="zh-CN"/>
              </w:rPr>
              <w:t>关于加快解决当前挥发性有机物治理突出问题的通知》（环大气〔2021〕65号）</w:t>
            </w:r>
            <w:bookmarkEnd w:id="2"/>
            <w:r>
              <w:rPr>
                <w:lang w:val="en-US" w:eastAsia="zh-CN"/>
              </w:rPr>
              <w:t>符合性分析见表1-</w:t>
            </w:r>
            <w:r>
              <w:rPr>
                <w:rFonts w:hint="eastAsia"/>
                <w:lang w:val="en-US" w:eastAsia="zh-CN"/>
              </w:rPr>
              <w:t>8</w:t>
            </w:r>
            <w:r>
              <w:rPr>
                <w:lang w:val="en-US" w:eastAsia="zh-CN"/>
              </w:rPr>
              <w:t>。</w:t>
            </w:r>
          </w:p>
          <w:p w14:paraId="1C10E493">
            <w:pPr>
              <w:pStyle w:val="4"/>
              <w:bidi w:val="0"/>
              <w:rPr>
                <w:lang w:val="en-US" w:eastAsia="zh-CN"/>
              </w:rPr>
            </w:pPr>
            <w:r>
              <w:rPr>
                <w:lang w:val="en-US" w:eastAsia="zh-CN"/>
              </w:rPr>
              <w:t>表1-</w:t>
            </w:r>
            <w:r>
              <w:rPr>
                <w:rFonts w:hint="eastAsia"/>
                <w:lang w:val="en-US" w:eastAsia="zh-CN"/>
              </w:rPr>
              <w:t>8</w:t>
            </w:r>
            <w:r>
              <w:rPr>
                <w:lang w:val="en-US" w:eastAsia="zh-CN"/>
              </w:rPr>
              <w:t xml:space="preserve"> 《关于加快解决当前挥发性有机物治理突出问题的通知》符合性分析</w:t>
            </w:r>
          </w:p>
          <w:p w14:paraId="011945E6">
            <w:pPr>
              <w:widowControl w:val="0"/>
              <w:autoSpaceDE w:val="0"/>
              <w:autoSpaceDN w:val="0"/>
              <w:adjustRightInd w:val="0"/>
              <w:snapToGrid w:val="0"/>
              <w:spacing w:line="19" w:lineRule="exact"/>
              <w:ind w:firstLine="480" w:firstLineChars="200"/>
              <w:jc w:val="left"/>
              <w:rPr>
                <w:rFonts w:eastAsia="宋体"/>
                <w:kern w:val="2"/>
                <w:lang w:val="zh-CN" w:eastAsia="zh-CN" w:bidi="zh-CN"/>
              </w:rPr>
            </w:pPr>
          </w:p>
          <w:tbl>
            <w:tblPr>
              <w:tblStyle w:val="19"/>
              <w:tblW w:w="4998" w:type="pct"/>
              <w:tblInd w:w="1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0" w:type="dxa"/>
                <w:bottom w:w="0" w:type="dxa"/>
                <w:right w:w="0" w:type="dxa"/>
              </w:tblCellMar>
            </w:tblPr>
            <w:tblGrid>
              <w:gridCol w:w="648"/>
              <w:gridCol w:w="4541"/>
              <w:gridCol w:w="2127"/>
              <w:gridCol w:w="706"/>
            </w:tblGrid>
            <w:tr w14:paraId="2389207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blHeader/>
              </w:trPr>
              <w:tc>
                <w:tcPr>
                  <w:tcW w:w="404" w:type="pct"/>
                  <w:noWrap w:val="0"/>
                  <w:vAlign w:val="center"/>
                </w:tcPr>
                <w:p w14:paraId="0EDE8E17">
                  <w:pPr>
                    <w:pStyle w:val="5"/>
                    <w:bidi w:val="0"/>
                    <w:rPr>
                      <w:lang w:val="en-US" w:eastAsia="zh-CN"/>
                    </w:rPr>
                  </w:pPr>
                  <w:r>
                    <w:rPr>
                      <w:lang w:val="en-US" w:eastAsia="zh-CN"/>
                    </w:rPr>
                    <w:t>序号</w:t>
                  </w:r>
                </w:p>
              </w:tc>
              <w:tc>
                <w:tcPr>
                  <w:tcW w:w="2829" w:type="pct"/>
                  <w:noWrap w:val="0"/>
                  <w:vAlign w:val="center"/>
                </w:tcPr>
                <w:p w14:paraId="7BC29FE2">
                  <w:pPr>
                    <w:pStyle w:val="5"/>
                    <w:bidi w:val="0"/>
                    <w:rPr>
                      <w:lang w:val="en-US" w:eastAsia="zh-CN"/>
                    </w:rPr>
                  </w:pPr>
                  <w:r>
                    <w:rPr>
                      <w:lang w:val="en-US" w:eastAsia="zh-CN"/>
                    </w:rPr>
                    <w:t>相关要求</w:t>
                  </w:r>
                </w:p>
              </w:tc>
              <w:tc>
                <w:tcPr>
                  <w:tcW w:w="1325" w:type="pct"/>
                  <w:noWrap w:val="0"/>
                  <w:vAlign w:val="center"/>
                </w:tcPr>
                <w:p w14:paraId="21259CE2">
                  <w:pPr>
                    <w:pStyle w:val="5"/>
                    <w:bidi w:val="0"/>
                    <w:rPr>
                      <w:lang w:val="en-US" w:eastAsia="zh-CN"/>
                    </w:rPr>
                  </w:pPr>
                  <w:r>
                    <w:rPr>
                      <w:lang w:val="en-US" w:eastAsia="zh-CN"/>
                    </w:rPr>
                    <w:t>本项目情况</w:t>
                  </w:r>
                </w:p>
              </w:tc>
              <w:tc>
                <w:tcPr>
                  <w:tcW w:w="440" w:type="pct"/>
                  <w:noWrap w:val="0"/>
                  <w:vAlign w:val="center"/>
                </w:tcPr>
                <w:p w14:paraId="2A88BA2F">
                  <w:pPr>
                    <w:pStyle w:val="5"/>
                    <w:bidi w:val="0"/>
                    <w:rPr>
                      <w:lang w:val="en-US" w:eastAsia="zh-CN"/>
                    </w:rPr>
                  </w:pPr>
                  <w:r>
                    <w:rPr>
                      <w:lang w:val="en-US" w:eastAsia="zh-CN"/>
                    </w:rPr>
                    <w:t>符合性</w:t>
                  </w:r>
                </w:p>
              </w:tc>
            </w:tr>
            <w:tr w14:paraId="642A70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04" w:type="pct"/>
                  <w:noWrap w:val="0"/>
                  <w:vAlign w:val="center"/>
                </w:tcPr>
                <w:p w14:paraId="318BDBE4">
                  <w:pPr>
                    <w:pStyle w:val="5"/>
                    <w:bidi w:val="0"/>
                    <w:rPr>
                      <w:lang w:val="en-US" w:eastAsia="zh-CN"/>
                    </w:rPr>
                  </w:pPr>
                  <w:r>
                    <w:rPr>
                      <w:lang w:val="en-US" w:eastAsia="zh-CN"/>
                    </w:rPr>
                    <w:t>1</w:t>
                  </w:r>
                </w:p>
              </w:tc>
              <w:tc>
                <w:tcPr>
                  <w:tcW w:w="2829" w:type="pct"/>
                  <w:noWrap w:val="0"/>
                  <w:vAlign w:val="center"/>
                </w:tcPr>
                <w:p w14:paraId="45056249">
                  <w:pPr>
                    <w:pStyle w:val="5"/>
                    <w:bidi w:val="0"/>
                    <w:rPr>
                      <w:lang w:val="en-US" w:eastAsia="zh-CN"/>
                    </w:rPr>
                  </w:pPr>
                  <w:r>
                    <w:rPr>
                      <w:lang w:val="en-US" w:eastAsia="zh-CN"/>
                    </w:rPr>
                    <w:t>一、挥发性有机液体储罐</w:t>
                  </w:r>
                </w:p>
                <w:p w14:paraId="6C685393">
                  <w:pPr>
                    <w:pStyle w:val="5"/>
                    <w:bidi w:val="0"/>
                    <w:rPr>
                      <w:lang w:val="en-US" w:eastAsia="zh-CN"/>
                    </w:rPr>
                  </w:pPr>
                  <w:r>
                    <w:rPr>
                      <w:lang w:val="en-US" w:eastAsia="zh-CN"/>
                    </w:rPr>
                    <w:t>企业应按照标准要求，根据储存挥发性有机液体的真实蒸气压、储罐容积等进行储罐和浮盘边缘密封方式选型。重点区域存储汽油、航空煤油、石脑油以及苯、甲苯、二甲苯的内浮顶罐罐顶气未收集治理的，宜配备新型高效浮盘与配件，选用“全接液高效浮盘+二次密封”结构。</w:t>
                  </w:r>
                </w:p>
              </w:tc>
              <w:tc>
                <w:tcPr>
                  <w:tcW w:w="1325" w:type="pct"/>
                  <w:noWrap w:val="0"/>
                  <w:vAlign w:val="center"/>
                </w:tcPr>
                <w:p w14:paraId="00BC9E37">
                  <w:pPr>
                    <w:pStyle w:val="5"/>
                    <w:bidi w:val="0"/>
                    <w:rPr>
                      <w:lang w:val="en-US" w:eastAsia="zh-CN"/>
                    </w:rPr>
                  </w:pPr>
                  <w:r>
                    <w:rPr>
                      <w:lang w:val="en-US" w:eastAsia="zh-CN"/>
                    </w:rPr>
                    <w:t>本项目罐区采用</w:t>
                  </w:r>
                  <w:r>
                    <w:rPr>
                      <w:rFonts w:hint="eastAsia"/>
                      <w:lang w:val="en-US" w:eastAsia="zh-CN"/>
                    </w:rPr>
                    <w:t>全压力球罐</w:t>
                  </w:r>
                  <w:r>
                    <w:rPr>
                      <w:lang w:val="en-US" w:eastAsia="zh-CN"/>
                    </w:rPr>
                    <w:t>减少挥发性有机物的产生，同时罐区设置油气回收装置，采用“冷凝+吸附”处理工艺，减少挥发性有机废气的产生和排放。</w:t>
                  </w:r>
                </w:p>
              </w:tc>
              <w:tc>
                <w:tcPr>
                  <w:tcW w:w="440" w:type="pct"/>
                  <w:noWrap w:val="0"/>
                  <w:vAlign w:val="center"/>
                </w:tcPr>
                <w:p w14:paraId="04510068">
                  <w:pPr>
                    <w:pStyle w:val="5"/>
                    <w:bidi w:val="0"/>
                    <w:rPr>
                      <w:lang w:val="en-US" w:eastAsia="zh-CN"/>
                    </w:rPr>
                  </w:pPr>
                  <w:r>
                    <w:rPr>
                      <w:lang w:val="en-US" w:eastAsia="zh-CN"/>
                    </w:rPr>
                    <w:t>符合</w:t>
                  </w:r>
                </w:p>
              </w:tc>
            </w:tr>
            <w:tr w14:paraId="62C9DC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04" w:type="pct"/>
                  <w:noWrap w:val="0"/>
                  <w:vAlign w:val="center"/>
                </w:tcPr>
                <w:p w14:paraId="01A686E3">
                  <w:pPr>
                    <w:pStyle w:val="5"/>
                    <w:bidi w:val="0"/>
                    <w:rPr>
                      <w:lang w:val="en-US" w:eastAsia="zh-CN"/>
                    </w:rPr>
                  </w:pPr>
                  <w:r>
                    <w:rPr>
                      <w:lang w:val="en-US" w:eastAsia="zh-CN"/>
                    </w:rPr>
                    <w:t>2</w:t>
                  </w:r>
                </w:p>
              </w:tc>
              <w:tc>
                <w:tcPr>
                  <w:tcW w:w="2829" w:type="pct"/>
                  <w:noWrap w:val="0"/>
                  <w:vAlign w:val="center"/>
                </w:tcPr>
                <w:p w14:paraId="711E78D6">
                  <w:pPr>
                    <w:pStyle w:val="5"/>
                    <w:bidi w:val="0"/>
                    <w:rPr>
                      <w:lang w:val="en-US" w:eastAsia="zh-CN"/>
                    </w:rPr>
                  </w:pPr>
                  <w:r>
                    <w:rPr>
                      <w:lang w:val="en-US" w:eastAsia="zh-CN"/>
                    </w:rPr>
                    <w:t>二、挥发性有机液体装卸</w:t>
                  </w:r>
                </w:p>
                <w:p w14:paraId="5E98124E">
                  <w:pPr>
                    <w:pStyle w:val="5"/>
                    <w:bidi w:val="0"/>
                    <w:rPr>
                      <w:lang w:val="en-US" w:eastAsia="zh-CN"/>
                    </w:rPr>
                  </w:pPr>
                  <w:r>
                    <w:rPr>
                      <w:lang w:val="en-US" w:eastAsia="zh-CN"/>
                    </w:rPr>
                    <w:t>汽车罐车按照标准采用适宜的装载方式，推广采用密封式快速接头等；铁路罐车推广使用锁紧式接头等。废气处理设施吸附剂应及时再生或更换，冷凝温度以及系统压力、气体流量、装载量等相关参数应满足设计要求；装载作业排气经过回收处理后不能稳定达标的，应进一步优化治理设施或实施深度治理。</w:t>
                  </w:r>
                </w:p>
              </w:tc>
              <w:tc>
                <w:tcPr>
                  <w:tcW w:w="1325" w:type="pct"/>
                  <w:noWrap w:val="0"/>
                  <w:vAlign w:val="center"/>
                </w:tcPr>
                <w:p w14:paraId="65BF377A">
                  <w:pPr>
                    <w:pStyle w:val="5"/>
                    <w:bidi w:val="0"/>
                    <w:rPr>
                      <w:lang w:val="en-US" w:eastAsia="zh-CN"/>
                    </w:rPr>
                  </w:pPr>
                  <w:r>
                    <w:rPr>
                      <w:lang w:val="en-US" w:eastAsia="zh-CN"/>
                    </w:rPr>
                    <w:t>本项目装卸过程设置油气回收装置，采用“冷凝+吸附”处理后排放。</w:t>
                  </w:r>
                </w:p>
              </w:tc>
              <w:tc>
                <w:tcPr>
                  <w:tcW w:w="440" w:type="pct"/>
                  <w:noWrap w:val="0"/>
                  <w:vAlign w:val="center"/>
                </w:tcPr>
                <w:p w14:paraId="53AED1F7">
                  <w:pPr>
                    <w:pStyle w:val="5"/>
                    <w:bidi w:val="0"/>
                    <w:rPr>
                      <w:lang w:val="en-US" w:eastAsia="zh-CN"/>
                    </w:rPr>
                  </w:pPr>
                  <w:r>
                    <w:rPr>
                      <w:lang w:val="en-US" w:eastAsia="zh-CN"/>
                    </w:rPr>
                    <w:t>符合</w:t>
                  </w:r>
                </w:p>
              </w:tc>
            </w:tr>
            <w:tr w14:paraId="6FCB1F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04" w:type="pct"/>
                  <w:noWrap w:val="0"/>
                  <w:vAlign w:val="center"/>
                </w:tcPr>
                <w:p w14:paraId="482C0010">
                  <w:pPr>
                    <w:pStyle w:val="5"/>
                    <w:bidi w:val="0"/>
                    <w:rPr>
                      <w:lang w:val="en-US" w:eastAsia="zh-CN"/>
                    </w:rPr>
                  </w:pPr>
                  <w:r>
                    <w:rPr>
                      <w:lang w:val="en-US" w:eastAsia="zh-CN"/>
                    </w:rPr>
                    <w:t>3</w:t>
                  </w:r>
                </w:p>
              </w:tc>
              <w:tc>
                <w:tcPr>
                  <w:tcW w:w="2829" w:type="pct"/>
                  <w:noWrap w:val="0"/>
                  <w:vAlign w:val="center"/>
                </w:tcPr>
                <w:p w14:paraId="77C525CC">
                  <w:pPr>
                    <w:pStyle w:val="5"/>
                    <w:bidi w:val="0"/>
                    <w:rPr>
                      <w:lang w:val="en-US" w:eastAsia="zh-CN"/>
                    </w:rPr>
                  </w:pPr>
                  <w:r>
                    <w:rPr>
                      <w:lang w:val="en-US" w:eastAsia="zh-CN"/>
                    </w:rPr>
                    <w:t>三、敞开液面逸散</w:t>
                  </w:r>
                </w:p>
                <w:p w14:paraId="3A37D09A">
                  <w:pPr>
                    <w:pStyle w:val="5"/>
                    <w:bidi w:val="0"/>
                    <w:rPr>
                      <w:lang w:val="en-US" w:eastAsia="zh-CN"/>
                    </w:rPr>
                  </w:pPr>
                  <w:r>
                    <w:rPr>
                      <w:lang w:val="en-US" w:eastAsia="zh-CN"/>
                    </w:rPr>
                    <w:t>石油炼制、石油化工企业用于集输、储存、处理含VOCs废水的设施应密闭…通过采取密闭管道等措施逐步替代地漏、沟、渠、井等敞开式集输方式，减少集水井、含油污水池数量。</w:t>
                  </w:r>
                </w:p>
              </w:tc>
              <w:tc>
                <w:tcPr>
                  <w:tcW w:w="1325" w:type="pct"/>
                  <w:noWrap w:val="0"/>
                  <w:vAlign w:val="center"/>
                </w:tcPr>
                <w:p w14:paraId="74D6D391">
                  <w:pPr>
                    <w:pStyle w:val="5"/>
                    <w:bidi w:val="0"/>
                    <w:rPr>
                      <w:lang w:val="en-US" w:eastAsia="zh-CN"/>
                    </w:rPr>
                  </w:pPr>
                  <w:r>
                    <w:rPr>
                      <w:lang w:val="en-US" w:eastAsia="zh-CN"/>
                    </w:rPr>
                    <w:t>本项目为</w:t>
                  </w:r>
                  <w:r>
                    <w:rPr>
                      <w:rFonts w:hint="eastAsia"/>
                      <w:lang w:val="en-US" w:eastAsia="zh-CN"/>
                    </w:rPr>
                    <w:t>改</w:t>
                  </w:r>
                  <w:r>
                    <w:rPr>
                      <w:lang w:val="en-US" w:eastAsia="zh-CN"/>
                    </w:rPr>
                    <w:t>扩建项目，不新增废水。</w:t>
                  </w:r>
                </w:p>
              </w:tc>
              <w:tc>
                <w:tcPr>
                  <w:tcW w:w="440" w:type="pct"/>
                  <w:noWrap w:val="0"/>
                  <w:vAlign w:val="center"/>
                </w:tcPr>
                <w:p w14:paraId="5B92D5E4">
                  <w:pPr>
                    <w:pStyle w:val="5"/>
                    <w:bidi w:val="0"/>
                    <w:rPr>
                      <w:lang w:val="en-US" w:eastAsia="zh-CN"/>
                    </w:rPr>
                  </w:pPr>
                  <w:r>
                    <w:rPr>
                      <w:lang w:val="en-US" w:eastAsia="zh-CN"/>
                    </w:rPr>
                    <w:t>符合</w:t>
                  </w:r>
                </w:p>
              </w:tc>
            </w:tr>
            <w:tr w14:paraId="785151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04" w:type="pct"/>
                  <w:noWrap w:val="0"/>
                  <w:vAlign w:val="center"/>
                </w:tcPr>
                <w:p w14:paraId="441652A1">
                  <w:pPr>
                    <w:pStyle w:val="5"/>
                    <w:bidi w:val="0"/>
                    <w:rPr>
                      <w:lang w:val="en-US" w:eastAsia="zh-CN"/>
                    </w:rPr>
                  </w:pPr>
                  <w:r>
                    <w:rPr>
                      <w:lang w:val="en-US" w:eastAsia="zh-CN"/>
                    </w:rPr>
                    <w:t>4</w:t>
                  </w:r>
                </w:p>
              </w:tc>
              <w:tc>
                <w:tcPr>
                  <w:tcW w:w="2829" w:type="pct"/>
                  <w:noWrap w:val="0"/>
                  <w:vAlign w:val="center"/>
                </w:tcPr>
                <w:p w14:paraId="2B733957">
                  <w:pPr>
                    <w:pStyle w:val="5"/>
                    <w:bidi w:val="0"/>
                    <w:rPr>
                      <w:lang w:val="en-US" w:eastAsia="zh-CN"/>
                    </w:rPr>
                  </w:pPr>
                  <w:r>
                    <w:rPr>
                      <w:lang w:val="en-US" w:eastAsia="zh-CN"/>
                    </w:rPr>
                    <w:t>四、泄漏检测与修复：石油炼制、石油化工、合成树脂行业所有企业都应开展LDAR工作；其他行业企业中载有气态、液态VOCs物料的设备与管线组件密封点大于等于2000个的，应开展LDAR工作。</w:t>
                  </w:r>
                </w:p>
              </w:tc>
              <w:tc>
                <w:tcPr>
                  <w:tcW w:w="1325" w:type="pct"/>
                  <w:noWrap w:val="0"/>
                  <w:vAlign w:val="center"/>
                </w:tcPr>
                <w:p w14:paraId="4E048B8A">
                  <w:pPr>
                    <w:pStyle w:val="5"/>
                    <w:bidi w:val="0"/>
                    <w:rPr>
                      <w:lang w:val="en-US" w:eastAsia="zh-CN"/>
                    </w:rPr>
                  </w:pPr>
                  <w:r>
                    <w:rPr>
                      <w:lang w:val="en-US" w:eastAsia="zh-CN"/>
                    </w:rPr>
                    <w:t>企业按照相关标准及规范开展LDAR工作。</w:t>
                  </w:r>
                </w:p>
              </w:tc>
              <w:tc>
                <w:tcPr>
                  <w:tcW w:w="440" w:type="pct"/>
                  <w:noWrap w:val="0"/>
                  <w:vAlign w:val="center"/>
                </w:tcPr>
                <w:p w14:paraId="0A718BD0">
                  <w:pPr>
                    <w:pStyle w:val="5"/>
                    <w:bidi w:val="0"/>
                    <w:rPr>
                      <w:lang w:val="en-US" w:eastAsia="zh-CN"/>
                    </w:rPr>
                  </w:pPr>
                  <w:r>
                    <w:rPr>
                      <w:lang w:val="en-US" w:eastAsia="zh-CN"/>
                    </w:rPr>
                    <w:t>符合</w:t>
                  </w:r>
                </w:p>
              </w:tc>
            </w:tr>
            <w:tr w14:paraId="7CECD0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04" w:type="pct"/>
                  <w:noWrap w:val="0"/>
                  <w:vAlign w:val="center"/>
                </w:tcPr>
                <w:p w14:paraId="06C0E24B">
                  <w:pPr>
                    <w:pStyle w:val="5"/>
                    <w:bidi w:val="0"/>
                    <w:rPr>
                      <w:lang w:val="en-US" w:eastAsia="zh-CN"/>
                    </w:rPr>
                  </w:pPr>
                  <w:r>
                    <w:rPr>
                      <w:lang w:val="en-US" w:eastAsia="zh-CN"/>
                    </w:rPr>
                    <w:t>5</w:t>
                  </w:r>
                </w:p>
              </w:tc>
              <w:tc>
                <w:tcPr>
                  <w:tcW w:w="2829" w:type="pct"/>
                  <w:noWrap w:val="0"/>
                  <w:vAlign w:val="center"/>
                </w:tcPr>
                <w:p w14:paraId="4AC6ADBB">
                  <w:pPr>
                    <w:pStyle w:val="5"/>
                    <w:bidi w:val="0"/>
                    <w:rPr>
                      <w:lang w:val="en-US" w:eastAsia="zh-CN"/>
                    </w:rPr>
                  </w:pPr>
                  <w:r>
                    <w:rPr>
                      <w:lang w:val="en-US" w:eastAsia="zh-CN"/>
                    </w:rPr>
                    <w:t>九、非正常工况：石化、化工企业提前向当地生态环境部门报告检维修计划，制定非正常工况VOCs管控规程，严格按照规程进行操作。企业开停工、检维修期间，退料、清洗、吹扫等作业产生的VOCs废气应及时收集处理，确保满足标准要求。</w:t>
                  </w:r>
                </w:p>
              </w:tc>
              <w:tc>
                <w:tcPr>
                  <w:tcW w:w="1325" w:type="pct"/>
                  <w:noWrap w:val="0"/>
                  <w:vAlign w:val="center"/>
                </w:tcPr>
                <w:p w14:paraId="21B21082">
                  <w:pPr>
                    <w:pStyle w:val="5"/>
                    <w:bidi w:val="0"/>
                    <w:rPr>
                      <w:lang w:val="en-US" w:eastAsia="zh-CN"/>
                    </w:rPr>
                  </w:pPr>
                  <w:r>
                    <w:rPr>
                      <w:lang w:val="en-US" w:eastAsia="zh-CN"/>
                    </w:rPr>
                    <w:t>本项目将非正常情况下排放的可燃性气体收集后送到火炬燃烧满足标准要求。</w:t>
                  </w:r>
                </w:p>
              </w:tc>
              <w:tc>
                <w:tcPr>
                  <w:tcW w:w="440" w:type="pct"/>
                  <w:noWrap w:val="0"/>
                  <w:vAlign w:val="center"/>
                </w:tcPr>
                <w:p w14:paraId="0BF4C959">
                  <w:pPr>
                    <w:pStyle w:val="5"/>
                    <w:bidi w:val="0"/>
                    <w:rPr>
                      <w:lang w:val="en-US" w:eastAsia="zh-CN"/>
                    </w:rPr>
                  </w:pPr>
                  <w:r>
                    <w:rPr>
                      <w:lang w:val="en-US" w:eastAsia="zh-CN"/>
                    </w:rPr>
                    <w:t>符合</w:t>
                  </w:r>
                </w:p>
              </w:tc>
            </w:tr>
          </w:tbl>
          <w:p w14:paraId="33E92D74">
            <w:pPr>
              <w:widowControl w:val="0"/>
              <w:spacing w:line="360" w:lineRule="auto"/>
              <w:ind w:firstLine="480" w:firstLineChars="200"/>
              <w:jc w:val="both"/>
              <w:rPr>
                <w:rFonts w:eastAsia="宋体"/>
                <w:kern w:val="2"/>
                <w:lang w:val="en-US" w:eastAsia="zh-CN" w:bidi="ar-SA"/>
              </w:rPr>
            </w:pPr>
            <w:r>
              <w:rPr>
                <w:rFonts w:eastAsia="宋体"/>
                <w:kern w:val="2"/>
                <w:lang w:val="en-US" w:eastAsia="zh-CN" w:bidi="ar-SA"/>
              </w:rPr>
              <w:t>综上，本项目符合《关于加快解决当前挥发性有机物治理突出问题的通知》要求。</w:t>
            </w:r>
          </w:p>
          <w:p w14:paraId="6505AD77">
            <w:pPr>
              <w:keepNext/>
              <w:keepLines/>
              <w:pageBreakBefore w:val="0"/>
              <w:widowControl w:val="0"/>
              <w:kinsoku/>
              <w:wordWrap/>
              <w:overflowPunct/>
              <w:topLinePunct w:val="0"/>
              <w:autoSpaceDE/>
              <w:autoSpaceDN/>
              <w:bidi w:val="0"/>
              <w:adjustRightInd/>
              <w:snapToGrid/>
              <w:spacing w:line="360" w:lineRule="auto"/>
              <w:jc w:val="both"/>
              <w:textAlignment w:val="auto"/>
              <w:outlineLvl w:val="3"/>
              <w:rPr>
                <w:rFonts w:eastAsia="宋体"/>
                <w:b/>
                <w:bCs/>
                <w:kern w:val="2"/>
                <w:lang w:val="en-US" w:eastAsia="zh-CN" w:bidi="ar-SA"/>
              </w:rPr>
            </w:pPr>
            <w:r>
              <w:rPr>
                <w:rFonts w:hint="eastAsia" w:eastAsia="宋体"/>
                <w:b/>
                <w:bCs/>
                <w:kern w:val="2"/>
                <w:lang w:val="en-US" w:eastAsia="zh-CN" w:bidi="ar-SA"/>
              </w:rPr>
              <w:t>9</w:t>
            </w:r>
            <w:r>
              <w:rPr>
                <w:rFonts w:hint="eastAsia"/>
                <w:b/>
                <w:bCs/>
                <w:kern w:val="2"/>
                <w:lang w:val="en-US" w:eastAsia="zh-CN" w:bidi="ar-SA"/>
              </w:rPr>
              <w:t xml:space="preserve"> </w:t>
            </w:r>
            <w:r>
              <w:rPr>
                <w:rFonts w:eastAsia="宋体"/>
                <w:b/>
                <w:bCs/>
                <w:kern w:val="2"/>
                <w:lang w:val="en-US" w:eastAsia="zh-CN" w:bidi="ar-SA"/>
              </w:rPr>
              <w:t>与《重点行业挥发性有机物综合治理方案》的符合性分析</w:t>
            </w:r>
          </w:p>
          <w:p w14:paraId="746CB70D">
            <w:pPr>
              <w:bidi w:val="0"/>
              <w:rPr>
                <w:lang w:val="en-US" w:eastAsia="zh-CN"/>
              </w:rPr>
            </w:pPr>
            <w:r>
              <w:rPr>
                <w:lang w:val="en-US" w:eastAsia="zh-CN"/>
              </w:rPr>
              <w:t>为了进一步深化VOCs的综合治理，2019年生态环境部发布了《重点行业挥发性有机物综合治理方案》（环大气〔2019〕53号），主要包括石化行业、化工行业、工业涂装、包装印刷行业、油品储运销等行业提出了挥发性有机物治理任务。本项目属于石化行业，根据石化行业治理任务进行分析见表1-</w:t>
            </w:r>
            <w:r>
              <w:rPr>
                <w:rFonts w:hint="eastAsia"/>
                <w:lang w:val="en-US" w:eastAsia="zh-CN"/>
              </w:rPr>
              <w:t>9</w:t>
            </w:r>
            <w:r>
              <w:rPr>
                <w:lang w:val="en-US" w:eastAsia="zh-CN"/>
              </w:rPr>
              <w:t>。</w:t>
            </w:r>
          </w:p>
          <w:p w14:paraId="17826227">
            <w:pPr>
              <w:pStyle w:val="4"/>
              <w:bidi w:val="0"/>
              <w:rPr>
                <w:lang w:val="en-US" w:eastAsia="zh-CN"/>
              </w:rPr>
            </w:pPr>
            <w:r>
              <w:rPr>
                <w:lang w:val="en-US" w:eastAsia="zh-CN"/>
              </w:rPr>
              <w:t>表1-</w:t>
            </w:r>
            <w:r>
              <w:rPr>
                <w:rFonts w:hint="eastAsia"/>
                <w:lang w:val="en-US" w:eastAsia="zh-CN"/>
              </w:rPr>
              <w:t xml:space="preserve">9 </w:t>
            </w:r>
            <w:r>
              <w:rPr>
                <w:lang w:val="en-US" w:eastAsia="zh-CN"/>
              </w:rPr>
              <w:t xml:space="preserve"> 《关于印发重点行业挥发性有机物综合治理方案的通知》符合性</w:t>
            </w:r>
          </w:p>
          <w:tbl>
            <w:tblPr>
              <w:tblStyle w:val="19"/>
              <w:tblpPr w:leftFromText="180" w:rightFromText="180" w:vertAnchor="text" w:horzAnchor="page" w:tblpX="30" w:tblpY="18"/>
              <w:tblOverlap w:val="never"/>
              <w:tblW w:w="4998"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0" w:type="dxa"/>
                <w:bottom w:w="0" w:type="dxa"/>
                <w:right w:w="0" w:type="dxa"/>
              </w:tblCellMar>
            </w:tblPr>
            <w:tblGrid>
              <w:gridCol w:w="743"/>
              <w:gridCol w:w="3675"/>
              <w:gridCol w:w="2731"/>
              <w:gridCol w:w="873"/>
            </w:tblGrid>
            <w:tr w14:paraId="3E58F1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blHeader/>
              </w:trPr>
              <w:tc>
                <w:tcPr>
                  <w:tcW w:w="463" w:type="pct"/>
                  <w:noWrap w:val="0"/>
                  <w:vAlign w:val="center"/>
                </w:tcPr>
                <w:p w14:paraId="0B983AA4">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 w:val="0"/>
                      <w:bCs/>
                      <w:kern w:val="2"/>
                      <w:sz w:val="21"/>
                      <w:szCs w:val="21"/>
                      <w:lang w:val="en-US" w:eastAsia="zh-CN" w:bidi="ar-SA"/>
                    </w:rPr>
                  </w:pPr>
                  <w:r>
                    <w:rPr>
                      <w:b w:val="0"/>
                      <w:bCs/>
                      <w:kern w:val="2"/>
                      <w:sz w:val="21"/>
                      <w:szCs w:val="21"/>
                      <w:lang w:val="en-US" w:eastAsia="zh-CN" w:bidi="ar-SA"/>
                    </w:rPr>
                    <w:t>序号</w:t>
                  </w:r>
                </w:p>
              </w:tc>
              <w:tc>
                <w:tcPr>
                  <w:tcW w:w="2290" w:type="pct"/>
                  <w:noWrap w:val="0"/>
                  <w:vAlign w:val="center"/>
                </w:tcPr>
                <w:p w14:paraId="09A646D8">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 w:val="0"/>
                      <w:bCs/>
                      <w:kern w:val="2"/>
                      <w:sz w:val="21"/>
                      <w:szCs w:val="21"/>
                      <w:lang w:val="en-US" w:eastAsia="zh-CN" w:bidi="ar-SA"/>
                    </w:rPr>
                  </w:pPr>
                  <w:r>
                    <w:rPr>
                      <w:rFonts w:eastAsia="宋体"/>
                      <w:b w:val="0"/>
                      <w:bCs/>
                      <w:kern w:val="2"/>
                      <w:sz w:val="21"/>
                      <w:szCs w:val="21"/>
                      <w:lang w:val="en-US" w:eastAsia="zh-CN" w:bidi="ar-SA"/>
                    </w:rPr>
                    <w:t>相关要求</w:t>
                  </w:r>
                </w:p>
              </w:tc>
              <w:tc>
                <w:tcPr>
                  <w:tcW w:w="1702" w:type="pct"/>
                  <w:noWrap w:val="0"/>
                  <w:vAlign w:val="center"/>
                </w:tcPr>
                <w:p w14:paraId="7A018F96">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 w:val="0"/>
                      <w:bCs/>
                      <w:kern w:val="2"/>
                      <w:sz w:val="21"/>
                      <w:szCs w:val="21"/>
                      <w:lang w:val="en-US" w:eastAsia="zh-CN" w:bidi="ar-SA"/>
                    </w:rPr>
                  </w:pPr>
                  <w:r>
                    <w:rPr>
                      <w:b w:val="0"/>
                      <w:bCs/>
                      <w:kern w:val="2"/>
                      <w:sz w:val="21"/>
                      <w:szCs w:val="21"/>
                      <w:lang w:val="en-US" w:eastAsia="zh-CN" w:bidi="ar-SA"/>
                    </w:rPr>
                    <w:t>本项目</w:t>
                  </w:r>
                  <w:r>
                    <w:rPr>
                      <w:rFonts w:eastAsia="宋体"/>
                      <w:b w:val="0"/>
                      <w:bCs/>
                      <w:kern w:val="2"/>
                      <w:sz w:val="21"/>
                      <w:szCs w:val="21"/>
                      <w:lang w:val="en-US" w:eastAsia="zh-CN" w:bidi="ar-SA"/>
                    </w:rPr>
                    <w:t>情况</w:t>
                  </w:r>
                </w:p>
              </w:tc>
              <w:tc>
                <w:tcPr>
                  <w:tcW w:w="544" w:type="pct"/>
                  <w:noWrap w:val="0"/>
                  <w:vAlign w:val="center"/>
                </w:tcPr>
                <w:p w14:paraId="4061C246">
                  <w:pPr>
                    <w:keepNext w:val="0"/>
                    <w:keepLines w:val="0"/>
                    <w:pageBreakBefore w:val="0"/>
                    <w:widowControl w:val="0"/>
                    <w:tabs>
                      <w:tab w:val="left" w:pos="0"/>
                    </w:tabs>
                    <w:kinsoku/>
                    <w:wordWrap/>
                    <w:overflowPunct/>
                    <w:topLinePunct w:val="0"/>
                    <w:autoSpaceDE w:val="0"/>
                    <w:autoSpaceDN w:val="0"/>
                    <w:bidi w:val="0"/>
                    <w:adjustRightInd/>
                    <w:snapToGrid/>
                    <w:spacing w:after="0" w:line="240" w:lineRule="auto"/>
                    <w:ind w:left="0" w:firstLine="0" w:firstLineChars="0"/>
                    <w:jc w:val="center"/>
                    <w:textAlignment w:val="auto"/>
                    <w:rPr>
                      <w:rFonts w:eastAsia="宋体"/>
                      <w:b w:val="0"/>
                      <w:bCs/>
                      <w:kern w:val="2"/>
                      <w:sz w:val="21"/>
                      <w:szCs w:val="21"/>
                      <w:lang w:val="en-US" w:eastAsia="zh-CN" w:bidi="ar-SA"/>
                    </w:rPr>
                  </w:pPr>
                  <w:r>
                    <w:rPr>
                      <w:rFonts w:eastAsia="宋体"/>
                      <w:b w:val="0"/>
                      <w:bCs/>
                      <w:kern w:val="2"/>
                      <w:sz w:val="21"/>
                      <w:szCs w:val="21"/>
                      <w:lang w:val="en-US" w:eastAsia="zh-CN" w:bidi="ar-SA"/>
                    </w:rPr>
                    <w:t>符合性</w:t>
                  </w:r>
                </w:p>
              </w:tc>
            </w:tr>
            <w:tr w14:paraId="5F5395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63" w:type="pct"/>
                  <w:noWrap w:val="0"/>
                  <w:vAlign w:val="center"/>
                </w:tcPr>
                <w:p w14:paraId="066B5EBB">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1</w:t>
                  </w:r>
                </w:p>
              </w:tc>
              <w:tc>
                <w:tcPr>
                  <w:tcW w:w="2290" w:type="pct"/>
                  <w:noWrap w:val="0"/>
                  <w:vAlign w:val="center"/>
                </w:tcPr>
                <w:p w14:paraId="622DA992">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二）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tc>
              <w:tc>
                <w:tcPr>
                  <w:tcW w:w="1702" w:type="pct"/>
                  <w:noWrap w:val="0"/>
                  <w:vAlign w:val="center"/>
                </w:tcPr>
                <w:p w14:paraId="60B49889">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本</w:t>
                  </w:r>
                  <w:r>
                    <w:rPr>
                      <w:rFonts w:eastAsia="宋体"/>
                      <w:bCs/>
                      <w:kern w:val="2"/>
                      <w:sz w:val="21"/>
                      <w:szCs w:val="21"/>
                      <w:lang w:val="en-US" w:eastAsia="zh-CN" w:bidi="ar-SA"/>
                    </w:rPr>
                    <w:t>项目对VOCs的物料的排放源</w:t>
                  </w:r>
                  <w:r>
                    <w:rPr>
                      <w:bCs/>
                      <w:kern w:val="2"/>
                      <w:sz w:val="21"/>
                      <w:szCs w:val="21"/>
                      <w:lang w:val="en-US" w:eastAsia="zh-CN" w:bidi="ar-SA"/>
                    </w:rPr>
                    <w:t>储存、转移和输送、设备与管线组件泄漏、敞开液面逸散</w:t>
                  </w:r>
                  <w:r>
                    <w:rPr>
                      <w:rFonts w:eastAsia="宋体"/>
                      <w:bCs/>
                      <w:kern w:val="2"/>
                      <w:sz w:val="21"/>
                      <w:szCs w:val="21"/>
                      <w:lang w:val="en-US" w:eastAsia="zh-CN" w:bidi="ar-SA"/>
                    </w:rPr>
                    <w:t>等</w:t>
                  </w:r>
                  <w:r>
                    <w:rPr>
                      <w:bCs/>
                      <w:kern w:val="2"/>
                      <w:sz w:val="21"/>
                      <w:szCs w:val="21"/>
                      <w:lang w:val="en-US" w:eastAsia="zh-CN" w:bidi="ar-SA"/>
                    </w:rPr>
                    <w:t>排放源</w:t>
                  </w:r>
                  <w:r>
                    <w:rPr>
                      <w:rFonts w:eastAsia="宋体"/>
                      <w:bCs/>
                      <w:kern w:val="2"/>
                      <w:sz w:val="21"/>
                      <w:szCs w:val="21"/>
                      <w:lang w:val="en-US" w:eastAsia="zh-CN" w:bidi="ar-SA"/>
                    </w:rPr>
                    <w:t>实施</w:t>
                  </w:r>
                  <w:r>
                    <w:rPr>
                      <w:bCs/>
                      <w:kern w:val="2"/>
                      <w:sz w:val="21"/>
                      <w:szCs w:val="21"/>
                      <w:lang w:val="en-US" w:eastAsia="zh-CN" w:bidi="ar-SA"/>
                    </w:rPr>
                    <w:t>采取设备与场所密闭</w:t>
                  </w:r>
                  <w:r>
                    <w:rPr>
                      <w:rFonts w:eastAsia="宋体"/>
                      <w:bCs/>
                      <w:kern w:val="2"/>
                      <w:sz w:val="21"/>
                      <w:szCs w:val="21"/>
                      <w:lang w:val="en-US" w:eastAsia="zh-CN" w:bidi="ar-SA"/>
                    </w:rPr>
                    <w:t>、废气收集等管控措施，实现VOCs无组织减排。</w:t>
                  </w:r>
                </w:p>
              </w:tc>
              <w:tc>
                <w:tcPr>
                  <w:tcW w:w="544" w:type="pct"/>
                  <w:noWrap w:val="0"/>
                  <w:vAlign w:val="center"/>
                </w:tcPr>
                <w:p w14:paraId="339B94B8">
                  <w:pPr>
                    <w:keepNext w:val="0"/>
                    <w:keepLines w:val="0"/>
                    <w:pageBreakBefore w:val="0"/>
                    <w:widowControl w:val="0"/>
                    <w:tabs>
                      <w:tab w:val="left" w:pos="0"/>
                    </w:tabs>
                    <w:kinsoku/>
                    <w:wordWrap/>
                    <w:overflowPunct/>
                    <w:topLinePunct w:val="0"/>
                    <w:autoSpaceDE w:val="0"/>
                    <w:autoSpaceDN w:val="0"/>
                    <w:bidi w:val="0"/>
                    <w:adjustRightInd/>
                    <w:snapToGrid/>
                    <w:spacing w:line="240" w:lineRule="auto"/>
                    <w:ind w:left="0"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符合</w:t>
                  </w:r>
                </w:p>
              </w:tc>
            </w:tr>
            <w:tr w14:paraId="63EB04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63" w:type="pct"/>
                  <w:noWrap w:val="0"/>
                  <w:vAlign w:val="center"/>
                </w:tcPr>
                <w:p w14:paraId="2372B3D2">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2</w:t>
                  </w:r>
                </w:p>
              </w:tc>
              <w:tc>
                <w:tcPr>
                  <w:tcW w:w="2290" w:type="pct"/>
                  <w:noWrap w:val="0"/>
                  <w:vAlign w:val="center"/>
                </w:tcPr>
                <w:p w14:paraId="0E3BFFBB">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加强设备与场所密闭管理。含VOCs物料应储存于密闭容器、包装袋，高效密封储罐，封闭式储库、料仓等。</w:t>
                  </w:r>
                </w:p>
              </w:tc>
              <w:tc>
                <w:tcPr>
                  <w:tcW w:w="1702" w:type="pct"/>
                  <w:noWrap w:val="0"/>
                  <w:vAlign w:val="center"/>
                </w:tcPr>
                <w:p w14:paraId="2F4721CF">
                  <w:pPr>
                    <w:keepNext w:val="0"/>
                    <w:keepLines w:val="0"/>
                    <w:pageBreakBefore w:val="0"/>
                    <w:widowControl w:val="0"/>
                    <w:kinsoku/>
                    <w:wordWrap/>
                    <w:overflowPunct/>
                    <w:topLinePunct w:val="0"/>
                    <w:bidi w:val="0"/>
                    <w:adjustRightInd/>
                    <w:snapToGrid/>
                    <w:spacing w:line="240" w:lineRule="auto"/>
                    <w:ind w:left="0"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本项目罐区采用</w:t>
                  </w:r>
                  <w:r>
                    <w:rPr>
                      <w:rFonts w:hint="eastAsia" w:eastAsia="宋体"/>
                      <w:bCs/>
                      <w:kern w:val="2"/>
                      <w:sz w:val="21"/>
                      <w:szCs w:val="21"/>
                      <w:lang w:val="en-US" w:eastAsia="zh-CN" w:bidi="ar-SA"/>
                    </w:rPr>
                    <w:t>全压力球罐</w:t>
                  </w:r>
                  <w:r>
                    <w:rPr>
                      <w:rFonts w:eastAsia="宋体"/>
                      <w:bCs/>
                      <w:kern w:val="2"/>
                      <w:sz w:val="21"/>
                      <w:szCs w:val="21"/>
                      <w:lang w:val="en-US" w:eastAsia="zh-CN" w:bidi="ar-SA"/>
                    </w:rPr>
                    <w:t>减少挥发性有机物的产生，同时罐区和装卸平台设置油气回收装置，采用“冷凝+吸附”处理工艺，减少挥发性有机废气的产生和排放。</w:t>
                  </w:r>
                </w:p>
              </w:tc>
              <w:tc>
                <w:tcPr>
                  <w:tcW w:w="544" w:type="pct"/>
                  <w:noWrap w:val="0"/>
                  <w:vAlign w:val="center"/>
                </w:tcPr>
                <w:p w14:paraId="217A559D">
                  <w:pPr>
                    <w:keepNext w:val="0"/>
                    <w:keepLines w:val="0"/>
                    <w:pageBreakBefore w:val="0"/>
                    <w:widowControl w:val="0"/>
                    <w:kinsoku/>
                    <w:wordWrap/>
                    <w:overflowPunct/>
                    <w:topLinePunct w:val="0"/>
                    <w:bidi w:val="0"/>
                    <w:adjustRightInd/>
                    <w:snapToGrid/>
                    <w:spacing w:line="240" w:lineRule="auto"/>
                    <w:ind w:left="0"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符合</w:t>
                  </w:r>
                </w:p>
              </w:tc>
            </w:tr>
            <w:tr w14:paraId="4AB8FE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63" w:type="pct"/>
                  <w:noWrap w:val="0"/>
                  <w:vAlign w:val="center"/>
                </w:tcPr>
                <w:p w14:paraId="49A7FF01">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3</w:t>
                  </w:r>
                </w:p>
              </w:tc>
              <w:tc>
                <w:tcPr>
                  <w:tcW w:w="2290" w:type="pct"/>
                  <w:noWrap w:val="0"/>
                  <w:vAlign w:val="center"/>
                </w:tcPr>
                <w:p w14:paraId="1546E13B">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加强设备与管线组件泄漏控制。企业中载有气态、液态VOCs物料的设备与管线组件，密封点数量大于等于2000个的，应按要求开展LDAR工作。石化企业按行业排放标准规定执行。</w:t>
                  </w:r>
                </w:p>
              </w:tc>
              <w:tc>
                <w:tcPr>
                  <w:tcW w:w="1702" w:type="pct"/>
                  <w:noWrap w:val="0"/>
                  <w:vAlign w:val="center"/>
                </w:tcPr>
                <w:p w14:paraId="4B12FE74">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企业按照相关标准及规范开展LDAR工作。</w:t>
                  </w:r>
                </w:p>
              </w:tc>
              <w:tc>
                <w:tcPr>
                  <w:tcW w:w="544" w:type="pct"/>
                  <w:noWrap w:val="0"/>
                  <w:vAlign w:val="center"/>
                </w:tcPr>
                <w:p w14:paraId="1BB40471">
                  <w:pPr>
                    <w:keepNext w:val="0"/>
                    <w:keepLines w:val="0"/>
                    <w:pageBreakBefore w:val="0"/>
                    <w:widowControl w:val="0"/>
                    <w:tabs>
                      <w:tab w:val="left" w:pos="0"/>
                    </w:tabs>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rFonts w:eastAsia="宋体"/>
                      <w:bCs/>
                      <w:kern w:val="2"/>
                      <w:sz w:val="21"/>
                      <w:szCs w:val="21"/>
                      <w:lang w:val="en-US" w:eastAsia="zh-CN" w:bidi="ar-SA"/>
                    </w:rPr>
                    <w:t>符合</w:t>
                  </w:r>
                </w:p>
              </w:tc>
            </w:tr>
            <w:tr w14:paraId="2E984D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63" w:type="pct"/>
                  <w:noWrap w:val="0"/>
                  <w:vAlign w:val="center"/>
                </w:tcPr>
                <w:p w14:paraId="5159143C">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4</w:t>
                  </w:r>
                </w:p>
              </w:tc>
              <w:tc>
                <w:tcPr>
                  <w:tcW w:w="2290" w:type="pct"/>
                  <w:noWrap w:val="0"/>
                  <w:vAlign w:val="center"/>
                </w:tcPr>
                <w:p w14:paraId="2F15AC73">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推行</w:t>
                  </w:r>
                  <w:r>
                    <w:rPr>
                      <w:rFonts w:eastAsia="宋体"/>
                      <w:bCs/>
                      <w:kern w:val="2"/>
                      <w:sz w:val="21"/>
                      <w:szCs w:val="21"/>
                      <w:lang w:val="en-US" w:eastAsia="zh-CN" w:bidi="ar-SA"/>
                    </w:rPr>
                    <w:t>“</w:t>
                  </w:r>
                  <w:r>
                    <w:rPr>
                      <w:bCs/>
                      <w:kern w:val="2"/>
                      <w:sz w:val="21"/>
                      <w:szCs w:val="21"/>
                      <w:lang w:val="en-US" w:eastAsia="zh-CN" w:bidi="ar-SA"/>
                    </w:rPr>
                    <w:t>一厂一策</w:t>
                  </w:r>
                  <w:r>
                    <w:rPr>
                      <w:rFonts w:eastAsia="宋体"/>
                      <w:bCs/>
                      <w:kern w:val="2"/>
                      <w:sz w:val="21"/>
                      <w:szCs w:val="21"/>
                      <w:lang w:val="en-US" w:eastAsia="zh-CN" w:bidi="ar-SA"/>
                    </w:rPr>
                    <w:t>”</w:t>
                  </w:r>
                  <w:r>
                    <w:rPr>
                      <w:bCs/>
                      <w:kern w:val="2"/>
                      <w:sz w:val="21"/>
                      <w:szCs w:val="21"/>
                      <w:lang w:val="en-US" w:eastAsia="zh-CN" w:bidi="ar-SA"/>
                    </w:rPr>
                    <w:t>制度。各地应加强对企业帮扶指导，对本地污染物排放量较大的企业，组织专家提供专业化技术支持，严格把关，指导企业编制切实可行的污染治理方案，明确原辅材料替代、工艺改进、无组织排放管控、废气收集、治污设施建设等全过程减排要求，测算投资成本和减排效益，为企业有效开展VOCs综合治理提供技术服务。</w:t>
                  </w:r>
                </w:p>
              </w:tc>
              <w:tc>
                <w:tcPr>
                  <w:tcW w:w="1702" w:type="pct"/>
                  <w:noWrap w:val="0"/>
                  <w:vAlign w:val="center"/>
                </w:tcPr>
                <w:p w14:paraId="48033361">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本项目属于</w:t>
                  </w:r>
                  <w:r>
                    <w:rPr>
                      <w:rFonts w:hint="eastAsia"/>
                      <w:bCs/>
                      <w:kern w:val="2"/>
                      <w:sz w:val="21"/>
                      <w:szCs w:val="21"/>
                      <w:lang w:val="en-US" w:eastAsia="zh-CN" w:bidi="ar-SA"/>
                    </w:rPr>
                    <w:t>改</w:t>
                  </w:r>
                  <w:r>
                    <w:rPr>
                      <w:rFonts w:eastAsia="宋体"/>
                      <w:bCs/>
                      <w:kern w:val="2"/>
                      <w:sz w:val="21"/>
                      <w:szCs w:val="21"/>
                      <w:lang w:val="en-US" w:eastAsia="zh-CN" w:bidi="ar-SA"/>
                    </w:rPr>
                    <w:t>扩建项目，企业已按照环保要求开展“一厂一策”工作。</w:t>
                  </w:r>
                </w:p>
              </w:tc>
              <w:tc>
                <w:tcPr>
                  <w:tcW w:w="544" w:type="pct"/>
                  <w:noWrap w:val="0"/>
                  <w:vAlign w:val="center"/>
                </w:tcPr>
                <w:p w14:paraId="2FDA4A99">
                  <w:pPr>
                    <w:keepNext w:val="0"/>
                    <w:keepLines w:val="0"/>
                    <w:pageBreakBefore w:val="0"/>
                    <w:widowControl w:val="0"/>
                    <w:tabs>
                      <w:tab w:val="left" w:pos="0"/>
                    </w:tabs>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rFonts w:eastAsia="宋体"/>
                      <w:bCs/>
                      <w:kern w:val="2"/>
                      <w:sz w:val="21"/>
                      <w:szCs w:val="21"/>
                      <w:lang w:val="en-US" w:eastAsia="zh-CN" w:bidi="ar-SA"/>
                    </w:rPr>
                    <w:t>符合</w:t>
                  </w:r>
                </w:p>
              </w:tc>
            </w:tr>
            <w:tr w14:paraId="586250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63" w:type="pct"/>
                  <w:noWrap w:val="0"/>
                  <w:vAlign w:val="center"/>
                </w:tcPr>
                <w:p w14:paraId="2DCF0A0E">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5</w:t>
                  </w:r>
                </w:p>
              </w:tc>
              <w:tc>
                <w:tcPr>
                  <w:tcW w:w="2290" w:type="pct"/>
                  <w:noWrap w:val="0"/>
                  <w:vAlign w:val="center"/>
                </w:tcPr>
                <w:p w14:paraId="06DE4CB8">
                  <w:pPr>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bCs/>
                      <w:kern w:val="2"/>
                      <w:sz w:val="21"/>
                      <w:szCs w:val="21"/>
                      <w:lang w:val="en-US" w:eastAsia="zh-CN" w:bidi="ar-SA"/>
                    </w:rPr>
                  </w:pPr>
                  <w:r>
                    <w:rPr>
                      <w:bCs/>
                      <w:kern w:val="2"/>
                      <w:sz w:val="21"/>
                      <w:szCs w:val="21"/>
                      <w:lang w:val="en-US" w:eastAsia="zh-CN" w:bidi="ar-SA"/>
                    </w:rPr>
                    <w:t>严格控制储存和装卸过程VOCs排放。鼓励采用压力罐、浮顶罐等替代固定顶罐。真实蒸气压大于等于27.6kPa（重点区域大于等于5.2kPa）的有机液体，利用固定顶罐储存的，应按有关规定采用气相平衡系统或收集净化处理。</w:t>
                  </w:r>
                </w:p>
              </w:tc>
              <w:tc>
                <w:tcPr>
                  <w:tcW w:w="1702" w:type="pct"/>
                  <w:noWrap w:val="0"/>
                  <w:vAlign w:val="center"/>
                </w:tcPr>
                <w:p w14:paraId="27D325B5">
                  <w:pPr>
                    <w:keepNext w:val="0"/>
                    <w:keepLines w:val="0"/>
                    <w:pageBreakBefore w:val="0"/>
                    <w:widowControl w:val="0"/>
                    <w:kinsoku/>
                    <w:wordWrap/>
                    <w:overflowPunct/>
                    <w:topLinePunct w:val="0"/>
                    <w:bidi w:val="0"/>
                    <w:adjustRightInd/>
                    <w:snapToGrid/>
                    <w:spacing w:line="240" w:lineRule="auto"/>
                    <w:ind w:left="0" w:firstLine="0" w:firstLineChars="0"/>
                    <w:jc w:val="center"/>
                    <w:textAlignment w:val="auto"/>
                    <w:rPr>
                      <w:bCs/>
                      <w:kern w:val="2"/>
                      <w:sz w:val="21"/>
                      <w:szCs w:val="21"/>
                      <w:lang w:val="en-US" w:eastAsia="zh-CN" w:bidi="ar-SA"/>
                    </w:rPr>
                  </w:pPr>
                  <w:r>
                    <w:rPr>
                      <w:rFonts w:eastAsia="宋体"/>
                      <w:bCs/>
                      <w:kern w:val="2"/>
                      <w:sz w:val="21"/>
                      <w:szCs w:val="21"/>
                      <w:lang w:val="en-US" w:eastAsia="zh-CN" w:bidi="ar-SA"/>
                    </w:rPr>
                    <w:t>本项目罐区采用</w:t>
                  </w:r>
                  <w:r>
                    <w:rPr>
                      <w:rFonts w:hint="eastAsia" w:eastAsia="宋体"/>
                      <w:bCs/>
                      <w:kern w:val="2"/>
                      <w:sz w:val="21"/>
                      <w:szCs w:val="21"/>
                      <w:lang w:val="en-US" w:eastAsia="zh-CN" w:bidi="ar-SA"/>
                    </w:rPr>
                    <w:t>全压力球罐</w:t>
                  </w:r>
                  <w:r>
                    <w:rPr>
                      <w:rFonts w:eastAsia="宋体"/>
                      <w:bCs/>
                      <w:kern w:val="2"/>
                      <w:sz w:val="21"/>
                      <w:szCs w:val="21"/>
                      <w:lang w:val="en-US" w:eastAsia="zh-CN" w:bidi="ar-SA"/>
                    </w:rPr>
                    <w:t>减少挥发性有机物的产生，罐区和装卸平台设置油气回收装置，采用“冷凝+吸附”处理工艺，减少挥发性有机废气的产生和排放。</w:t>
                  </w:r>
                </w:p>
              </w:tc>
              <w:tc>
                <w:tcPr>
                  <w:tcW w:w="544" w:type="pct"/>
                  <w:noWrap w:val="0"/>
                  <w:vAlign w:val="center"/>
                </w:tcPr>
                <w:p w14:paraId="14BE3F81">
                  <w:pPr>
                    <w:keepNext w:val="0"/>
                    <w:keepLines w:val="0"/>
                    <w:pageBreakBefore w:val="0"/>
                    <w:widowControl w:val="0"/>
                    <w:kinsoku/>
                    <w:wordWrap/>
                    <w:overflowPunct/>
                    <w:topLinePunct w:val="0"/>
                    <w:bidi w:val="0"/>
                    <w:adjustRightInd/>
                    <w:snapToGrid/>
                    <w:spacing w:line="240" w:lineRule="auto"/>
                    <w:ind w:left="0"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符合</w:t>
                  </w:r>
                </w:p>
              </w:tc>
            </w:tr>
          </w:tbl>
          <w:p w14:paraId="4FABFDAD">
            <w:pPr>
              <w:widowControl w:val="0"/>
              <w:spacing w:line="18" w:lineRule="exact"/>
              <w:ind w:firstLine="480"/>
              <w:jc w:val="both"/>
              <w:rPr>
                <w:rFonts w:eastAsia="宋体"/>
                <w:kern w:val="2"/>
                <w:lang w:val="en-US" w:eastAsia="zh-CN" w:bidi="ar-SA"/>
              </w:rPr>
            </w:pPr>
          </w:p>
          <w:p w14:paraId="319FEBBB">
            <w:pPr>
              <w:widowControl w:val="0"/>
              <w:spacing w:line="360" w:lineRule="auto"/>
              <w:ind w:firstLine="480" w:firstLineChars="200"/>
              <w:jc w:val="both"/>
              <w:rPr>
                <w:rFonts w:eastAsia="宋体"/>
                <w:kern w:val="2"/>
                <w:lang w:val="en-US" w:eastAsia="zh-CN" w:bidi="ar-SA"/>
              </w:rPr>
            </w:pPr>
            <w:r>
              <w:rPr>
                <w:rFonts w:eastAsia="宋体"/>
                <w:kern w:val="2"/>
                <w:lang w:val="en-US" w:eastAsia="zh-CN" w:bidi="ar-SA"/>
              </w:rPr>
              <w:t>综上，项目符合《重点行业挥发性有机物综合治理方案》相关要求。</w:t>
            </w:r>
          </w:p>
          <w:p w14:paraId="78A578F1">
            <w:pPr>
              <w:pStyle w:val="2"/>
              <w:bidi w:val="0"/>
              <w:rPr>
                <w:lang w:val="en-US" w:eastAsia="zh-CN"/>
              </w:rPr>
            </w:pPr>
            <w:r>
              <w:rPr>
                <w:lang w:val="en-US" w:eastAsia="zh-CN"/>
              </w:rPr>
              <w:t>1</w:t>
            </w:r>
            <w:r>
              <w:rPr>
                <w:rFonts w:hint="eastAsia"/>
                <w:lang w:val="en-US" w:eastAsia="zh-CN"/>
              </w:rPr>
              <w:t xml:space="preserve">0 </w:t>
            </w:r>
            <w:r>
              <w:rPr>
                <w:lang w:val="en-US" w:eastAsia="zh-CN"/>
              </w:rPr>
              <w:t>与《巴音郭楞蒙古自治州生态环境保护“十四五”规划》符合性分析</w:t>
            </w:r>
          </w:p>
          <w:p w14:paraId="6072AC74">
            <w:pPr>
              <w:bidi w:val="0"/>
              <w:rPr>
                <w:lang w:val="en-US" w:eastAsia="zh-CN"/>
              </w:rPr>
            </w:pPr>
            <w:r>
              <w:rPr>
                <w:lang w:val="en-US" w:eastAsia="zh-CN"/>
              </w:rPr>
              <w:t>《巴音郭楞蒙古自治州生态环境“十四五”规划》提出：实施最严格的生态保护制度。坚决遏制“两高”项目盲目发展；严格落实环境准入要求，加大落后产能淘汰力度，持续压减过剩产能，加快调整优化产业结构。合理规划清洁能源建设及消费，大力发展天然气与可再生能源。</w:t>
            </w:r>
          </w:p>
          <w:p w14:paraId="3C7DC4B8">
            <w:pPr>
              <w:bidi w:val="0"/>
            </w:pPr>
            <w:r>
              <w:rPr>
                <w:lang w:val="en-US" w:eastAsia="zh-CN"/>
              </w:rPr>
              <w:t>本项目依托的现有工程为巴州海祥石油化工有限公司轻烃深加工及粗苯精制生产装置，其建设发展不存在</w:t>
            </w:r>
            <w:r>
              <w:rPr>
                <w:rFonts w:hint="eastAsia"/>
                <w:lang w:val="en-US" w:eastAsia="zh-CN"/>
              </w:rPr>
              <w:t>“两高”项目</w:t>
            </w:r>
            <w:r>
              <w:rPr>
                <w:lang w:val="en-US" w:eastAsia="zh-CN"/>
              </w:rPr>
              <w:t>盲目发展情形</w:t>
            </w:r>
            <w:r>
              <w:rPr>
                <w:rFonts w:hint="eastAsia"/>
                <w:lang w:val="en-US" w:eastAsia="zh-CN"/>
              </w:rPr>
              <w:t>，</w:t>
            </w:r>
            <w:r>
              <w:rPr>
                <w:rFonts w:hint="default"/>
                <w:lang w:val="en-US" w:eastAsia="zh-CN"/>
              </w:rPr>
              <w:t>巴州海祥石油化工有限公司主要从事轻烃精制及碳五烷烃等基础石油化工产品的生产、储运与经营</w:t>
            </w:r>
            <w:r>
              <w:rPr>
                <w:rFonts w:hint="eastAsia"/>
                <w:lang w:val="en-US" w:eastAsia="zh-CN"/>
              </w:rPr>
              <w:t>，</w:t>
            </w:r>
            <w:r>
              <w:rPr>
                <w:lang w:val="en-US" w:eastAsia="zh-CN"/>
              </w:rPr>
              <w:t>对照《产业结构调整指导目录</w:t>
            </w:r>
            <w:r>
              <w:rPr>
                <w:rFonts w:hint="eastAsia"/>
                <w:lang w:val="en-US" w:eastAsia="zh-CN"/>
              </w:rPr>
              <w:t>（2024年本）</w:t>
            </w:r>
            <w:r>
              <w:rPr>
                <w:lang w:val="en-US" w:eastAsia="zh-CN"/>
              </w:rPr>
              <w:t>》不属于限制类、淘汰类项目，符合国家产业政策；</w:t>
            </w:r>
            <w:r>
              <w:rPr>
                <w:rFonts w:hint="eastAsia"/>
                <w:lang w:val="en-US" w:eastAsia="zh-CN"/>
              </w:rPr>
              <w:t>公司</w:t>
            </w:r>
            <w:r>
              <w:rPr>
                <w:rFonts w:hint="default"/>
                <w:lang w:val="en-US" w:eastAsia="zh-CN"/>
              </w:rPr>
              <w:t>位于拉依苏石油化工区</w:t>
            </w:r>
            <w:r>
              <w:rPr>
                <w:rFonts w:hint="eastAsia"/>
                <w:lang w:val="en-US" w:eastAsia="zh-CN"/>
              </w:rPr>
              <w:t>的</w:t>
            </w:r>
            <w:r>
              <w:rPr>
                <w:rFonts w:hint="default"/>
                <w:lang w:val="en-US" w:eastAsia="zh-CN"/>
              </w:rPr>
              <w:t>石油天然气化工产业区</w:t>
            </w:r>
            <w:r>
              <w:rPr>
                <w:rFonts w:hint="eastAsia"/>
                <w:lang w:val="en-US" w:eastAsia="zh-CN"/>
              </w:rPr>
              <w:t>内</w:t>
            </w:r>
            <w:r>
              <w:rPr>
                <w:lang w:val="en-US" w:eastAsia="zh-CN"/>
              </w:rPr>
              <w:t>，符合园区以石油天然气化工为主导的产业定位；现有工程已依法取得环评批复、排污许可证及危险化学品安全生产许可证，按批准规模建设运营，未发生超产能、未批先建等违规情形；企业已按规定开展节能审查和能耗管理，污染物排放满足排污许可要求，重点污染物排放总量指标落实。综上，现有工程的建设发展符合法律法规、产业政策及规划要求，不属于</w:t>
            </w:r>
            <w:r>
              <w:rPr>
                <w:rFonts w:hint="eastAsia"/>
                <w:lang w:val="en-US" w:eastAsia="zh-CN"/>
              </w:rPr>
              <w:t>“两高”项目</w:t>
            </w:r>
            <w:r>
              <w:rPr>
                <w:lang w:val="en-US" w:eastAsia="zh-CN"/>
              </w:rPr>
              <w:t>盲目发展情形；本</w:t>
            </w:r>
            <w:r>
              <w:rPr>
                <w:rFonts w:hint="eastAsia"/>
                <w:lang w:val="en-US" w:eastAsia="zh-CN"/>
              </w:rPr>
              <w:t>项目</w:t>
            </w:r>
            <w:r>
              <w:rPr>
                <w:lang w:val="en-US" w:eastAsia="zh-CN"/>
              </w:rPr>
              <w:t>作为配套附属设施，不新增生产装置及产品产能</w:t>
            </w:r>
            <w:r>
              <w:rPr>
                <w:highlight w:val="none"/>
                <w:lang w:val="en-US" w:eastAsia="zh-CN"/>
              </w:rPr>
              <w:t>。</w:t>
            </w:r>
          </w:p>
          <w:p w14:paraId="75B6BF45">
            <w:pPr>
              <w:pStyle w:val="2"/>
              <w:bidi w:val="0"/>
              <w:rPr>
                <w:rFonts w:hint="eastAsia" w:ascii="Times New Roman" w:hAnsi="Times New Roman" w:eastAsia="宋体" w:cs="Times New Roman"/>
                <w:b/>
                <w:lang w:val="en-US" w:eastAsia="zh-CN" w:bidi="ar-SA"/>
              </w:rPr>
            </w:pPr>
            <w:r>
              <w:rPr>
                <w:rFonts w:hint="eastAsia" w:ascii="Times New Roman" w:hAnsi="Times New Roman" w:eastAsia="宋体" w:cs="Times New Roman"/>
                <w:b/>
                <w:lang w:val="en-US" w:eastAsia="zh-CN" w:bidi="ar-SA"/>
              </w:rPr>
              <w:t>11 与《中华人民共和国生态环境法典》符合性分析</w:t>
            </w:r>
          </w:p>
          <w:tbl>
            <w:tblPr>
              <w:tblStyle w:val="20"/>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4282"/>
              <w:gridCol w:w="2168"/>
              <w:gridCol w:w="866"/>
            </w:tblGrid>
            <w:tr w14:paraId="6871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 w:type="dxa"/>
                  <w:shd w:val="clear" w:color="auto" w:fill="auto"/>
                  <w:vAlign w:val="center"/>
                </w:tcPr>
                <w:p w14:paraId="17D09067">
                  <w:pPr>
                    <w:pStyle w:val="5"/>
                    <w:bidi w:val="0"/>
                    <w:rPr>
                      <w:rFonts w:hint="default"/>
                      <w:lang w:val="en-US" w:eastAsia="zh-CN"/>
                    </w:rPr>
                  </w:pPr>
                  <w:r>
                    <w:rPr>
                      <w:rFonts w:hint="eastAsia"/>
                      <w:lang w:val="en-US" w:eastAsia="zh-CN"/>
                    </w:rPr>
                    <w:t>文件</w:t>
                  </w:r>
                </w:p>
              </w:tc>
              <w:tc>
                <w:tcPr>
                  <w:tcW w:w="4282" w:type="dxa"/>
                  <w:shd w:val="clear" w:color="auto" w:fill="auto"/>
                  <w:vAlign w:val="center"/>
                </w:tcPr>
                <w:p w14:paraId="74624F46">
                  <w:pPr>
                    <w:pStyle w:val="5"/>
                    <w:bidi w:val="0"/>
                    <w:rPr>
                      <w:rFonts w:hint="default"/>
                      <w:lang w:val="en-US" w:eastAsia="zh-CN"/>
                    </w:rPr>
                  </w:pPr>
                  <w:r>
                    <w:rPr>
                      <w:rFonts w:hint="eastAsia"/>
                    </w:rPr>
                    <w:t>环境管理政策要求</w:t>
                  </w:r>
                </w:p>
              </w:tc>
              <w:tc>
                <w:tcPr>
                  <w:tcW w:w="2168" w:type="dxa"/>
                  <w:shd w:val="clear" w:color="auto" w:fill="auto"/>
                  <w:vAlign w:val="center"/>
                </w:tcPr>
                <w:p w14:paraId="68ED668C">
                  <w:pPr>
                    <w:pStyle w:val="5"/>
                    <w:bidi w:val="0"/>
                    <w:rPr>
                      <w:rFonts w:hint="default"/>
                      <w:lang w:val="en-US" w:eastAsia="zh-CN"/>
                    </w:rPr>
                  </w:pPr>
                  <w:r>
                    <w:rPr>
                      <w:rFonts w:hint="eastAsia"/>
                      <w:lang w:val="en-US" w:eastAsia="zh-CN"/>
                    </w:rPr>
                    <w:t>本项目情况</w:t>
                  </w:r>
                </w:p>
              </w:tc>
              <w:tc>
                <w:tcPr>
                  <w:tcW w:w="866" w:type="dxa"/>
                  <w:shd w:val="clear" w:color="auto" w:fill="auto"/>
                  <w:vAlign w:val="center"/>
                </w:tcPr>
                <w:p w14:paraId="7CC1FE8F">
                  <w:pPr>
                    <w:pStyle w:val="5"/>
                    <w:bidi w:val="0"/>
                    <w:jc w:val="center"/>
                    <w:rPr>
                      <w:rFonts w:hint="default"/>
                      <w:lang w:val="en-US" w:eastAsia="zh-CN"/>
                    </w:rPr>
                  </w:pPr>
                  <w:r>
                    <w:rPr>
                      <w:rFonts w:hint="eastAsia"/>
                      <w:lang w:val="en-US" w:eastAsia="zh-CN"/>
                    </w:rPr>
                    <w:t>符合性</w:t>
                  </w:r>
                </w:p>
              </w:tc>
            </w:tr>
            <w:tr w14:paraId="052D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 w:type="dxa"/>
                  <w:vMerge w:val="restart"/>
                  <w:vAlign w:val="center"/>
                </w:tcPr>
                <w:p w14:paraId="44281C43">
                  <w:pPr>
                    <w:pStyle w:val="5"/>
                    <w:bidi w:val="0"/>
                    <w:jc w:val="center"/>
                    <w:rPr>
                      <w:rFonts w:hint="default"/>
                      <w:lang w:val="en-US" w:eastAsia="zh-CN"/>
                    </w:rPr>
                  </w:pPr>
                  <w:r>
                    <w:rPr>
                      <w:rFonts w:hint="default"/>
                      <w:lang w:val="en-US" w:eastAsia="zh-CN"/>
                    </w:rPr>
                    <w:t>《中华人民共和国生态环境法典》</w:t>
                  </w:r>
                </w:p>
              </w:tc>
              <w:tc>
                <w:tcPr>
                  <w:tcW w:w="4282" w:type="dxa"/>
                  <w:shd w:val="clear" w:color="auto" w:fill="auto"/>
                  <w:vAlign w:val="center"/>
                </w:tcPr>
                <w:p w14:paraId="2B2C98C7">
                  <w:pPr>
                    <w:pStyle w:val="5"/>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jc w:val="center"/>
                    <w:textAlignment w:val="auto"/>
                    <w:rPr>
                      <w:rFonts w:hint="eastAsia"/>
                      <w:highlight w:val="none"/>
                    </w:rPr>
                  </w:pPr>
                  <w:r>
                    <w:rPr>
                      <w:rFonts w:hint="eastAsia"/>
                      <w:highlight w:val="none"/>
                      <w:lang w:val="en-US" w:eastAsia="zh-CN"/>
                    </w:rPr>
                    <w:t>第二百一十七条：</w:t>
                  </w:r>
                  <w:r>
                    <w:rPr>
                      <w:rFonts w:hint="eastAsia"/>
                      <w:highlight w:val="none"/>
                    </w:rPr>
                    <w:t>钢铁、建材、有色金属、石油、化工、制药、矿产开采企业和其他工业生产企业，应当加强精细化管理，采取集中收集处理等措施，严格控制粉尘和气态污染物的排放。</w:t>
                  </w:r>
                </w:p>
                <w:p w14:paraId="4F9D3CF2">
                  <w:pPr>
                    <w:pStyle w:val="5"/>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z w:val="21"/>
                      <w:szCs w:val="21"/>
                      <w:lang w:val="en-US" w:eastAsia="zh-CN" w:bidi="ar-SA"/>
                    </w:rPr>
                  </w:pPr>
                  <w:r>
                    <w:rPr>
                      <w:rFonts w:hint="eastAsia"/>
                      <w:highlight w:val="none"/>
                      <w:lang w:eastAsia="zh-CN"/>
                    </w:rPr>
                    <w:t>工业生产企业应当采取密闭、围挡、遮盖、清扫、洒水等措施，减少内部物料的堆存、传输、装卸等环节产生的粉尘和气态污染物的排放。</w:t>
                  </w:r>
                </w:p>
              </w:tc>
              <w:tc>
                <w:tcPr>
                  <w:tcW w:w="2168" w:type="dxa"/>
                  <w:shd w:val="clear" w:color="auto" w:fill="auto"/>
                  <w:vAlign w:val="center"/>
                </w:tcPr>
                <w:p w14:paraId="4D5B3D8F">
                  <w:pPr>
                    <w:pStyle w:val="5"/>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z w:val="21"/>
                      <w:szCs w:val="21"/>
                      <w:lang w:val="en-US" w:eastAsia="zh-CN" w:bidi="ar-SA"/>
                    </w:rPr>
                  </w:pPr>
                  <w:r>
                    <w:rPr>
                      <w:rFonts w:hint="eastAsia"/>
                      <w:highlight w:val="none"/>
                      <w:lang w:val="en-US" w:eastAsia="zh-CN"/>
                    </w:rPr>
                    <w:t>现有项目配套建设废气收集、处理装置。本项目废气治理措施均依托现有。</w:t>
                  </w:r>
                </w:p>
              </w:tc>
              <w:tc>
                <w:tcPr>
                  <w:tcW w:w="866" w:type="dxa"/>
                  <w:vMerge w:val="restart"/>
                  <w:vAlign w:val="center"/>
                </w:tcPr>
                <w:p w14:paraId="1F2F33C0">
                  <w:pPr>
                    <w:pStyle w:val="5"/>
                    <w:bidi w:val="0"/>
                    <w:jc w:val="center"/>
                    <w:rPr>
                      <w:rFonts w:hint="default"/>
                      <w:lang w:val="en-US" w:eastAsia="zh-CN"/>
                    </w:rPr>
                  </w:pPr>
                  <w:r>
                    <w:rPr>
                      <w:rFonts w:hint="eastAsia"/>
                      <w:lang w:val="en-US" w:eastAsia="zh-CN"/>
                    </w:rPr>
                    <w:t>符合</w:t>
                  </w:r>
                </w:p>
              </w:tc>
            </w:tr>
            <w:tr w14:paraId="7917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 w:type="dxa"/>
                  <w:vMerge w:val="continue"/>
                  <w:vAlign w:val="center"/>
                </w:tcPr>
                <w:p w14:paraId="47D966DE">
                  <w:pPr>
                    <w:pStyle w:val="5"/>
                    <w:bidi w:val="0"/>
                    <w:jc w:val="center"/>
                    <w:rPr>
                      <w:rFonts w:hint="default"/>
                      <w:lang w:val="en-US" w:eastAsia="zh-CN"/>
                    </w:rPr>
                  </w:pPr>
                </w:p>
              </w:tc>
              <w:tc>
                <w:tcPr>
                  <w:tcW w:w="4282" w:type="dxa"/>
                  <w:shd w:val="clear" w:color="auto" w:fill="auto"/>
                  <w:vAlign w:val="center"/>
                </w:tcPr>
                <w:p w14:paraId="35F590B0">
                  <w:pPr>
                    <w:pStyle w:val="5"/>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z w:val="21"/>
                      <w:szCs w:val="21"/>
                      <w:lang w:val="en-US" w:eastAsia="zh-CN" w:bidi="ar-SA"/>
                    </w:rPr>
                  </w:pPr>
                  <w:r>
                    <w:rPr>
                      <w:rFonts w:hint="eastAsia"/>
                      <w:highlight w:val="none"/>
                    </w:rPr>
                    <w:t>第五百六十七条</w:t>
                  </w:r>
                  <w:r>
                    <w:rPr>
                      <w:rFonts w:hint="eastAsia"/>
                      <w:highlight w:val="none"/>
                      <w:lang w:eastAsia="zh-CN"/>
                    </w:rPr>
                    <w:t>：</w:t>
                  </w:r>
                  <w:r>
                    <w:rPr>
                      <w:rFonts w:hint="eastAsia"/>
                      <w:highlight w:val="none"/>
                    </w:rPr>
                    <w:t>排放工业噪声的企业事业单位和其他生产经营者，应当采取有效措施，减少振动、降低噪声。</w:t>
                  </w:r>
                </w:p>
              </w:tc>
              <w:tc>
                <w:tcPr>
                  <w:tcW w:w="2168" w:type="dxa"/>
                  <w:shd w:val="clear" w:color="auto" w:fill="auto"/>
                  <w:vAlign w:val="center"/>
                </w:tcPr>
                <w:p w14:paraId="13D57932">
                  <w:pPr>
                    <w:pStyle w:val="5"/>
                    <w:keepNext/>
                    <w:keepLines/>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sz w:val="21"/>
                      <w:szCs w:val="21"/>
                      <w:lang w:val="en-US" w:eastAsia="zh-CN" w:bidi="ar-SA"/>
                    </w:rPr>
                  </w:pPr>
                  <w:r>
                    <w:rPr>
                      <w:rFonts w:hint="eastAsia"/>
                      <w:highlight w:val="none"/>
                    </w:rPr>
                    <w:t>对各类主要噪声源采用低噪声源设备、并采取减振、隔声等措施</w:t>
                  </w:r>
                  <w:r>
                    <w:rPr>
                      <w:rFonts w:hint="eastAsia"/>
                      <w:highlight w:val="none"/>
                      <w:lang w:eastAsia="zh-CN"/>
                    </w:rPr>
                    <w:t>，</w:t>
                  </w:r>
                  <w:r>
                    <w:rPr>
                      <w:rFonts w:hint="eastAsia"/>
                      <w:highlight w:val="none"/>
                      <w:lang w:val="en-US" w:eastAsia="zh-CN"/>
                    </w:rPr>
                    <w:t>可正常使用，符合相关标准。</w:t>
                  </w:r>
                </w:p>
              </w:tc>
              <w:tc>
                <w:tcPr>
                  <w:tcW w:w="866" w:type="dxa"/>
                  <w:vMerge w:val="continue"/>
                </w:tcPr>
                <w:p w14:paraId="77DAF28D">
                  <w:pPr>
                    <w:pStyle w:val="5"/>
                    <w:bidi w:val="0"/>
                    <w:rPr>
                      <w:rFonts w:hint="default"/>
                      <w:lang w:val="en-US" w:eastAsia="zh-CN"/>
                    </w:rPr>
                  </w:pPr>
                </w:p>
              </w:tc>
            </w:tr>
          </w:tbl>
          <w:p w14:paraId="525C40B1">
            <w:pPr>
              <w:pStyle w:val="2"/>
              <w:bidi w:val="0"/>
              <w:rPr>
                <w:rFonts w:eastAsia="宋体"/>
                <w:b/>
                <w:lang w:val="en-US" w:eastAsia="zh-CN" w:bidi="ar-SA"/>
              </w:rPr>
            </w:pPr>
            <w:r>
              <w:rPr>
                <w:rFonts w:hint="eastAsia"/>
                <w:b/>
                <w:lang w:val="en-US" w:eastAsia="zh-CN" w:bidi="ar-SA"/>
              </w:rPr>
              <w:t xml:space="preserve">12 </w:t>
            </w:r>
            <w:r>
              <w:rPr>
                <w:rFonts w:hint="eastAsia" w:eastAsia="宋体"/>
                <w:b/>
                <w:highlight w:val="none"/>
                <w:lang w:val="en-US" w:eastAsia="zh-CN" w:bidi="ar-SA"/>
              </w:rPr>
              <w:t>生态环境分区管控要求符合性分析</w:t>
            </w:r>
          </w:p>
          <w:p w14:paraId="200263CB">
            <w:pPr>
              <w:bidi w:val="0"/>
              <w:rPr>
                <w:lang w:val="en-US" w:eastAsia="zh-CN"/>
              </w:rPr>
            </w:pPr>
            <w:r>
              <w:rPr>
                <w:lang w:val="en-US" w:eastAsia="zh-CN"/>
              </w:rPr>
              <w:t>（1）与《新疆维吾尔自治区生态环境分区管控动态更新成果》（新环环评发〔2024〕157号）符合性分析</w:t>
            </w:r>
          </w:p>
          <w:p w14:paraId="433B7129">
            <w:pPr>
              <w:bidi w:val="0"/>
              <w:rPr>
                <w:lang w:val="en-US" w:eastAsia="zh-CN"/>
              </w:rPr>
            </w:pPr>
            <w:r>
              <w:rPr>
                <w:lang w:val="en-US" w:eastAsia="zh-CN"/>
              </w:rPr>
              <w:t>根据关于印发《新疆维吾尔自治区生态环境分区管控动态更新成果》（新环环评发〔2024〕157号）中提出的分区管控方案，本项目与该方案符合性分析见表1-1</w:t>
            </w:r>
            <w:r>
              <w:rPr>
                <w:rFonts w:hint="eastAsia"/>
                <w:lang w:val="en-US" w:eastAsia="zh-CN"/>
              </w:rPr>
              <w:t>0</w:t>
            </w:r>
            <w:r>
              <w:rPr>
                <w:lang w:val="en-US" w:eastAsia="zh-CN"/>
              </w:rPr>
              <w:t>。</w:t>
            </w:r>
          </w:p>
          <w:p w14:paraId="51E46E40">
            <w:pPr>
              <w:pStyle w:val="4"/>
              <w:bidi w:val="0"/>
              <w:rPr>
                <w:lang w:val="en-US" w:eastAsia="zh-CN"/>
              </w:rPr>
            </w:pPr>
            <w:r>
              <w:rPr>
                <w:lang w:val="en-US" w:eastAsia="zh-CN"/>
              </w:rPr>
              <w:t>表1-</w:t>
            </w:r>
            <w:r>
              <w:rPr>
                <w:rFonts w:hint="eastAsia"/>
                <w:lang w:val="en-US" w:eastAsia="zh-CN"/>
              </w:rPr>
              <w:t>10</w:t>
            </w:r>
            <w:r>
              <w:rPr>
                <w:lang w:val="en-US" w:eastAsia="zh-CN"/>
              </w:rPr>
              <w:t xml:space="preserve">  与《新疆维吾尔自治区生态环境分区管控动态更新成果》（新环环评发〔2024〕157号）符合性分析</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7"/>
              <w:gridCol w:w="807"/>
              <w:gridCol w:w="4001"/>
              <w:gridCol w:w="1942"/>
              <w:gridCol w:w="685"/>
            </w:tblGrid>
            <w:tr w14:paraId="0B72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pct"/>
                  <w:gridSpan w:val="2"/>
                  <w:noWrap w:val="0"/>
                  <w:vAlign w:val="center"/>
                </w:tcPr>
                <w:p w14:paraId="239647E2">
                  <w:pPr>
                    <w:pStyle w:val="5"/>
                    <w:suppressLineNumbers w:val="0"/>
                    <w:bidi w:val="0"/>
                    <w:spacing w:before="0" w:beforeAutospacing="0" w:after="0" w:afterAutospacing="0"/>
                    <w:ind w:left="0" w:right="0"/>
                    <w:rPr>
                      <w:rFonts w:hint="eastAsia"/>
                      <w:lang w:val="en-US" w:eastAsia="zh-CN"/>
                    </w:rPr>
                  </w:pPr>
                  <w:r>
                    <w:rPr>
                      <w:rFonts w:hint="eastAsia"/>
                      <w:lang w:val="en-US" w:eastAsia="zh-CN"/>
                    </w:rPr>
                    <w:t>管控维度</w:t>
                  </w:r>
                </w:p>
              </w:tc>
              <w:tc>
                <w:tcPr>
                  <w:tcW w:w="2493" w:type="pct"/>
                  <w:noWrap w:val="0"/>
                  <w:vAlign w:val="center"/>
                </w:tcPr>
                <w:p w14:paraId="3AFA1E1B">
                  <w:pPr>
                    <w:pStyle w:val="5"/>
                    <w:suppressLineNumbers w:val="0"/>
                    <w:bidi w:val="0"/>
                    <w:spacing w:before="0" w:beforeAutospacing="0" w:after="0" w:afterAutospacing="0"/>
                    <w:ind w:left="0" w:right="0"/>
                    <w:rPr>
                      <w:rFonts w:hint="eastAsia"/>
                      <w:lang w:val="en-US" w:eastAsia="zh-CN"/>
                    </w:rPr>
                  </w:pPr>
                  <w:r>
                    <w:rPr>
                      <w:rFonts w:hint="eastAsia"/>
                      <w:lang w:val="en-US" w:eastAsia="zh-CN"/>
                    </w:rPr>
                    <w:t>管控要求</w:t>
                  </w:r>
                </w:p>
              </w:tc>
              <w:tc>
                <w:tcPr>
                  <w:tcW w:w="1210" w:type="pct"/>
                  <w:noWrap w:val="0"/>
                  <w:vAlign w:val="center"/>
                </w:tcPr>
                <w:p w14:paraId="7211F4D1">
                  <w:pPr>
                    <w:pStyle w:val="5"/>
                    <w:suppressLineNumbers w:val="0"/>
                    <w:bidi w:val="0"/>
                    <w:spacing w:before="0" w:beforeAutospacing="0" w:after="0" w:afterAutospacing="0"/>
                    <w:ind w:left="0" w:right="0"/>
                    <w:rPr>
                      <w:rFonts w:hint="eastAsia"/>
                      <w:lang w:val="en-US" w:eastAsia="zh-CN"/>
                    </w:rPr>
                  </w:pPr>
                  <w:r>
                    <w:rPr>
                      <w:rFonts w:hint="eastAsia"/>
                      <w:lang w:val="en-US" w:eastAsia="zh-CN"/>
                    </w:rPr>
                    <w:t>本项目情况</w:t>
                  </w:r>
                </w:p>
              </w:tc>
              <w:tc>
                <w:tcPr>
                  <w:tcW w:w="426" w:type="pct"/>
                  <w:noWrap w:val="0"/>
                  <w:vAlign w:val="center"/>
                </w:tcPr>
                <w:p w14:paraId="26982E92">
                  <w:pPr>
                    <w:pStyle w:val="5"/>
                    <w:suppressLineNumbers w:val="0"/>
                    <w:bidi w:val="0"/>
                    <w:spacing w:before="0" w:beforeAutospacing="0" w:after="0" w:afterAutospacing="0"/>
                    <w:ind w:left="0" w:right="0"/>
                    <w:rPr>
                      <w:rFonts w:hint="eastAsia"/>
                      <w:lang w:val="en-US" w:eastAsia="zh-CN"/>
                    </w:rPr>
                  </w:pPr>
                  <w:r>
                    <w:rPr>
                      <w:rFonts w:hint="eastAsia"/>
                      <w:lang w:val="en-US" w:eastAsia="zh-CN"/>
                    </w:rPr>
                    <w:t>相符性</w:t>
                  </w:r>
                </w:p>
              </w:tc>
            </w:tr>
            <w:tr w14:paraId="14060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6" w:type="pct"/>
                  <w:vMerge w:val="restart"/>
                  <w:noWrap w:val="0"/>
                  <w:vAlign w:val="center"/>
                </w:tcPr>
                <w:p w14:paraId="3F4E23E3">
                  <w:pPr>
                    <w:pStyle w:val="5"/>
                    <w:suppressLineNumbers w:val="0"/>
                    <w:bidi w:val="0"/>
                    <w:spacing w:before="0" w:beforeAutospacing="0" w:after="0" w:afterAutospacing="0"/>
                    <w:ind w:left="0" w:right="0"/>
                    <w:rPr>
                      <w:rFonts w:hint="eastAsia"/>
                      <w:lang w:val="en-US" w:eastAsia="zh-CN"/>
                    </w:rPr>
                  </w:pPr>
                  <w:r>
                    <w:rPr>
                      <w:rFonts w:hint="eastAsia"/>
                      <w:lang w:val="en-US" w:eastAsia="zh-CN"/>
                    </w:rPr>
                    <w:t>A1空间布局</w:t>
                  </w:r>
                </w:p>
                <w:p w14:paraId="73A9841A">
                  <w:pPr>
                    <w:pStyle w:val="5"/>
                    <w:suppressLineNumbers w:val="0"/>
                    <w:bidi w:val="0"/>
                    <w:spacing w:before="0" w:beforeAutospacing="0" w:after="0" w:afterAutospacing="0"/>
                    <w:ind w:left="0" w:right="0"/>
                    <w:rPr>
                      <w:rFonts w:hint="eastAsia"/>
                      <w:lang w:val="en-US" w:eastAsia="zh-CN"/>
                    </w:rPr>
                  </w:pPr>
                  <w:r>
                    <w:rPr>
                      <w:rFonts w:hint="eastAsia"/>
                      <w:lang w:val="en-US" w:eastAsia="zh-CN"/>
                    </w:rPr>
                    <w:t>约束</w:t>
                  </w:r>
                </w:p>
              </w:tc>
              <w:tc>
                <w:tcPr>
                  <w:tcW w:w="503" w:type="pct"/>
                  <w:noWrap w:val="0"/>
                  <w:vAlign w:val="center"/>
                </w:tcPr>
                <w:p w14:paraId="53853250">
                  <w:pPr>
                    <w:pStyle w:val="5"/>
                    <w:suppressLineNumbers w:val="0"/>
                    <w:bidi w:val="0"/>
                    <w:spacing w:before="0" w:beforeAutospacing="0" w:after="0" w:afterAutospacing="0"/>
                    <w:ind w:left="0" w:right="0"/>
                    <w:rPr>
                      <w:rFonts w:hint="eastAsia"/>
                      <w:lang w:val="en-US" w:eastAsia="zh-CN"/>
                    </w:rPr>
                  </w:pPr>
                  <w:r>
                    <w:rPr>
                      <w:rFonts w:hint="eastAsia"/>
                      <w:lang w:val="en-US" w:eastAsia="zh-CN"/>
                    </w:rPr>
                    <w:t>A1.1禁止开发建设的活动</w:t>
                  </w:r>
                </w:p>
              </w:tc>
              <w:tc>
                <w:tcPr>
                  <w:tcW w:w="2493" w:type="pct"/>
                  <w:noWrap w:val="0"/>
                  <w:vAlign w:val="center"/>
                </w:tcPr>
                <w:p w14:paraId="685C6F9A">
                  <w:pPr>
                    <w:pStyle w:val="5"/>
                    <w:suppressLineNumbers w:val="0"/>
                    <w:bidi w:val="0"/>
                    <w:spacing w:before="0" w:beforeAutospacing="0" w:after="0" w:afterAutospacing="0"/>
                    <w:ind w:left="0" w:right="0"/>
                    <w:rPr>
                      <w:rFonts w:hint="eastAsia"/>
                      <w:lang w:val="en-US" w:eastAsia="zh-CN"/>
                    </w:rPr>
                  </w:pPr>
                  <w:r>
                    <w:rPr>
                      <w:rFonts w:hint="eastAsia"/>
                      <w:lang w:val="en-US" w:eastAsia="zh-CN"/>
                    </w:rPr>
                    <w:t>〔A1.1-1〕禁止新建、扩建《产业结构调整指导目录（2024年本）》中淘汰类项目。禁止引入《市场准入负面清单（2022年版）》禁止准入类事项。</w:t>
                  </w:r>
                </w:p>
                <w:p w14:paraId="07DC9004">
                  <w:pPr>
                    <w:pStyle w:val="5"/>
                    <w:suppressLineNumbers w:val="0"/>
                    <w:bidi w:val="0"/>
                    <w:spacing w:before="0" w:beforeAutospacing="0" w:after="0" w:afterAutospacing="0"/>
                    <w:ind w:left="0" w:right="0"/>
                    <w:rPr>
                      <w:rFonts w:hint="eastAsia"/>
                      <w:lang w:val="en-US" w:eastAsia="zh-CN"/>
                    </w:rPr>
                  </w:pPr>
                  <w:r>
                    <w:rPr>
                      <w:rFonts w:hint="eastAsia"/>
                      <w:lang w:val="en-US" w:eastAsia="zh-CN"/>
                    </w:rPr>
                    <w:t>〔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1210" w:type="pct"/>
                  <w:noWrap w:val="0"/>
                  <w:vAlign w:val="center"/>
                </w:tcPr>
                <w:p w14:paraId="247B7166">
                  <w:pPr>
                    <w:pStyle w:val="5"/>
                    <w:suppressLineNumbers w:val="0"/>
                    <w:bidi w:val="0"/>
                    <w:spacing w:before="0" w:beforeAutospacing="0" w:after="0" w:afterAutospacing="0"/>
                    <w:ind w:left="0" w:right="0"/>
                    <w:rPr>
                      <w:rFonts w:hint="eastAsia"/>
                      <w:lang w:val="en-US" w:eastAsia="zh-CN"/>
                    </w:rPr>
                  </w:pPr>
                  <w:r>
                    <w:rPr>
                      <w:rFonts w:hint="eastAsia"/>
                      <w:lang w:val="en-US" w:eastAsia="zh-CN"/>
                    </w:rPr>
                    <w:t>项目不属于《产业结构调整指导目录（2024年本）》中鼓励类、限制类和淘汰类，属于允许类，符合国家产业政策；</w:t>
                  </w:r>
                </w:p>
                <w:p w14:paraId="1701F8BC">
                  <w:pPr>
                    <w:pStyle w:val="5"/>
                    <w:suppressLineNumbers w:val="0"/>
                    <w:bidi w:val="0"/>
                    <w:spacing w:before="0" w:beforeAutospacing="0" w:after="0" w:afterAutospacing="0"/>
                    <w:ind w:left="0" w:right="0"/>
                    <w:rPr>
                      <w:rFonts w:hint="eastAsia"/>
                      <w:lang w:val="en-US" w:eastAsia="zh-CN"/>
                    </w:rPr>
                  </w:pPr>
                  <w:r>
                    <w:rPr>
                      <w:rFonts w:hint="eastAsia"/>
                      <w:lang w:val="en-US" w:eastAsia="zh-CN"/>
                    </w:rPr>
                    <w:t>本项目能耗、水耗满足相关国家标准准入值要求，污染物排放和环境风险防控符合国家（地方）标准及有关产业准入条件。</w:t>
                  </w:r>
                </w:p>
              </w:tc>
              <w:tc>
                <w:tcPr>
                  <w:tcW w:w="426" w:type="pct"/>
                  <w:noWrap w:val="0"/>
                  <w:vAlign w:val="center"/>
                </w:tcPr>
                <w:p w14:paraId="0445B324">
                  <w:pPr>
                    <w:pStyle w:val="5"/>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14:paraId="24D8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366" w:type="pct"/>
                  <w:vMerge w:val="continue"/>
                  <w:noWrap w:val="0"/>
                  <w:vAlign w:val="center"/>
                </w:tcPr>
                <w:p w14:paraId="39E79EC5">
                  <w:pPr>
                    <w:pStyle w:val="5"/>
                    <w:suppressLineNumbers w:val="0"/>
                    <w:bidi w:val="0"/>
                    <w:spacing w:before="0" w:beforeAutospacing="0" w:after="0" w:afterAutospacing="0"/>
                    <w:ind w:left="0" w:right="0"/>
                    <w:rPr>
                      <w:rFonts w:hint="eastAsia"/>
                      <w:lang w:val="en-US" w:eastAsia="zh-CN"/>
                    </w:rPr>
                  </w:pPr>
                </w:p>
              </w:tc>
              <w:tc>
                <w:tcPr>
                  <w:tcW w:w="503" w:type="pct"/>
                  <w:noWrap w:val="0"/>
                  <w:vAlign w:val="center"/>
                </w:tcPr>
                <w:p w14:paraId="1BEDDEFD">
                  <w:pPr>
                    <w:pStyle w:val="5"/>
                    <w:suppressLineNumbers w:val="0"/>
                    <w:bidi w:val="0"/>
                    <w:spacing w:before="0" w:beforeAutospacing="0" w:after="0" w:afterAutospacing="0"/>
                    <w:ind w:left="0" w:right="0"/>
                    <w:rPr>
                      <w:rFonts w:hint="eastAsia"/>
                      <w:lang w:val="en-US" w:eastAsia="zh-CN"/>
                    </w:rPr>
                  </w:pPr>
                  <w:r>
                    <w:rPr>
                      <w:rFonts w:hint="eastAsia"/>
                      <w:lang w:val="en-US" w:eastAsia="zh-CN"/>
                    </w:rPr>
                    <w:t>A1.4其他布局要求</w:t>
                  </w:r>
                </w:p>
              </w:tc>
              <w:tc>
                <w:tcPr>
                  <w:tcW w:w="2493" w:type="pct"/>
                  <w:noWrap w:val="0"/>
                  <w:vAlign w:val="center"/>
                </w:tcPr>
                <w:p w14:paraId="63D1BA5A">
                  <w:pPr>
                    <w:pStyle w:val="5"/>
                    <w:suppressLineNumbers w:val="0"/>
                    <w:bidi w:val="0"/>
                    <w:spacing w:before="0" w:beforeAutospacing="0" w:after="0" w:afterAutospacing="0"/>
                    <w:ind w:left="0" w:right="0"/>
                    <w:rPr>
                      <w:rFonts w:hint="eastAsia"/>
                      <w:lang w:val="en-US" w:eastAsia="zh-CN"/>
                    </w:rPr>
                  </w:pPr>
                  <w:r>
                    <w:rPr>
                      <w:rFonts w:hint="eastAsia"/>
                      <w:lang w:val="en-US" w:eastAsia="zh-CN"/>
                    </w:rPr>
                    <w:t>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1210" w:type="pct"/>
                  <w:noWrap w:val="0"/>
                  <w:vAlign w:val="center"/>
                </w:tcPr>
                <w:p w14:paraId="71C260F6">
                  <w:pPr>
                    <w:pStyle w:val="5"/>
                    <w:suppressLineNumbers w:val="0"/>
                    <w:bidi w:val="0"/>
                    <w:spacing w:before="0" w:beforeAutospacing="0" w:after="0" w:afterAutospacing="0"/>
                    <w:ind w:left="0" w:right="0"/>
                    <w:rPr>
                      <w:rFonts w:hint="eastAsia"/>
                      <w:lang w:val="en-US" w:eastAsia="zh-CN"/>
                    </w:rPr>
                  </w:pPr>
                  <w:r>
                    <w:rPr>
                      <w:rFonts w:hint="eastAsia"/>
                      <w:lang w:val="en-US" w:eastAsia="zh-CN"/>
                    </w:rPr>
                    <w:t>项目位于轮台工业园区拉依苏石油化工区巴州海祥石油化工有限公司现有厂区内，项目所在区域为工业聚集区，项目符合园区规划相关要求。</w:t>
                  </w:r>
                </w:p>
              </w:tc>
              <w:tc>
                <w:tcPr>
                  <w:tcW w:w="426" w:type="pct"/>
                  <w:noWrap w:val="0"/>
                  <w:vAlign w:val="center"/>
                </w:tcPr>
                <w:p w14:paraId="23B4DCC0">
                  <w:pPr>
                    <w:pStyle w:val="5"/>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14:paraId="5AAE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noWrap w:val="0"/>
                  <w:vAlign w:val="center"/>
                </w:tcPr>
                <w:p w14:paraId="350AE202">
                  <w:pPr>
                    <w:pStyle w:val="5"/>
                    <w:suppressLineNumbers w:val="0"/>
                    <w:bidi w:val="0"/>
                    <w:spacing w:before="0" w:beforeAutospacing="0" w:after="0" w:afterAutospacing="0"/>
                    <w:ind w:left="0" w:right="0"/>
                    <w:rPr>
                      <w:rFonts w:hint="eastAsia"/>
                      <w:lang w:val="en-US" w:eastAsia="zh-CN"/>
                    </w:rPr>
                  </w:pPr>
                  <w:r>
                    <w:rPr>
                      <w:rFonts w:hint="eastAsia"/>
                      <w:lang w:val="en-US" w:eastAsia="zh-CN"/>
                    </w:rPr>
                    <w:t>A2污染物排</w:t>
                  </w:r>
                </w:p>
                <w:p w14:paraId="793DC144">
                  <w:pPr>
                    <w:pStyle w:val="5"/>
                    <w:suppressLineNumbers w:val="0"/>
                    <w:bidi w:val="0"/>
                    <w:spacing w:before="0" w:beforeAutospacing="0" w:after="0" w:afterAutospacing="0"/>
                    <w:ind w:left="0" w:right="0"/>
                    <w:rPr>
                      <w:rFonts w:hint="eastAsia"/>
                      <w:lang w:val="en-US" w:eastAsia="zh-CN"/>
                    </w:rPr>
                  </w:pPr>
                  <w:r>
                    <w:rPr>
                      <w:rFonts w:hint="eastAsia"/>
                      <w:lang w:val="en-US" w:eastAsia="zh-CN"/>
                    </w:rPr>
                    <w:t>放管控</w:t>
                  </w:r>
                </w:p>
              </w:tc>
              <w:tc>
                <w:tcPr>
                  <w:tcW w:w="503" w:type="pct"/>
                  <w:noWrap w:val="0"/>
                  <w:vAlign w:val="center"/>
                </w:tcPr>
                <w:p w14:paraId="6A633522">
                  <w:pPr>
                    <w:pStyle w:val="5"/>
                    <w:suppressLineNumbers w:val="0"/>
                    <w:bidi w:val="0"/>
                    <w:spacing w:before="0" w:beforeAutospacing="0" w:after="0" w:afterAutospacing="0"/>
                    <w:ind w:left="0" w:right="0"/>
                    <w:rPr>
                      <w:rFonts w:hint="eastAsia"/>
                      <w:lang w:val="en-US" w:eastAsia="zh-CN"/>
                    </w:rPr>
                  </w:pPr>
                  <w:r>
                    <w:rPr>
                      <w:rFonts w:hint="eastAsia"/>
                      <w:lang w:val="en-US" w:eastAsia="zh-CN"/>
                    </w:rPr>
                    <w:t>A2.1污染物削减/替代要求</w:t>
                  </w:r>
                </w:p>
              </w:tc>
              <w:tc>
                <w:tcPr>
                  <w:tcW w:w="2493" w:type="pct"/>
                  <w:noWrap w:val="0"/>
                  <w:vAlign w:val="center"/>
                </w:tcPr>
                <w:p w14:paraId="4B174299">
                  <w:pPr>
                    <w:pStyle w:val="5"/>
                    <w:suppressLineNumbers w:val="0"/>
                    <w:bidi w:val="0"/>
                    <w:spacing w:before="0" w:beforeAutospacing="0" w:after="0" w:afterAutospacing="0"/>
                    <w:ind w:left="0" w:right="0"/>
                    <w:rPr>
                      <w:rFonts w:hint="eastAsia"/>
                      <w:lang w:val="en-US" w:eastAsia="zh-CN"/>
                    </w:rPr>
                  </w:pPr>
                  <w:r>
                    <w:rPr>
                      <w:rFonts w:hint="eastAsia"/>
                      <w:lang w:val="en-US" w:eastAsia="zh-CN"/>
                    </w:rPr>
                    <w:t>〔A2.1-1〕新、改、扩建重点行业建设项目应符合“三线一单”、产业政策、区域环评、规划环评和行业环境准入管控要求。重点区域的新、改、扩建重点行业建设项目应遵循重点重金属污染物排放“减量替代”原则。</w:t>
                  </w:r>
                </w:p>
                <w:p w14:paraId="210F6A5F">
                  <w:pPr>
                    <w:pStyle w:val="5"/>
                    <w:suppressLineNumbers w:val="0"/>
                    <w:bidi w:val="0"/>
                    <w:spacing w:before="0" w:beforeAutospacing="0" w:after="0" w:afterAutospacing="0"/>
                    <w:ind w:left="0" w:right="0"/>
                    <w:rPr>
                      <w:rFonts w:hint="eastAsia"/>
                      <w:lang w:val="en-US" w:eastAsia="zh-CN"/>
                    </w:rPr>
                  </w:pPr>
                  <w:r>
                    <w:rPr>
                      <w:rFonts w:hint="eastAsia"/>
                      <w:lang w:val="en-US" w:eastAsia="zh-CN"/>
                    </w:rPr>
                    <w:t>〔A2.1-3〕促进大气污染物与温室气体协同控制。实施污染物和温室气体协同控制，实现减污降碳协同效应。开展工业、农业温室气体和污染减排协同控制研究，减少温室气体和污染物排放。强化污水、垃圾等集中处置设施环境管理，协同控制氢氟碳化物、甲烷、氧化亚氮等温室气体。加强节约能源与大气污染防治协同有效衔接，促进大气污染防治协同增效。</w:t>
                  </w:r>
                </w:p>
              </w:tc>
              <w:tc>
                <w:tcPr>
                  <w:tcW w:w="1210" w:type="pct"/>
                  <w:noWrap w:val="0"/>
                  <w:vAlign w:val="center"/>
                </w:tcPr>
                <w:p w14:paraId="52EB965E">
                  <w:pPr>
                    <w:pStyle w:val="5"/>
                    <w:suppressLineNumbers w:val="0"/>
                    <w:bidi w:val="0"/>
                    <w:spacing w:before="0" w:beforeAutospacing="0" w:after="0" w:afterAutospacing="0"/>
                    <w:ind w:left="0" w:right="0"/>
                    <w:rPr>
                      <w:rFonts w:hint="default"/>
                      <w:lang w:val="en-US" w:eastAsia="zh-CN"/>
                    </w:rPr>
                  </w:pPr>
                  <w:r>
                    <w:rPr>
                      <w:rFonts w:hint="eastAsia"/>
                      <w:lang w:val="en-US" w:eastAsia="zh-CN"/>
                    </w:rPr>
                    <w:t>项目符合生态环境分区管控、产业政策、区域环评、规划环评和行业环境准入管控要求。本项目运营期不产生废水。本项目无固体废物产生。</w:t>
                  </w:r>
                </w:p>
              </w:tc>
              <w:tc>
                <w:tcPr>
                  <w:tcW w:w="426" w:type="pct"/>
                  <w:noWrap w:val="0"/>
                  <w:vAlign w:val="center"/>
                </w:tcPr>
                <w:p w14:paraId="3A3B3446">
                  <w:pPr>
                    <w:pStyle w:val="5"/>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14:paraId="318B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noWrap w:val="0"/>
                  <w:vAlign w:val="center"/>
                </w:tcPr>
                <w:p w14:paraId="6476C0E9">
                  <w:pPr>
                    <w:pStyle w:val="5"/>
                    <w:suppressLineNumbers w:val="0"/>
                    <w:bidi w:val="0"/>
                    <w:spacing w:before="0" w:beforeAutospacing="0" w:after="0" w:afterAutospacing="0"/>
                    <w:ind w:left="0" w:right="0"/>
                    <w:rPr>
                      <w:rFonts w:hint="eastAsia"/>
                      <w:lang w:val="en-US" w:eastAsia="zh-CN"/>
                    </w:rPr>
                  </w:pPr>
                  <w:r>
                    <w:rPr>
                      <w:rFonts w:hint="eastAsia"/>
                      <w:lang w:val="en-US" w:eastAsia="zh-CN"/>
                    </w:rPr>
                    <w:t>A3环境风险</w:t>
                  </w:r>
                </w:p>
                <w:p w14:paraId="2DFFD06B">
                  <w:pPr>
                    <w:pStyle w:val="5"/>
                    <w:suppressLineNumbers w:val="0"/>
                    <w:bidi w:val="0"/>
                    <w:spacing w:before="0" w:beforeAutospacing="0" w:after="0" w:afterAutospacing="0"/>
                    <w:ind w:left="0" w:right="0"/>
                    <w:rPr>
                      <w:rFonts w:hint="eastAsia"/>
                      <w:lang w:val="en-US" w:eastAsia="zh-CN"/>
                    </w:rPr>
                  </w:pPr>
                  <w:r>
                    <w:rPr>
                      <w:rFonts w:hint="eastAsia"/>
                      <w:lang w:val="en-US" w:eastAsia="zh-CN"/>
                    </w:rPr>
                    <w:t>防控</w:t>
                  </w:r>
                </w:p>
              </w:tc>
              <w:tc>
                <w:tcPr>
                  <w:tcW w:w="503" w:type="pct"/>
                  <w:noWrap w:val="0"/>
                  <w:vAlign w:val="center"/>
                </w:tcPr>
                <w:p w14:paraId="64F85423">
                  <w:pPr>
                    <w:pStyle w:val="5"/>
                    <w:suppressLineNumbers w:val="0"/>
                    <w:bidi w:val="0"/>
                    <w:spacing w:before="0" w:beforeAutospacing="0" w:after="0" w:afterAutospacing="0"/>
                    <w:ind w:left="0" w:right="0"/>
                    <w:rPr>
                      <w:rFonts w:hint="eastAsia"/>
                      <w:lang w:val="en-US" w:eastAsia="zh-CN"/>
                    </w:rPr>
                  </w:pPr>
                  <w:r>
                    <w:rPr>
                      <w:rFonts w:hint="eastAsia"/>
                      <w:lang w:val="en-US" w:eastAsia="zh-CN"/>
                    </w:rPr>
                    <w:t>A3.2联防联控要求</w:t>
                  </w:r>
                </w:p>
              </w:tc>
              <w:tc>
                <w:tcPr>
                  <w:tcW w:w="2493" w:type="pct"/>
                  <w:noWrap w:val="0"/>
                  <w:vAlign w:val="center"/>
                </w:tcPr>
                <w:p w14:paraId="4BB38A39">
                  <w:pPr>
                    <w:pStyle w:val="5"/>
                    <w:suppressLineNumbers w:val="0"/>
                    <w:bidi w:val="0"/>
                    <w:spacing w:before="0" w:beforeAutospacing="0" w:after="0" w:afterAutospacing="0"/>
                    <w:ind w:left="0" w:right="0"/>
                    <w:rPr>
                      <w:rFonts w:hint="eastAsia"/>
                      <w:lang w:val="en-US" w:eastAsia="zh-CN"/>
                    </w:rPr>
                  </w:pPr>
                  <w:r>
                    <w:rPr>
                      <w:rFonts w:hint="eastAsia"/>
                      <w:lang w:val="en-US" w:eastAsia="zh-CN"/>
                    </w:rPr>
                    <w:t>〔A3.2-3〕加强新污染物多环境介质协同治理。排放重点管控新污染物的企事业单位应采取污染控制措施，达到相关污染物排放标准及环境质量目标要求；按照排污许可管理有关要求，依法申领排污许可证或填写排污登记表，并在其中载明执行的污染控制标准要求及采取的污染控制措施。排放重点管控新污染物的企事业单位和其他生产经营者应按照相关法律法规要求，对排放（污）口及其周边环境定期开展环境监测，评估环境风险，排查整治环境安全隐患，依法公开新污染物信息，采取措施防范环境风险。土壤污染重点监管单位应严格控制有毒有害物质排放，建立土壤污染隐患排查制度防止有毒有害物质渗漏、流失、扬散。</w:t>
                  </w:r>
                </w:p>
              </w:tc>
              <w:tc>
                <w:tcPr>
                  <w:tcW w:w="1210" w:type="pct"/>
                  <w:noWrap w:val="0"/>
                  <w:vAlign w:val="center"/>
                </w:tcPr>
                <w:p w14:paraId="24C817F5">
                  <w:pPr>
                    <w:pStyle w:val="5"/>
                    <w:suppressLineNumbers w:val="0"/>
                    <w:bidi w:val="0"/>
                    <w:spacing w:before="0" w:beforeAutospacing="0" w:after="0" w:afterAutospacing="0"/>
                    <w:ind w:left="0" w:right="0"/>
                    <w:rPr>
                      <w:rFonts w:hint="eastAsia"/>
                      <w:lang w:val="en-US" w:eastAsia="zh-CN"/>
                    </w:rPr>
                  </w:pPr>
                  <w:r>
                    <w:rPr>
                      <w:rFonts w:hint="default"/>
                      <w:lang w:val="en-US" w:eastAsia="zh-CN"/>
                    </w:rPr>
                    <w:t>项目已针对污染物采取了相应的污染防治措施，并达到相关污染物排放标准及环境质量目标要求，企业现有工程已取得排污许可证并按证排污，定期开展了监测。企业建立了土壤污染隐患排查制度，防止有毒有害物质渗漏、流失、扬散。</w:t>
                  </w:r>
                </w:p>
              </w:tc>
              <w:tc>
                <w:tcPr>
                  <w:tcW w:w="426" w:type="pct"/>
                  <w:noWrap w:val="0"/>
                  <w:vAlign w:val="center"/>
                </w:tcPr>
                <w:p w14:paraId="635CC2FD">
                  <w:pPr>
                    <w:pStyle w:val="5"/>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14:paraId="5072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Merge w:val="restart"/>
                  <w:noWrap w:val="0"/>
                  <w:vAlign w:val="center"/>
                </w:tcPr>
                <w:p w14:paraId="3ADEEC07">
                  <w:pPr>
                    <w:pStyle w:val="5"/>
                    <w:suppressLineNumbers w:val="0"/>
                    <w:bidi w:val="0"/>
                    <w:spacing w:before="0" w:beforeAutospacing="0" w:after="0" w:afterAutospacing="0"/>
                    <w:ind w:left="0" w:right="0"/>
                    <w:rPr>
                      <w:rFonts w:hint="eastAsia"/>
                      <w:lang w:val="en-US" w:eastAsia="zh-CN"/>
                    </w:rPr>
                  </w:pPr>
                  <w:r>
                    <w:rPr>
                      <w:rFonts w:hint="eastAsia"/>
                      <w:lang w:val="en-US" w:eastAsia="zh-CN"/>
                    </w:rPr>
                    <w:t>A4资源利用</w:t>
                  </w:r>
                </w:p>
                <w:p w14:paraId="3BBCED4C">
                  <w:pPr>
                    <w:pStyle w:val="5"/>
                    <w:suppressLineNumbers w:val="0"/>
                    <w:bidi w:val="0"/>
                    <w:spacing w:before="0" w:beforeAutospacing="0" w:after="0" w:afterAutospacing="0"/>
                    <w:ind w:left="0" w:right="0"/>
                    <w:rPr>
                      <w:rFonts w:hint="eastAsia"/>
                      <w:lang w:val="en-US" w:eastAsia="zh-CN"/>
                    </w:rPr>
                  </w:pPr>
                  <w:r>
                    <w:rPr>
                      <w:rFonts w:hint="eastAsia"/>
                      <w:lang w:val="en-US" w:eastAsia="zh-CN"/>
                    </w:rPr>
                    <w:t>要求</w:t>
                  </w:r>
                </w:p>
              </w:tc>
              <w:tc>
                <w:tcPr>
                  <w:tcW w:w="503" w:type="pct"/>
                  <w:noWrap w:val="0"/>
                  <w:vAlign w:val="center"/>
                </w:tcPr>
                <w:p w14:paraId="048685A7">
                  <w:pPr>
                    <w:pStyle w:val="5"/>
                    <w:suppressLineNumbers w:val="0"/>
                    <w:bidi w:val="0"/>
                    <w:spacing w:before="0" w:beforeAutospacing="0" w:after="0" w:afterAutospacing="0"/>
                    <w:ind w:left="0" w:right="0"/>
                    <w:rPr>
                      <w:rFonts w:hint="eastAsia"/>
                      <w:lang w:val="en-US" w:eastAsia="zh-CN"/>
                    </w:rPr>
                  </w:pPr>
                  <w:r>
                    <w:rPr>
                      <w:rFonts w:hint="eastAsia"/>
                      <w:lang w:val="en-US" w:eastAsia="zh-CN"/>
                    </w:rPr>
                    <w:t>A4.1水资源</w:t>
                  </w:r>
                </w:p>
              </w:tc>
              <w:tc>
                <w:tcPr>
                  <w:tcW w:w="2493" w:type="pct"/>
                  <w:noWrap w:val="0"/>
                  <w:vAlign w:val="center"/>
                </w:tcPr>
                <w:p w14:paraId="6215210C">
                  <w:pPr>
                    <w:pStyle w:val="5"/>
                    <w:suppressLineNumbers w:val="0"/>
                    <w:bidi w:val="0"/>
                    <w:spacing w:before="0" w:beforeAutospacing="0" w:after="0" w:afterAutospacing="0"/>
                    <w:ind w:left="0" w:right="0"/>
                    <w:rPr>
                      <w:rFonts w:hint="eastAsia"/>
                      <w:lang w:val="en-US" w:eastAsia="zh-CN"/>
                    </w:rPr>
                  </w:pPr>
                  <w:r>
                    <w:rPr>
                      <w:rFonts w:hint="eastAsia"/>
                      <w:lang w:val="en-US" w:eastAsia="zh-CN"/>
                    </w:rPr>
                    <w:t>〔A4.1-2〕加大城镇污水再生利用工程建设力度，推进区域再生水循环利用，到2025年，城市生活污水再生利用率力争达到60%。</w:t>
                  </w:r>
                </w:p>
              </w:tc>
              <w:tc>
                <w:tcPr>
                  <w:tcW w:w="1210" w:type="pct"/>
                  <w:noWrap w:val="0"/>
                  <w:vAlign w:val="center"/>
                </w:tcPr>
                <w:p w14:paraId="3AF3245D">
                  <w:pPr>
                    <w:pStyle w:val="5"/>
                    <w:suppressLineNumbers w:val="0"/>
                    <w:bidi w:val="0"/>
                    <w:spacing w:before="0" w:beforeAutospacing="0" w:after="0" w:afterAutospacing="0"/>
                    <w:ind w:left="0" w:right="0"/>
                    <w:rPr>
                      <w:rFonts w:hint="default"/>
                      <w:lang w:val="en-US" w:eastAsia="zh-CN"/>
                    </w:rPr>
                  </w:pPr>
                  <w:r>
                    <w:rPr>
                      <w:rFonts w:hint="eastAsia"/>
                      <w:lang w:val="en-US" w:eastAsia="zh-CN"/>
                    </w:rPr>
                    <w:t>本项目无废水产生</w:t>
                  </w:r>
                </w:p>
              </w:tc>
              <w:tc>
                <w:tcPr>
                  <w:tcW w:w="426" w:type="pct"/>
                  <w:noWrap w:val="0"/>
                  <w:vAlign w:val="center"/>
                </w:tcPr>
                <w:p w14:paraId="3F4F9FFA">
                  <w:pPr>
                    <w:pStyle w:val="5"/>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14:paraId="638A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Merge w:val="continue"/>
                  <w:noWrap w:val="0"/>
                  <w:vAlign w:val="center"/>
                </w:tcPr>
                <w:p w14:paraId="147806B5">
                  <w:pPr>
                    <w:pStyle w:val="5"/>
                    <w:suppressLineNumbers w:val="0"/>
                    <w:bidi w:val="0"/>
                    <w:spacing w:before="0" w:beforeAutospacing="0" w:after="0" w:afterAutospacing="0"/>
                    <w:ind w:left="0" w:right="0"/>
                    <w:rPr>
                      <w:rFonts w:hint="eastAsia"/>
                      <w:lang w:val="en-US" w:eastAsia="zh-CN"/>
                    </w:rPr>
                  </w:pPr>
                </w:p>
              </w:tc>
              <w:tc>
                <w:tcPr>
                  <w:tcW w:w="503" w:type="pct"/>
                  <w:noWrap w:val="0"/>
                  <w:vAlign w:val="center"/>
                </w:tcPr>
                <w:p w14:paraId="5A50CC70">
                  <w:pPr>
                    <w:pStyle w:val="5"/>
                    <w:suppressLineNumbers w:val="0"/>
                    <w:bidi w:val="0"/>
                    <w:spacing w:before="0" w:beforeAutospacing="0" w:after="0" w:afterAutospacing="0"/>
                    <w:ind w:left="0" w:right="0"/>
                    <w:rPr>
                      <w:rFonts w:hint="eastAsia"/>
                      <w:lang w:val="en-US" w:eastAsia="zh-CN"/>
                    </w:rPr>
                  </w:pPr>
                  <w:r>
                    <w:rPr>
                      <w:rFonts w:hint="eastAsia"/>
                      <w:lang w:val="en-US" w:eastAsia="zh-CN"/>
                    </w:rPr>
                    <w:t>A4.3能源利用</w:t>
                  </w:r>
                </w:p>
              </w:tc>
              <w:tc>
                <w:tcPr>
                  <w:tcW w:w="2493" w:type="pct"/>
                  <w:noWrap w:val="0"/>
                  <w:vAlign w:val="center"/>
                </w:tcPr>
                <w:p w14:paraId="7B3A4A2B">
                  <w:pPr>
                    <w:pStyle w:val="5"/>
                    <w:suppressLineNumbers w:val="0"/>
                    <w:bidi w:val="0"/>
                    <w:spacing w:before="0" w:beforeAutospacing="0" w:after="0" w:afterAutospacing="0"/>
                    <w:ind w:left="0" w:right="0"/>
                    <w:rPr>
                      <w:rFonts w:hint="eastAsia"/>
                      <w:lang w:val="en-US" w:eastAsia="zh-CN"/>
                    </w:rPr>
                  </w:pPr>
                  <w:r>
                    <w:rPr>
                      <w:rFonts w:hint="eastAsia"/>
                      <w:lang w:val="en-US" w:eastAsia="zh-CN"/>
                    </w:rPr>
                    <w:t>〔A4.3-4〕鼓励使用清洁能源或电厂热力、工业余热等替代锅炉、炉窑燃料用煤。</w:t>
                  </w:r>
                </w:p>
              </w:tc>
              <w:tc>
                <w:tcPr>
                  <w:tcW w:w="1210" w:type="pct"/>
                  <w:noWrap w:val="0"/>
                  <w:vAlign w:val="center"/>
                </w:tcPr>
                <w:p w14:paraId="5AE2F33E">
                  <w:pPr>
                    <w:pStyle w:val="5"/>
                    <w:suppressLineNumbers w:val="0"/>
                    <w:bidi w:val="0"/>
                    <w:spacing w:before="0" w:beforeAutospacing="0" w:after="0" w:afterAutospacing="0"/>
                    <w:ind w:left="0" w:right="0"/>
                    <w:rPr>
                      <w:rFonts w:hint="default"/>
                      <w:lang w:val="en-US" w:eastAsia="zh-CN"/>
                    </w:rPr>
                  </w:pPr>
                  <w:r>
                    <w:rPr>
                      <w:rFonts w:hint="eastAsia"/>
                      <w:lang w:val="en-US" w:eastAsia="zh-CN"/>
                    </w:rPr>
                    <w:t>本项目不涉及</w:t>
                  </w:r>
                </w:p>
              </w:tc>
              <w:tc>
                <w:tcPr>
                  <w:tcW w:w="426" w:type="pct"/>
                  <w:noWrap w:val="0"/>
                  <w:vAlign w:val="center"/>
                </w:tcPr>
                <w:p w14:paraId="69E1787B">
                  <w:pPr>
                    <w:pStyle w:val="5"/>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bl>
          <w:p w14:paraId="4296AE2B">
            <w:pPr>
              <w:bidi w:val="0"/>
              <w:rPr>
                <w:lang w:val="en-US" w:eastAsia="zh-CN"/>
              </w:rPr>
            </w:pPr>
            <w:r>
              <w:rPr>
                <w:lang w:val="en-US" w:eastAsia="zh-CN"/>
              </w:rPr>
              <w:t>（2）与</w:t>
            </w:r>
            <w:r>
              <w:rPr>
                <w:rFonts w:hint="eastAsia"/>
                <w:lang w:val="en-US" w:eastAsia="zh-CN"/>
              </w:rPr>
              <w:t>《巴音郭楞蒙古自治州生态环境准入清单（2023年）》</w:t>
            </w:r>
            <w:r>
              <w:rPr>
                <w:lang w:val="en-US" w:eastAsia="zh-CN"/>
              </w:rPr>
              <w:t>符合性分析</w:t>
            </w:r>
          </w:p>
          <w:p w14:paraId="677944E7">
            <w:pPr>
              <w:bidi w:val="0"/>
              <w:rPr>
                <w:lang w:val="en-US" w:eastAsia="zh-CN"/>
              </w:rPr>
            </w:pPr>
            <w:r>
              <w:rPr>
                <w:rFonts w:hint="eastAsia"/>
                <w:lang w:val="en-US" w:eastAsia="zh-CN"/>
              </w:rPr>
              <w:t>根据《巴音郭楞蒙古自治州生态环境准入清单（2023年）》可知，项目区属于轮台工业园区重点管控单元（ZH65282220004）。</w:t>
            </w:r>
          </w:p>
          <w:p w14:paraId="2AECA4A1">
            <w:pPr>
              <w:pStyle w:val="4"/>
              <w:bidi w:val="0"/>
              <w:rPr>
                <w:rFonts w:hint="eastAsia"/>
                <w:lang w:val="en-US" w:eastAsia="zh-CN"/>
              </w:rPr>
            </w:pPr>
            <w:r>
              <w:rPr>
                <w:lang w:val="en-US" w:eastAsia="zh-CN"/>
              </w:rPr>
              <w:t>表1-1</w:t>
            </w:r>
            <w:r>
              <w:rPr>
                <w:rFonts w:hint="eastAsia"/>
                <w:lang w:val="en-US" w:eastAsia="zh-CN"/>
              </w:rPr>
              <w:t>1</w:t>
            </w:r>
            <w:r>
              <w:rPr>
                <w:lang w:val="en-US" w:eastAsia="zh-CN"/>
              </w:rPr>
              <w:t xml:space="preserve">  </w:t>
            </w:r>
            <w:r>
              <w:rPr>
                <w:rFonts w:hint="eastAsia"/>
                <w:lang w:val="en-US" w:eastAsia="zh-CN"/>
              </w:rPr>
              <w:t>本项目与《巴音郭楞蒙古自治州生态环境准入清单》相符性分析</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557"/>
              <w:gridCol w:w="3968"/>
              <w:gridCol w:w="2321"/>
              <w:gridCol w:w="552"/>
            </w:tblGrid>
            <w:tr w14:paraId="76A6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pct"/>
                  <w:gridSpan w:val="2"/>
                  <w:noWrap w:val="0"/>
                  <w:vAlign w:val="center"/>
                </w:tcPr>
                <w:p w14:paraId="42AF0561">
                  <w:pPr>
                    <w:pStyle w:val="5"/>
                    <w:suppressLineNumbers w:val="0"/>
                    <w:bidi w:val="0"/>
                    <w:spacing w:before="0" w:beforeAutospacing="0" w:after="0" w:afterAutospacing="0"/>
                    <w:ind w:left="0" w:right="0"/>
                    <w:rPr>
                      <w:rFonts w:hint="eastAsia"/>
                      <w:lang w:val="en-US" w:eastAsia="zh-CN"/>
                    </w:rPr>
                  </w:pPr>
                  <w:r>
                    <w:rPr>
                      <w:rFonts w:hint="eastAsia"/>
                      <w:lang w:val="en-US" w:eastAsia="zh-CN"/>
                    </w:rPr>
                    <w:t>环境管控单元编码</w:t>
                  </w:r>
                </w:p>
              </w:tc>
              <w:tc>
                <w:tcPr>
                  <w:tcW w:w="2472" w:type="pct"/>
                  <w:noWrap w:val="0"/>
                  <w:vAlign w:val="center"/>
                </w:tcPr>
                <w:p w14:paraId="457210E3">
                  <w:pPr>
                    <w:pStyle w:val="5"/>
                    <w:suppressLineNumbers w:val="0"/>
                    <w:bidi w:val="0"/>
                    <w:spacing w:before="0" w:beforeAutospacing="0" w:after="0" w:afterAutospacing="0"/>
                    <w:ind w:left="0" w:right="0"/>
                    <w:rPr>
                      <w:rFonts w:hint="eastAsia"/>
                      <w:lang w:val="en-US" w:eastAsia="zh-CN"/>
                    </w:rPr>
                  </w:pPr>
                  <w:r>
                    <w:rPr>
                      <w:rFonts w:hint="eastAsia"/>
                      <w:lang w:val="en-US" w:eastAsia="zh-CN"/>
                    </w:rPr>
                    <w:t>ZH65282220004</w:t>
                  </w:r>
                </w:p>
              </w:tc>
              <w:tc>
                <w:tcPr>
                  <w:tcW w:w="1446" w:type="pct"/>
                  <w:vMerge w:val="restart"/>
                  <w:noWrap w:val="0"/>
                  <w:vAlign w:val="center"/>
                </w:tcPr>
                <w:p w14:paraId="2696757F">
                  <w:pPr>
                    <w:pStyle w:val="5"/>
                    <w:suppressLineNumbers w:val="0"/>
                    <w:bidi w:val="0"/>
                    <w:spacing w:before="0" w:beforeAutospacing="0" w:after="0" w:afterAutospacing="0"/>
                    <w:ind w:left="0" w:right="0"/>
                    <w:rPr>
                      <w:rFonts w:hint="eastAsia"/>
                      <w:lang w:val="en-US" w:eastAsia="zh-CN"/>
                    </w:rPr>
                  </w:pPr>
                  <w:r>
                    <w:rPr>
                      <w:rFonts w:hint="eastAsia"/>
                      <w:lang w:val="en-US" w:eastAsia="zh-CN"/>
                    </w:rPr>
                    <w:t>本工程情况</w:t>
                  </w:r>
                </w:p>
              </w:tc>
              <w:tc>
                <w:tcPr>
                  <w:tcW w:w="344" w:type="pct"/>
                  <w:vMerge w:val="restart"/>
                  <w:noWrap w:val="0"/>
                  <w:vAlign w:val="center"/>
                </w:tcPr>
                <w:p w14:paraId="28E7DB6C">
                  <w:pPr>
                    <w:pStyle w:val="5"/>
                    <w:suppressLineNumbers w:val="0"/>
                    <w:bidi w:val="0"/>
                    <w:spacing w:before="0" w:beforeAutospacing="0" w:after="0" w:afterAutospacing="0"/>
                    <w:ind w:left="0" w:right="0"/>
                    <w:rPr>
                      <w:rFonts w:hint="eastAsia"/>
                      <w:lang w:val="en-US" w:eastAsia="zh-CN"/>
                    </w:rPr>
                  </w:pPr>
                  <w:r>
                    <w:rPr>
                      <w:rFonts w:hint="eastAsia"/>
                      <w:lang w:val="en-US" w:eastAsia="zh-CN"/>
                    </w:rPr>
                    <w:t>相符性</w:t>
                  </w:r>
                </w:p>
              </w:tc>
            </w:tr>
            <w:tr w14:paraId="2C14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pct"/>
                  <w:gridSpan w:val="2"/>
                  <w:noWrap w:val="0"/>
                  <w:vAlign w:val="center"/>
                </w:tcPr>
                <w:p w14:paraId="0B28B4C3">
                  <w:pPr>
                    <w:pStyle w:val="5"/>
                    <w:suppressLineNumbers w:val="0"/>
                    <w:bidi w:val="0"/>
                    <w:spacing w:before="0" w:beforeAutospacing="0" w:after="0" w:afterAutospacing="0"/>
                    <w:ind w:left="0" w:right="0"/>
                    <w:rPr>
                      <w:rFonts w:hint="eastAsia"/>
                      <w:lang w:val="en-US" w:eastAsia="zh-CN"/>
                    </w:rPr>
                  </w:pPr>
                  <w:r>
                    <w:rPr>
                      <w:rFonts w:hint="eastAsia"/>
                      <w:lang w:val="en-US" w:eastAsia="zh-CN"/>
                    </w:rPr>
                    <w:t>环境管控单元名称</w:t>
                  </w:r>
                </w:p>
              </w:tc>
              <w:tc>
                <w:tcPr>
                  <w:tcW w:w="2472" w:type="pct"/>
                  <w:noWrap w:val="0"/>
                  <w:vAlign w:val="center"/>
                </w:tcPr>
                <w:p w14:paraId="1DAFB5A6">
                  <w:pPr>
                    <w:pStyle w:val="5"/>
                    <w:suppressLineNumbers w:val="0"/>
                    <w:bidi w:val="0"/>
                    <w:spacing w:before="0" w:beforeAutospacing="0" w:after="0" w:afterAutospacing="0"/>
                    <w:ind w:left="0" w:right="0"/>
                    <w:rPr>
                      <w:rFonts w:hint="default"/>
                      <w:lang w:val="en-US" w:eastAsia="zh-CN"/>
                    </w:rPr>
                  </w:pPr>
                  <w:r>
                    <w:rPr>
                      <w:rFonts w:hint="eastAsia"/>
                      <w:lang w:val="en-US" w:eastAsia="zh-CN"/>
                    </w:rPr>
                    <w:t>轮台工业园区</w:t>
                  </w:r>
                </w:p>
              </w:tc>
              <w:tc>
                <w:tcPr>
                  <w:tcW w:w="1446" w:type="pct"/>
                  <w:vMerge w:val="continue"/>
                  <w:noWrap w:val="0"/>
                  <w:vAlign w:val="center"/>
                </w:tcPr>
                <w:p w14:paraId="10E7D022">
                  <w:pPr>
                    <w:pStyle w:val="5"/>
                    <w:suppressLineNumbers w:val="0"/>
                    <w:bidi w:val="0"/>
                    <w:spacing w:before="0" w:beforeAutospacing="0" w:after="0" w:afterAutospacing="0"/>
                    <w:ind w:left="0" w:right="0"/>
                    <w:rPr>
                      <w:rFonts w:hint="eastAsia"/>
                      <w:lang w:val="en-US" w:eastAsia="zh-CN"/>
                    </w:rPr>
                  </w:pPr>
                </w:p>
              </w:tc>
              <w:tc>
                <w:tcPr>
                  <w:tcW w:w="344" w:type="pct"/>
                  <w:vMerge w:val="continue"/>
                  <w:noWrap w:val="0"/>
                  <w:vAlign w:val="center"/>
                </w:tcPr>
                <w:p w14:paraId="705A46D8">
                  <w:pPr>
                    <w:pStyle w:val="5"/>
                    <w:suppressLineNumbers w:val="0"/>
                    <w:bidi w:val="0"/>
                    <w:spacing w:before="0" w:beforeAutospacing="0" w:after="0" w:afterAutospacing="0"/>
                    <w:ind w:left="0" w:right="0"/>
                    <w:rPr>
                      <w:rFonts w:hint="eastAsia"/>
                      <w:lang w:val="en-US" w:eastAsia="zh-CN"/>
                    </w:rPr>
                  </w:pPr>
                </w:p>
              </w:tc>
            </w:tr>
            <w:tr w14:paraId="18D5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pct"/>
                  <w:gridSpan w:val="2"/>
                  <w:noWrap w:val="0"/>
                  <w:vAlign w:val="center"/>
                </w:tcPr>
                <w:p w14:paraId="6522A07A">
                  <w:pPr>
                    <w:pStyle w:val="5"/>
                    <w:suppressLineNumbers w:val="0"/>
                    <w:bidi w:val="0"/>
                    <w:spacing w:before="0" w:beforeAutospacing="0" w:after="0" w:afterAutospacing="0"/>
                    <w:ind w:left="0" w:right="0"/>
                    <w:rPr>
                      <w:rFonts w:hint="eastAsia"/>
                      <w:lang w:val="en-US" w:eastAsia="zh-CN"/>
                    </w:rPr>
                  </w:pPr>
                  <w:r>
                    <w:rPr>
                      <w:rFonts w:hint="eastAsia"/>
                      <w:lang w:val="en-US" w:eastAsia="zh-CN"/>
                    </w:rPr>
                    <w:t>环境管控单元类别</w:t>
                  </w:r>
                </w:p>
              </w:tc>
              <w:tc>
                <w:tcPr>
                  <w:tcW w:w="2472" w:type="pct"/>
                  <w:noWrap w:val="0"/>
                  <w:vAlign w:val="center"/>
                </w:tcPr>
                <w:p w14:paraId="27993A03">
                  <w:pPr>
                    <w:pStyle w:val="5"/>
                    <w:suppressLineNumbers w:val="0"/>
                    <w:bidi w:val="0"/>
                    <w:spacing w:before="0" w:beforeAutospacing="0" w:after="0" w:afterAutospacing="0"/>
                    <w:ind w:left="0" w:right="0"/>
                    <w:rPr>
                      <w:rFonts w:hint="eastAsia"/>
                      <w:lang w:val="en-US" w:eastAsia="zh-CN"/>
                    </w:rPr>
                  </w:pPr>
                  <w:r>
                    <w:rPr>
                      <w:rFonts w:hint="eastAsia"/>
                      <w:lang w:val="en-US" w:eastAsia="zh-CN"/>
                    </w:rPr>
                    <w:t>重点管控单元</w:t>
                  </w:r>
                </w:p>
              </w:tc>
              <w:tc>
                <w:tcPr>
                  <w:tcW w:w="1446" w:type="pct"/>
                  <w:vMerge w:val="continue"/>
                  <w:noWrap w:val="0"/>
                  <w:vAlign w:val="center"/>
                </w:tcPr>
                <w:p w14:paraId="3CBF5DE4">
                  <w:pPr>
                    <w:pStyle w:val="5"/>
                    <w:suppressLineNumbers w:val="0"/>
                    <w:bidi w:val="0"/>
                    <w:spacing w:before="0" w:beforeAutospacing="0" w:after="0" w:afterAutospacing="0"/>
                    <w:ind w:left="0" w:right="0"/>
                    <w:rPr>
                      <w:rFonts w:hint="eastAsia"/>
                      <w:lang w:val="en-US" w:eastAsia="zh-CN"/>
                    </w:rPr>
                  </w:pPr>
                </w:p>
              </w:tc>
              <w:tc>
                <w:tcPr>
                  <w:tcW w:w="344" w:type="pct"/>
                  <w:vMerge w:val="continue"/>
                  <w:noWrap w:val="0"/>
                  <w:vAlign w:val="center"/>
                </w:tcPr>
                <w:p w14:paraId="4A5EF751">
                  <w:pPr>
                    <w:pStyle w:val="5"/>
                    <w:suppressLineNumbers w:val="0"/>
                    <w:bidi w:val="0"/>
                    <w:spacing w:before="0" w:beforeAutospacing="0" w:after="0" w:afterAutospacing="0"/>
                    <w:ind w:left="0" w:right="0"/>
                    <w:rPr>
                      <w:rFonts w:hint="eastAsia"/>
                      <w:lang w:val="en-US" w:eastAsia="zh-CN"/>
                    </w:rPr>
                  </w:pPr>
                </w:p>
              </w:tc>
            </w:tr>
            <w:tr w14:paraId="4CC6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9" w:type="pct"/>
                  <w:vMerge w:val="restart"/>
                  <w:noWrap w:val="0"/>
                  <w:vAlign w:val="center"/>
                </w:tcPr>
                <w:p w14:paraId="42680889">
                  <w:pPr>
                    <w:pStyle w:val="5"/>
                    <w:suppressLineNumbers w:val="0"/>
                    <w:bidi w:val="0"/>
                    <w:spacing w:before="0" w:beforeAutospacing="0" w:after="0" w:afterAutospacing="0"/>
                    <w:ind w:left="0" w:right="0"/>
                    <w:rPr>
                      <w:rFonts w:hint="eastAsia"/>
                      <w:lang w:val="en-US" w:eastAsia="zh-CN"/>
                    </w:rPr>
                  </w:pPr>
                  <w:r>
                    <w:rPr>
                      <w:rFonts w:hint="eastAsia"/>
                      <w:lang w:val="en-US" w:eastAsia="zh-CN"/>
                    </w:rPr>
                    <w:t>管控要求</w:t>
                  </w:r>
                </w:p>
              </w:tc>
              <w:tc>
                <w:tcPr>
                  <w:tcW w:w="347" w:type="pct"/>
                  <w:noWrap w:val="0"/>
                  <w:vAlign w:val="center"/>
                </w:tcPr>
                <w:p w14:paraId="6EAAC10E">
                  <w:pPr>
                    <w:pStyle w:val="5"/>
                    <w:suppressLineNumbers w:val="0"/>
                    <w:bidi w:val="0"/>
                    <w:spacing w:before="0" w:beforeAutospacing="0" w:after="0" w:afterAutospacing="0"/>
                    <w:ind w:left="0" w:right="0"/>
                    <w:rPr>
                      <w:rFonts w:hint="eastAsia"/>
                      <w:lang w:val="en-US" w:eastAsia="zh-CN"/>
                    </w:rPr>
                  </w:pPr>
                  <w:r>
                    <w:rPr>
                      <w:rFonts w:hint="eastAsia"/>
                      <w:lang w:val="en-US" w:eastAsia="zh-CN"/>
                    </w:rPr>
                    <w:t>空间布局约束</w:t>
                  </w:r>
                </w:p>
              </w:tc>
              <w:tc>
                <w:tcPr>
                  <w:tcW w:w="3948" w:type="dxa"/>
                  <w:noWrap w:val="0"/>
                  <w:vAlign w:val="center"/>
                </w:tcPr>
                <w:p w14:paraId="3B6B44D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lang w:val="en-US" w:eastAsia="zh-CN"/>
                    </w:rPr>
                  </w:pPr>
                  <w:r>
                    <w:rPr>
                      <w:rFonts w:eastAsia="宋体"/>
                      <w:kern w:val="2"/>
                      <w:sz w:val="21"/>
                      <w:szCs w:val="21"/>
                      <w:lang w:val="en-US" w:eastAsia="zh-CN" w:bidi="ar-SA"/>
                    </w:rPr>
                    <w:t>禁止引进能（水）耗不符合相关国家标准中准入值要求，且污染物排放和环境风险防控不符合国家（地方）标准及有关产业准入条件的高污染（排放）、高能（水）耗、高环境风险的工业项目。</w:t>
                  </w:r>
                </w:p>
              </w:tc>
              <w:tc>
                <w:tcPr>
                  <w:tcW w:w="2309" w:type="dxa"/>
                  <w:noWrap w:val="0"/>
                  <w:vAlign w:val="center"/>
                </w:tcPr>
                <w:p w14:paraId="7916F2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lang w:val="en-US" w:eastAsia="zh-CN"/>
                    </w:rPr>
                  </w:pPr>
                  <w:r>
                    <w:rPr>
                      <w:rFonts w:eastAsia="宋体"/>
                      <w:kern w:val="2"/>
                      <w:sz w:val="21"/>
                      <w:szCs w:val="21"/>
                      <w:lang w:val="en-US" w:eastAsia="zh-CN" w:bidi="ar-SA"/>
                    </w:rPr>
                    <w:t>本项目不新增用水。</w:t>
                  </w:r>
                </w:p>
              </w:tc>
              <w:tc>
                <w:tcPr>
                  <w:tcW w:w="344" w:type="pct"/>
                  <w:noWrap w:val="0"/>
                  <w:vAlign w:val="center"/>
                </w:tcPr>
                <w:p w14:paraId="15FE11F9">
                  <w:pPr>
                    <w:pStyle w:val="5"/>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14:paraId="4565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Merge w:val="continue"/>
                  <w:noWrap w:val="0"/>
                  <w:vAlign w:val="center"/>
                </w:tcPr>
                <w:p w14:paraId="38233256">
                  <w:pPr>
                    <w:pStyle w:val="5"/>
                    <w:suppressLineNumbers w:val="0"/>
                    <w:bidi w:val="0"/>
                    <w:spacing w:before="0" w:beforeAutospacing="0" w:after="0" w:afterAutospacing="0"/>
                    <w:ind w:left="0" w:right="0"/>
                    <w:rPr>
                      <w:rFonts w:hint="eastAsia"/>
                      <w:lang w:val="en-US" w:eastAsia="zh-CN"/>
                    </w:rPr>
                  </w:pPr>
                </w:p>
              </w:tc>
              <w:tc>
                <w:tcPr>
                  <w:tcW w:w="347" w:type="pct"/>
                  <w:noWrap w:val="0"/>
                  <w:vAlign w:val="center"/>
                </w:tcPr>
                <w:p w14:paraId="2D9EA85D">
                  <w:pPr>
                    <w:pStyle w:val="5"/>
                    <w:suppressLineNumbers w:val="0"/>
                    <w:bidi w:val="0"/>
                    <w:spacing w:before="0" w:beforeAutospacing="0" w:after="0" w:afterAutospacing="0"/>
                    <w:ind w:left="0" w:right="0"/>
                    <w:rPr>
                      <w:rFonts w:hint="eastAsia"/>
                      <w:lang w:val="en-US" w:eastAsia="zh-CN"/>
                    </w:rPr>
                  </w:pPr>
                  <w:r>
                    <w:rPr>
                      <w:rFonts w:hint="eastAsia"/>
                      <w:lang w:val="en-US" w:eastAsia="zh-CN"/>
                    </w:rPr>
                    <w:t>污染物排放管控</w:t>
                  </w:r>
                </w:p>
              </w:tc>
              <w:tc>
                <w:tcPr>
                  <w:tcW w:w="3948" w:type="dxa"/>
                  <w:noWrap w:val="0"/>
                  <w:vAlign w:val="center"/>
                </w:tcPr>
                <w:p w14:paraId="38D6AF7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1.大气排放污染物的企业事业单位和其他生产经营者应当履行大气污染防治的法定义务，执行大气污染物排放标准，遵守大气污染物排放总量控制要求。</w:t>
                  </w:r>
                </w:p>
                <w:p w14:paraId="5C16995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2.实施挥发性有机物及恶臭治理。加快石化企业脱硫以及动力车间脱硫、脱硝工作，加强罐区油气治理、装卸储运油气回收以及工艺废气挥发性有机物治理、恶臭治理。积极推进陶瓷、玻璃、砖瓦等建材行业二氧化硫、烟粉尘控制。在石化、有机化工、煤化工等重点行业开展挥发性有机物综合治理，在石化行业开展“泄漏检测与修复”技术改造。建立挥发性有机物重点监管企业名录。积极推进加油站、储油库和油罐车开展油气回收，完成所有加油站、储油库和油罐车油气回收治理。</w:t>
                  </w:r>
                </w:p>
                <w:p w14:paraId="2F03A7C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lang w:val="en-US" w:eastAsia="zh-CN"/>
                    </w:rPr>
                  </w:pPr>
                  <w:r>
                    <w:rPr>
                      <w:rFonts w:eastAsia="宋体"/>
                      <w:kern w:val="2"/>
                      <w:sz w:val="21"/>
                      <w:szCs w:val="21"/>
                      <w:lang w:val="en-US" w:eastAsia="zh-CN" w:bidi="ar-SA"/>
                    </w:rPr>
                    <w:t>3.防治地下水污染。石化生产存贮销售企业和工业园区等区域应进行必要的防渗处理。加油站地下油罐全部更新为双层罐或完成防渗池设置。</w:t>
                  </w:r>
                </w:p>
              </w:tc>
              <w:tc>
                <w:tcPr>
                  <w:tcW w:w="2309" w:type="dxa"/>
                  <w:noWrap w:val="0"/>
                  <w:vAlign w:val="center"/>
                </w:tcPr>
                <w:p w14:paraId="4E5A50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1.本项目废气均经有效措施治理后满足相应排放标准，并符合大气污染物总量控制要求。</w:t>
                  </w:r>
                </w:p>
                <w:p w14:paraId="15036F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2.本项目罐区油气及装卸储运油气经收集后采用“冷凝+活性炭吸附”处理后排放，并要求企业开展泄漏检测与修复。</w:t>
                  </w:r>
                </w:p>
                <w:p w14:paraId="1507FE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lang w:val="en-US" w:eastAsia="zh-CN"/>
                    </w:rPr>
                  </w:pPr>
                  <w:r>
                    <w:rPr>
                      <w:rFonts w:eastAsia="宋体"/>
                      <w:kern w:val="2"/>
                      <w:sz w:val="21"/>
                      <w:szCs w:val="21"/>
                      <w:lang w:val="en-US" w:eastAsia="zh-CN" w:bidi="ar-SA"/>
                    </w:rPr>
                    <w:t>3.</w:t>
                  </w:r>
                  <w:r>
                    <w:rPr>
                      <w:rFonts w:hint="eastAsia" w:eastAsia="宋体"/>
                      <w:kern w:val="2"/>
                      <w:sz w:val="21"/>
                      <w:szCs w:val="21"/>
                      <w:lang w:val="en-US" w:eastAsia="zh-CN" w:bidi="ar-SA"/>
                    </w:rPr>
                    <w:t>罐区四进行重点防渗处理</w:t>
                  </w:r>
                  <w:r>
                    <w:rPr>
                      <w:rFonts w:eastAsia="宋体"/>
                      <w:kern w:val="2"/>
                      <w:sz w:val="21"/>
                      <w:szCs w:val="21"/>
                      <w:lang w:val="en-US" w:eastAsia="zh-CN" w:bidi="ar-SA"/>
                    </w:rPr>
                    <w:t>。</w:t>
                  </w:r>
                </w:p>
              </w:tc>
              <w:tc>
                <w:tcPr>
                  <w:tcW w:w="344" w:type="pct"/>
                  <w:noWrap w:val="0"/>
                  <w:vAlign w:val="center"/>
                </w:tcPr>
                <w:p w14:paraId="26D50402">
                  <w:pPr>
                    <w:pStyle w:val="5"/>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14:paraId="2988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Merge w:val="continue"/>
                  <w:noWrap w:val="0"/>
                  <w:vAlign w:val="center"/>
                </w:tcPr>
                <w:p w14:paraId="3CB4CB10">
                  <w:pPr>
                    <w:pStyle w:val="5"/>
                    <w:suppressLineNumbers w:val="0"/>
                    <w:bidi w:val="0"/>
                    <w:spacing w:before="0" w:beforeAutospacing="0" w:after="0" w:afterAutospacing="0"/>
                    <w:ind w:left="0" w:right="0"/>
                    <w:rPr>
                      <w:rFonts w:hint="eastAsia"/>
                      <w:lang w:val="en-US" w:eastAsia="zh-CN"/>
                    </w:rPr>
                  </w:pPr>
                </w:p>
              </w:tc>
              <w:tc>
                <w:tcPr>
                  <w:tcW w:w="347" w:type="pct"/>
                  <w:noWrap w:val="0"/>
                  <w:vAlign w:val="center"/>
                </w:tcPr>
                <w:p w14:paraId="57BFA35D">
                  <w:pPr>
                    <w:pStyle w:val="5"/>
                    <w:suppressLineNumbers w:val="0"/>
                    <w:bidi w:val="0"/>
                    <w:spacing w:before="0" w:beforeAutospacing="0" w:after="0" w:afterAutospacing="0"/>
                    <w:ind w:left="0" w:right="0"/>
                    <w:rPr>
                      <w:rFonts w:hint="eastAsia"/>
                      <w:lang w:val="en-US" w:eastAsia="zh-CN"/>
                    </w:rPr>
                  </w:pPr>
                  <w:r>
                    <w:rPr>
                      <w:rFonts w:hint="eastAsia"/>
                      <w:lang w:val="en-US" w:eastAsia="zh-CN"/>
                    </w:rPr>
                    <w:t>环境风险防控</w:t>
                  </w:r>
                </w:p>
              </w:tc>
              <w:tc>
                <w:tcPr>
                  <w:tcW w:w="3948" w:type="dxa"/>
                  <w:noWrap w:val="0"/>
                  <w:vAlign w:val="center"/>
                </w:tcPr>
                <w:p w14:paraId="05F3910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1.定期评估地下水环境安全隐患，检查重点工业企业周边地下水污染状况，并定期公布污染地下水的企业名单。公布环境风险大、严重影响公众健康的地下水污染场地清单，开展修复试点。</w:t>
                  </w:r>
                </w:p>
                <w:p w14:paraId="622599F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2.重点排污单位应当根据所在地重污染天气应急预案，编制本单位重污染天气应急响应方案。</w:t>
                  </w:r>
                </w:p>
                <w:p w14:paraId="2C9A75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lang w:val="en-US" w:eastAsia="zh-CN"/>
                    </w:rPr>
                  </w:pPr>
                  <w:r>
                    <w:rPr>
                      <w:rFonts w:eastAsia="宋体"/>
                      <w:kern w:val="2"/>
                      <w:sz w:val="21"/>
                      <w:szCs w:val="21"/>
                      <w:lang w:val="en-US" w:eastAsia="zh-CN" w:bidi="ar-SA"/>
                    </w:rPr>
                    <w:t>3.土壤环境重点监管企业全部纳入监督性环境监测范围，重点监测污染物为镉、汞、</w:t>
                  </w:r>
                  <w:r>
                    <w:rPr>
                      <w:rFonts w:hint="eastAsia" w:eastAsia="宋体"/>
                      <w:kern w:val="2"/>
                      <w:sz w:val="21"/>
                      <w:szCs w:val="21"/>
                      <w:lang w:val="en-US" w:eastAsia="zh-CN" w:bidi="ar-SA"/>
                    </w:rPr>
                    <w:t>砷</w:t>
                  </w:r>
                  <w:r>
                    <w:rPr>
                      <w:rFonts w:eastAsia="宋体"/>
                      <w:kern w:val="2"/>
                      <w:sz w:val="21"/>
                      <w:szCs w:val="21"/>
                      <w:lang w:val="en-US" w:eastAsia="zh-CN" w:bidi="ar-SA"/>
                    </w:rPr>
                    <w:t>、铅、</w:t>
                  </w:r>
                  <w:r>
                    <w:rPr>
                      <w:rFonts w:hint="eastAsia" w:eastAsia="宋体"/>
                      <w:kern w:val="2"/>
                      <w:sz w:val="21"/>
                      <w:szCs w:val="21"/>
                      <w:lang w:val="en-US" w:eastAsia="zh-CN" w:bidi="ar-SA"/>
                    </w:rPr>
                    <w:t>铬</w:t>
                  </w:r>
                  <w:r>
                    <w:rPr>
                      <w:rFonts w:eastAsia="宋体"/>
                      <w:kern w:val="2"/>
                      <w:sz w:val="21"/>
                      <w:szCs w:val="21"/>
                      <w:lang w:val="en-US" w:eastAsia="zh-CN" w:bidi="ar-SA"/>
                    </w:rPr>
                    <w:t>等重金属和多环芳烃、石油类等有机污染物。土壤环境监管重点行业企业拆除生产设施设备、构筑物和污染治理设施，要事先制定残留污染物清理和安全处置方案，并报所在地环境保护、工业和信息化部门备案；要严格按照有关规定实施安全处理处置，防范拆除活动污染土壤。</w:t>
                  </w:r>
                </w:p>
              </w:tc>
              <w:tc>
                <w:tcPr>
                  <w:tcW w:w="2309" w:type="dxa"/>
                  <w:noWrap w:val="0"/>
                  <w:vAlign w:val="center"/>
                </w:tcPr>
                <w:p w14:paraId="4F3DE3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lang w:val="en-US" w:eastAsia="zh-CN"/>
                    </w:rPr>
                  </w:pPr>
                  <w:r>
                    <w:rPr>
                      <w:snapToGrid w:val="0"/>
                      <w:sz w:val="21"/>
                      <w:szCs w:val="21"/>
                      <w:lang w:val="en-US" w:eastAsia="zh-CN" w:bidi="ar-SA"/>
                    </w:rPr>
                    <w:t>严格落实风险防控要求。</w:t>
                  </w:r>
                </w:p>
              </w:tc>
              <w:tc>
                <w:tcPr>
                  <w:tcW w:w="344" w:type="pct"/>
                  <w:noWrap w:val="0"/>
                  <w:vAlign w:val="center"/>
                </w:tcPr>
                <w:p w14:paraId="5CEA54DF">
                  <w:pPr>
                    <w:pStyle w:val="5"/>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r w14:paraId="37C8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Merge w:val="continue"/>
                  <w:noWrap w:val="0"/>
                  <w:vAlign w:val="center"/>
                </w:tcPr>
                <w:p w14:paraId="136FC2DB">
                  <w:pPr>
                    <w:pStyle w:val="5"/>
                    <w:suppressLineNumbers w:val="0"/>
                    <w:bidi w:val="0"/>
                    <w:spacing w:before="0" w:beforeAutospacing="0" w:after="0" w:afterAutospacing="0"/>
                    <w:ind w:left="0" w:right="0"/>
                    <w:rPr>
                      <w:rFonts w:hint="eastAsia"/>
                      <w:lang w:val="en-US" w:eastAsia="zh-CN"/>
                    </w:rPr>
                  </w:pPr>
                </w:p>
              </w:tc>
              <w:tc>
                <w:tcPr>
                  <w:tcW w:w="347" w:type="pct"/>
                  <w:noWrap w:val="0"/>
                  <w:vAlign w:val="center"/>
                </w:tcPr>
                <w:p w14:paraId="137D82D4">
                  <w:pPr>
                    <w:pStyle w:val="5"/>
                    <w:suppressLineNumbers w:val="0"/>
                    <w:bidi w:val="0"/>
                    <w:spacing w:before="0" w:beforeAutospacing="0" w:after="0" w:afterAutospacing="0"/>
                    <w:ind w:left="0" w:right="0"/>
                    <w:rPr>
                      <w:rFonts w:hint="eastAsia"/>
                      <w:lang w:val="en-US" w:eastAsia="zh-CN"/>
                    </w:rPr>
                  </w:pPr>
                  <w:r>
                    <w:rPr>
                      <w:rFonts w:hint="eastAsia"/>
                      <w:lang w:val="en-US" w:eastAsia="zh-CN"/>
                    </w:rPr>
                    <w:t>资源利用效率</w:t>
                  </w:r>
                </w:p>
              </w:tc>
              <w:tc>
                <w:tcPr>
                  <w:tcW w:w="3948" w:type="dxa"/>
                  <w:noWrap w:val="0"/>
                  <w:vAlign w:val="center"/>
                </w:tcPr>
                <w:p w14:paraId="6B99DF1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lang w:val="en-US" w:eastAsia="zh-CN"/>
                    </w:rPr>
                  </w:pPr>
                  <w:r>
                    <w:rPr>
                      <w:rFonts w:eastAsia="宋体"/>
                      <w:kern w:val="2"/>
                      <w:sz w:val="21"/>
                      <w:szCs w:val="21"/>
                      <w:lang w:val="en-US" w:eastAsia="zh-CN" w:bidi="ar-SA"/>
                    </w:rPr>
                    <w:t>强化工业水循环利用。推进加强洗煤废水循环利用。在高耗水行业开展试点示范，筛选具有明显经济效益的节水治污技术。鼓励纺织印染、石油石化、煤化工等高耗水企业废水深度处理回用。具备使用再生水条件但未充分利用的项目，不得批准其新增取水许可。</w:t>
                  </w:r>
                </w:p>
              </w:tc>
              <w:tc>
                <w:tcPr>
                  <w:tcW w:w="2309" w:type="dxa"/>
                  <w:noWrap w:val="0"/>
                  <w:vAlign w:val="center"/>
                </w:tcPr>
                <w:p w14:paraId="7F52AA3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lang w:val="en-US" w:eastAsia="zh-CN"/>
                    </w:rPr>
                  </w:pPr>
                  <w:r>
                    <w:rPr>
                      <w:rFonts w:eastAsia="宋体"/>
                      <w:kern w:val="2"/>
                      <w:sz w:val="21"/>
                      <w:szCs w:val="21"/>
                      <w:lang w:val="en-US" w:eastAsia="zh-CN" w:bidi="ar-SA"/>
                    </w:rPr>
                    <w:t>本项目为扩建项目，不新增用水。</w:t>
                  </w:r>
                </w:p>
              </w:tc>
              <w:tc>
                <w:tcPr>
                  <w:tcW w:w="344" w:type="pct"/>
                  <w:noWrap w:val="0"/>
                  <w:vAlign w:val="center"/>
                </w:tcPr>
                <w:p w14:paraId="234FC172">
                  <w:pPr>
                    <w:pStyle w:val="5"/>
                    <w:suppressLineNumbers w:val="0"/>
                    <w:bidi w:val="0"/>
                    <w:spacing w:before="0" w:beforeAutospacing="0" w:after="0" w:afterAutospacing="0"/>
                    <w:ind w:left="0" w:right="0"/>
                    <w:rPr>
                      <w:rFonts w:hint="eastAsia"/>
                      <w:lang w:val="en-US" w:eastAsia="zh-CN"/>
                    </w:rPr>
                  </w:pPr>
                  <w:r>
                    <w:rPr>
                      <w:rFonts w:hint="eastAsia"/>
                      <w:lang w:val="en-US" w:eastAsia="zh-CN"/>
                    </w:rPr>
                    <w:t>符合</w:t>
                  </w:r>
                </w:p>
              </w:tc>
            </w:tr>
          </w:tbl>
          <w:p w14:paraId="432B48A9">
            <w:pPr>
              <w:pStyle w:val="2"/>
              <w:bidi w:val="0"/>
              <w:rPr>
                <w:rFonts w:eastAsia="宋体"/>
                <w:b/>
                <w:lang w:val="en-US" w:eastAsia="zh-CN" w:bidi="ar-SA"/>
              </w:rPr>
            </w:pPr>
            <w:r>
              <w:rPr>
                <w:rFonts w:hint="eastAsia"/>
                <w:b/>
                <w:lang w:val="en-US" w:eastAsia="zh-CN" w:bidi="ar-SA"/>
              </w:rPr>
              <w:t xml:space="preserve">13 </w:t>
            </w:r>
            <w:r>
              <w:rPr>
                <w:rFonts w:eastAsia="宋体"/>
                <w:b/>
                <w:lang w:val="en-US" w:eastAsia="zh-CN" w:bidi="ar-SA"/>
              </w:rPr>
              <w:t>选址合理性分析</w:t>
            </w:r>
          </w:p>
          <w:p w14:paraId="188FABC4">
            <w:pPr>
              <w:bidi w:val="0"/>
              <w:rPr>
                <w:lang w:val="en-US" w:eastAsia="zh-CN"/>
              </w:rPr>
            </w:pPr>
            <w:r>
              <w:rPr>
                <w:lang w:val="en-US" w:eastAsia="zh-CN"/>
              </w:rPr>
              <w:t>项目位于新疆维吾尔自治区巴音郭楞蒙古自治州轮台工业园区拉依苏石油化工区巴州海祥石油化工有限公司现有厂区内，根据轮台工业园区拉依苏石油化工区用地规划，本项目位于三类工业用地内，根据轮台工业园区拉依苏石油化工区产业链规划，本项目位于现状建成区，项目建设符合轮台工业园区拉依苏石油化工区规划。</w:t>
            </w:r>
          </w:p>
          <w:p w14:paraId="08EEA270">
            <w:pPr>
              <w:bidi w:val="0"/>
              <w:rPr>
                <w:rFonts w:hint="default" w:eastAsia="宋体"/>
                <w:kern w:val="2"/>
                <w:sz w:val="21"/>
                <w:lang w:val="en-US" w:eastAsia="zh-CN" w:bidi="ar-SA"/>
              </w:rPr>
            </w:pPr>
            <w:r>
              <w:rPr>
                <w:lang w:val="en-US" w:eastAsia="zh-CN"/>
              </w:rPr>
              <w:t>本项目所在区域非文物、军事保护区，也无风景区、名胜古迹及饮用水水源保护区等敏感区域，建设符合《关于印发巴音郭楞蒙古自治州“三线一单”生态环境分区管控动态更新成果（2023年）的通知》（巴政办发</w:t>
            </w:r>
            <w:r>
              <w:rPr>
                <w:rFonts w:hint="eastAsia"/>
                <w:lang w:val="en-US" w:eastAsia="zh-CN"/>
              </w:rPr>
              <w:t>〔2024〕32号</w:t>
            </w:r>
            <w:r>
              <w:rPr>
                <w:lang w:val="en-US" w:eastAsia="zh-CN"/>
              </w:rPr>
              <w:t>）要求，符合相关环保政策要求，项目营运期产生的各项污染物经采取各种措施治理后均能达标排放，对周边环境影响较小，综上，项目选址区域无环境制约因素，从环境保护角度考虑选址合理。</w:t>
            </w:r>
          </w:p>
        </w:tc>
      </w:tr>
    </w:tbl>
    <w:p w14:paraId="71AA9D61">
      <w:pPr>
        <w:widowControl w:val="0"/>
        <w:autoSpaceDE w:val="0"/>
        <w:autoSpaceDN w:val="0"/>
        <w:adjustRightInd w:val="0"/>
        <w:snapToGrid w:val="0"/>
        <w:jc w:val="center"/>
        <w:rPr>
          <w:rFonts w:eastAsia="宋体"/>
          <w:sz w:val="21"/>
          <w:szCs w:val="21"/>
          <w:lang w:val="en-US" w:eastAsia="zh-CN" w:bidi="ar-SA"/>
        </w:rPr>
        <w:sectPr>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1AC15C7E">
      <w:pPr>
        <w:widowControl/>
        <w:spacing w:before="100" w:beforeAutospacing="1" w:after="100" w:afterAutospacing="1"/>
        <w:jc w:val="center"/>
        <w:outlineLvl w:val="0"/>
        <w:rPr>
          <w:rFonts w:eastAsia="黑体"/>
          <w:snapToGrid w:val="0"/>
          <w:sz w:val="30"/>
          <w:szCs w:val="30"/>
          <w:lang w:val="en-US" w:eastAsia="zh-CN" w:bidi="ar-SA"/>
        </w:rPr>
      </w:pPr>
      <w:bookmarkStart w:id="3" w:name="_Toc31259"/>
      <w:bookmarkStart w:id="4" w:name="_Toc16357"/>
      <w:bookmarkStart w:id="5" w:name="_Toc10256"/>
      <w:r>
        <w:rPr>
          <w:rFonts w:eastAsia="黑体"/>
          <w:snapToGrid w:val="0"/>
          <w:sz w:val="30"/>
          <w:szCs w:val="30"/>
          <w:lang w:val="en-US" w:eastAsia="zh-CN" w:bidi="ar-SA"/>
        </w:rPr>
        <w:t>二、建设项目工程分析</w:t>
      </w:r>
      <w:bookmarkEnd w:id="3"/>
      <w:bookmarkEnd w:id="4"/>
      <w:bookmarkEnd w:id="5"/>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34"/>
        <w:gridCol w:w="8626"/>
      </w:tblGrid>
      <w:tr w14:paraId="6F3232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4" w:type="dxa"/>
            <w:noWrap w:val="0"/>
            <w:vAlign w:val="center"/>
          </w:tcPr>
          <w:p w14:paraId="3B9F83B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lang w:val="en-US" w:eastAsia="zh-CN" w:bidi="ar-SA"/>
              </w:rPr>
            </w:pPr>
            <w:r>
              <w:rPr>
                <w:rFonts w:eastAsia="宋体"/>
                <w:lang w:val="en-US" w:eastAsia="zh-CN" w:bidi="ar-SA"/>
              </w:rPr>
              <w:t>建设内容</w:t>
            </w:r>
          </w:p>
          <w:p w14:paraId="56447777">
            <w:pPr>
              <w:widowControl/>
              <w:adjustRightInd w:val="0"/>
              <w:snapToGrid w:val="0"/>
              <w:spacing w:before="0" w:beforeAutospacing="0" w:after="0" w:afterAutospacing="0" w:line="360" w:lineRule="auto"/>
              <w:jc w:val="center"/>
              <w:rPr>
                <w:rFonts w:eastAsia="宋体"/>
                <w:lang w:val="en-US" w:eastAsia="zh-CN" w:bidi="ar-SA"/>
              </w:rPr>
            </w:pPr>
          </w:p>
        </w:tc>
        <w:tc>
          <w:tcPr>
            <w:tcW w:w="8626" w:type="dxa"/>
            <w:noWrap w:val="0"/>
            <w:vAlign w:val="top"/>
          </w:tcPr>
          <w:p w14:paraId="233F26BA">
            <w:pPr>
              <w:pStyle w:val="2"/>
              <w:rPr>
                <w:lang w:val="en-US" w:eastAsia="zh-CN"/>
              </w:rPr>
            </w:pPr>
            <w:r>
              <w:rPr>
                <w:lang w:val="en-US" w:eastAsia="zh-CN"/>
              </w:rPr>
              <w:t>1</w:t>
            </w:r>
            <w:r>
              <w:rPr>
                <w:rFonts w:hint="eastAsia"/>
                <w:lang w:val="en-US" w:eastAsia="zh-CN"/>
              </w:rPr>
              <w:t xml:space="preserve"> </w:t>
            </w:r>
            <w:r>
              <w:rPr>
                <w:lang w:val="en-US" w:eastAsia="zh-CN"/>
              </w:rPr>
              <w:t>项目由来</w:t>
            </w:r>
          </w:p>
          <w:p w14:paraId="5C99FD65">
            <w:pPr>
              <w:keepNext w:val="0"/>
              <w:keepLines w:val="0"/>
              <w:pageBreakBefore w:val="0"/>
              <w:widowControl/>
              <w:kinsoku/>
              <w:wordWrap/>
              <w:overflowPunct/>
              <w:topLinePunct w:val="0"/>
              <w:autoSpaceDE/>
              <w:autoSpaceDN/>
              <w:bidi w:val="0"/>
              <w:adjustRightInd/>
              <w:snapToGrid/>
              <w:textAlignment w:val="auto"/>
              <w:rPr>
                <w:lang w:val="en-US" w:eastAsia="zh-CN"/>
              </w:rPr>
            </w:pPr>
            <w:r>
              <w:rPr>
                <w:lang w:val="en-US" w:eastAsia="zh-CN"/>
              </w:rPr>
              <w:t>巴州海祥石油化工有限公司成立于</w:t>
            </w:r>
            <w:r>
              <w:rPr>
                <w:rFonts w:hint="eastAsia"/>
                <w:lang w:val="en-US" w:eastAsia="zh-CN"/>
              </w:rPr>
              <w:t>2016年4月18日</w:t>
            </w:r>
            <w:r>
              <w:rPr>
                <w:lang w:val="en-US" w:eastAsia="zh-CN"/>
              </w:rPr>
              <w:t>，法定代表人为谭洋，注册资本为2000万元人民币，统一社会信用代码为91652822MA775YA181，地址位于新疆巴音郭楞蒙古自治州轮台县工业路008号，所属行业为有机化学原料制造。</w:t>
            </w:r>
          </w:p>
          <w:p w14:paraId="0150D6B0">
            <w:pPr>
              <w:bidi w:val="0"/>
              <w:rPr>
                <w:rFonts w:hint="default"/>
                <w:lang w:val="en-US" w:eastAsia="zh-CN"/>
              </w:rPr>
            </w:pPr>
            <w:r>
              <w:rPr>
                <w:lang w:val="en-US" w:eastAsia="zh-CN"/>
              </w:rPr>
              <w:t>201</w:t>
            </w:r>
            <w:r>
              <w:rPr>
                <w:rFonts w:hint="eastAsia"/>
                <w:lang w:val="en-US" w:eastAsia="zh-CN"/>
              </w:rPr>
              <w:t>6</w:t>
            </w:r>
            <w:r>
              <w:rPr>
                <w:lang w:val="en-US" w:eastAsia="zh-CN"/>
              </w:rPr>
              <w:t>年</w:t>
            </w:r>
            <w:r>
              <w:rPr>
                <w:rFonts w:hint="eastAsia"/>
                <w:lang w:val="en-US" w:eastAsia="zh-CN"/>
              </w:rPr>
              <w:t>12</w:t>
            </w:r>
            <w:r>
              <w:rPr>
                <w:lang w:val="en-US" w:eastAsia="zh-CN"/>
              </w:rPr>
              <w:t>月巴州海祥石油化工有限公司</w:t>
            </w:r>
            <w:r>
              <w:rPr>
                <w:rFonts w:hint="eastAsia"/>
                <w:lang w:val="en-US" w:eastAsia="zh-CN"/>
              </w:rPr>
              <w:t>委托北京欣国环环境技术发展有限公司编制《巴州海祥石油化工有限公司10万吨/年精粗苯项目环境影响报告书》，于2017年8月24日取得</w:t>
            </w:r>
            <w:r>
              <w:rPr>
                <w:lang w:val="en-US" w:eastAsia="zh-CN"/>
              </w:rPr>
              <w:t>原新疆维吾尔自治区环境保护厅出具</w:t>
            </w:r>
            <w:r>
              <w:rPr>
                <w:rFonts w:hint="eastAsia"/>
                <w:lang w:val="en-US" w:eastAsia="zh-CN"/>
              </w:rPr>
              <w:t>的《关于巴州海祥石油化工有限公司10万吨/年精粗苯项目环境影响报告书的批复》（新环函〔2017〕1314号）。本项目实行分期建设，一期工程为原料预处理单元；二期工程包含异构化单元、粗苯精制单元及甲醇制氢单元。其中一期工程已于2020 年11月19日取得原巴音郭楞蒙古自治州生态环境局出具的建设项目竣工环境保护验收备案登记卡，备案编号：第2020177号。二期工程至今未开工建设。</w:t>
            </w:r>
          </w:p>
          <w:p w14:paraId="50800905">
            <w:pPr>
              <w:bidi w:val="0"/>
              <w:rPr>
                <w:lang w:val="en-US" w:eastAsia="zh-CN"/>
              </w:rPr>
            </w:pPr>
            <w:r>
              <w:rPr>
                <w:rFonts w:hint="eastAsia"/>
                <w:lang w:val="en-US" w:eastAsia="zh-CN"/>
              </w:rPr>
              <w:t>2023年8月巴州海祥石油化工有限公司委托新疆立磐环保科技有限公司编制《巴州海祥石油化工有限公司轻烃精制综合利用技改项目环境影响报告表》，</w:t>
            </w:r>
            <w:r>
              <w:rPr>
                <w:lang w:val="en-US" w:eastAsia="zh-CN"/>
              </w:rPr>
              <w:t>于2023年11月16日取得新疆巴音郭楞蒙古自治州生态环境局出具的《关于巴州海祥石油化工有限公司轻烃精制综合利用技改项目环境影响报告表的批复》（巴环评价函〔2023〕265号），</w:t>
            </w:r>
            <w:r>
              <w:rPr>
                <w:rFonts w:hint="eastAsia"/>
                <w:lang w:val="en-US" w:eastAsia="zh-CN"/>
              </w:rPr>
              <w:t>本项目实行分期建设，一期工程建设一套液环压缩机、导热油炉上加装低氮燃烧器、一套塔底再沸器、塔顶回流罐、塔顶采出泵及改造部分管线，二期工程包含1栋机修厂房、1栋危废库、1栋丙类库、1栋备品备件库，1栋门卫室、1栋值班室，其中一期工程已于</w:t>
            </w:r>
            <w:r>
              <w:rPr>
                <w:lang w:val="en-US" w:eastAsia="zh-CN"/>
              </w:rPr>
              <w:t>2025年7月完成自主验收，</w:t>
            </w:r>
            <w:r>
              <w:rPr>
                <w:rFonts w:hint="eastAsia"/>
                <w:lang w:val="en-US" w:eastAsia="zh-CN"/>
              </w:rPr>
              <w:t>二期工程至今未开工建设。</w:t>
            </w:r>
          </w:p>
          <w:p w14:paraId="70BEF46A">
            <w:pPr>
              <w:bidi w:val="0"/>
              <w:rPr>
                <w:rFonts w:hint="eastAsia"/>
                <w:lang w:val="en-US" w:eastAsia="zh-CN"/>
              </w:rPr>
            </w:pPr>
            <w:r>
              <w:rPr>
                <w:rFonts w:hint="eastAsia"/>
                <w:lang w:val="en-US" w:eastAsia="zh-CN"/>
              </w:rPr>
              <w:t>2025年11月巴州海祥石油化工有限公司委托新疆山河志远环境监理有限公司编制</w:t>
            </w:r>
            <w:r>
              <w:rPr>
                <w:lang w:val="en-US" w:eastAsia="zh-CN"/>
              </w:rPr>
              <w:t>《巴州海祥石油化工有限公司轻烃精制综合利用产品衍生项目环境影响报告表》，</w:t>
            </w:r>
            <w:r>
              <w:rPr>
                <w:rFonts w:hint="eastAsia"/>
                <w:lang w:val="en-US" w:eastAsia="zh-CN"/>
              </w:rPr>
              <w:t>2025年12月8日取得《关于巴州海祥石油化工有限公司轻烃精制综合利用产品衍生项目环境影响报告表的批复》（巴环评价函〔2025〕306号）</w:t>
            </w:r>
            <w:r>
              <w:rPr>
                <w:lang w:val="en-US" w:eastAsia="zh-CN"/>
              </w:rPr>
              <w:t>。</w:t>
            </w:r>
            <w:r>
              <w:rPr>
                <w:rFonts w:hint="eastAsia"/>
                <w:lang w:val="en-US" w:eastAsia="zh-CN"/>
              </w:rPr>
              <w:t>该项目建设正在开展竣工环保验收工作。</w:t>
            </w:r>
          </w:p>
          <w:p w14:paraId="22D3BC48">
            <w:pPr>
              <w:bidi w:val="0"/>
              <w:rPr>
                <w:rFonts w:hint="eastAsia"/>
                <w:lang w:val="en-US" w:eastAsia="zh-CN"/>
              </w:rPr>
            </w:pPr>
            <w:r>
              <w:rPr>
                <w:rFonts w:hint="default"/>
                <w:lang w:val="en-US" w:eastAsia="zh-CN"/>
              </w:rPr>
              <w:t>巴州海祥石油化工有限公司现有1#轻烃原料、碳五烷烃采用内浮顶储罐储存。上述物料饱和蒸气压较高，夏季运行工况下挥发问题突出，不仅加重油气回收设施运行负荷，还会造成物料损耗。2026年3月20日生态环境部第三轮检查组检查巴州海祥石油化工有限公司当前碳五烷烃储罐罐型与国家规范不相符，应采用压力储罐，2026年4月2日巴州海祥石油化工有限公司收到轮台工业园区管委会规划建设环保局下达的限期整改通知书。为落实限期整改相关要求，同时降低物料挥发损耗，企业拟新建</w:t>
            </w:r>
            <w:r>
              <w:rPr>
                <w:rFonts w:hint="eastAsia"/>
                <w:lang w:val="en-US" w:eastAsia="zh-CN"/>
              </w:rPr>
              <w:t>2个</w:t>
            </w:r>
            <w:r>
              <w:rPr>
                <w:rFonts w:hint="default"/>
                <w:lang w:val="en-US" w:eastAsia="zh-CN"/>
              </w:rPr>
              <w:t>球罐，用于1#轻烃原料</w:t>
            </w:r>
            <w:r>
              <w:rPr>
                <w:rFonts w:hint="eastAsia"/>
                <w:lang w:val="en-US" w:eastAsia="zh-CN"/>
              </w:rPr>
              <w:t>和</w:t>
            </w:r>
            <w:r>
              <w:rPr>
                <w:rFonts w:hint="default"/>
                <w:lang w:val="en-US" w:eastAsia="zh-CN"/>
              </w:rPr>
              <w:t>碳五烷烃的储存</w:t>
            </w:r>
            <w:r>
              <w:rPr>
                <w:rFonts w:hint="eastAsia"/>
                <w:lang w:val="en-US" w:eastAsia="zh-CN"/>
              </w:rPr>
              <w:t>。</w:t>
            </w:r>
          </w:p>
          <w:p w14:paraId="23521415">
            <w:pPr>
              <w:bidi w:val="0"/>
              <w:rPr>
                <w:rFonts w:hint="default"/>
                <w:lang w:val="en-US" w:eastAsia="zh-CN"/>
              </w:rPr>
            </w:pPr>
            <w:r>
              <w:rPr>
                <w:rFonts w:hint="eastAsia"/>
                <w:lang w:val="en-US" w:eastAsia="zh-CN"/>
              </w:rPr>
              <w:t>现有4个轻烃储罐和2个碳五烷烃储罐暂时停用，后续储罐用于储存现有工程中间产物，</w:t>
            </w:r>
            <w:r>
              <w:rPr>
                <w:rFonts w:hint="eastAsia"/>
                <w:highlight w:val="none"/>
                <w:lang w:val="en-US" w:eastAsia="zh-CN"/>
              </w:rPr>
              <w:t>储存物质符合《石油化工储运系统罐区设计规范》（SH/T3007-2014）和《石油化学工业污染物排放标准》（GB31571-2015，含2024年修改单）相关要求。</w:t>
            </w:r>
          </w:p>
          <w:p w14:paraId="1C288433">
            <w:pPr>
              <w:bidi w:val="0"/>
              <w:rPr>
                <w:rFonts w:hint="default"/>
                <w:lang w:val="en-US" w:eastAsia="zh-CN"/>
              </w:rPr>
            </w:pPr>
            <w:r>
              <w:rPr>
                <w:rFonts w:hint="default"/>
                <w:lang w:val="en-US" w:eastAsia="zh-CN"/>
              </w:rPr>
              <w:t>根据《中华人民共和国生态环境法典》《建设项目环境影响评价分类管理名录》等有关法律、法规规定，本项目属《名录》所列“五十三、装卸搬运和仓储业59 149危险品仓储594（不含加油站的油库；不含加气站的气库）”中“其他（含有毒、有害、危险品的仓储；含液化天然气库）”应编制报告表。受建设单位委托，新疆领畅环保科技有限公司承担了本项目的环境影响评价工作。接受委托后，环评单位在现场踏勘和资料收集的基础上，编制完成了《新增轻烃及碳五烷烃储运项目</w:t>
            </w:r>
            <w:r>
              <w:rPr>
                <w:rFonts w:hint="eastAsia"/>
                <w:lang w:val="en-US" w:eastAsia="zh-CN"/>
              </w:rPr>
              <w:t>生态</w:t>
            </w:r>
            <w:r>
              <w:rPr>
                <w:rFonts w:hint="default"/>
                <w:lang w:val="en-US" w:eastAsia="zh-CN"/>
              </w:rPr>
              <w:t>环境影响报告表》，建设单位递交</w:t>
            </w:r>
            <w:r>
              <w:rPr>
                <w:rFonts w:hint="eastAsia"/>
                <w:lang w:val="en-US" w:eastAsia="zh-CN"/>
              </w:rPr>
              <w:t>生态</w:t>
            </w:r>
            <w:r>
              <w:rPr>
                <w:rFonts w:hint="default"/>
                <w:lang w:val="en-US" w:eastAsia="zh-CN"/>
              </w:rPr>
              <w:t>环境影响报告表呈报环境保护行政主管部门，审批后作为生态环境部门和该企业进行环保管理的依据。</w:t>
            </w:r>
          </w:p>
          <w:p w14:paraId="6D0274FE">
            <w:pPr>
              <w:pStyle w:val="2"/>
              <w:rPr>
                <w:rFonts w:hint="default"/>
                <w:lang w:val="en-US" w:eastAsia="zh-CN"/>
              </w:rPr>
            </w:pPr>
            <w:r>
              <w:rPr>
                <w:rFonts w:hint="default"/>
                <w:lang w:val="en-US" w:eastAsia="zh-CN"/>
              </w:rPr>
              <w:t>2 地理位置及周边环境</w:t>
            </w:r>
          </w:p>
          <w:p w14:paraId="6AA69BB8">
            <w:pPr>
              <w:bidi w:val="0"/>
              <w:rPr>
                <w:rFonts w:hint="default"/>
                <w:highlight w:val="none"/>
                <w:lang w:val="en-US" w:eastAsia="zh-CN"/>
              </w:rPr>
            </w:pPr>
            <w:r>
              <w:rPr>
                <w:rFonts w:hint="default"/>
                <w:highlight w:val="none"/>
                <w:lang w:val="en-US" w:eastAsia="zh-CN"/>
              </w:rPr>
              <w:t>项目位于新疆巴音郭楞蒙古自治州轮台县轮台工业园区拉依苏石油化工区巴州海祥石油化工有限公司厂区内，</w:t>
            </w:r>
            <w:r>
              <w:rPr>
                <w:rFonts w:hint="eastAsia"/>
                <w:highlight w:val="none"/>
                <w:lang w:val="en-US" w:eastAsia="zh-CN"/>
              </w:rPr>
              <w:t>厂区北侧34m处为巴州海祥石油化工有限公司下属运输公司，西侧63m处为同益新能源公司CNG加气站（停产），南侧和东侧均为空地</w:t>
            </w:r>
            <w:r>
              <w:rPr>
                <w:rFonts w:hint="default"/>
                <w:highlight w:val="none"/>
                <w:lang w:val="en-US" w:eastAsia="zh-CN"/>
              </w:rPr>
              <w:t>。</w:t>
            </w:r>
          </w:p>
          <w:p w14:paraId="119EE4CC">
            <w:pPr>
              <w:pStyle w:val="2"/>
              <w:rPr>
                <w:lang w:val="en-US" w:eastAsia="zh-CN"/>
              </w:rPr>
            </w:pPr>
            <w:r>
              <w:rPr>
                <w:rFonts w:hint="eastAsia"/>
                <w:lang w:val="en-US" w:eastAsia="zh-CN"/>
              </w:rPr>
              <w:t xml:space="preserve">3 </w:t>
            </w:r>
            <w:r>
              <w:rPr>
                <w:lang w:val="en-US" w:eastAsia="zh-CN"/>
              </w:rPr>
              <w:t>建设内容及规模</w:t>
            </w:r>
          </w:p>
          <w:p w14:paraId="4027E997">
            <w:pPr>
              <w:bidi w:val="0"/>
              <w:rPr>
                <w:rFonts w:hint="eastAsia"/>
                <w:lang w:val="en-US" w:eastAsia="zh-CN"/>
              </w:rPr>
            </w:pPr>
            <w:r>
              <w:rPr>
                <w:rFonts w:hint="eastAsia"/>
                <w:lang w:val="en-US" w:eastAsia="zh-CN"/>
              </w:rPr>
              <w:t>本项目不新征土地，在厂区预留用地内建设罐区四，设置2座球罐（总容积2000m³）用于储存1#轻烃和碳五烷烃，1#轻烃每2天转存一次、碳五烷烃每4天转运一次；暂时停用现有工程4座轻烃储罐（总容积约8000m³）和2座碳五烷烃储罐（总容积约4000m³）。</w:t>
            </w:r>
          </w:p>
          <w:p w14:paraId="30D9FBDC">
            <w:pPr>
              <w:bidi w:val="0"/>
              <w:rPr>
                <w:rFonts w:hint="eastAsia"/>
                <w:lang w:val="en-US" w:eastAsia="zh-CN"/>
              </w:rPr>
            </w:pPr>
            <w:r>
              <w:rPr>
                <w:rFonts w:hint="eastAsia"/>
                <w:lang w:val="en-US" w:eastAsia="zh-CN"/>
              </w:rPr>
              <w:t>现有工程轻烃每32天转存一次、碳五烷烃每17天转存一次，物料在罐内积压时间长，罐容利用率低，名义罐容远大于实际周转需要；本次新建球罐容积依据《石油化工储运系统罐区设计规范》（SH/T 3007—2014），按现有装置实际日周转量、优化后的储存周期及充装系数核算确定。轻烃储存周期压缩至2天、碳五烷烃压缩至4天后，所需罐容大幅缩减，2000m³球罐有效储存容量即可完全容纳正常储存周期内的全部周转量，满足生产连续运行与产销衔接的缓冲需要，储运能力与生产规模相匹配。</w:t>
            </w:r>
          </w:p>
          <w:p w14:paraId="420BF75C">
            <w:pPr>
              <w:rPr>
                <w:lang w:val="en-US" w:eastAsia="zh-CN"/>
              </w:rPr>
            </w:pPr>
            <w:r>
              <w:rPr>
                <w:lang w:val="en-US" w:eastAsia="zh-CN"/>
              </w:rPr>
              <w:t>主要建设内容及规模见表2-</w:t>
            </w:r>
            <w:r>
              <w:rPr>
                <w:rFonts w:hint="eastAsia"/>
                <w:lang w:val="en-US" w:eastAsia="zh-CN"/>
              </w:rPr>
              <w:t>1</w:t>
            </w:r>
            <w:r>
              <w:rPr>
                <w:lang w:val="en-US" w:eastAsia="zh-CN"/>
              </w:rPr>
              <w:t>。</w:t>
            </w:r>
          </w:p>
          <w:p w14:paraId="292296DE">
            <w:pPr>
              <w:pStyle w:val="4"/>
              <w:rPr>
                <w:lang w:val="en-US" w:eastAsia="zh-CN"/>
              </w:rPr>
            </w:pPr>
            <w:r>
              <w:rPr>
                <w:lang w:val="en-US" w:eastAsia="zh-CN"/>
              </w:rPr>
              <w:t>表2-1  本项目主要工程内容</w:t>
            </w:r>
          </w:p>
          <w:tbl>
            <w:tblPr>
              <w:tblStyle w:val="29"/>
              <w:tblW w:w="4998"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92"/>
              <w:gridCol w:w="1513"/>
              <w:gridCol w:w="5306"/>
              <w:gridCol w:w="686"/>
            </w:tblGrid>
            <w:tr w14:paraId="13C9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31" w:type="pct"/>
                  <w:vAlign w:val="center"/>
                </w:tcPr>
                <w:p w14:paraId="6AD6A9A8">
                  <w:pPr>
                    <w:pStyle w:val="5"/>
                    <w:rPr>
                      <w:lang w:val="en-US" w:eastAsia="en-US"/>
                    </w:rPr>
                  </w:pPr>
                  <w:r>
                    <w:rPr>
                      <w:lang w:val="en-US" w:eastAsia="en-US"/>
                    </w:rPr>
                    <w:t>工程分类</w:t>
                  </w:r>
                </w:p>
              </w:tc>
              <w:tc>
                <w:tcPr>
                  <w:tcW w:w="901" w:type="pct"/>
                  <w:vAlign w:val="center"/>
                </w:tcPr>
                <w:p w14:paraId="01B0FF12">
                  <w:pPr>
                    <w:pStyle w:val="5"/>
                    <w:rPr>
                      <w:lang w:val="en-US" w:eastAsia="en-US"/>
                    </w:rPr>
                  </w:pPr>
                  <w:r>
                    <w:rPr>
                      <w:lang w:val="en-US" w:eastAsia="en-US"/>
                    </w:rPr>
                    <w:t>工程名称</w:t>
                  </w:r>
                </w:p>
              </w:tc>
              <w:tc>
                <w:tcPr>
                  <w:tcW w:w="3159" w:type="pct"/>
                  <w:vAlign w:val="center"/>
                </w:tcPr>
                <w:p w14:paraId="6A47E353">
                  <w:pPr>
                    <w:pStyle w:val="5"/>
                    <w:rPr>
                      <w:lang w:val="en-US" w:eastAsia="en-US"/>
                    </w:rPr>
                  </w:pPr>
                  <w:r>
                    <w:rPr>
                      <w:lang w:val="en-US" w:eastAsia="en-US"/>
                    </w:rPr>
                    <w:t>建设内容</w:t>
                  </w:r>
                </w:p>
              </w:tc>
              <w:tc>
                <w:tcPr>
                  <w:tcW w:w="408" w:type="pct"/>
                  <w:vAlign w:val="center"/>
                </w:tcPr>
                <w:p w14:paraId="78C8FF80">
                  <w:pPr>
                    <w:pStyle w:val="5"/>
                    <w:rPr>
                      <w:lang w:val="en-US" w:eastAsia="en-US"/>
                    </w:rPr>
                  </w:pPr>
                  <w:r>
                    <w:rPr>
                      <w:lang w:val="en-US" w:eastAsia="en-US"/>
                    </w:rPr>
                    <w:t>备注</w:t>
                  </w:r>
                </w:p>
              </w:tc>
            </w:tr>
            <w:tr w14:paraId="7770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31" w:type="pct"/>
                  <w:vAlign w:val="center"/>
                </w:tcPr>
                <w:p w14:paraId="5B0EC666">
                  <w:pPr>
                    <w:pStyle w:val="5"/>
                    <w:rPr>
                      <w:lang w:val="en-US" w:eastAsia="zh-CN"/>
                    </w:rPr>
                  </w:pPr>
                  <w:r>
                    <w:rPr>
                      <w:lang w:val="en-US" w:eastAsia="en-US"/>
                    </w:rPr>
                    <w:t>主体工程</w:t>
                  </w:r>
                </w:p>
              </w:tc>
              <w:tc>
                <w:tcPr>
                  <w:tcW w:w="901" w:type="pct"/>
                  <w:vAlign w:val="center"/>
                </w:tcPr>
                <w:p w14:paraId="58FE016C">
                  <w:pPr>
                    <w:pStyle w:val="5"/>
                    <w:rPr>
                      <w:rFonts w:hint="default"/>
                      <w:lang w:val="en-US" w:eastAsia="zh-CN"/>
                    </w:rPr>
                  </w:pPr>
                  <w:r>
                    <w:rPr>
                      <w:rFonts w:hint="eastAsia"/>
                      <w:lang w:val="en-US" w:eastAsia="zh-CN"/>
                    </w:rPr>
                    <w:t>罐区四</w:t>
                  </w:r>
                </w:p>
              </w:tc>
              <w:tc>
                <w:tcPr>
                  <w:tcW w:w="3159" w:type="pct"/>
                  <w:vAlign w:val="center"/>
                </w:tcPr>
                <w:p w14:paraId="01633327">
                  <w:pPr>
                    <w:pStyle w:val="5"/>
                    <w:rPr>
                      <w:rFonts w:hint="default"/>
                      <w:lang w:val="en-US" w:eastAsia="zh-CN"/>
                    </w:rPr>
                  </w:pPr>
                  <w:r>
                    <w:rPr>
                      <w:rFonts w:hint="eastAsia"/>
                      <w:lang w:val="en-US" w:eastAsia="en-US"/>
                    </w:rPr>
                    <w:t>占地1623.22m²，建设2座1000m³1#轻烃原料/碳五烷烃球罐，配套1#轻烃原料装卸装置、物料输送泵及进出料工艺管线</w:t>
                  </w:r>
                  <w:r>
                    <w:rPr>
                      <w:rFonts w:hint="eastAsia"/>
                      <w:lang w:val="en-US" w:eastAsia="zh-CN"/>
                    </w:rPr>
                    <w:t>。围堰（规格：61m×43m×1.5m），球罐均配套设置安全阀，安全阀泄放管线密闭接入厂区现有火炬系统，不直接向大气放空。</w:t>
                  </w:r>
                </w:p>
              </w:tc>
              <w:tc>
                <w:tcPr>
                  <w:tcW w:w="408" w:type="pct"/>
                  <w:vAlign w:val="center"/>
                </w:tcPr>
                <w:p w14:paraId="2CEA70AF">
                  <w:pPr>
                    <w:pStyle w:val="5"/>
                    <w:rPr>
                      <w:lang w:val="en-US" w:eastAsia="zh-CN"/>
                    </w:rPr>
                  </w:pPr>
                  <w:r>
                    <w:rPr>
                      <w:lang w:val="en-US" w:eastAsia="zh-CN"/>
                    </w:rPr>
                    <w:t>本次</w:t>
                  </w:r>
                  <w:r>
                    <w:rPr>
                      <w:rFonts w:hint="eastAsia"/>
                      <w:lang w:val="en-US" w:eastAsia="zh-CN"/>
                    </w:rPr>
                    <w:t>改</w:t>
                  </w:r>
                  <w:r>
                    <w:rPr>
                      <w:lang w:val="en-US" w:eastAsia="zh-CN"/>
                    </w:rPr>
                    <w:t>扩建内容</w:t>
                  </w:r>
                </w:p>
              </w:tc>
            </w:tr>
            <w:tr w14:paraId="2D29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31" w:type="pct"/>
                  <w:vMerge w:val="restart"/>
                  <w:vAlign w:val="center"/>
                </w:tcPr>
                <w:p w14:paraId="095E2D0E">
                  <w:pPr>
                    <w:pStyle w:val="5"/>
                    <w:rPr>
                      <w:lang w:val="en-US" w:eastAsia="zh-CN"/>
                    </w:rPr>
                  </w:pPr>
                  <w:r>
                    <w:rPr>
                      <w:rFonts w:hint="eastAsia"/>
                      <w:lang w:val="en-US" w:eastAsia="zh-CN"/>
                    </w:rPr>
                    <w:t>依托工程</w:t>
                  </w:r>
                </w:p>
              </w:tc>
              <w:tc>
                <w:tcPr>
                  <w:tcW w:w="901" w:type="pct"/>
                  <w:vAlign w:val="center"/>
                </w:tcPr>
                <w:p w14:paraId="65276E1D">
                  <w:pPr>
                    <w:pStyle w:val="5"/>
                    <w:rPr>
                      <w:lang w:val="en-US" w:eastAsia="en-US"/>
                    </w:rPr>
                  </w:pPr>
                  <w:r>
                    <w:rPr>
                      <w:lang w:val="en-US" w:eastAsia="en-US"/>
                    </w:rPr>
                    <w:t>消防事故水收集池</w:t>
                  </w:r>
                </w:p>
              </w:tc>
              <w:tc>
                <w:tcPr>
                  <w:tcW w:w="3159" w:type="pct"/>
                  <w:vAlign w:val="center"/>
                </w:tcPr>
                <w:p w14:paraId="511528C1">
                  <w:pPr>
                    <w:pStyle w:val="5"/>
                    <w:rPr>
                      <w:lang w:val="en-US" w:eastAsia="en-US"/>
                    </w:rPr>
                  </w:pPr>
                  <w:r>
                    <w:rPr>
                      <w:lang w:val="en-US" w:eastAsia="en-US"/>
                    </w:rPr>
                    <w:t>有效容积</w:t>
                  </w:r>
                  <w:r>
                    <w:rPr>
                      <w:rFonts w:hint="eastAsia"/>
                      <w:lang w:val="en-US" w:eastAsia="zh-CN"/>
                    </w:rPr>
                    <w:t>2160</w:t>
                  </w:r>
                  <w:r>
                    <w:rPr>
                      <w:lang w:val="en-US" w:eastAsia="zh-CN"/>
                    </w:rPr>
                    <w:t>m</w:t>
                  </w:r>
                  <w:r>
                    <w:rPr>
                      <w:vertAlign w:val="superscript"/>
                      <w:lang w:val="en-US" w:eastAsia="zh-CN"/>
                    </w:rPr>
                    <w:t>3</w:t>
                  </w:r>
                  <w:r>
                    <w:rPr>
                      <w:lang w:val="en-US" w:eastAsia="en-US"/>
                    </w:rPr>
                    <w:t>（30m×1</w:t>
                  </w:r>
                  <w:r>
                    <w:rPr>
                      <w:rFonts w:hint="eastAsia"/>
                      <w:lang w:val="en-US" w:eastAsia="zh-CN"/>
                    </w:rPr>
                    <w:t>8</w:t>
                  </w:r>
                  <w:r>
                    <w:rPr>
                      <w:lang w:val="en-US" w:eastAsia="en-US"/>
                    </w:rPr>
                    <w:t>m×4m）。</w:t>
                  </w:r>
                </w:p>
              </w:tc>
              <w:tc>
                <w:tcPr>
                  <w:tcW w:w="408" w:type="pct"/>
                  <w:vAlign w:val="center"/>
                </w:tcPr>
                <w:p w14:paraId="2A1BB896">
                  <w:pPr>
                    <w:pStyle w:val="5"/>
                    <w:rPr>
                      <w:lang w:val="en-US" w:eastAsia="en-US"/>
                    </w:rPr>
                  </w:pPr>
                  <w:r>
                    <w:rPr>
                      <w:lang w:val="en-US" w:eastAsia="en-US"/>
                    </w:rPr>
                    <w:t>依托</w:t>
                  </w:r>
                </w:p>
              </w:tc>
            </w:tr>
            <w:tr w14:paraId="4E82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31" w:type="pct"/>
                  <w:vMerge w:val="continue"/>
                  <w:vAlign w:val="center"/>
                </w:tcPr>
                <w:p w14:paraId="66DC6886">
                  <w:pPr>
                    <w:pStyle w:val="5"/>
                    <w:rPr>
                      <w:lang w:val="en-US" w:eastAsia="zh-CN"/>
                    </w:rPr>
                  </w:pPr>
                </w:p>
              </w:tc>
              <w:tc>
                <w:tcPr>
                  <w:tcW w:w="901" w:type="pct"/>
                  <w:vAlign w:val="center"/>
                </w:tcPr>
                <w:p w14:paraId="223BD47E">
                  <w:pPr>
                    <w:pStyle w:val="5"/>
                    <w:rPr>
                      <w:lang w:val="en-US" w:eastAsia="en-US"/>
                    </w:rPr>
                  </w:pPr>
                  <w:r>
                    <w:rPr>
                      <w:lang w:val="en-US" w:eastAsia="en-US"/>
                    </w:rPr>
                    <w:t>油气回收装置</w:t>
                  </w:r>
                </w:p>
              </w:tc>
              <w:tc>
                <w:tcPr>
                  <w:tcW w:w="3159" w:type="pct"/>
                  <w:vAlign w:val="center"/>
                </w:tcPr>
                <w:p w14:paraId="181EF0FB">
                  <w:pPr>
                    <w:pStyle w:val="5"/>
                    <w:rPr>
                      <w:lang w:val="en-US" w:eastAsia="en-US"/>
                    </w:rPr>
                  </w:pPr>
                  <w:r>
                    <w:rPr>
                      <w:lang w:val="en-US" w:eastAsia="en-US"/>
                    </w:rPr>
                    <w:t>占地面积12</w:t>
                  </w:r>
                  <w:r>
                    <w:rPr>
                      <w:lang w:val="en-US" w:eastAsia="zh-CN"/>
                    </w:rPr>
                    <w:t>m</w:t>
                  </w:r>
                  <w:r>
                    <w:rPr>
                      <w:vertAlign w:val="superscript"/>
                      <w:lang w:val="en-US" w:eastAsia="zh-CN"/>
                    </w:rPr>
                    <w:t>2</w:t>
                  </w:r>
                  <w:r>
                    <w:rPr>
                      <w:lang w:val="en-US" w:eastAsia="en-US"/>
                    </w:rPr>
                    <w:t>，建筑高度3.2m，耐火等级二级，火灾危险性甲类。</w:t>
                  </w:r>
                </w:p>
              </w:tc>
              <w:tc>
                <w:tcPr>
                  <w:tcW w:w="408" w:type="pct"/>
                  <w:vAlign w:val="center"/>
                </w:tcPr>
                <w:p w14:paraId="29BA8F78">
                  <w:pPr>
                    <w:pStyle w:val="5"/>
                    <w:rPr>
                      <w:lang w:val="en-US" w:eastAsia="en-US"/>
                    </w:rPr>
                  </w:pPr>
                  <w:r>
                    <w:rPr>
                      <w:lang w:val="en-US" w:eastAsia="en-US"/>
                    </w:rPr>
                    <w:t>依托</w:t>
                  </w:r>
                </w:p>
              </w:tc>
            </w:tr>
            <w:tr w14:paraId="5F38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31" w:type="pct"/>
                  <w:vMerge w:val="continue"/>
                  <w:vAlign w:val="center"/>
                </w:tcPr>
                <w:p w14:paraId="3DEF08AF">
                  <w:pPr>
                    <w:pStyle w:val="5"/>
                    <w:rPr>
                      <w:lang w:val="en-US" w:eastAsia="zh-CN"/>
                    </w:rPr>
                  </w:pPr>
                </w:p>
              </w:tc>
              <w:tc>
                <w:tcPr>
                  <w:tcW w:w="901" w:type="pct"/>
                  <w:shd w:val="clear" w:color="auto" w:fill="auto"/>
                  <w:vAlign w:val="center"/>
                </w:tcPr>
                <w:p w14:paraId="01E12099">
                  <w:pPr>
                    <w:pStyle w:val="5"/>
                    <w:rPr>
                      <w:lang w:val="en-US" w:eastAsia="en-US"/>
                    </w:rPr>
                  </w:pPr>
                  <w:r>
                    <w:rPr>
                      <w:lang w:val="en-US" w:eastAsia="en-US"/>
                    </w:rPr>
                    <w:t>空压站系统</w:t>
                  </w:r>
                </w:p>
              </w:tc>
              <w:tc>
                <w:tcPr>
                  <w:tcW w:w="3159" w:type="pct"/>
                  <w:shd w:val="clear" w:color="auto" w:fill="auto"/>
                  <w:vAlign w:val="center"/>
                </w:tcPr>
                <w:p w14:paraId="5CDB669E">
                  <w:pPr>
                    <w:pStyle w:val="5"/>
                    <w:rPr>
                      <w:lang w:val="en-US" w:eastAsia="en-US"/>
                    </w:rPr>
                  </w:pPr>
                  <w:r>
                    <w:rPr>
                      <w:lang w:val="en-US" w:eastAsia="en-US"/>
                    </w:rPr>
                    <w:t>空压制氮站包含两套系统，一套制取洁净的压缩空气，包含空压机及压缩空气净化装置。另一套用于制取氮气，包含空压机、压缩空气净化装置、制氮系统。</w:t>
                  </w:r>
                </w:p>
              </w:tc>
              <w:tc>
                <w:tcPr>
                  <w:tcW w:w="408" w:type="pct"/>
                  <w:shd w:val="clear" w:color="auto" w:fill="auto"/>
                  <w:vAlign w:val="center"/>
                </w:tcPr>
                <w:p w14:paraId="47C31BF1">
                  <w:pPr>
                    <w:pStyle w:val="5"/>
                    <w:rPr>
                      <w:lang w:val="en-US" w:eastAsia="en-US"/>
                    </w:rPr>
                  </w:pPr>
                  <w:r>
                    <w:rPr>
                      <w:lang w:val="en-US" w:eastAsia="en-US"/>
                    </w:rPr>
                    <w:t>依托</w:t>
                  </w:r>
                </w:p>
              </w:tc>
            </w:tr>
            <w:tr w14:paraId="049D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31" w:type="pct"/>
                  <w:vMerge w:val="restart"/>
                  <w:vAlign w:val="center"/>
                </w:tcPr>
                <w:p w14:paraId="2935EAFF">
                  <w:pPr>
                    <w:pStyle w:val="5"/>
                    <w:rPr>
                      <w:rFonts w:hint="default"/>
                      <w:lang w:val="en-US" w:eastAsia="zh-CN"/>
                    </w:rPr>
                  </w:pPr>
                  <w:r>
                    <w:rPr>
                      <w:rFonts w:hint="eastAsia"/>
                      <w:lang w:val="en-US" w:eastAsia="zh-CN"/>
                    </w:rPr>
                    <w:t>公用工程</w:t>
                  </w:r>
                </w:p>
              </w:tc>
              <w:tc>
                <w:tcPr>
                  <w:tcW w:w="901" w:type="pct"/>
                  <w:vAlign w:val="center"/>
                </w:tcPr>
                <w:p w14:paraId="4C38BBB0">
                  <w:pPr>
                    <w:pStyle w:val="5"/>
                    <w:rPr>
                      <w:lang w:val="en-US" w:eastAsia="en-US"/>
                    </w:rPr>
                  </w:pPr>
                  <w:r>
                    <w:rPr>
                      <w:lang w:val="en-US" w:eastAsia="en-US"/>
                    </w:rPr>
                    <w:t>供电系统</w:t>
                  </w:r>
                </w:p>
              </w:tc>
              <w:tc>
                <w:tcPr>
                  <w:tcW w:w="3159" w:type="pct"/>
                  <w:vAlign w:val="center"/>
                </w:tcPr>
                <w:p w14:paraId="453B8345">
                  <w:pPr>
                    <w:pStyle w:val="5"/>
                    <w:rPr>
                      <w:lang w:val="en-US" w:eastAsia="en-US"/>
                    </w:rPr>
                  </w:pPr>
                  <w:r>
                    <w:rPr>
                      <w:rFonts w:hint="eastAsia"/>
                      <w:lang w:val="en-US" w:eastAsia="zh-CN"/>
                    </w:rPr>
                    <w:t>依托园区</w:t>
                  </w:r>
                </w:p>
              </w:tc>
              <w:tc>
                <w:tcPr>
                  <w:tcW w:w="408" w:type="pct"/>
                  <w:vAlign w:val="center"/>
                </w:tcPr>
                <w:p w14:paraId="2CCB7625">
                  <w:pPr>
                    <w:pStyle w:val="5"/>
                    <w:rPr>
                      <w:lang w:val="en-US" w:eastAsia="en-US"/>
                    </w:rPr>
                  </w:pPr>
                  <w:r>
                    <w:rPr>
                      <w:lang w:val="en-US" w:eastAsia="en-US"/>
                    </w:rPr>
                    <w:t>依托</w:t>
                  </w:r>
                </w:p>
              </w:tc>
            </w:tr>
            <w:tr w14:paraId="13C7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31" w:type="pct"/>
                  <w:vMerge w:val="continue"/>
                  <w:vAlign w:val="center"/>
                </w:tcPr>
                <w:p w14:paraId="15788413">
                  <w:pPr>
                    <w:pStyle w:val="5"/>
                    <w:rPr>
                      <w:rFonts w:hint="eastAsia"/>
                      <w:lang w:val="en-US" w:eastAsia="zh-CN"/>
                    </w:rPr>
                  </w:pPr>
                </w:p>
              </w:tc>
              <w:tc>
                <w:tcPr>
                  <w:tcW w:w="901" w:type="pct"/>
                  <w:shd w:val="clear" w:color="auto" w:fill="auto"/>
                  <w:vAlign w:val="center"/>
                </w:tcPr>
                <w:p w14:paraId="70997056">
                  <w:pPr>
                    <w:pStyle w:val="5"/>
                    <w:rPr>
                      <w:rFonts w:hint="default"/>
                      <w:lang w:val="en-US" w:eastAsia="en-US"/>
                    </w:rPr>
                  </w:pPr>
                  <w:r>
                    <w:rPr>
                      <w:rFonts w:hint="eastAsia"/>
                      <w:lang w:val="en-US" w:eastAsia="zh-CN"/>
                    </w:rPr>
                    <w:t>供气系统</w:t>
                  </w:r>
                </w:p>
              </w:tc>
              <w:tc>
                <w:tcPr>
                  <w:tcW w:w="3159" w:type="pct"/>
                  <w:vAlign w:val="center"/>
                </w:tcPr>
                <w:p w14:paraId="320B4985">
                  <w:pPr>
                    <w:pStyle w:val="5"/>
                    <w:rPr>
                      <w:rFonts w:hint="default"/>
                      <w:lang w:val="en-US" w:eastAsia="zh-CN"/>
                    </w:rPr>
                  </w:pPr>
                  <w:r>
                    <w:rPr>
                      <w:rFonts w:hint="eastAsia"/>
                      <w:lang w:val="en-US" w:eastAsia="zh-CN"/>
                    </w:rPr>
                    <w:t>依托厂区空压制氮站</w:t>
                  </w:r>
                </w:p>
              </w:tc>
              <w:tc>
                <w:tcPr>
                  <w:tcW w:w="408" w:type="pct"/>
                  <w:vAlign w:val="center"/>
                </w:tcPr>
                <w:p w14:paraId="5904AB1B">
                  <w:pPr>
                    <w:pStyle w:val="5"/>
                    <w:rPr>
                      <w:rFonts w:hint="eastAsia"/>
                      <w:lang w:val="en-US" w:eastAsia="zh-CN"/>
                    </w:rPr>
                  </w:pPr>
                  <w:r>
                    <w:rPr>
                      <w:lang w:val="en-US" w:eastAsia="en-US"/>
                    </w:rPr>
                    <w:t>依托</w:t>
                  </w:r>
                </w:p>
              </w:tc>
            </w:tr>
            <w:tr w14:paraId="6DEC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31" w:type="pct"/>
                  <w:vMerge w:val="restart"/>
                  <w:vAlign w:val="center"/>
                </w:tcPr>
                <w:p w14:paraId="2DD84753">
                  <w:pPr>
                    <w:pStyle w:val="5"/>
                    <w:rPr>
                      <w:lang w:val="en-US" w:eastAsia="zh-CN"/>
                    </w:rPr>
                  </w:pPr>
                  <w:r>
                    <w:rPr>
                      <w:lang w:val="en-US" w:eastAsia="zh-CN"/>
                    </w:rPr>
                    <w:t>环保工程</w:t>
                  </w:r>
                </w:p>
              </w:tc>
              <w:tc>
                <w:tcPr>
                  <w:tcW w:w="901" w:type="pct"/>
                  <w:vMerge w:val="restart"/>
                  <w:vAlign w:val="center"/>
                </w:tcPr>
                <w:p w14:paraId="7FD00B48">
                  <w:pPr>
                    <w:pStyle w:val="5"/>
                    <w:rPr>
                      <w:rFonts w:hint="default"/>
                      <w:lang w:val="en-US" w:eastAsia="zh-CN"/>
                    </w:rPr>
                  </w:pPr>
                  <w:r>
                    <w:rPr>
                      <w:lang w:val="en-US" w:eastAsia="zh-CN"/>
                    </w:rPr>
                    <w:t>废气</w:t>
                  </w:r>
                  <w:r>
                    <w:rPr>
                      <w:rFonts w:hint="eastAsia"/>
                      <w:lang w:val="en-US" w:eastAsia="zh-CN"/>
                    </w:rPr>
                    <w:t>治理</w:t>
                  </w:r>
                </w:p>
              </w:tc>
              <w:tc>
                <w:tcPr>
                  <w:tcW w:w="3159" w:type="pct"/>
                  <w:vAlign w:val="center"/>
                </w:tcPr>
                <w:p w14:paraId="7A400B93">
                  <w:pPr>
                    <w:pStyle w:val="5"/>
                    <w:rPr>
                      <w:lang w:val="en-US" w:eastAsia="en-US"/>
                    </w:rPr>
                  </w:pPr>
                  <w:r>
                    <w:rPr>
                      <w:lang w:val="en-US" w:eastAsia="en-US"/>
                    </w:rPr>
                    <w:t>物料</w:t>
                  </w:r>
                  <w:r>
                    <w:rPr>
                      <w:rFonts w:hint="eastAsia"/>
                      <w:lang w:val="en-US" w:eastAsia="zh-CN"/>
                    </w:rPr>
                    <w:t>装车</w:t>
                  </w:r>
                  <w:r>
                    <w:rPr>
                      <w:lang w:val="en-US" w:eastAsia="en-US"/>
                    </w:rPr>
                    <w:t>废气采用底部装车系统，收集废气采用油气回收系统（冷凝+活性炭吸附）处理措施，处理后废气经1根15m高排气筒（DA003）排放</w:t>
                  </w:r>
                </w:p>
              </w:tc>
              <w:tc>
                <w:tcPr>
                  <w:tcW w:w="408" w:type="pct"/>
                  <w:vAlign w:val="center"/>
                </w:tcPr>
                <w:p w14:paraId="15628062">
                  <w:pPr>
                    <w:pStyle w:val="5"/>
                    <w:rPr>
                      <w:lang w:val="en-US" w:eastAsia="en-US"/>
                    </w:rPr>
                  </w:pPr>
                  <w:r>
                    <w:rPr>
                      <w:lang w:val="en-US" w:eastAsia="en-US"/>
                    </w:rPr>
                    <w:t>依托</w:t>
                  </w:r>
                </w:p>
              </w:tc>
            </w:tr>
            <w:tr w14:paraId="20D1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31" w:type="pct"/>
                  <w:vMerge w:val="continue"/>
                  <w:vAlign w:val="center"/>
                </w:tcPr>
                <w:p w14:paraId="1CCEFBBC">
                  <w:pPr>
                    <w:pStyle w:val="5"/>
                    <w:rPr>
                      <w:lang w:val="en-US" w:eastAsia="zh-CN"/>
                    </w:rPr>
                  </w:pPr>
                </w:p>
              </w:tc>
              <w:tc>
                <w:tcPr>
                  <w:tcW w:w="901" w:type="pct"/>
                  <w:vMerge w:val="continue"/>
                  <w:vAlign w:val="center"/>
                </w:tcPr>
                <w:p w14:paraId="60EA1E9B">
                  <w:pPr>
                    <w:pStyle w:val="5"/>
                    <w:rPr>
                      <w:lang w:val="en-US" w:eastAsia="zh-CN"/>
                    </w:rPr>
                  </w:pPr>
                </w:p>
              </w:tc>
              <w:tc>
                <w:tcPr>
                  <w:tcW w:w="3159" w:type="pct"/>
                  <w:vAlign w:val="center"/>
                </w:tcPr>
                <w:p w14:paraId="2727DF25">
                  <w:pPr>
                    <w:pStyle w:val="5"/>
                    <w:rPr>
                      <w:lang w:val="en-US" w:eastAsia="en-US"/>
                    </w:rPr>
                  </w:pPr>
                  <w:r>
                    <w:rPr>
                      <w:rFonts w:hint="eastAsia"/>
                      <w:lang w:val="en-US" w:eastAsia="zh-CN"/>
                    </w:rPr>
                    <w:t>物料卸车废气经收集后进入导热油炉作为燃烧进行燃烧后</w:t>
                  </w:r>
                  <w:r>
                    <w:rPr>
                      <w:lang w:val="en-US" w:eastAsia="en-US"/>
                    </w:rPr>
                    <w:t>经1根20m高排气筒（DA002）排放</w:t>
                  </w:r>
                </w:p>
              </w:tc>
              <w:tc>
                <w:tcPr>
                  <w:tcW w:w="408" w:type="pct"/>
                  <w:vAlign w:val="center"/>
                </w:tcPr>
                <w:p w14:paraId="3D9C0FB3">
                  <w:pPr>
                    <w:pStyle w:val="5"/>
                    <w:rPr>
                      <w:lang w:val="en-US" w:eastAsia="en-US"/>
                    </w:rPr>
                  </w:pPr>
                  <w:r>
                    <w:rPr>
                      <w:lang w:val="en-US" w:eastAsia="en-US"/>
                    </w:rPr>
                    <w:t>依托</w:t>
                  </w:r>
                </w:p>
              </w:tc>
            </w:tr>
            <w:tr w14:paraId="75801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31" w:type="pct"/>
                  <w:vMerge w:val="continue"/>
                  <w:vAlign w:val="center"/>
                </w:tcPr>
                <w:p w14:paraId="056FD320">
                  <w:pPr>
                    <w:pStyle w:val="5"/>
                    <w:rPr>
                      <w:lang w:val="en-US" w:eastAsia="zh-CN"/>
                    </w:rPr>
                  </w:pPr>
                </w:p>
              </w:tc>
              <w:tc>
                <w:tcPr>
                  <w:tcW w:w="901" w:type="pct"/>
                  <w:vAlign w:val="center"/>
                </w:tcPr>
                <w:p w14:paraId="1B5D0132">
                  <w:pPr>
                    <w:pStyle w:val="5"/>
                    <w:rPr>
                      <w:rFonts w:hint="eastAsia"/>
                      <w:lang w:val="en-US" w:eastAsia="zh-CN"/>
                    </w:rPr>
                  </w:pPr>
                  <w:r>
                    <w:rPr>
                      <w:lang w:val="en-US" w:eastAsia="en-US"/>
                    </w:rPr>
                    <w:t>废水</w:t>
                  </w:r>
                  <w:r>
                    <w:rPr>
                      <w:rFonts w:hint="eastAsia"/>
                      <w:lang w:val="en-US" w:eastAsia="zh-CN"/>
                    </w:rPr>
                    <w:t>治理</w:t>
                  </w:r>
                </w:p>
              </w:tc>
              <w:tc>
                <w:tcPr>
                  <w:tcW w:w="3159" w:type="pct"/>
                  <w:vAlign w:val="center"/>
                </w:tcPr>
                <w:p w14:paraId="12071FE3">
                  <w:pPr>
                    <w:pStyle w:val="5"/>
                    <w:rPr>
                      <w:lang w:val="en-US" w:eastAsia="zh-CN"/>
                    </w:rPr>
                  </w:pPr>
                  <w:r>
                    <w:rPr>
                      <w:lang w:val="en-US" w:eastAsia="zh-CN"/>
                    </w:rPr>
                    <w:t>本项目不新增废水。</w:t>
                  </w:r>
                </w:p>
              </w:tc>
              <w:tc>
                <w:tcPr>
                  <w:tcW w:w="408" w:type="pct"/>
                  <w:vAlign w:val="center"/>
                </w:tcPr>
                <w:p w14:paraId="439B7164">
                  <w:pPr>
                    <w:pStyle w:val="5"/>
                    <w:rPr>
                      <w:lang w:val="en-US" w:eastAsia="zh-CN"/>
                    </w:rPr>
                  </w:pPr>
                  <w:r>
                    <w:rPr>
                      <w:lang w:val="en-US" w:eastAsia="zh-CN"/>
                    </w:rPr>
                    <w:t>/</w:t>
                  </w:r>
                </w:p>
              </w:tc>
            </w:tr>
            <w:tr w14:paraId="57A6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31" w:type="pct"/>
                  <w:vMerge w:val="continue"/>
                  <w:vAlign w:val="center"/>
                </w:tcPr>
                <w:p w14:paraId="49F4C68F">
                  <w:pPr>
                    <w:pStyle w:val="5"/>
                    <w:rPr>
                      <w:lang w:val="en-US" w:eastAsia="zh-CN"/>
                    </w:rPr>
                  </w:pPr>
                </w:p>
              </w:tc>
              <w:tc>
                <w:tcPr>
                  <w:tcW w:w="901" w:type="pct"/>
                  <w:vAlign w:val="center"/>
                </w:tcPr>
                <w:p w14:paraId="1C881821">
                  <w:pPr>
                    <w:pStyle w:val="5"/>
                    <w:rPr>
                      <w:rFonts w:hint="eastAsia"/>
                      <w:lang w:val="en-US" w:eastAsia="zh-CN"/>
                    </w:rPr>
                  </w:pPr>
                  <w:r>
                    <w:rPr>
                      <w:lang w:val="en-US" w:eastAsia="en-US"/>
                    </w:rPr>
                    <w:t>固废</w:t>
                  </w:r>
                  <w:r>
                    <w:rPr>
                      <w:rFonts w:hint="eastAsia"/>
                      <w:lang w:val="en-US" w:eastAsia="zh-CN"/>
                    </w:rPr>
                    <w:t>治理</w:t>
                  </w:r>
                </w:p>
              </w:tc>
              <w:tc>
                <w:tcPr>
                  <w:tcW w:w="3159" w:type="pct"/>
                  <w:vAlign w:val="center"/>
                </w:tcPr>
                <w:p w14:paraId="365B6AB6">
                  <w:pPr>
                    <w:pStyle w:val="5"/>
                    <w:rPr>
                      <w:lang w:val="en-US" w:eastAsia="en-US"/>
                    </w:rPr>
                  </w:pPr>
                  <w:r>
                    <w:rPr>
                      <w:lang w:val="en-US" w:eastAsia="zh-CN"/>
                    </w:rPr>
                    <w:t>本项目</w:t>
                  </w:r>
                  <w:r>
                    <w:rPr>
                      <w:rFonts w:hint="eastAsia"/>
                      <w:lang w:val="en-US" w:eastAsia="zh-CN"/>
                    </w:rPr>
                    <w:t>运营期</w:t>
                  </w:r>
                  <w:r>
                    <w:rPr>
                      <w:lang w:val="en-US" w:eastAsia="zh-CN"/>
                    </w:rPr>
                    <w:t>无固废产生</w:t>
                  </w:r>
                  <w:r>
                    <w:rPr>
                      <w:rFonts w:hint="eastAsia"/>
                      <w:lang w:val="en-US" w:eastAsia="zh-CN"/>
                    </w:rPr>
                    <w:t>。</w:t>
                  </w:r>
                </w:p>
              </w:tc>
              <w:tc>
                <w:tcPr>
                  <w:tcW w:w="408" w:type="pct"/>
                  <w:vAlign w:val="center"/>
                </w:tcPr>
                <w:p w14:paraId="1B553F9B">
                  <w:pPr>
                    <w:pStyle w:val="5"/>
                    <w:rPr>
                      <w:rFonts w:hint="eastAsia"/>
                      <w:lang w:val="en-US" w:eastAsia="zh-CN"/>
                    </w:rPr>
                  </w:pPr>
                  <w:r>
                    <w:rPr>
                      <w:rFonts w:hint="eastAsia"/>
                      <w:lang w:val="en-US" w:eastAsia="zh-CN"/>
                    </w:rPr>
                    <w:t>/</w:t>
                  </w:r>
                </w:p>
              </w:tc>
            </w:tr>
            <w:tr w14:paraId="5625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31" w:type="pct"/>
                  <w:vMerge w:val="continue"/>
                  <w:vAlign w:val="center"/>
                </w:tcPr>
                <w:p w14:paraId="0A4F5D3A">
                  <w:pPr>
                    <w:pStyle w:val="5"/>
                    <w:rPr>
                      <w:lang w:val="en-US" w:eastAsia="zh-CN"/>
                    </w:rPr>
                  </w:pPr>
                </w:p>
              </w:tc>
              <w:tc>
                <w:tcPr>
                  <w:tcW w:w="901" w:type="pct"/>
                  <w:vAlign w:val="center"/>
                </w:tcPr>
                <w:p w14:paraId="7790D744">
                  <w:pPr>
                    <w:pStyle w:val="5"/>
                    <w:rPr>
                      <w:rFonts w:hint="eastAsia"/>
                      <w:lang w:val="en-US" w:eastAsia="zh-CN"/>
                    </w:rPr>
                  </w:pPr>
                  <w:r>
                    <w:rPr>
                      <w:lang w:val="en-US" w:eastAsia="en-US"/>
                    </w:rPr>
                    <w:t>噪声</w:t>
                  </w:r>
                  <w:r>
                    <w:rPr>
                      <w:rFonts w:hint="eastAsia"/>
                      <w:lang w:val="en-US" w:eastAsia="zh-CN"/>
                    </w:rPr>
                    <w:t>治理</w:t>
                  </w:r>
                </w:p>
              </w:tc>
              <w:tc>
                <w:tcPr>
                  <w:tcW w:w="3159" w:type="pct"/>
                  <w:vAlign w:val="center"/>
                </w:tcPr>
                <w:p w14:paraId="788DE0E4">
                  <w:pPr>
                    <w:pStyle w:val="5"/>
                    <w:rPr>
                      <w:lang w:val="en-US" w:eastAsia="en-US"/>
                    </w:rPr>
                  </w:pPr>
                  <w:r>
                    <w:rPr>
                      <w:lang w:val="en-US" w:eastAsia="en-US"/>
                    </w:rPr>
                    <w:t>隔声、减振、消声、防噪措施。</w:t>
                  </w:r>
                </w:p>
              </w:tc>
              <w:tc>
                <w:tcPr>
                  <w:tcW w:w="408" w:type="pct"/>
                  <w:vAlign w:val="center"/>
                </w:tcPr>
                <w:p w14:paraId="0BD19209">
                  <w:pPr>
                    <w:pStyle w:val="5"/>
                    <w:rPr>
                      <w:lang w:val="en-US" w:eastAsia="zh-CN"/>
                    </w:rPr>
                  </w:pPr>
                  <w:r>
                    <w:rPr>
                      <w:lang w:val="en-US" w:eastAsia="zh-CN"/>
                    </w:rPr>
                    <w:t>新建</w:t>
                  </w:r>
                </w:p>
              </w:tc>
            </w:tr>
            <w:tr w14:paraId="61E0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31" w:type="pct"/>
                  <w:vMerge w:val="continue"/>
                  <w:vAlign w:val="center"/>
                </w:tcPr>
                <w:p w14:paraId="5B8B3C59">
                  <w:pPr>
                    <w:pStyle w:val="5"/>
                    <w:rPr>
                      <w:lang w:val="en-US" w:eastAsia="zh-CN"/>
                    </w:rPr>
                  </w:pPr>
                </w:p>
              </w:tc>
              <w:tc>
                <w:tcPr>
                  <w:tcW w:w="901" w:type="pct"/>
                  <w:vAlign w:val="center"/>
                </w:tcPr>
                <w:p w14:paraId="716FF970">
                  <w:pPr>
                    <w:pStyle w:val="5"/>
                    <w:rPr>
                      <w:rFonts w:hint="default"/>
                      <w:lang w:val="en-US" w:eastAsia="zh-CN"/>
                    </w:rPr>
                  </w:pPr>
                  <w:r>
                    <w:rPr>
                      <w:rFonts w:hint="eastAsia"/>
                      <w:lang w:val="en-US" w:eastAsia="zh-CN"/>
                    </w:rPr>
                    <w:t>风险</w:t>
                  </w:r>
                </w:p>
              </w:tc>
              <w:tc>
                <w:tcPr>
                  <w:tcW w:w="3567" w:type="pct"/>
                  <w:gridSpan w:val="2"/>
                  <w:vAlign w:val="center"/>
                </w:tcPr>
                <w:p w14:paraId="3E631AC4">
                  <w:pPr>
                    <w:pStyle w:val="5"/>
                    <w:rPr>
                      <w:rFonts w:hint="eastAsia"/>
                      <w:lang w:val="en-US" w:eastAsia="zh-CN"/>
                    </w:rPr>
                  </w:pPr>
                  <w:r>
                    <w:rPr>
                      <w:rFonts w:hint="eastAsia"/>
                      <w:lang w:val="en-US" w:eastAsia="en-US"/>
                    </w:rPr>
                    <w:t>重点防渗区：</w:t>
                  </w:r>
                  <w:r>
                    <w:rPr>
                      <w:rFonts w:hint="eastAsia"/>
                      <w:lang w:val="en-US" w:eastAsia="zh-CN"/>
                    </w:rPr>
                    <w:t>罐区四</w:t>
                  </w:r>
                  <w:r>
                    <w:rPr>
                      <w:rFonts w:hint="eastAsia"/>
                      <w:lang w:val="en-US" w:eastAsia="en-US"/>
                    </w:rPr>
                    <w:t>，等效黏土防渗层M≥6.0m，K≤1.0x10</w:t>
                  </w:r>
                  <w:r>
                    <w:rPr>
                      <w:rFonts w:hint="eastAsia"/>
                      <w:vertAlign w:val="superscript"/>
                      <w:lang w:val="en-US" w:eastAsia="en-US"/>
                    </w:rPr>
                    <w:t>-7</w:t>
                  </w:r>
                  <w:r>
                    <w:rPr>
                      <w:rFonts w:hint="eastAsia"/>
                      <w:lang w:val="en-US" w:eastAsia="en-US"/>
                    </w:rPr>
                    <w:t>cms：或参照GB18598执行</w:t>
                  </w:r>
                  <w:r>
                    <w:rPr>
                      <w:rFonts w:hint="eastAsia"/>
                      <w:lang w:val="en-US" w:eastAsia="zh-CN"/>
                    </w:rPr>
                    <w:t>。</w:t>
                  </w:r>
                </w:p>
              </w:tc>
            </w:tr>
          </w:tbl>
          <w:p w14:paraId="5A169B99">
            <w:pPr>
              <w:pStyle w:val="2"/>
              <w:rPr>
                <w:lang w:val="en-US" w:eastAsia="zh-CN"/>
              </w:rPr>
            </w:pPr>
            <w:r>
              <w:rPr>
                <w:rFonts w:hint="eastAsia"/>
                <w:lang w:val="en-US" w:eastAsia="zh-CN"/>
              </w:rPr>
              <w:t>4 现有工程</w:t>
            </w:r>
            <w:r>
              <w:rPr>
                <w:lang w:val="en-US" w:eastAsia="zh-CN"/>
              </w:rPr>
              <w:t>产品方案</w:t>
            </w:r>
          </w:p>
          <w:p w14:paraId="7D89F146">
            <w:pPr>
              <w:bidi w:val="0"/>
              <w:rPr>
                <w:lang w:val="en-US" w:eastAsia="zh-CN"/>
              </w:rPr>
            </w:pPr>
            <w:bookmarkStart w:id="6" w:name="_Hlk112828269"/>
            <w:r>
              <w:rPr>
                <w:rFonts w:hint="eastAsia"/>
                <w:lang w:val="en-US" w:eastAsia="zh-CN"/>
              </w:rPr>
              <w:t>本项目仅进行物料储存，不改变厂区现有工程生产工艺及产品产量，</w:t>
            </w:r>
            <w:r>
              <w:rPr>
                <w:lang w:val="en-US" w:eastAsia="zh-CN"/>
              </w:rPr>
              <w:t>巴州海祥石油化工有限公司</w:t>
            </w:r>
            <w:r>
              <w:rPr>
                <w:rFonts w:hint="eastAsia"/>
                <w:lang w:val="en-US" w:eastAsia="zh-CN"/>
              </w:rPr>
              <w:t>现有产品方案如下：</w:t>
            </w:r>
          </w:p>
          <w:p w14:paraId="204A0BB7">
            <w:pPr>
              <w:pStyle w:val="4"/>
              <w:bidi w:val="0"/>
              <w:rPr>
                <w:lang w:val="en-US" w:eastAsia="zh-CN"/>
              </w:rPr>
            </w:pPr>
            <w:r>
              <w:rPr>
                <w:lang w:val="en-US" w:eastAsia="zh-CN"/>
              </w:rPr>
              <w:t>表2-</w:t>
            </w:r>
            <w:r>
              <w:rPr>
                <w:rFonts w:hint="eastAsia"/>
                <w:lang w:val="en-US" w:eastAsia="zh-CN"/>
              </w:rPr>
              <w:t>2</w:t>
            </w:r>
            <w:r>
              <w:rPr>
                <w:lang w:val="en-US" w:eastAsia="zh-CN"/>
              </w:rPr>
              <w:t xml:space="preserve">  </w:t>
            </w:r>
            <w:r>
              <w:rPr>
                <w:rFonts w:hint="eastAsia"/>
                <w:lang w:val="en-US" w:eastAsia="zh-CN"/>
              </w:rPr>
              <w:t>现有</w:t>
            </w:r>
            <w:r>
              <w:rPr>
                <w:lang w:val="en-US" w:eastAsia="zh-CN"/>
              </w:rPr>
              <w:t>产品方案一览表</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50"/>
              <w:gridCol w:w="1704"/>
              <w:gridCol w:w="1667"/>
              <w:gridCol w:w="1406"/>
              <w:gridCol w:w="2570"/>
            </w:tblGrid>
            <w:tr w14:paraId="6305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25" w:type="pct"/>
                  <w:vAlign w:val="center"/>
                </w:tcPr>
                <w:p w14:paraId="6AD58D02">
                  <w:pPr>
                    <w:pStyle w:val="5"/>
                    <w:bidi w:val="0"/>
                    <w:rPr>
                      <w:lang w:val="en-US" w:eastAsia="zh-CN"/>
                    </w:rPr>
                  </w:pPr>
                  <w:r>
                    <w:rPr>
                      <w:lang w:val="en-US" w:eastAsia="zh-CN"/>
                    </w:rPr>
                    <w:t>序号</w:t>
                  </w:r>
                </w:p>
              </w:tc>
              <w:tc>
                <w:tcPr>
                  <w:tcW w:w="1014" w:type="pct"/>
                  <w:vAlign w:val="center"/>
                </w:tcPr>
                <w:p w14:paraId="7982CE07">
                  <w:pPr>
                    <w:pStyle w:val="5"/>
                    <w:bidi w:val="0"/>
                    <w:rPr>
                      <w:lang w:val="en-US" w:eastAsia="zh-CN"/>
                    </w:rPr>
                  </w:pPr>
                  <w:r>
                    <w:rPr>
                      <w:lang w:val="en-US" w:eastAsia="zh-CN"/>
                    </w:rPr>
                    <w:t>产品名称</w:t>
                  </w:r>
                </w:p>
              </w:tc>
              <w:tc>
                <w:tcPr>
                  <w:tcW w:w="992" w:type="pct"/>
                  <w:vAlign w:val="center"/>
                </w:tcPr>
                <w:p w14:paraId="712D6F5D">
                  <w:pPr>
                    <w:pStyle w:val="5"/>
                    <w:bidi w:val="0"/>
                    <w:rPr>
                      <w:lang w:val="en-US" w:eastAsia="zh-CN"/>
                    </w:rPr>
                  </w:pPr>
                  <w:r>
                    <w:rPr>
                      <w:lang w:val="en-US" w:eastAsia="zh-CN"/>
                    </w:rPr>
                    <w:t>年产量</w:t>
                  </w:r>
                </w:p>
                <w:p w14:paraId="32AABD79">
                  <w:pPr>
                    <w:pStyle w:val="5"/>
                    <w:bidi w:val="0"/>
                    <w:rPr>
                      <w:lang w:val="en-US" w:eastAsia="zh-CN"/>
                    </w:rPr>
                  </w:pPr>
                  <w:r>
                    <w:rPr>
                      <w:lang w:val="en-US" w:eastAsia="zh-CN"/>
                    </w:rPr>
                    <w:t>（万吨/年）</w:t>
                  </w:r>
                </w:p>
              </w:tc>
              <w:tc>
                <w:tcPr>
                  <w:tcW w:w="837" w:type="pct"/>
                  <w:vAlign w:val="center"/>
                </w:tcPr>
                <w:p w14:paraId="0F7E5748">
                  <w:pPr>
                    <w:pStyle w:val="5"/>
                    <w:bidi w:val="0"/>
                    <w:rPr>
                      <w:lang w:val="en-US" w:eastAsia="zh-CN"/>
                    </w:rPr>
                  </w:pPr>
                  <w:r>
                    <w:rPr>
                      <w:lang w:val="en-US" w:eastAsia="zh-CN"/>
                    </w:rPr>
                    <w:t>火灾危险类别</w:t>
                  </w:r>
                </w:p>
              </w:tc>
              <w:tc>
                <w:tcPr>
                  <w:tcW w:w="1530" w:type="pct"/>
                  <w:vAlign w:val="center"/>
                </w:tcPr>
                <w:p w14:paraId="7118825F">
                  <w:pPr>
                    <w:pStyle w:val="5"/>
                    <w:bidi w:val="0"/>
                    <w:rPr>
                      <w:lang w:val="en-US" w:eastAsia="zh-CN"/>
                    </w:rPr>
                  </w:pPr>
                  <w:r>
                    <w:rPr>
                      <w:lang w:val="en-US" w:eastAsia="zh-CN"/>
                    </w:rPr>
                    <w:t>备注</w:t>
                  </w:r>
                </w:p>
              </w:tc>
            </w:tr>
            <w:tr w14:paraId="0FD1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25" w:type="pct"/>
                  <w:vAlign w:val="center"/>
                </w:tcPr>
                <w:p w14:paraId="66F634DB">
                  <w:pPr>
                    <w:pStyle w:val="5"/>
                    <w:bidi w:val="0"/>
                    <w:rPr>
                      <w:lang w:val="en-US" w:eastAsia="zh-CN"/>
                    </w:rPr>
                  </w:pPr>
                  <w:r>
                    <w:rPr>
                      <w:lang w:val="en-US" w:eastAsia="zh-CN"/>
                    </w:rPr>
                    <w:t>1</w:t>
                  </w:r>
                </w:p>
              </w:tc>
              <w:tc>
                <w:tcPr>
                  <w:tcW w:w="1014" w:type="pct"/>
                  <w:vAlign w:val="center"/>
                </w:tcPr>
                <w:p w14:paraId="115B9513">
                  <w:pPr>
                    <w:pStyle w:val="5"/>
                    <w:bidi w:val="0"/>
                    <w:rPr>
                      <w:lang w:val="en-US" w:eastAsia="zh-CN"/>
                    </w:rPr>
                  </w:pPr>
                  <w:r>
                    <w:rPr>
                      <w:lang w:val="en-US" w:eastAsia="zh-CN"/>
                    </w:rPr>
                    <w:t>碳五烷烃</w:t>
                  </w:r>
                </w:p>
              </w:tc>
              <w:tc>
                <w:tcPr>
                  <w:tcW w:w="992" w:type="pct"/>
                  <w:vAlign w:val="center"/>
                </w:tcPr>
                <w:p w14:paraId="78171B7B">
                  <w:pPr>
                    <w:pStyle w:val="5"/>
                    <w:bidi w:val="0"/>
                    <w:rPr>
                      <w:lang w:val="en-US" w:eastAsia="zh-CN"/>
                    </w:rPr>
                  </w:pPr>
                  <w:r>
                    <w:rPr>
                      <w:lang w:val="en-US" w:eastAsia="zh-CN"/>
                    </w:rPr>
                    <w:t>0.72</w:t>
                  </w:r>
                </w:p>
              </w:tc>
              <w:tc>
                <w:tcPr>
                  <w:tcW w:w="837" w:type="pct"/>
                  <w:vAlign w:val="center"/>
                </w:tcPr>
                <w:p w14:paraId="30598249">
                  <w:pPr>
                    <w:pStyle w:val="5"/>
                    <w:bidi w:val="0"/>
                    <w:rPr>
                      <w:lang w:val="en-US" w:eastAsia="zh-CN"/>
                    </w:rPr>
                  </w:pPr>
                  <w:r>
                    <w:rPr>
                      <w:lang w:val="en-US" w:eastAsia="zh-CN"/>
                    </w:rPr>
                    <w:t>甲B类</w:t>
                  </w:r>
                </w:p>
              </w:tc>
              <w:tc>
                <w:tcPr>
                  <w:tcW w:w="1530" w:type="pct"/>
                  <w:vAlign w:val="center"/>
                </w:tcPr>
                <w:p w14:paraId="4248253E">
                  <w:pPr>
                    <w:pStyle w:val="5"/>
                    <w:bidi w:val="0"/>
                    <w:rPr>
                      <w:rFonts w:hint="eastAsia"/>
                      <w:lang w:val="en-US" w:eastAsia="zh-CN"/>
                    </w:rPr>
                  </w:pPr>
                  <w:r>
                    <w:rPr>
                      <w:lang w:val="en-US" w:eastAsia="zh-CN"/>
                    </w:rPr>
                    <w:t>调和后剩余产品</w:t>
                  </w:r>
                  <w:r>
                    <w:rPr>
                      <w:rFonts w:hint="eastAsia"/>
                      <w:lang w:val="en-US" w:eastAsia="zh-CN"/>
                    </w:rPr>
                    <w:t>，因原料轻烃成分，产量略有波动</w:t>
                  </w:r>
                </w:p>
              </w:tc>
            </w:tr>
            <w:tr w14:paraId="241F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25" w:type="pct"/>
                  <w:vAlign w:val="center"/>
                </w:tcPr>
                <w:p w14:paraId="7A117B18">
                  <w:pPr>
                    <w:pStyle w:val="5"/>
                    <w:bidi w:val="0"/>
                    <w:rPr>
                      <w:lang w:val="en-US" w:eastAsia="zh-CN"/>
                    </w:rPr>
                  </w:pPr>
                  <w:r>
                    <w:rPr>
                      <w:lang w:val="en-US" w:eastAsia="zh-CN"/>
                    </w:rPr>
                    <w:t>2</w:t>
                  </w:r>
                </w:p>
              </w:tc>
              <w:tc>
                <w:tcPr>
                  <w:tcW w:w="1014" w:type="pct"/>
                  <w:vAlign w:val="center"/>
                </w:tcPr>
                <w:p w14:paraId="4BB2BD49">
                  <w:pPr>
                    <w:pStyle w:val="5"/>
                    <w:bidi w:val="0"/>
                    <w:rPr>
                      <w:lang w:val="en-US" w:eastAsia="zh-CN"/>
                    </w:rPr>
                  </w:pPr>
                  <w:r>
                    <w:rPr>
                      <w:lang w:val="en-US" w:eastAsia="zh-CN"/>
                    </w:rPr>
                    <w:t>工业碳七</w:t>
                  </w:r>
                </w:p>
              </w:tc>
              <w:tc>
                <w:tcPr>
                  <w:tcW w:w="992" w:type="pct"/>
                  <w:vAlign w:val="center"/>
                </w:tcPr>
                <w:p w14:paraId="349AB4EF">
                  <w:pPr>
                    <w:pStyle w:val="5"/>
                    <w:bidi w:val="0"/>
                    <w:rPr>
                      <w:lang w:val="en-US" w:eastAsia="zh-CN"/>
                    </w:rPr>
                  </w:pPr>
                  <w:r>
                    <w:rPr>
                      <w:lang w:val="en-US" w:eastAsia="zh-CN"/>
                    </w:rPr>
                    <w:t>1.3</w:t>
                  </w:r>
                </w:p>
              </w:tc>
              <w:tc>
                <w:tcPr>
                  <w:tcW w:w="837" w:type="pct"/>
                  <w:vAlign w:val="center"/>
                </w:tcPr>
                <w:p w14:paraId="03FD83FB">
                  <w:pPr>
                    <w:pStyle w:val="5"/>
                    <w:bidi w:val="0"/>
                    <w:rPr>
                      <w:lang w:val="en-US" w:eastAsia="zh-CN"/>
                    </w:rPr>
                  </w:pPr>
                  <w:r>
                    <w:rPr>
                      <w:lang w:val="en-US" w:eastAsia="zh-CN"/>
                    </w:rPr>
                    <w:t>甲B类</w:t>
                  </w:r>
                </w:p>
              </w:tc>
              <w:tc>
                <w:tcPr>
                  <w:tcW w:w="1530" w:type="pct"/>
                  <w:vAlign w:val="center"/>
                </w:tcPr>
                <w:p w14:paraId="5E6E6546">
                  <w:pPr>
                    <w:pStyle w:val="5"/>
                    <w:bidi w:val="0"/>
                    <w:rPr>
                      <w:rFonts w:hint="eastAsia"/>
                      <w:lang w:val="en-US" w:eastAsia="zh-CN"/>
                    </w:rPr>
                  </w:pPr>
                  <w:r>
                    <w:rPr>
                      <w:lang w:val="en-US" w:eastAsia="zh-CN"/>
                    </w:rPr>
                    <w:t>调和后剩余产品</w:t>
                  </w:r>
                  <w:r>
                    <w:rPr>
                      <w:rFonts w:hint="eastAsia"/>
                      <w:lang w:val="en-US" w:eastAsia="zh-CN"/>
                    </w:rPr>
                    <w:t>，因原料轻烃成分，产量略有波动</w:t>
                  </w:r>
                </w:p>
              </w:tc>
            </w:tr>
            <w:tr w14:paraId="07D8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25" w:type="pct"/>
                  <w:vAlign w:val="center"/>
                </w:tcPr>
                <w:p w14:paraId="4BED989E">
                  <w:pPr>
                    <w:pStyle w:val="5"/>
                    <w:bidi w:val="0"/>
                    <w:rPr>
                      <w:lang w:val="en-US" w:eastAsia="zh-CN"/>
                    </w:rPr>
                  </w:pPr>
                  <w:r>
                    <w:rPr>
                      <w:lang w:val="en-US" w:eastAsia="zh-CN"/>
                    </w:rPr>
                    <w:t>3</w:t>
                  </w:r>
                </w:p>
              </w:tc>
              <w:tc>
                <w:tcPr>
                  <w:tcW w:w="1014" w:type="pct"/>
                  <w:vAlign w:val="center"/>
                </w:tcPr>
                <w:p w14:paraId="488FD094">
                  <w:pPr>
                    <w:pStyle w:val="5"/>
                    <w:bidi w:val="0"/>
                    <w:rPr>
                      <w:lang w:val="en-US" w:eastAsia="zh-CN"/>
                    </w:rPr>
                  </w:pPr>
                  <w:r>
                    <w:rPr>
                      <w:lang w:val="en-US" w:eastAsia="zh-CN"/>
                    </w:rPr>
                    <w:t>92#汽油</w:t>
                  </w:r>
                </w:p>
              </w:tc>
              <w:tc>
                <w:tcPr>
                  <w:tcW w:w="992" w:type="pct"/>
                  <w:vAlign w:val="center"/>
                </w:tcPr>
                <w:p w14:paraId="30D287CD">
                  <w:pPr>
                    <w:pStyle w:val="5"/>
                    <w:bidi w:val="0"/>
                    <w:rPr>
                      <w:lang w:val="en-US" w:eastAsia="zh-CN"/>
                    </w:rPr>
                  </w:pPr>
                  <w:r>
                    <w:rPr>
                      <w:lang w:val="en-US" w:eastAsia="zh-CN"/>
                    </w:rPr>
                    <w:t>约8.5</w:t>
                  </w:r>
                </w:p>
              </w:tc>
              <w:tc>
                <w:tcPr>
                  <w:tcW w:w="837" w:type="pct"/>
                  <w:vAlign w:val="center"/>
                </w:tcPr>
                <w:p w14:paraId="443329FB">
                  <w:pPr>
                    <w:pStyle w:val="5"/>
                    <w:bidi w:val="0"/>
                    <w:rPr>
                      <w:lang w:val="en-US" w:eastAsia="zh-CN"/>
                    </w:rPr>
                  </w:pPr>
                  <w:r>
                    <w:rPr>
                      <w:lang w:val="en-US" w:eastAsia="zh-CN"/>
                    </w:rPr>
                    <w:t>甲B类</w:t>
                  </w:r>
                </w:p>
              </w:tc>
              <w:tc>
                <w:tcPr>
                  <w:tcW w:w="1530" w:type="pct"/>
                  <w:vMerge w:val="restart"/>
                  <w:vAlign w:val="center"/>
                </w:tcPr>
                <w:p w14:paraId="5AE0BCDC">
                  <w:pPr>
                    <w:pStyle w:val="5"/>
                    <w:bidi w:val="0"/>
                    <w:rPr>
                      <w:lang w:val="en-US" w:eastAsia="zh-CN"/>
                    </w:rPr>
                  </w:pPr>
                  <w:r>
                    <w:rPr>
                      <w:lang w:val="en-US" w:eastAsia="zh-CN"/>
                    </w:rPr>
                    <w:t>根据情况可调整不同汽油产量</w:t>
                  </w:r>
                </w:p>
              </w:tc>
            </w:tr>
            <w:tr w14:paraId="08BB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25" w:type="pct"/>
                  <w:vAlign w:val="center"/>
                </w:tcPr>
                <w:p w14:paraId="193BCBBF">
                  <w:pPr>
                    <w:pStyle w:val="5"/>
                    <w:bidi w:val="0"/>
                    <w:rPr>
                      <w:lang w:val="en-US" w:eastAsia="zh-CN"/>
                    </w:rPr>
                  </w:pPr>
                  <w:r>
                    <w:rPr>
                      <w:lang w:val="en-US" w:eastAsia="zh-CN"/>
                    </w:rPr>
                    <w:t>4</w:t>
                  </w:r>
                </w:p>
              </w:tc>
              <w:tc>
                <w:tcPr>
                  <w:tcW w:w="1014" w:type="pct"/>
                  <w:vAlign w:val="center"/>
                </w:tcPr>
                <w:p w14:paraId="454B76D1">
                  <w:pPr>
                    <w:pStyle w:val="5"/>
                    <w:bidi w:val="0"/>
                    <w:rPr>
                      <w:lang w:val="en-US" w:eastAsia="zh-CN"/>
                    </w:rPr>
                  </w:pPr>
                  <w:r>
                    <w:rPr>
                      <w:lang w:val="en-US" w:eastAsia="zh-CN"/>
                    </w:rPr>
                    <w:t>95#汽油</w:t>
                  </w:r>
                </w:p>
              </w:tc>
              <w:tc>
                <w:tcPr>
                  <w:tcW w:w="992" w:type="pct"/>
                  <w:vAlign w:val="center"/>
                </w:tcPr>
                <w:p w14:paraId="2BDD7C8B">
                  <w:pPr>
                    <w:pStyle w:val="5"/>
                    <w:bidi w:val="0"/>
                    <w:rPr>
                      <w:lang w:val="en-US" w:eastAsia="zh-CN"/>
                    </w:rPr>
                  </w:pPr>
                  <w:r>
                    <w:rPr>
                      <w:lang w:val="en-US" w:eastAsia="zh-CN"/>
                    </w:rPr>
                    <w:t>约8.5</w:t>
                  </w:r>
                </w:p>
              </w:tc>
              <w:tc>
                <w:tcPr>
                  <w:tcW w:w="837" w:type="pct"/>
                  <w:vAlign w:val="center"/>
                </w:tcPr>
                <w:p w14:paraId="150BF066">
                  <w:pPr>
                    <w:pStyle w:val="5"/>
                    <w:bidi w:val="0"/>
                    <w:rPr>
                      <w:lang w:val="en-US" w:eastAsia="zh-CN"/>
                    </w:rPr>
                  </w:pPr>
                  <w:r>
                    <w:rPr>
                      <w:lang w:val="en-US" w:eastAsia="zh-CN"/>
                    </w:rPr>
                    <w:t>甲B类</w:t>
                  </w:r>
                </w:p>
              </w:tc>
              <w:tc>
                <w:tcPr>
                  <w:tcW w:w="1530" w:type="pct"/>
                  <w:vMerge w:val="continue"/>
                  <w:vAlign w:val="center"/>
                </w:tcPr>
                <w:p w14:paraId="2126CD67">
                  <w:pPr>
                    <w:pStyle w:val="5"/>
                    <w:bidi w:val="0"/>
                    <w:rPr>
                      <w:lang w:val="en-US" w:eastAsia="zh-CN"/>
                    </w:rPr>
                  </w:pPr>
                </w:p>
              </w:tc>
            </w:tr>
            <w:tr w14:paraId="3A6C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25" w:type="pct"/>
                  <w:vAlign w:val="center"/>
                </w:tcPr>
                <w:p w14:paraId="5E4F77D4">
                  <w:pPr>
                    <w:pStyle w:val="5"/>
                    <w:bidi w:val="0"/>
                    <w:rPr>
                      <w:lang w:val="en-US" w:eastAsia="zh-CN"/>
                    </w:rPr>
                  </w:pPr>
                  <w:r>
                    <w:rPr>
                      <w:lang w:val="en-US" w:eastAsia="zh-CN"/>
                    </w:rPr>
                    <w:t>5</w:t>
                  </w:r>
                </w:p>
              </w:tc>
              <w:tc>
                <w:tcPr>
                  <w:tcW w:w="1014" w:type="pct"/>
                  <w:shd w:val="clear" w:color="auto" w:fill="auto"/>
                  <w:vAlign w:val="center"/>
                </w:tcPr>
                <w:p w14:paraId="19A9CDB3">
                  <w:pPr>
                    <w:pStyle w:val="5"/>
                    <w:bidi w:val="0"/>
                    <w:rPr>
                      <w:lang w:val="en-US" w:eastAsia="en-US"/>
                    </w:rPr>
                  </w:pPr>
                  <w:r>
                    <w:rPr>
                      <w:lang w:val="en-US" w:eastAsia="en-US"/>
                    </w:rPr>
                    <w:t>液化石油气</w:t>
                  </w:r>
                </w:p>
              </w:tc>
              <w:tc>
                <w:tcPr>
                  <w:tcW w:w="992" w:type="pct"/>
                  <w:shd w:val="clear" w:color="auto" w:fill="auto"/>
                  <w:vAlign w:val="center"/>
                </w:tcPr>
                <w:p w14:paraId="18E44627">
                  <w:pPr>
                    <w:pStyle w:val="5"/>
                    <w:bidi w:val="0"/>
                    <w:rPr>
                      <w:lang w:val="en-US" w:eastAsia="zh-CN"/>
                    </w:rPr>
                  </w:pPr>
                  <w:r>
                    <w:rPr>
                      <w:lang w:val="en-US" w:eastAsia="zh-CN"/>
                    </w:rPr>
                    <w:t>0.09</w:t>
                  </w:r>
                </w:p>
              </w:tc>
              <w:tc>
                <w:tcPr>
                  <w:tcW w:w="837" w:type="pct"/>
                  <w:shd w:val="clear" w:color="auto" w:fill="auto"/>
                  <w:vAlign w:val="center"/>
                </w:tcPr>
                <w:p w14:paraId="68D6E6F0">
                  <w:pPr>
                    <w:pStyle w:val="5"/>
                    <w:bidi w:val="0"/>
                    <w:rPr>
                      <w:lang w:val="en-US" w:eastAsia="en-US"/>
                    </w:rPr>
                  </w:pPr>
                  <w:r>
                    <w:rPr>
                      <w:lang w:val="en-US" w:eastAsia="en-US"/>
                    </w:rPr>
                    <w:t>甲</w:t>
                  </w:r>
                  <w:r>
                    <w:rPr>
                      <w:rFonts w:hint="eastAsia"/>
                      <w:lang w:val="en-US" w:eastAsia="zh-CN"/>
                    </w:rPr>
                    <w:t>A</w:t>
                  </w:r>
                  <w:r>
                    <w:rPr>
                      <w:lang w:val="en-US" w:eastAsia="en-US"/>
                    </w:rPr>
                    <w:t>类</w:t>
                  </w:r>
                </w:p>
              </w:tc>
              <w:tc>
                <w:tcPr>
                  <w:tcW w:w="1530" w:type="pct"/>
                  <w:vAlign w:val="center"/>
                </w:tcPr>
                <w:p w14:paraId="36456904">
                  <w:pPr>
                    <w:pStyle w:val="5"/>
                    <w:bidi w:val="0"/>
                    <w:rPr>
                      <w:rFonts w:hint="default"/>
                      <w:lang w:val="en-US" w:eastAsia="zh-CN"/>
                    </w:rPr>
                  </w:pPr>
                  <w:r>
                    <w:rPr>
                      <w:rFonts w:hint="eastAsia"/>
                      <w:lang w:val="en-US" w:eastAsia="zh-CN"/>
                    </w:rPr>
                    <w:t>/</w:t>
                  </w:r>
                </w:p>
              </w:tc>
            </w:tr>
            <w:tr w14:paraId="6D2A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25" w:type="pct"/>
                  <w:vAlign w:val="center"/>
                </w:tcPr>
                <w:p w14:paraId="6B40D9BE">
                  <w:pPr>
                    <w:pStyle w:val="5"/>
                    <w:bidi w:val="0"/>
                    <w:rPr>
                      <w:lang w:val="en-US" w:eastAsia="zh-CN"/>
                    </w:rPr>
                  </w:pPr>
                  <w:r>
                    <w:rPr>
                      <w:lang w:val="en-US" w:eastAsia="zh-CN"/>
                    </w:rPr>
                    <w:t>6</w:t>
                  </w:r>
                </w:p>
              </w:tc>
              <w:tc>
                <w:tcPr>
                  <w:tcW w:w="1014" w:type="pct"/>
                  <w:shd w:val="clear" w:color="auto" w:fill="auto"/>
                  <w:vAlign w:val="center"/>
                </w:tcPr>
                <w:p w14:paraId="44677EA4">
                  <w:pPr>
                    <w:pStyle w:val="5"/>
                    <w:bidi w:val="0"/>
                    <w:rPr>
                      <w:lang w:val="en-US" w:eastAsia="en-US"/>
                    </w:rPr>
                  </w:pPr>
                  <w:r>
                    <w:rPr>
                      <w:lang w:val="en-US" w:eastAsia="en-US"/>
                    </w:rPr>
                    <w:t>工业碳六</w:t>
                  </w:r>
                </w:p>
              </w:tc>
              <w:tc>
                <w:tcPr>
                  <w:tcW w:w="992" w:type="pct"/>
                  <w:shd w:val="clear" w:color="auto" w:fill="auto"/>
                  <w:vAlign w:val="center"/>
                </w:tcPr>
                <w:p w14:paraId="3D04217E">
                  <w:pPr>
                    <w:pStyle w:val="5"/>
                    <w:bidi w:val="0"/>
                    <w:rPr>
                      <w:lang w:val="en-US" w:eastAsia="zh-CN"/>
                    </w:rPr>
                  </w:pPr>
                  <w:r>
                    <w:rPr>
                      <w:lang w:val="en-US" w:eastAsia="zh-CN"/>
                    </w:rPr>
                    <w:t>3.14</w:t>
                  </w:r>
                </w:p>
              </w:tc>
              <w:tc>
                <w:tcPr>
                  <w:tcW w:w="837" w:type="pct"/>
                  <w:shd w:val="clear" w:color="auto" w:fill="auto"/>
                  <w:vAlign w:val="center"/>
                </w:tcPr>
                <w:p w14:paraId="5A558CDE">
                  <w:pPr>
                    <w:pStyle w:val="5"/>
                    <w:bidi w:val="0"/>
                    <w:rPr>
                      <w:lang w:val="en-US" w:eastAsia="en-US"/>
                    </w:rPr>
                  </w:pPr>
                  <w:r>
                    <w:rPr>
                      <w:lang w:val="en-US" w:eastAsia="en-US"/>
                    </w:rPr>
                    <w:t>甲B类</w:t>
                  </w:r>
                </w:p>
              </w:tc>
              <w:tc>
                <w:tcPr>
                  <w:tcW w:w="1530" w:type="pct"/>
                  <w:vAlign w:val="center"/>
                </w:tcPr>
                <w:p w14:paraId="2C555A61">
                  <w:pPr>
                    <w:pStyle w:val="5"/>
                    <w:bidi w:val="0"/>
                    <w:rPr>
                      <w:rFonts w:hint="default"/>
                      <w:lang w:val="en-US" w:eastAsia="zh-CN"/>
                    </w:rPr>
                  </w:pPr>
                  <w:r>
                    <w:rPr>
                      <w:rFonts w:hint="eastAsia"/>
                      <w:lang w:val="en-US" w:eastAsia="zh-CN"/>
                    </w:rPr>
                    <w:t>/</w:t>
                  </w:r>
                </w:p>
              </w:tc>
            </w:tr>
            <w:tr w14:paraId="3D949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25" w:type="pct"/>
                  <w:shd w:val="clear" w:color="auto" w:fill="auto"/>
                  <w:vAlign w:val="center"/>
                </w:tcPr>
                <w:p w14:paraId="5388D76E">
                  <w:pPr>
                    <w:pStyle w:val="5"/>
                    <w:bidi w:val="0"/>
                    <w:rPr>
                      <w:lang w:val="en-US" w:eastAsia="zh-CN"/>
                    </w:rPr>
                  </w:pPr>
                  <w:r>
                    <w:rPr>
                      <w:lang w:val="en-US" w:eastAsia="zh-CN"/>
                    </w:rPr>
                    <w:t>7</w:t>
                  </w:r>
                </w:p>
              </w:tc>
              <w:tc>
                <w:tcPr>
                  <w:tcW w:w="1014" w:type="pct"/>
                  <w:shd w:val="clear" w:color="auto" w:fill="auto"/>
                  <w:vAlign w:val="center"/>
                </w:tcPr>
                <w:p w14:paraId="1B7EEE87">
                  <w:pPr>
                    <w:pStyle w:val="5"/>
                    <w:bidi w:val="0"/>
                    <w:rPr>
                      <w:lang w:val="en-US" w:eastAsia="zh-CN"/>
                    </w:rPr>
                  </w:pPr>
                  <w:r>
                    <w:rPr>
                      <w:lang w:val="en-US" w:eastAsia="zh-CN"/>
                    </w:rPr>
                    <w:t>混烃碳八</w:t>
                  </w:r>
                </w:p>
              </w:tc>
              <w:tc>
                <w:tcPr>
                  <w:tcW w:w="992" w:type="pct"/>
                  <w:shd w:val="clear" w:color="auto" w:fill="auto"/>
                  <w:vAlign w:val="center"/>
                </w:tcPr>
                <w:p w14:paraId="6FF1B4DE">
                  <w:pPr>
                    <w:pStyle w:val="5"/>
                    <w:bidi w:val="0"/>
                    <w:rPr>
                      <w:lang w:val="en-US" w:eastAsia="zh-CN"/>
                    </w:rPr>
                  </w:pPr>
                  <w:r>
                    <w:rPr>
                      <w:lang w:val="en-US" w:eastAsia="zh-CN"/>
                    </w:rPr>
                    <w:t>0.32</w:t>
                  </w:r>
                </w:p>
              </w:tc>
              <w:tc>
                <w:tcPr>
                  <w:tcW w:w="837" w:type="pct"/>
                  <w:shd w:val="clear" w:color="auto" w:fill="auto"/>
                  <w:vAlign w:val="center"/>
                </w:tcPr>
                <w:p w14:paraId="629B4879">
                  <w:pPr>
                    <w:pStyle w:val="5"/>
                    <w:bidi w:val="0"/>
                    <w:rPr>
                      <w:lang w:val="en-US" w:eastAsia="zh-CN"/>
                    </w:rPr>
                  </w:pPr>
                  <w:r>
                    <w:rPr>
                      <w:lang w:val="en-US" w:eastAsia="zh-CN"/>
                    </w:rPr>
                    <w:t>甲B类</w:t>
                  </w:r>
                </w:p>
              </w:tc>
              <w:tc>
                <w:tcPr>
                  <w:tcW w:w="1530" w:type="pct"/>
                  <w:shd w:val="clear" w:color="auto" w:fill="auto"/>
                  <w:vAlign w:val="center"/>
                </w:tcPr>
                <w:p w14:paraId="059CB3BB">
                  <w:pPr>
                    <w:pStyle w:val="5"/>
                    <w:bidi w:val="0"/>
                    <w:rPr>
                      <w:lang w:val="en-US" w:eastAsia="zh-CN"/>
                    </w:rPr>
                  </w:pPr>
                  <w:r>
                    <w:rPr>
                      <w:lang w:val="en-US" w:eastAsia="zh-CN"/>
                    </w:rPr>
                    <w:t>混烃单元副产</w:t>
                  </w:r>
                  <w:r>
                    <w:rPr>
                      <w:rFonts w:hint="eastAsia"/>
                      <w:lang w:val="en-US" w:eastAsia="zh-CN"/>
                    </w:rPr>
                    <w:t>，因原料轻烃成分，产量略有波动</w:t>
                  </w:r>
                </w:p>
              </w:tc>
            </w:tr>
            <w:bookmarkEnd w:id="6"/>
          </w:tbl>
          <w:p w14:paraId="71925384">
            <w:pPr>
              <w:pStyle w:val="2"/>
              <w:bidi w:val="0"/>
              <w:rPr>
                <w:lang w:val="en-US" w:eastAsia="zh-CN"/>
              </w:rPr>
            </w:pPr>
            <w:r>
              <w:rPr>
                <w:rFonts w:hint="eastAsia"/>
                <w:lang w:val="en-US" w:eastAsia="zh-CN"/>
              </w:rPr>
              <w:t xml:space="preserve">5 </w:t>
            </w:r>
            <w:r>
              <w:rPr>
                <w:lang w:val="en-US" w:eastAsia="zh-CN"/>
              </w:rPr>
              <w:t>主要生产设备</w:t>
            </w:r>
          </w:p>
          <w:p w14:paraId="0668C85A">
            <w:pPr>
              <w:bidi w:val="0"/>
              <w:rPr>
                <w:lang w:val="en-US" w:eastAsia="zh-CN"/>
              </w:rPr>
            </w:pPr>
            <w:r>
              <w:rPr>
                <w:lang w:val="en-US" w:eastAsia="zh-CN"/>
              </w:rPr>
              <w:t>本项目主要设备见下表。</w:t>
            </w:r>
          </w:p>
          <w:p w14:paraId="6787CCEE">
            <w:pPr>
              <w:pStyle w:val="4"/>
              <w:bidi w:val="0"/>
              <w:rPr>
                <w:lang w:val="en-US" w:eastAsia="zh-CN"/>
              </w:rPr>
            </w:pPr>
            <w:r>
              <w:rPr>
                <w:lang w:val="en-US" w:eastAsia="zh-CN"/>
              </w:rPr>
              <w:t>表2-</w:t>
            </w:r>
            <w:r>
              <w:rPr>
                <w:rFonts w:hint="eastAsia"/>
                <w:lang w:val="en-US" w:eastAsia="zh-CN"/>
              </w:rPr>
              <w:t>3</w:t>
            </w:r>
            <w:r>
              <w:rPr>
                <w:lang w:val="en-US" w:eastAsia="zh-CN"/>
              </w:rPr>
              <w:t xml:space="preserve">  生产设备一览表</w:t>
            </w:r>
          </w:p>
          <w:tbl>
            <w:tblPr>
              <w:tblStyle w:val="29"/>
              <w:tblW w:w="4998"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2"/>
              <w:gridCol w:w="2852"/>
              <w:gridCol w:w="1341"/>
              <w:gridCol w:w="1640"/>
              <w:gridCol w:w="1094"/>
              <w:gridCol w:w="948"/>
            </w:tblGrid>
            <w:tr w14:paraId="32B0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11" w:type="pct"/>
                  <w:vAlign w:val="center"/>
                </w:tcPr>
                <w:p w14:paraId="5AA207DF">
                  <w:pPr>
                    <w:pStyle w:val="5"/>
                    <w:bidi w:val="0"/>
                    <w:rPr>
                      <w:lang w:val="en-US" w:eastAsia="zh-CN"/>
                    </w:rPr>
                  </w:pPr>
                  <w:r>
                    <w:rPr>
                      <w:lang w:val="en-US" w:eastAsia="zh-CN"/>
                    </w:rPr>
                    <w:t>序号</w:t>
                  </w:r>
                </w:p>
              </w:tc>
              <w:tc>
                <w:tcPr>
                  <w:tcW w:w="1697" w:type="pct"/>
                  <w:vAlign w:val="center"/>
                </w:tcPr>
                <w:p w14:paraId="2B3E6EAF">
                  <w:pPr>
                    <w:pStyle w:val="5"/>
                    <w:bidi w:val="0"/>
                    <w:rPr>
                      <w:lang w:val="en-US" w:eastAsia="zh-CN"/>
                    </w:rPr>
                  </w:pPr>
                  <w:r>
                    <w:rPr>
                      <w:lang w:val="en-US" w:eastAsia="zh-CN"/>
                    </w:rPr>
                    <w:t>设备名称</w:t>
                  </w:r>
                </w:p>
              </w:tc>
              <w:tc>
                <w:tcPr>
                  <w:tcW w:w="798" w:type="pct"/>
                  <w:vAlign w:val="center"/>
                </w:tcPr>
                <w:p w14:paraId="3C672CA9">
                  <w:pPr>
                    <w:pStyle w:val="5"/>
                    <w:bidi w:val="0"/>
                    <w:rPr>
                      <w:lang w:val="en-US" w:eastAsia="zh-CN"/>
                    </w:rPr>
                  </w:pPr>
                  <w:r>
                    <w:rPr>
                      <w:lang w:val="en-US" w:eastAsia="zh-CN"/>
                    </w:rPr>
                    <w:t>设备位号</w:t>
                  </w:r>
                </w:p>
              </w:tc>
              <w:tc>
                <w:tcPr>
                  <w:tcW w:w="976" w:type="pct"/>
                  <w:vAlign w:val="center"/>
                </w:tcPr>
                <w:p w14:paraId="38D2F7B6">
                  <w:pPr>
                    <w:pStyle w:val="5"/>
                    <w:bidi w:val="0"/>
                    <w:rPr>
                      <w:lang w:val="en-US" w:eastAsia="zh-CN"/>
                    </w:rPr>
                  </w:pPr>
                  <w:r>
                    <w:rPr>
                      <w:lang w:val="en-US" w:eastAsia="zh-CN"/>
                    </w:rPr>
                    <w:t>规格参数</w:t>
                  </w:r>
                </w:p>
              </w:tc>
              <w:tc>
                <w:tcPr>
                  <w:tcW w:w="651" w:type="pct"/>
                  <w:vAlign w:val="center"/>
                </w:tcPr>
                <w:p w14:paraId="74CDC768">
                  <w:pPr>
                    <w:pStyle w:val="5"/>
                    <w:bidi w:val="0"/>
                    <w:rPr>
                      <w:lang w:val="en-US" w:eastAsia="zh-CN"/>
                    </w:rPr>
                  </w:pPr>
                  <w:r>
                    <w:rPr>
                      <w:lang w:val="en-US" w:eastAsia="zh-CN"/>
                    </w:rPr>
                    <w:t>材质</w:t>
                  </w:r>
                </w:p>
              </w:tc>
              <w:tc>
                <w:tcPr>
                  <w:tcW w:w="564" w:type="pct"/>
                  <w:vAlign w:val="center"/>
                </w:tcPr>
                <w:p w14:paraId="5E241C6E">
                  <w:pPr>
                    <w:pStyle w:val="5"/>
                    <w:bidi w:val="0"/>
                    <w:rPr>
                      <w:lang w:val="en-US" w:eastAsia="zh-CN"/>
                    </w:rPr>
                  </w:pPr>
                  <w:r>
                    <w:rPr>
                      <w:lang w:val="en-US" w:eastAsia="zh-CN"/>
                    </w:rPr>
                    <w:t>数量台/套</w:t>
                  </w:r>
                </w:p>
              </w:tc>
            </w:tr>
            <w:tr w14:paraId="192E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11" w:type="pct"/>
                  <w:vAlign w:val="center"/>
                </w:tcPr>
                <w:p w14:paraId="567F121B">
                  <w:pPr>
                    <w:pStyle w:val="5"/>
                    <w:bidi w:val="0"/>
                    <w:rPr>
                      <w:lang w:val="en-US" w:eastAsia="zh-CN"/>
                    </w:rPr>
                  </w:pPr>
                  <w:r>
                    <w:rPr>
                      <w:lang w:val="en-US" w:eastAsia="zh-CN"/>
                    </w:rPr>
                    <w:t>1</w:t>
                  </w:r>
                </w:p>
              </w:tc>
              <w:tc>
                <w:tcPr>
                  <w:tcW w:w="1697" w:type="pct"/>
                  <w:vAlign w:val="center"/>
                </w:tcPr>
                <w:p w14:paraId="62B56677">
                  <w:pPr>
                    <w:pStyle w:val="5"/>
                    <w:bidi w:val="0"/>
                    <w:rPr>
                      <w:rFonts w:hint="default"/>
                      <w:lang w:val="en-US" w:eastAsia="zh-CN"/>
                    </w:rPr>
                  </w:pPr>
                  <w:r>
                    <w:rPr>
                      <w:lang w:val="en-US" w:eastAsia="zh-CN"/>
                    </w:rPr>
                    <w:t>1#轻烃原料</w:t>
                  </w:r>
                  <w:r>
                    <w:rPr>
                      <w:rFonts w:hint="eastAsia"/>
                      <w:lang w:val="en-US" w:eastAsia="zh-CN"/>
                    </w:rPr>
                    <w:t>/</w:t>
                  </w:r>
                  <w:r>
                    <w:rPr>
                      <w:lang w:val="en-US" w:eastAsia="zh-CN"/>
                    </w:rPr>
                    <w:t>碳五烷烃</w:t>
                  </w:r>
                  <w:r>
                    <w:rPr>
                      <w:rFonts w:hint="eastAsia"/>
                      <w:lang w:val="en-US" w:eastAsia="zh-CN"/>
                    </w:rPr>
                    <w:t>球罐</w:t>
                  </w:r>
                </w:p>
              </w:tc>
              <w:tc>
                <w:tcPr>
                  <w:tcW w:w="798" w:type="pct"/>
                  <w:vAlign w:val="center"/>
                </w:tcPr>
                <w:p w14:paraId="397DA5D4">
                  <w:pPr>
                    <w:pStyle w:val="5"/>
                    <w:bidi w:val="0"/>
                    <w:rPr>
                      <w:lang w:val="en-US" w:eastAsia="zh-CN"/>
                    </w:rPr>
                  </w:pPr>
                  <w:r>
                    <w:rPr>
                      <w:lang w:val="en-US" w:eastAsia="zh-CN"/>
                    </w:rPr>
                    <w:t>∅1</w:t>
                  </w:r>
                  <w:r>
                    <w:rPr>
                      <w:rFonts w:hint="eastAsia"/>
                      <w:lang w:val="en-US" w:eastAsia="zh-CN"/>
                    </w:rPr>
                    <w:t>2300</w:t>
                  </w:r>
                </w:p>
              </w:tc>
              <w:tc>
                <w:tcPr>
                  <w:tcW w:w="976" w:type="pct"/>
                  <w:vAlign w:val="center"/>
                </w:tcPr>
                <w:p w14:paraId="5392CCBC">
                  <w:pPr>
                    <w:pStyle w:val="5"/>
                    <w:bidi w:val="0"/>
                    <w:rPr>
                      <w:rFonts w:hint="default"/>
                      <w:lang w:val="en-US" w:eastAsia="zh-CN"/>
                    </w:rPr>
                  </w:pPr>
                  <w:r>
                    <w:rPr>
                      <w:lang w:val="en-US" w:eastAsia="zh-CN"/>
                    </w:rPr>
                    <w:t>∅1</w:t>
                  </w:r>
                  <w:r>
                    <w:rPr>
                      <w:rFonts w:hint="eastAsia"/>
                      <w:lang w:val="en-US" w:eastAsia="zh-CN"/>
                    </w:rPr>
                    <w:t>2.3m</w:t>
                  </w:r>
                </w:p>
              </w:tc>
              <w:tc>
                <w:tcPr>
                  <w:tcW w:w="651" w:type="pct"/>
                  <w:vAlign w:val="center"/>
                </w:tcPr>
                <w:p w14:paraId="6CFE77EA">
                  <w:pPr>
                    <w:pStyle w:val="5"/>
                    <w:bidi w:val="0"/>
                    <w:rPr>
                      <w:rFonts w:hint="default"/>
                      <w:lang w:val="en-US" w:eastAsia="zh-CN"/>
                    </w:rPr>
                  </w:pPr>
                  <w:r>
                    <w:rPr>
                      <w:lang w:val="en-US" w:eastAsia="zh-CN"/>
                    </w:rPr>
                    <w:t>Q</w:t>
                  </w:r>
                  <w:r>
                    <w:rPr>
                      <w:rFonts w:hint="eastAsia"/>
                      <w:lang w:val="en-US" w:eastAsia="zh-CN"/>
                    </w:rPr>
                    <w:t>345R</w:t>
                  </w:r>
                </w:p>
              </w:tc>
              <w:tc>
                <w:tcPr>
                  <w:tcW w:w="564" w:type="pct"/>
                  <w:vAlign w:val="center"/>
                </w:tcPr>
                <w:p w14:paraId="39A0BE84">
                  <w:pPr>
                    <w:pStyle w:val="5"/>
                    <w:bidi w:val="0"/>
                    <w:rPr>
                      <w:lang w:val="en-US" w:eastAsia="zh-CN"/>
                    </w:rPr>
                  </w:pPr>
                  <w:r>
                    <w:rPr>
                      <w:lang w:val="en-US" w:eastAsia="zh-CN"/>
                    </w:rPr>
                    <w:t>2</w:t>
                  </w:r>
                </w:p>
              </w:tc>
            </w:tr>
            <w:tr w14:paraId="38E4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11" w:type="pct"/>
                  <w:vAlign w:val="center"/>
                </w:tcPr>
                <w:p w14:paraId="3B6EA61E">
                  <w:pPr>
                    <w:pStyle w:val="5"/>
                    <w:bidi w:val="0"/>
                    <w:rPr>
                      <w:lang w:val="en-US" w:eastAsia="zh-CN"/>
                    </w:rPr>
                  </w:pPr>
                  <w:r>
                    <w:rPr>
                      <w:lang w:val="en-US" w:eastAsia="zh-CN"/>
                    </w:rPr>
                    <w:t>2</w:t>
                  </w:r>
                </w:p>
              </w:tc>
              <w:tc>
                <w:tcPr>
                  <w:tcW w:w="1697" w:type="pct"/>
                  <w:vAlign w:val="center"/>
                </w:tcPr>
                <w:p w14:paraId="122FD3D4">
                  <w:pPr>
                    <w:pStyle w:val="5"/>
                    <w:bidi w:val="0"/>
                    <w:rPr>
                      <w:lang w:val="en-US" w:eastAsia="zh-CN"/>
                    </w:rPr>
                  </w:pPr>
                  <w:r>
                    <w:rPr>
                      <w:lang w:val="en-US" w:eastAsia="zh-CN"/>
                    </w:rPr>
                    <w:t>1#轻烃原料卸车泵</w:t>
                  </w:r>
                </w:p>
              </w:tc>
              <w:tc>
                <w:tcPr>
                  <w:tcW w:w="798" w:type="pct"/>
                  <w:vAlign w:val="center"/>
                </w:tcPr>
                <w:p w14:paraId="3C44F73C">
                  <w:pPr>
                    <w:pStyle w:val="5"/>
                    <w:bidi w:val="0"/>
                    <w:rPr>
                      <w:lang w:val="en-US" w:eastAsia="zh-CN"/>
                    </w:rPr>
                  </w:pPr>
                  <w:r>
                    <w:rPr>
                      <w:lang w:val="en-US" w:eastAsia="zh-CN"/>
                    </w:rPr>
                    <w:t>P-4403</w:t>
                  </w:r>
                </w:p>
              </w:tc>
              <w:tc>
                <w:tcPr>
                  <w:tcW w:w="976" w:type="pct"/>
                  <w:vAlign w:val="center"/>
                </w:tcPr>
                <w:p w14:paraId="4557117C">
                  <w:pPr>
                    <w:pStyle w:val="5"/>
                    <w:bidi w:val="0"/>
                    <w:rPr>
                      <w:lang w:val="en-US" w:eastAsia="zh-CN"/>
                    </w:rPr>
                  </w:pPr>
                  <w:r>
                    <w:rPr>
                      <w:lang w:val="en-US" w:eastAsia="zh-CN"/>
                    </w:rPr>
                    <w:t>流量50m³/h，扬程</w:t>
                  </w:r>
                  <w:r>
                    <w:rPr>
                      <w:rFonts w:hint="default"/>
                      <w:lang w:val="en-US" w:eastAsia="zh-CN"/>
                    </w:rPr>
                    <w:t>70米，11KW</w:t>
                  </w:r>
                </w:p>
              </w:tc>
              <w:tc>
                <w:tcPr>
                  <w:tcW w:w="651" w:type="pct"/>
                  <w:vAlign w:val="center"/>
                </w:tcPr>
                <w:p w14:paraId="2118DFC0">
                  <w:pPr>
                    <w:pStyle w:val="5"/>
                    <w:bidi w:val="0"/>
                    <w:rPr>
                      <w:rFonts w:hint="default"/>
                      <w:lang w:val="en-US" w:eastAsia="zh-CN"/>
                    </w:rPr>
                  </w:pPr>
                  <w:r>
                    <w:rPr>
                      <w:rFonts w:hint="eastAsia"/>
                      <w:lang w:val="en-US" w:eastAsia="zh-CN"/>
                    </w:rPr>
                    <w:t>304</w:t>
                  </w:r>
                </w:p>
              </w:tc>
              <w:tc>
                <w:tcPr>
                  <w:tcW w:w="564" w:type="pct"/>
                  <w:vAlign w:val="center"/>
                </w:tcPr>
                <w:p w14:paraId="7D8385D0">
                  <w:pPr>
                    <w:pStyle w:val="5"/>
                    <w:bidi w:val="0"/>
                    <w:rPr>
                      <w:lang w:val="en-US" w:eastAsia="zh-CN"/>
                    </w:rPr>
                  </w:pPr>
                  <w:r>
                    <w:rPr>
                      <w:rFonts w:hint="eastAsia"/>
                      <w:lang w:val="en-US" w:eastAsia="zh-CN"/>
                    </w:rPr>
                    <w:t>1</w:t>
                  </w:r>
                </w:p>
              </w:tc>
            </w:tr>
            <w:tr w14:paraId="1442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11" w:type="pct"/>
                  <w:vAlign w:val="center"/>
                </w:tcPr>
                <w:p w14:paraId="0FD8A39B">
                  <w:pPr>
                    <w:pStyle w:val="5"/>
                    <w:bidi w:val="0"/>
                    <w:rPr>
                      <w:lang w:val="en-US" w:eastAsia="zh-CN"/>
                    </w:rPr>
                  </w:pPr>
                  <w:r>
                    <w:rPr>
                      <w:lang w:val="en-US" w:eastAsia="zh-CN"/>
                    </w:rPr>
                    <w:t>3</w:t>
                  </w:r>
                </w:p>
              </w:tc>
              <w:tc>
                <w:tcPr>
                  <w:tcW w:w="1697" w:type="pct"/>
                  <w:vAlign w:val="center"/>
                </w:tcPr>
                <w:p w14:paraId="79F9D417">
                  <w:pPr>
                    <w:pStyle w:val="5"/>
                    <w:bidi w:val="0"/>
                    <w:rPr>
                      <w:rFonts w:hint="default"/>
                      <w:lang w:val="en-US" w:eastAsia="zh-CN"/>
                    </w:rPr>
                  </w:pPr>
                  <w:r>
                    <w:rPr>
                      <w:lang w:val="en-US" w:eastAsia="zh-CN"/>
                    </w:rPr>
                    <w:t>1#轻烃原料/碳五</w:t>
                  </w:r>
                  <w:r>
                    <w:rPr>
                      <w:rFonts w:hint="default"/>
                      <w:lang w:val="en-US" w:eastAsia="zh-CN"/>
                    </w:rPr>
                    <w:t>烷烃输送泵</w:t>
                  </w:r>
                  <w:r>
                    <w:rPr>
                      <w:rFonts w:hint="eastAsia"/>
                      <w:lang w:val="en-US" w:eastAsia="zh-CN"/>
                    </w:rPr>
                    <w:t>A</w:t>
                  </w:r>
                </w:p>
              </w:tc>
              <w:tc>
                <w:tcPr>
                  <w:tcW w:w="798" w:type="pct"/>
                  <w:vAlign w:val="center"/>
                </w:tcPr>
                <w:p w14:paraId="5D6A7816">
                  <w:pPr>
                    <w:pStyle w:val="5"/>
                    <w:bidi w:val="0"/>
                    <w:rPr>
                      <w:lang w:val="en-US" w:eastAsia="zh-CN"/>
                    </w:rPr>
                  </w:pPr>
                  <w:r>
                    <w:rPr>
                      <w:lang w:val="en-US" w:eastAsia="zh-CN"/>
                    </w:rPr>
                    <w:t>P-4601A/B</w:t>
                  </w:r>
                </w:p>
              </w:tc>
              <w:tc>
                <w:tcPr>
                  <w:tcW w:w="976" w:type="pct"/>
                  <w:vAlign w:val="center"/>
                </w:tcPr>
                <w:p w14:paraId="1331FD67">
                  <w:pPr>
                    <w:pStyle w:val="5"/>
                    <w:bidi w:val="0"/>
                    <w:rPr>
                      <w:lang w:val="en-US" w:eastAsia="zh-CN"/>
                    </w:rPr>
                  </w:pPr>
                  <w:r>
                    <w:rPr>
                      <w:lang w:val="en-US" w:eastAsia="zh-CN"/>
                    </w:rPr>
                    <w:t>流量50m³/h，扬程</w:t>
                  </w:r>
                  <w:r>
                    <w:rPr>
                      <w:rFonts w:hint="default"/>
                      <w:lang w:val="en-US" w:eastAsia="zh-CN"/>
                    </w:rPr>
                    <w:t>70米，11KW</w:t>
                  </w:r>
                </w:p>
              </w:tc>
              <w:tc>
                <w:tcPr>
                  <w:tcW w:w="651" w:type="pct"/>
                  <w:vAlign w:val="center"/>
                </w:tcPr>
                <w:p w14:paraId="4A9A879C">
                  <w:pPr>
                    <w:pStyle w:val="5"/>
                    <w:bidi w:val="0"/>
                    <w:rPr>
                      <w:rFonts w:hint="default"/>
                      <w:lang w:val="en-US" w:eastAsia="zh-CN"/>
                    </w:rPr>
                  </w:pPr>
                  <w:r>
                    <w:rPr>
                      <w:rFonts w:hint="eastAsia"/>
                      <w:lang w:val="en-US" w:eastAsia="zh-CN"/>
                    </w:rPr>
                    <w:t>304</w:t>
                  </w:r>
                </w:p>
              </w:tc>
              <w:tc>
                <w:tcPr>
                  <w:tcW w:w="564" w:type="pct"/>
                  <w:vAlign w:val="center"/>
                </w:tcPr>
                <w:p w14:paraId="777A2B29">
                  <w:pPr>
                    <w:pStyle w:val="5"/>
                    <w:bidi w:val="0"/>
                    <w:rPr>
                      <w:lang w:val="en-US" w:eastAsia="zh-CN"/>
                    </w:rPr>
                  </w:pPr>
                  <w:r>
                    <w:rPr>
                      <w:rFonts w:hint="eastAsia"/>
                      <w:lang w:val="en-US" w:eastAsia="zh-CN"/>
                    </w:rPr>
                    <w:t>2（一用一备）</w:t>
                  </w:r>
                </w:p>
              </w:tc>
            </w:tr>
            <w:tr w14:paraId="598C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11" w:type="pct"/>
                  <w:vAlign w:val="center"/>
                </w:tcPr>
                <w:p w14:paraId="6BB0F5EA">
                  <w:pPr>
                    <w:pStyle w:val="5"/>
                    <w:bidi w:val="0"/>
                    <w:rPr>
                      <w:rFonts w:hint="default"/>
                      <w:lang w:val="en-US" w:eastAsia="zh-CN"/>
                    </w:rPr>
                  </w:pPr>
                  <w:r>
                    <w:rPr>
                      <w:rFonts w:hint="eastAsia"/>
                      <w:lang w:val="en-US" w:eastAsia="zh-CN"/>
                    </w:rPr>
                    <w:t>4</w:t>
                  </w:r>
                </w:p>
              </w:tc>
              <w:tc>
                <w:tcPr>
                  <w:tcW w:w="1697" w:type="pct"/>
                  <w:vAlign w:val="center"/>
                </w:tcPr>
                <w:p w14:paraId="2E0DCF06">
                  <w:pPr>
                    <w:pStyle w:val="5"/>
                    <w:bidi w:val="0"/>
                    <w:rPr>
                      <w:rFonts w:hint="default"/>
                      <w:lang w:val="en-US" w:eastAsia="zh-CN"/>
                    </w:rPr>
                  </w:pPr>
                  <w:r>
                    <w:rPr>
                      <w:lang w:val="en-US" w:eastAsia="zh-CN"/>
                    </w:rPr>
                    <w:t>1#轻烃原料/碳五</w:t>
                  </w:r>
                  <w:r>
                    <w:rPr>
                      <w:rFonts w:hint="default"/>
                      <w:lang w:val="en-US" w:eastAsia="zh-CN"/>
                    </w:rPr>
                    <w:t>烷烃输送泵</w:t>
                  </w:r>
                  <w:r>
                    <w:rPr>
                      <w:rFonts w:hint="eastAsia"/>
                      <w:lang w:val="en-US" w:eastAsia="zh-CN"/>
                    </w:rPr>
                    <w:t>B</w:t>
                  </w:r>
                </w:p>
              </w:tc>
              <w:tc>
                <w:tcPr>
                  <w:tcW w:w="798" w:type="pct"/>
                  <w:vAlign w:val="center"/>
                </w:tcPr>
                <w:p w14:paraId="721199FD">
                  <w:pPr>
                    <w:pStyle w:val="5"/>
                    <w:bidi w:val="0"/>
                    <w:rPr>
                      <w:lang w:val="en-US" w:eastAsia="zh-CN"/>
                    </w:rPr>
                  </w:pPr>
                  <w:r>
                    <w:rPr>
                      <w:lang w:val="en-US" w:eastAsia="zh-CN"/>
                    </w:rPr>
                    <w:t>P-460</w:t>
                  </w:r>
                  <w:r>
                    <w:rPr>
                      <w:rFonts w:hint="eastAsia"/>
                      <w:lang w:val="en-US" w:eastAsia="zh-CN"/>
                    </w:rPr>
                    <w:t>2</w:t>
                  </w:r>
                  <w:r>
                    <w:rPr>
                      <w:lang w:val="en-US" w:eastAsia="zh-CN"/>
                    </w:rPr>
                    <w:t>A/B</w:t>
                  </w:r>
                </w:p>
              </w:tc>
              <w:tc>
                <w:tcPr>
                  <w:tcW w:w="976" w:type="pct"/>
                  <w:shd w:val="clear" w:color="auto" w:fill="auto"/>
                  <w:vAlign w:val="center"/>
                </w:tcPr>
                <w:p w14:paraId="542A28C7">
                  <w:pPr>
                    <w:pStyle w:val="5"/>
                    <w:bidi w:val="0"/>
                    <w:rPr>
                      <w:lang w:val="en-US" w:eastAsia="zh-CN"/>
                    </w:rPr>
                  </w:pPr>
                  <w:r>
                    <w:rPr>
                      <w:lang w:val="en-US" w:eastAsia="zh-CN"/>
                    </w:rPr>
                    <w:t>流量50m³/h，扬程</w:t>
                  </w:r>
                  <w:r>
                    <w:rPr>
                      <w:rFonts w:hint="default"/>
                      <w:lang w:val="en-US" w:eastAsia="zh-CN"/>
                    </w:rPr>
                    <w:t>70米，11KW</w:t>
                  </w:r>
                </w:p>
              </w:tc>
              <w:tc>
                <w:tcPr>
                  <w:tcW w:w="651" w:type="pct"/>
                  <w:shd w:val="clear" w:color="auto" w:fill="auto"/>
                  <w:vAlign w:val="center"/>
                </w:tcPr>
                <w:p w14:paraId="01D2F03A">
                  <w:pPr>
                    <w:pStyle w:val="5"/>
                    <w:bidi w:val="0"/>
                    <w:rPr>
                      <w:rFonts w:hint="eastAsia"/>
                      <w:lang w:val="en-US" w:eastAsia="zh-CN"/>
                    </w:rPr>
                  </w:pPr>
                  <w:r>
                    <w:rPr>
                      <w:rFonts w:hint="eastAsia"/>
                      <w:lang w:val="en-US" w:eastAsia="zh-CN"/>
                    </w:rPr>
                    <w:t>304</w:t>
                  </w:r>
                </w:p>
              </w:tc>
              <w:tc>
                <w:tcPr>
                  <w:tcW w:w="564" w:type="pct"/>
                  <w:shd w:val="clear" w:color="auto" w:fill="auto"/>
                  <w:vAlign w:val="center"/>
                </w:tcPr>
                <w:p w14:paraId="3F196397">
                  <w:pPr>
                    <w:pStyle w:val="5"/>
                    <w:bidi w:val="0"/>
                    <w:rPr>
                      <w:rFonts w:hint="eastAsia"/>
                      <w:lang w:val="en-US" w:eastAsia="zh-CN"/>
                    </w:rPr>
                  </w:pPr>
                  <w:r>
                    <w:rPr>
                      <w:rFonts w:hint="eastAsia"/>
                      <w:lang w:val="en-US" w:eastAsia="zh-CN"/>
                    </w:rPr>
                    <w:t>2（一用一备）</w:t>
                  </w:r>
                </w:p>
              </w:tc>
            </w:tr>
          </w:tbl>
          <w:p w14:paraId="2DAD88A2">
            <w:pPr>
              <w:pStyle w:val="2"/>
              <w:bidi w:val="0"/>
              <w:rPr>
                <w:rFonts w:hint="default"/>
                <w:lang w:val="en-US" w:eastAsia="zh-CN"/>
              </w:rPr>
            </w:pPr>
            <w:r>
              <w:rPr>
                <w:rFonts w:hint="eastAsia"/>
                <w:lang w:val="en-US" w:eastAsia="zh-CN"/>
              </w:rPr>
              <w:t>6 项目年周转量</w:t>
            </w:r>
          </w:p>
          <w:p w14:paraId="0AC29B7F">
            <w:pPr>
              <w:bidi w:val="0"/>
              <w:rPr>
                <w:lang w:val="en-US" w:eastAsia="zh-CN"/>
              </w:rPr>
            </w:pPr>
            <w:r>
              <w:rPr>
                <w:lang w:val="en-US" w:eastAsia="zh-CN"/>
              </w:rPr>
              <w:t>本次新增</w:t>
            </w:r>
            <w:r>
              <w:rPr>
                <w:rFonts w:hint="eastAsia"/>
                <w:lang w:val="en-US" w:eastAsia="zh-CN"/>
              </w:rPr>
              <w:t>2个</w:t>
            </w:r>
            <w:r>
              <w:rPr>
                <w:lang w:val="en-US" w:eastAsia="zh-CN"/>
              </w:rPr>
              <w:t>球罐V-4601A/B，1#轻烃原料和碳五烷烃至球罐进出料总线管道</w:t>
            </w:r>
            <w:r>
              <w:rPr>
                <w:rFonts w:hint="default"/>
                <w:lang w:val="en-US" w:eastAsia="zh-CN"/>
              </w:rPr>
              <w:t>分别单独设置，实现新增球罐V-4601A/B既能单独储存1#轻烃原料又能单独储存碳五烷烃，具体储存</w:t>
            </w:r>
            <w:r>
              <w:rPr>
                <w:rFonts w:hint="eastAsia"/>
                <w:lang w:val="en-US" w:eastAsia="zh-CN"/>
              </w:rPr>
              <w:t>的</w:t>
            </w:r>
            <w:r>
              <w:rPr>
                <w:rFonts w:hint="default"/>
                <w:lang w:val="en-US" w:eastAsia="zh-CN"/>
              </w:rPr>
              <w:t>介质根据生产储存需求调整。</w:t>
            </w:r>
            <w:r>
              <w:rPr>
                <w:lang w:val="en-US" w:eastAsia="zh-CN"/>
              </w:rPr>
              <w:t>本项目</w:t>
            </w:r>
            <w:r>
              <w:rPr>
                <w:rFonts w:hint="eastAsia"/>
                <w:lang w:val="en-US" w:eastAsia="zh-CN"/>
              </w:rPr>
              <w:t>储罐年周转量</w:t>
            </w:r>
            <w:r>
              <w:rPr>
                <w:lang w:val="en-US" w:eastAsia="zh-CN"/>
              </w:rPr>
              <w:t>见下表。</w:t>
            </w:r>
          </w:p>
          <w:p w14:paraId="36D62613">
            <w:pPr>
              <w:pStyle w:val="4"/>
              <w:bidi w:val="0"/>
              <w:rPr>
                <w:lang w:val="en-US" w:eastAsia="zh-CN"/>
              </w:rPr>
            </w:pPr>
            <w:r>
              <w:rPr>
                <w:lang w:val="en-US" w:eastAsia="zh-CN"/>
              </w:rPr>
              <w:t>表2-</w:t>
            </w:r>
            <w:r>
              <w:rPr>
                <w:rFonts w:hint="eastAsia"/>
                <w:lang w:val="en-US" w:eastAsia="zh-CN"/>
              </w:rPr>
              <w:t>4</w:t>
            </w:r>
            <w:r>
              <w:rPr>
                <w:lang w:val="en-US" w:eastAsia="zh-CN"/>
              </w:rPr>
              <w:t xml:space="preserve">  本项目原辅材料消耗一览表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8"/>
              <w:gridCol w:w="1795"/>
              <w:gridCol w:w="840"/>
              <w:gridCol w:w="932"/>
              <w:gridCol w:w="1375"/>
              <w:gridCol w:w="2707"/>
            </w:tblGrid>
            <w:tr w14:paraId="35F12D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45" w:type="pct"/>
                  <w:noWrap w:val="0"/>
                  <w:vAlign w:val="center"/>
                </w:tcPr>
                <w:p w14:paraId="495CEFBC">
                  <w:pPr>
                    <w:pStyle w:val="5"/>
                    <w:bidi w:val="0"/>
                    <w:rPr>
                      <w:rFonts w:hint="default"/>
                      <w:lang w:eastAsia="zh-CN"/>
                    </w:rPr>
                  </w:pPr>
                  <w:r>
                    <w:rPr>
                      <w:rFonts w:hint="default"/>
                      <w:lang w:val="en-US" w:eastAsia="zh-CN"/>
                    </w:rPr>
                    <w:t>序号</w:t>
                  </w:r>
                </w:p>
              </w:tc>
              <w:tc>
                <w:tcPr>
                  <w:tcW w:w="1068" w:type="pct"/>
                  <w:noWrap w:val="0"/>
                  <w:vAlign w:val="center"/>
                </w:tcPr>
                <w:p w14:paraId="1D561570">
                  <w:pPr>
                    <w:pStyle w:val="5"/>
                    <w:bidi w:val="0"/>
                    <w:rPr>
                      <w:rFonts w:hint="default"/>
                    </w:rPr>
                  </w:pPr>
                  <w:r>
                    <w:rPr>
                      <w:rFonts w:hint="default"/>
                    </w:rPr>
                    <w:t>名称</w:t>
                  </w:r>
                </w:p>
              </w:tc>
              <w:tc>
                <w:tcPr>
                  <w:tcW w:w="500" w:type="pct"/>
                  <w:noWrap w:val="0"/>
                  <w:vAlign w:val="center"/>
                </w:tcPr>
                <w:p w14:paraId="58AF5E11">
                  <w:pPr>
                    <w:pStyle w:val="5"/>
                    <w:bidi w:val="0"/>
                    <w:rPr>
                      <w:rFonts w:hint="default"/>
                    </w:rPr>
                  </w:pPr>
                  <w:r>
                    <w:rPr>
                      <w:rFonts w:hint="default"/>
                    </w:rPr>
                    <w:t>单位</w:t>
                  </w:r>
                </w:p>
              </w:tc>
              <w:tc>
                <w:tcPr>
                  <w:tcW w:w="554" w:type="pct"/>
                  <w:tcBorders>
                    <w:right w:val="single" w:color="auto" w:sz="4" w:space="0"/>
                  </w:tcBorders>
                  <w:noWrap w:val="0"/>
                  <w:vAlign w:val="center"/>
                </w:tcPr>
                <w:p w14:paraId="0C6BEB34">
                  <w:pPr>
                    <w:pStyle w:val="5"/>
                    <w:bidi w:val="0"/>
                    <w:rPr>
                      <w:rFonts w:hint="default"/>
                    </w:rPr>
                  </w:pPr>
                  <w:r>
                    <w:rPr>
                      <w:rFonts w:hint="default"/>
                    </w:rPr>
                    <w:t>数量</w:t>
                  </w:r>
                </w:p>
              </w:tc>
              <w:tc>
                <w:tcPr>
                  <w:tcW w:w="818" w:type="pct"/>
                  <w:tcBorders>
                    <w:left w:val="single" w:color="auto" w:sz="4" w:space="0"/>
                  </w:tcBorders>
                  <w:noWrap w:val="0"/>
                  <w:vAlign w:val="center"/>
                </w:tcPr>
                <w:p w14:paraId="2CDA8ED1">
                  <w:pPr>
                    <w:pStyle w:val="5"/>
                    <w:bidi w:val="0"/>
                    <w:rPr>
                      <w:rFonts w:hint="default"/>
                      <w:lang w:val="en-US" w:eastAsia="zh-CN"/>
                    </w:rPr>
                  </w:pPr>
                  <w:r>
                    <w:rPr>
                      <w:rFonts w:hint="eastAsia"/>
                      <w:lang w:val="en-US" w:eastAsia="zh-CN"/>
                    </w:rPr>
                    <w:t>最大暂存量</w:t>
                  </w:r>
                </w:p>
              </w:tc>
              <w:tc>
                <w:tcPr>
                  <w:tcW w:w="1611" w:type="pct"/>
                  <w:tcBorders>
                    <w:left w:val="single" w:color="auto" w:sz="4" w:space="0"/>
                  </w:tcBorders>
                  <w:noWrap w:val="0"/>
                  <w:vAlign w:val="center"/>
                </w:tcPr>
                <w:p w14:paraId="0BBE7621">
                  <w:pPr>
                    <w:pStyle w:val="5"/>
                    <w:bidi w:val="0"/>
                    <w:rPr>
                      <w:rFonts w:hint="default"/>
                    </w:rPr>
                  </w:pPr>
                  <w:r>
                    <w:rPr>
                      <w:rFonts w:hint="default"/>
                    </w:rPr>
                    <w:t>备注</w:t>
                  </w:r>
                </w:p>
              </w:tc>
            </w:tr>
            <w:tr w14:paraId="02D286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45" w:type="pct"/>
                  <w:noWrap w:val="0"/>
                  <w:vAlign w:val="center"/>
                </w:tcPr>
                <w:p w14:paraId="5CC1A9ED">
                  <w:pPr>
                    <w:pStyle w:val="5"/>
                    <w:bidi w:val="0"/>
                    <w:rPr>
                      <w:rFonts w:hint="default"/>
                      <w:lang w:val="en-US" w:eastAsia="zh-CN"/>
                    </w:rPr>
                  </w:pPr>
                  <w:r>
                    <w:rPr>
                      <w:rFonts w:hint="default"/>
                      <w:lang w:val="en-US" w:eastAsia="zh-CN"/>
                    </w:rPr>
                    <w:t>1</w:t>
                  </w:r>
                </w:p>
              </w:tc>
              <w:tc>
                <w:tcPr>
                  <w:tcW w:w="1068" w:type="pct"/>
                  <w:noWrap w:val="0"/>
                  <w:vAlign w:val="center"/>
                </w:tcPr>
                <w:p w14:paraId="5B434FDD">
                  <w:pPr>
                    <w:pStyle w:val="5"/>
                    <w:bidi w:val="0"/>
                    <w:rPr>
                      <w:rFonts w:hint="default"/>
                      <w:lang w:val="zh-CN" w:eastAsia="zh-CN"/>
                    </w:rPr>
                  </w:pPr>
                  <w:r>
                    <w:rPr>
                      <w:lang w:val="en-US" w:eastAsia="zh-CN"/>
                    </w:rPr>
                    <w:t>碳五烷烃</w:t>
                  </w:r>
                </w:p>
              </w:tc>
              <w:tc>
                <w:tcPr>
                  <w:tcW w:w="500" w:type="pct"/>
                  <w:noWrap w:val="0"/>
                  <w:vAlign w:val="center"/>
                </w:tcPr>
                <w:p w14:paraId="27F16FBB">
                  <w:pPr>
                    <w:pStyle w:val="5"/>
                    <w:bidi w:val="0"/>
                    <w:rPr>
                      <w:rFonts w:hint="default"/>
                      <w:lang w:val="zh-CN"/>
                    </w:rPr>
                  </w:pPr>
                  <w:r>
                    <w:t>t/</w:t>
                  </w:r>
                  <w:r>
                    <w:rPr>
                      <w:rFonts w:hint="eastAsia"/>
                      <w:lang w:val="en-US" w:eastAsia="zh-CN"/>
                    </w:rPr>
                    <w:t>a</w:t>
                  </w:r>
                </w:p>
              </w:tc>
              <w:tc>
                <w:tcPr>
                  <w:tcW w:w="554" w:type="pct"/>
                  <w:tcBorders>
                    <w:right w:val="single" w:color="auto" w:sz="4" w:space="0"/>
                  </w:tcBorders>
                  <w:noWrap w:val="0"/>
                  <w:vAlign w:val="center"/>
                </w:tcPr>
                <w:p w14:paraId="409FF73E">
                  <w:pPr>
                    <w:pStyle w:val="5"/>
                    <w:bidi w:val="0"/>
                    <w:rPr>
                      <w:rFonts w:hint="default"/>
                      <w:lang w:val="en-US" w:eastAsia="zh-CN"/>
                    </w:rPr>
                  </w:pPr>
                  <w:r>
                    <w:rPr>
                      <w:rFonts w:hint="eastAsia"/>
                      <w:lang w:val="en-US" w:eastAsia="zh-CN"/>
                    </w:rPr>
                    <w:t>7200</w:t>
                  </w:r>
                </w:p>
              </w:tc>
              <w:tc>
                <w:tcPr>
                  <w:tcW w:w="818" w:type="pct"/>
                  <w:tcBorders>
                    <w:left w:val="single" w:color="auto" w:sz="4" w:space="0"/>
                  </w:tcBorders>
                  <w:noWrap w:val="0"/>
                  <w:vAlign w:val="center"/>
                </w:tcPr>
                <w:p w14:paraId="20A0A9CC">
                  <w:pPr>
                    <w:pStyle w:val="5"/>
                    <w:bidi w:val="0"/>
                    <w:rPr>
                      <w:rFonts w:hint="default"/>
                      <w:lang w:val="en-US" w:eastAsia="zh-CN"/>
                    </w:rPr>
                  </w:pPr>
                  <w:r>
                    <w:rPr>
                      <w:rFonts w:hint="eastAsia"/>
                      <w:lang w:val="en-US" w:eastAsia="zh-CN"/>
                    </w:rPr>
                    <w:t>1196.8</w:t>
                  </w:r>
                </w:p>
              </w:tc>
              <w:tc>
                <w:tcPr>
                  <w:tcW w:w="1611" w:type="pct"/>
                  <w:tcBorders>
                    <w:left w:val="single" w:color="auto" w:sz="4" w:space="0"/>
                  </w:tcBorders>
                  <w:noWrap w:val="0"/>
                  <w:vAlign w:val="center"/>
                </w:tcPr>
                <w:p w14:paraId="7512B603">
                  <w:pPr>
                    <w:pStyle w:val="5"/>
                    <w:bidi w:val="0"/>
                    <w:rPr>
                      <w:rFonts w:hint="eastAsia"/>
                      <w:lang w:val="en-US" w:eastAsia="zh-CN"/>
                    </w:rPr>
                  </w:pPr>
                  <w:r>
                    <w:rPr>
                      <w:rFonts w:hint="eastAsia"/>
                      <w:lang w:val="en-US" w:eastAsia="zh-CN"/>
                    </w:rPr>
                    <w:t>现有工程产品</w:t>
                  </w:r>
                </w:p>
                <w:p w14:paraId="69AD6800">
                  <w:pPr>
                    <w:pStyle w:val="5"/>
                    <w:bidi w:val="0"/>
                    <w:rPr>
                      <w:rFonts w:hint="eastAsia"/>
                      <w:lang w:val="en-US" w:eastAsia="zh-CN"/>
                    </w:rPr>
                  </w:pPr>
                  <w:r>
                    <w:rPr>
                      <w:rFonts w:hint="eastAsia"/>
                      <w:lang w:val="en-US" w:eastAsia="zh-CN"/>
                    </w:rPr>
                    <w:t>储存天数为4天</w:t>
                  </w:r>
                </w:p>
              </w:tc>
            </w:tr>
            <w:tr w14:paraId="0FF330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45" w:type="pct"/>
                  <w:noWrap w:val="0"/>
                  <w:vAlign w:val="center"/>
                </w:tcPr>
                <w:p w14:paraId="31E8039E">
                  <w:pPr>
                    <w:pStyle w:val="5"/>
                    <w:bidi w:val="0"/>
                    <w:rPr>
                      <w:rFonts w:hint="default"/>
                      <w:lang w:val="en-US" w:eastAsia="zh-CN"/>
                    </w:rPr>
                  </w:pPr>
                  <w:r>
                    <w:rPr>
                      <w:rFonts w:hint="eastAsia"/>
                      <w:lang w:val="en-US" w:eastAsia="zh-CN"/>
                    </w:rPr>
                    <w:t>2</w:t>
                  </w:r>
                </w:p>
              </w:tc>
              <w:tc>
                <w:tcPr>
                  <w:tcW w:w="1068" w:type="pct"/>
                  <w:noWrap w:val="0"/>
                  <w:vAlign w:val="center"/>
                </w:tcPr>
                <w:p w14:paraId="4A94D5EF">
                  <w:pPr>
                    <w:pStyle w:val="5"/>
                    <w:bidi w:val="0"/>
                    <w:rPr>
                      <w:rFonts w:hint="default"/>
                      <w:lang w:val="zh-CN" w:eastAsia="zh-CN"/>
                    </w:rPr>
                  </w:pPr>
                  <w:r>
                    <w:rPr>
                      <w:rFonts w:hint="eastAsia"/>
                      <w:lang w:val="en-US" w:eastAsia="zh-CN"/>
                    </w:rPr>
                    <w:t>1#轻烃</w:t>
                  </w:r>
                </w:p>
              </w:tc>
              <w:tc>
                <w:tcPr>
                  <w:tcW w:w="500" w:type="pct"/>
                  <w:noWrap w:val="0"/>
                  <w:vAlign w:val="center"/>
                </w:tcPr>
                <w:p w14:paraId="058BFDB1">
                  <w:pPr>
                    <w:pStyle w:val="5"/>
                    <w:bidi w:val="0"/>
                    <w:rPr>
                      <w:rFonts w:hint="default"/>
                      <w:lang w:val="zh-CN"/>
                    </w:rPr>
                  </w:pPr>
                  <w:r>
                    <w:t>t/</w:t>
                  </w:r>
                  <w:r>
                    <w:rPr>
                      <w:rFonts w:hint="eastAsia"/>
                      <w:lang w:val="en-US" w:eastAsia="zh-CN"/>
                    </w:rPr>
                    <w:t>a</w:t>
                  </w:r>
                </w:p>
              </w:tc>
              <w:tc>
                <w:tcPr>
                  <w:tcW w:w="554" w:type="pct"/>
                  <w:tcBorders>
                    <w:right w:val="single" w:color="auto" w:sz="4" w:space="0"/>
                  </w:tcBorders>
                  <w:noWrap w:val="0"/>
                  <w:vAlign w:val="center"/>
                </w:tcPr>
                <w:p w14:paraId="682D823D">
                  <w:pPr>
                    <w:pStyle w:val="5"/>
                    <w:bidi w:val="0"/>
                    <w:rPr>
                      <w:rFonts w:hint="default"/>
                      <w:lang w:val="en-US" w:eastAsia="zh-CN"/>
                    </w:rPr>
                  </w:pPr>
                  <w:r>
                    <w:rPr>
                      <w:rFonts w:hint="eastAsia"/>
                      <w:lang w:val="en-US" w:eastAsia="zh-CN"/>
                    </w:rPr>
                    <w:t>142000</w:t>
                  </w:r>
                </w:p>
              </w:tc>
              <w:tc>
                <w:tcPr>
                  <w:tcW w:w="818" w:type="pct"/>
                  <w:tcBorders>
                    <w:left w:val="single" w:color="auto" w:sz="4" w:space="0"/>
                  </w:tcBorders>
                  <w:noWrap w:val="0"/>
                  <w:vAlign w:val="center"/>
                </w:tcPr>
                <w:p w14:paraId="33CF9C1F">
                  <w:pPr>
                    <w:pStyle w:val="5"/>
                    <w:bidi w:val="0"/>
                    <w:rPr>
                      <w:rFonts w:hint="default"/>
                      <w:lang w:val="en-US" w:eastAsia="zh-CN"/>
                    </w:rPr>
                  </w:pPr>
                  <w:r>
                    <w:rPr>
                      <w:rFonts w:hint="eastAsia"/>
                      <w:lang w:val="en-US" w:eastAsia="zh-CN"/>
                    </w:rPr>
                    <w:t>1144</w:t>
                  </w:r>
                </w:p>
              </w:tc>
              <w:tc>
                <w:tcPr>
                  <w:tcW w:w="1611" w:type="pct"/>
                  <w:tcBorders>
                    <w:left w:val="single" w:color="auto" w:sz="4" w:space="0"/>
                  </w:tcBorders>
                  <w:noWrap w:val="0"/>
                  <w:vAlign w:val="center"/>
                </w:tcPr>
                <w:p w14:paraId="36214064">
                  <w:pPr>
                    <w:pStyle w:val="5"/>
                    <w:bidi w:val="0"/>
                    <w:rPr>
                      <w:rFonts w:hint="default"/>
                      <w:lang w:val="en-US" w:eastAsia="zh-CN"/>
                    </w:rPr>
                  </w:pPr>
                  <w:r>
                    <w:t>外购</w:t>
                  </w:r>
                  <w:r>
                    <w:rPr>
                      <w:rFonts w:hint="eastAsia"/>
                      <w:lang w:eastAsia="zh-CN"/>
                    </w:rPr>
                    <w:t>，</w:t>
                  </w:r>
                  <w:r>
                    <w:rPr>
                      <w:rFonts w:hint="eastAsia"/>
                      <w:lang w:val="en-US" w:eastAsia="zh-CN"/>
                    </w:rPr>
                    <w:t>储存天数为2天</w:t>
                  </w:r>
                </w:p>
              </w:tc>
            </w:tr>
            <w:tr w14:paraId="1A8FCF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45" w:type="pct"/>
                  <w:noWrap w:val="0"/>
                  <w:vAlign w:val="center"/>
                </w:tcPr>
                <w:p w14:paraId="17B026C2">
                  <w:pPr>
                    <w:pStyle w:val="5"/>
                    <w:bidi w:val="0"/>
                    <w:rPr>
                      <w:rFonts w:hint="default"/>
                      <w:lang w:val="en-US" w:eastAsia="zh-CN"/>
                    </w:rPr>
                  </w:pPr>
                  <w:r>
                    <w:rPr>
                      <w:rFonts w:hint="default"/>
                      <w:lang w:val="en-US" w:eastAsia="zh-CN"/>
                    </w:rPr>
                    <w:t>3</w:t>
                  </w:r>
                </w:p>
              </w:tc>
              <w:tc>
                <w:tcPr>
                  <w:tcW w:w="1068" w:type="pct"/>
                  <w:noWrap w:val="0"/>
                  <w:vAlign w:val="center"/>
                </w:tcPr>
                <w:p w14:paraId="17B0FE61">
                  <w:pPr>
                    <w:pStyle w:val="5"/>
                    <w:bidi w:val="0"/>
                    <w:rPr>
                      <w:rFonts w:hint="default"/>
                      <w:lang w:val="en-US" w:eastAsia="zh-CN"/>
                    </w:rPr>
                  </w:pPr>
                  <w:r>
                    <w:rPr>
                      <w:rFonts w:hint="eastAsia"/>
                      <w:lang w:val="en-US" w:eastAsia="zh-CN"/>
                    </w:rPr>
                    <w:t>氮气</w:t>
                  </w:r>
                </w:p>
              </w:tc>
              <w:tc>
                <w:tcPr>
                  <w:tcW w:w="500" w:type="pct"/>
                  <w:noWrap w:val="0"/>
                  <w:vAlign w:val="center"/>
                </w:tcPr>
                <w:p w14:paraId="3E179EBF">
                  <w:pPr>
                    <w:pStyle w:val="5"/>
                    <w:bidi w:val="0"/>
                    <w:rPr>
                      <w:rFonts w:hint="default"/>
                      <w:lang w:val="zh-CN"/>
                    </w:rPr>
                  </w:pPr>
                  <w:r>
                    <w:rPr>
                      <w:rFonts w:hint="default"/>
                      <w:lang w:val="zh-CN" w:eastAsia="zh-CN"/>
                    </w:rPr>
                    <w:t>Nm</w:t>
                  </w:r>
                  <w:r>
                    <w:rPr>
                      <w:rFonts w:hint="default"/>
                      <w:vertAlign w:val="superscript"/>
                      <w:lang w:val="zh-CN" w:eastAsia="zh-CN"/>
                    </w:rPr>
                    <w:t>3</w:t>
                  </w:r>
                  <w:r>
                    <w:rPr>
                      <w:rFonts w:hint="default"/>
                      <w:lang w:val="zh-CN"/>
                    </w:rPr>
                    <w:t>/</w:t>
                  </w:r>
                  <w:r>
                    <w:rPr>
                      <w:rFonts w:hint="eastAsia"/>
                      <w:lang w:val="en-US" w:eastAsia="zh-CN"/>
                    </w:rPr>
                    <w:t>a</w:t>
                  </w:r>
                </w:p>
              </w:tc>
              <w:tc>
                <w:tcPr>
                  <w:tcW w:w="1373" w:type="pct"/>
                  <w:gridSpan w:val="2"/>
                  <w:noWrap w:val="0"/>
                  <w:vAlign w:val="center"/>
                </w:tcPr>
                <w:p w14:paraId="6BE64D85">
                  <w:pPr>
                    <w:pStyle w:val="5"/>
                    <w:bidi w:val="0"/>
                    <w:rPr>
                      <w:rFonts w:hint="default"/>
                      <w:lang w:val="en-US" w:eastAsia="zh-CN"/>
                    </w:rPr>
                  </w:pPr>
                  <w:r>
                    <w:rPr>
                      <w:rFonts w:hint="eastAsia"/>
                      <w:lang w:val="en-US" w:eastAsia="zh-CN"/>
                    </w:rPr>
                    <w:t>8000</w:t>
                  </w:r>
                </w:p>
              </w:tc>
              <w:tc>
                <w:tcPr>
                  <w:tcW w:w="1611" w:type="pct"/>
                  <w:vMerge w:val="restart"/>
                  <w:tcBorders>
                    <w:left w:val="single" w:color="auto" w:sz="4" w:space="0"/>
                  </w:tcBorders>
                  <w:noWrap w:val="0"/>
                  <w:vAlign w:val="center"/>
                </w:tcPr>
                <w:p w14:paraId="716B9392">
                  <w:pPr>
                    <w:pStyle w:val="5"/>
                    <w:bidi w:val="0"/>
                    <w:rPr>
                      <w:rFonts w:hint="default"/>
                      <w:lang w:val="en-US" w:eastAsia="zh-CN"/>
                    </w:rPr>
                  </w:pPr>
                  <w:r>
                    <w:rPr>
                      <w:rFonts w:hint="eastAsia"/>
                      <w:lang w:val="en-US" w:eastAsia="zh-CN"/>
                    </w:rPr>
                    <w:t>空气制氮站</w:t>
                  </w:r>
                </w:p>
              </w:tc>
            </w:tr>
            <w:tr w14:paraId="025A7F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45" w:type="pct"/>
                  <w:noWrap w:val="0"/>
                  <w:vAlign w:val="center"/>
                </w:tcPr>
                <w:p w14:paraId="50B0FCE0">
                  <w:pPr>
                    <w:pStyle w:val="5"/>
                    <w:bidi w:val="0"/>
                    <w:rPr>
                      <w:rFonts w:hint="default"/>
                      <w:lang w:val="en-US" w:eastAsia="zh-CN"/>
                    </w:rPr>
                  </w:pPr>
                  <w:r>
                    <w:rPr>
                      <w:rFonts w:hint="eastAsia"/>
                      <w:lang w:val="en-US" w:eastAsia="zh-CN"/>
                    </w:rPr>
                    <w:t>4</w:t>
                  </w:r>
                </w:p>
              </w:tc>
              <w:tc>
                <w:tcPr>
                  <w:tcW w:w="1068" w:type="pct"/>
                  <w:noWrap w:val="0"/>
                  <w:vAlign w:val="center"/>
                </w:tcPr>
                <w:p w14:paraId="368B3827">
                  <w:pPr>
                    <w:pStyle w:val="5"/>
                    <w:bidi w:val="0"/>
                    <w:rPr>
                      <w:rFonts w:hint="eastAsia"/>
                      <w:lang w:val="en-US" w:eastAsia="zh-CN"/>
                    </w:rPr>
                  </w:pPr>
                  <w:r>
                    <w:rPr>
                      <w:rFonts w:hint="eastAsia"/>
                      <w:lang w:val="en-US" w:eastAsia="zh-CN"/>
                    </w:rPr>
                    <w:t>仪表空气</w:t>
                  </w:r>
                </w:p>
              </w:tc>
              <w:tc>
                <w:tcPr>
                  <w:tcW w:w="500" w:type="pct"/>
                  <w:noWrap w:val="0"/>
                  <w:vAlign w:val="center"/>
                </w:tcPr>
                <w:p w14:paraId="13E93929">
                  <w:pPr>
                    <w:pStyle w:val="5"/>
                    <w:bidi w:val="0"/>
                    <w:rPr>
                      <w:rFonts w:hint="default"/>
                      <w:lang w:val="zh-CN" w:eastAsia="zh-CN"/>
                    </w:rPr>
                  </w:pPr>
                  <w:r>
                    <w:rPr>
                      <w:rFonts w:hint="default"/>
                      <w:lang w:val="zh-CN" w:eastAsia="zh-CN"/>
                    </w:rPr>
                    <w:t>Nm</w:t>
                  </w:r>
                  <w:r>
                    <w:rPr>
                      <w:rFonts w:hint="default"/>
                      <w:vertAlign w:val="superscript"/>
                      <w:lang w:val="zh-CN" w:eastAsia="zh-CN"/>
                    </w:rPr>
                    <w:t>3</w:t>
                  </w:r>
                  <w:r>
                    <w:rPr>
                      <w:rFonts w:hint="default"/>
                      <w:lang w:val="zh-CN" w:eastAsia="zh-CN"/>
                    </w:rPr>
                    <w:t>/a</w:t>
                  </w:r>
                </w:p>
              </w:tc>
              <w:tc>
                <w:tcPr>
                  <w:tcW w:w="1373" w:type="pct"/>
                  <w:gridSpan w:val="2"/>
                  <w:noWrap w:val="0"/>
                  <w:vAlign w:val="center"/>
                </w:tcPr>
                <w:p w14:paraId="6AD8DC98">
                  <w:pPr>
                    <w:pStyle w:val="5"/>
                    <w:bidi w:val="0"/>
                    <w:rPr>
                      <w:rFonts w:hint="default"/>
                      <w:lang w:val="en-US" w:eastAsia="zh-CN"/>
                    </w:rPr>
                  </w:pPr>
                  <w:r>
                    <w:rPr>
                      <w:rFonts w:hint="eastAsia"/>
                      <w:lang w:val="en-US" w:eastAsia="zh-CN"/>
                    </w:rPr>
                    <w:t>204000</w:t>
                  </w:r>
                </w:p>
              </w:tc>
              <w:tc>
                <w:tcPr>
                  <w:tcW w:w="1611" w:type="pct"/>
                  <w:vMerge w:val="continue"/>
                  <w:tcBorders>
                    <w:left w:val="single" w:color="auto" w:sz="4" w:space="0"/>
                  </w:tcBorders>
                  <w:noWrap w:val="0"/>
                  <w:vAlign w:val="center"/>
                </w:tcPr>
                <w:p w14:paraId="224FDBA2">
                  <w:pPr>
                    <w:pStyle w:val="5"/>
                    <w:bidi w:val="0"/>
                    <w:rPr>
                      <w:rFonts w:hint="eastAsia"/>
                      <w:lang w:val="en-US" w:eastAsia="zh-CN"/>
                    </w:rPr>
                  </w:pPr>
                </w:p>
              </w:tc>
            </w:tr>
            <w:tr w14:paraId="4D3689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45" w:type="pct"/>
                  <w:noWrap w:val="0"/>
                  <w:vAlign w:val="center"/>
                </w:tcPr>
                <w:p w14:paraId="36498838">
                  <w:pPr>
                    <w:pStyle w:val="5"/>
                    <w:bidi w:val="0"/>
                    <w:rPr>
                      <w:rFonts w:hint="default"/>
                      <w:lang w:val="en-US" w:eastAsia="zh-CN"/>
                    </w:rPr>
                  </w:pPr>
                  <w:r>
                    <w:rPr>
                      <w:rFonts w:hint="eastAsia"/>
                      <w:lang w:val="en-US" w:eastAsia="zh-CN"/>
                    </w:rPr>
                    <w:t>5</w:t>
                  </w:r>
                </w:p>
              </w:tc>
              <w:tc>
                <w:tcPr>
                  <w:tcW w:w="1068" w:type="pct"/>
                  <w:noWrap w:val="0"/>
                  <w:vAlign w:val="center"/>
                </w:tcPr>
                <w:p w14:paraId="508601C3">
                  <w:pPr>
                    <w:pStyle w:val="5"/>
                    <w:bidi w:val="0"/>
                    <w:rPr>
                      <w:rFonts w:hint="default"/>
                      <w:lang w:eastAsia="zh-CN"/>
                    </w:rPr>
                  </w:pPr>
                  <w:r>
                    <w:rPr>
                      <w:rFonts w:hint="default"/>
                      <w:lang w:val="zh-CN" w:eastAsia="zh-CN"/>
                    </w:rPr>
                    <w:t>电</w:t>
                  </w:r>
                </w:p>
              </w:tc>
              <w:tc>
                <w:tcPr>
                  <w:tcW w:w="500" w:type="pct"/>
                  <w:noWrap w:val="0"/>
                  <w:vAlign w:val="center"/>
                </w:tcPr>
                <w:p w14:paraId="78640D35">
                  <w:pPr>
                    <w:pStyle w:val="5"/>
                    <w:bidi w:val="0"/>
                    <w:rPr>
                      <w:rFonts w:hint="default"/>
                      <w:lang w:val="zh-CN" w:eastAsia="zh-CN"/>
                    </w:rPr>
                  </w:pPr>
                  <w:r>
                    <w:rPr>
                      <w:rFonts w:hint="default"/>
                      <w:lang w:val="zh-CN" w:eastAsia="zh-CN"/>
                    </w:rPr>
                    <w:t>kwh</w:t>
                  </w:r>
                </w:p>
              </w:tc>
              <w:tc>
                <w:tcPr>
                  <w:tcW w:w="1373" w:type="pct"/>
                  <w:gridSpan w:val="2"/>
                  <w:noWrap w:val="0"/>
                  <w:vAlign w:val="center"/>
                </w:tcPr>
                <w:p w14:paraId="138F0281">
                  <w:pPr>
                    <w:pStyle w:val="5"/>
                    <w:bidi w:val="0"/>
                    <w:rPr>
                      <w:rFonts w:hint="default"/>
                      <w:lang w:val="en-US" w:eastAsia="zh-CN"/>
                    </w:rPr>
                  </w:pPr>
                  <w:r>
                    <w:rPr>
                      <w:rFonts w:hint="eastAsia"/>
                      <w:lang w:val="en-US" w:eastAsia="zh-CN"/>
                    </w:rPr>
                    <w:t>264000</w:t>
                  </w:r>
                </w:p>
              </w:tc>
              <w:tc>
                <w:tcPr>
                  <w:tcW w:w="1611" w:type="pct"/>
                  <w:tcBorders>
                    <w:left w:val="single" w:color="auto" w:sz="4" w:space="0"/>
                  </w:tcBorders>
                  <w:noWrap w:val="0"/>
                  <w:vAlign w:val="center"/>
                </w:tcPr>
                <w:p w14:paraId="72A59ECE">
                  <w:pPr>
                    <w:pStyle w:val="5"/>
                    <w:bidi w:val="0"/>
                    <w:rPr>
                      <w:rFonts w:hint="default"/>
                    </w:rPr>
                  </w:pPr>
                  <w:r>
                    <w:rPr>
                      <w:rFonts w:hint="default"/>
                    </w:rPr>
                    <w:t>接</w:t>
                  </w:r>
                  <w:r>
                    <w:rPr>
                      <w:rFonts w:hint="default"/>
                      <w:lang w:val="en-US" w:eastAsia="zh-CN"/>
                    </w:rPr>
                    <w:t>市政</w:t>
                  </w:r>
                  <w:r>
                    <w:rPr>
                      <w:rFonts w:hint="default"/>
                    </w:rPr>
                    <w:t>电网</w:t>
                  </w:r>
                </w:p>
              </w:tc>
            </w:tr>
          </w:tbl>
          <w:p w14:paraId="12066BAD">
            <w:pPr>
              <w:pStyle w:val="4"/>
              <w:bidi w:val="0"/>
              <w:rPr>
                <w:lang w:val="en-US" w:eastAsia="zh-CN"/>
              </w:rPr>
            </w:pPr>
            <w:r>
              <w:rPr>
                <w:lang w:val="en-US" w:eastAsia="zh-CN"/>
              </w:rPr>
              <w:t>表2-</w:t>
            </w:r>
            <w:r>
              <w:rPr>
                <w:rFonts w:hint="eastAsia"/>
                <w:lang w:val="en-US" w:eastAsia="zh-CN"/>
              </w:rPr>
              <w:t>5</w:t>
            </w:r>
            <w:r>
              <w:rPr>
                <w:lang w:val="en-US" w:eastAsia="zh-CN"/>
              </w:rPr>
              <w:t xml:space="preserve">  本项目原辅材料</w:t>
            </w:r>
            <w:r>
              <w:rPr>
                <w:rFonts w:hint="eastAsia"/>
                <w:lang w:val="en-US" w:eastAsia="zh-CN"/>
              </w:rPr>
              <w:t>理化性质及组成分析</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8"/>
              <w:gridCol w:w="863"/>
              <w:gridCol w:w="6956"/>
            </w:tblGrid>
            <w:tr w14:paraId="56BA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44" w:type="pct"/>
                  <w:vAlign w:val="center"/>
                </w:tcPr>
                <w:p w14:paraId="692D13A7">
                  <w:pPr>
                    <w:pStyle w:val="5"/>
                    <w:bidi w:val="0"/>
                    <w:rPr>
                      <w:lang w:val="en-US" w:eastAsia="zh-CN"/>
                    </w:rPr>
                  </w:pPr>
                  <w:r>
                    <w:rPr>
                      <w:lang w:val="en-US" w:eastAsia="zh-CN"/>
                    </w:rPr>
                    <w:t>序号</w:t>
                  </w:r>
                </w:p>
              </w:tc>
              <w:tc>
                <w:tcPr>
                  <w:tcW w:w="513" w:type="pct"/>
                  <w:vAlign w:val="center"/>
                </w:tcPr>
                <w:p w14:paraId="67D35E83">
                  <w:pPr>
                    <w:pStyle w:val="5"/>
                    <w:bidi w:val="0"/>
                    <w:rPr>
                      <w:lang w:val="en-US" w:eastAsia="zh-CN"/>
                    </w:rPr>
                  </w:pPr>
                  <w:r>
                    <w:rPr>
                      <w:lang w:val="en-US" w:eastAsia="zh-CN"/>
                    </w:rPr>
                    <w:t>名称</w:t>
                  </w:r>
                </w:p>
              </w:tc>
              <w:tc>
                <w:tcPr>
                  <w:tcW w:w="4141" w:type="pct"/>
                  <w:vAlign w:val="center"/>
                </w:tcPr>
                <w:p w14:paraId="5A1222B1">
                  <w:pPr>
                    <w:pStyle w:val="5"/>
                    <w:bidi w:val="0"/>
                    <w:rPr>
                      <w:rFonts w:hint="eastAsia"/>
                      <w:lang w:val="en-US" w:eastAsia="zh-CN"/>
                    </w:rPr>
                  </w:pPr>
                  <w:r>
                    <w:rPr>
                      <w:rFonts w:hint="eastAsia"/>
                      <w:lang w:val="en-US" w:eastAsia="zh-CN"/>
                    </w:rPr>
                    <w:t>理化性质</w:t>
                  </w:r>
                </w:p>
              </w:tc>
            </w:tr>
            <w:tr w14:paraId="4A33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44" w:type="pct"/>
                  <w:vAlign w:val="center"/>
                </w:tcPr>
                <w:p w14:paraId="4779CD57">
                  <w:pPr>
                    <w:pStyle w:val="5"/>
                    <w:bidi w:val="0"/>
                    <w:rPr>
                      <w:lang w:val="en-US" w:eastAsia="zh-CN"/>
                    </w:rPr>
                  </w:pPr>
                  <w:r>
                    <w:rPr>
                      <w:lang w:val="en-US" w:eastAsia="zh-CN"/>
                    </w:rPr>
                    <w:t>1</w:t>
                  </w:r>
                </w:p>
              </w:tc>
              <w:tc>
                <w:tcPr>
                  <w:tcW w:w="513" w:type="pct"/>
                  <w:vAlign w:val="center"/>
                </w:tcPr>
                <w:p w14:paraId="4BA610AC">
                  <w:pPr>
                    <w:pStyle w:val="5"/>
                    <w:bidi w:val="0"/>
                    <w:rPr>
                      <w:lang w:val="en-US" w:eastAsia="zh-CN"/>
                    </w:rPr>
                  </w:pPr>
                  <w:r>
                    <w:rPr>
                      <w:lang w:val="en-US" w:eastAsia="zh-CN"/>
                    </w:rPr>
                    <w:t>碳五烷烃</w:t>
                  </w:r>
                </w:p>
              </w:tc>
              <w:tc>
                <w:tcPr>
                  <w:tcW w:w="4141" w:type="pct"/>
                  <w:vAlign w:val="center"/>
                </w:tcPr>
                <w:p w14:paraId="0AEBEEDA">
                  <w:pPr>
                    <w:pStyle w:val="5"/>
                    <w:bidi w:val="0"/>
                    <w:rPr>
                      <w:lang w:val="en-US" w:eastAsia="zh-CN"/>
                    </w:rPr>
                  </w:pPr>
                  <w:r>
                    <w:rPr>
                      <w:lang w:val="en-US" w:eastAsia="zh-CN"/>
                    </w:rPr>
                    <w:t>外观与性状：无色液体，有微弱的薄荷香味。</w:t>
                  </w:r>
                  <w:r>
                    <w:rPr>
                      <w:rFonts w:hint="eastAsia"/>
                      <w:lang w:val="en-US" w:eastAsia="zh-CN"/>
                    </w:rPr>
                    <w:t>饱和蒸气</w:t>
                  </w:r>
                  <w:r>
                    <w:rPr>
                      <w:lang w:val="en-US" w:eastAsia="zh-CN"/>
                    </w:rPr>
                    <w:t>压（kPa）：53.32/18.5℃</w:t>
                  </w:r>
                  <w:r>
                    <w:rPr>
                      <w:rFonts w:hint="eastAsia"/>
                      <w:lang w:val="en-US" w:eastAsia="zh-CN"/>
                    </w:rPr>
                    <w:t>。</w:t>
                  </w:r>
                  <w:r>
                    <w:rPr>
                      <w:lang w:val="en-US" w:eastAsia="zh-CN"/>
                    </w:rPr>
                    <w:t>熔点</w:t>
                  </w:r>
                  <w:r>
                    <w:rPr>
                      <w:rFonts w:hint="eastAsia"/>
                      <w:lang w:val="en-US" w:eastAsia="zh-CN"/>
                    </w:rPr>
                    <w:t>（</w:t>
                  </w:r>
                  <w:r>
                    <w:rPr>
                      <w:lang w:val="en-US" w:eastAsia="zh-CN"/>
                    </w:rPr>
                    <w:t>℃</w:t>
                  </w:r>
                  <w:r>
                    <w:rPr>
                      <w:rFonts w:hint="eastAsia"/>
                      <w:lang w:val="en-US" w:eastAsia="zh-CN"/>
                    </w:rPr>
                    <w:t>）</w:t>
                  </w:r>
                  <w:r>
                    <w:rPr>
                      <w:lang w:val="en-US" w:eastAsia="zh-CN"/>
                    </w:rPr>
                    <w:t>：-129.8</w:t>
                  </w:r>
                  <w:r>
                    <w:rPr>
                      <w:rFonts w:hint="eastAsia"/>
                      <w:lang w:val="en-US" w:eastAsia="zh-CN"/>
                    </w:rPr>
                    <w:t>，</w:t>
                  </w:r>
                  <w:r>
                    <w:rPr>
                      <w:lang w:val="en-US" w:eastAsia="zh-CN"/>
                    </w:rPr>
                    <w:t>沸点</w:t>
                  </w:r>
                  <w:r>
                    <w:rPr>
                      <w:rFonts w:hint="eastAsia"/>
                      <w:lang w:val="en-US" w:eastAsia="zh-CN"/>
                    </w:rPr>
                    <w:t>（</w:t>
                  </w:r>
                  <w:r>
                    <w:rPr>
                      <w:lang w:val="en-US" w:eastAsia="zh-CN"/>
                    </w:rPr>
                    <w:t>℃</w:t>
                  </w:r>
                  <w:r>
                    <w:rPr>
                      <w:rFonts w:hint="eastAsia"/>
                      <w:lang w:val="en-US" w:eastAsia="zh-CN"/>
                    </w:rPr>
                    <w:t>）</w:t>
                  </w:r>
                  <w:r>
                    <w:rPr>
                      <w:lang w:val="en-US" w:eastAsia="zh-CN"/>
                    </w:rPr>
                    <w:t>：25~65</w:t>
                  </w:r>
                  <w:r>
                    <w:rPr>
                      <w:rFonts w:hint="eastAsia"/>
                      <w:lang w:val="en-US" w:eastAsia="zh-CN"/>
                    </w:rPr>
                    <w:t>。</w:t>
                  </w:r>
                  <w:r>
                    <w:rPr>
                      <w:lang w:val="en-US" w:eastAsia="zh-CN"/>
                    </w:rPr>
                    <w:t>临界温度</w:t>
                  </w:r>
                  <w:r>
                    <w:rPr>
                      <w:rFonts w:hint="eastAsia"/>
                      <w:lang w:val="en-US" w:eastAsia="zh-CN"/>
                    </w:rPr>
                    <w:t>（</w:t>
                  </w:r>
                  <w:r>
                    <w:rPr>
                      <w:lang w:val="en-US" w:eastAsia="zh-CN"/>
                    </w:rPr>
                    <w:t>℃</w:t>
                  </w:r>
                  <w:r>
                    <w:rPr>
                      <w:rFonts w:hint="eastAsia"/>
                      <w:lang w:val="en-US" w:eastAsia="zh-CN"/>
                    </w:rPr>
                    <w:t>）</w:t>
                  </w:r>
                  <w:r>
                    <w:rPr>
                      <w:lang w:val="en-US" w:eastAsia="zh-CN"/>
                    </w:rPr>
                    <w:t>：196.4</w:t>
                  </w:r>
                  <w:r>
                    <w:rPr>
                      <w:rFonts w:hint="eastAsia"/>
                      <w:lang w:val="en-US" w:eastAsia="zh-CN"/>
                    </w:rPr>
                    <w:t>，</w:t>
                  </w:r>
                  <w:r>
                    <w:rPr>
                      <w:lang w:val="en-US" w:eastAsia="zh-CN"/>
                    </w:rPr>
                    <w:t>临界压力（MPa）：3.37</w:t>
                  </w:r>
                  <w:r>
                    <w:rPr>
                      <w:rFonts w:hint="eastAsia"/>
                      <w:lang w:val="en-US" w:eastAsia="zh-CN"/>
                    </w:rPr>
                    <w:t>，</w:t>
                  </w:r>
                  <w:r>
                    <w:rPr>
                      <w:lang w:val="en-US" w:eastAsia="zh-CN"/>
                    </w:rPr>
                    <w:t>相对密度</w:t>
                  </w:r>
                  <w:r>
                    <w:rPr>
                      <w:rFonts w:hint="eastAsia"/>
                      <w:lang w:val="en-US" w:eastAsia="zh-CN"/>
                    </w:rPr>
                    <w:t>：</w:t>
                  </w:r>
                  <w:r>
                    <w:rPr>
                      <w:lang w:val="en-US" w:eastAsia="zh-CN"/>
                    </w:rPr>
                    <w:t>6</w:t>
                  </w:r>
                  <w:r>
                    <w:rPr>
                      <w:rFonts w:hint="eastAsia"/>
                      <w:lang w:val="en-US" w:eastAsia="zh-CN"/>
                    </w:rPr>
                    <w:t>8</w:t>
                  </w:r>
                  <w:r>
                    <w:rPr>
                      <w:lang w:val="en-US" w:eastAsia="zh-CN"/>
                    </w:rPr>
                    <w:t>0kg/m³</w:t>
                  </w:r>
                  <w:r>
                    <w:rPr>
                      <w:rFonts w:hint="eastAsia"/>
                      <w:lang w:val="en-US" w:eastAsia="zh-CN"/>
                    </w:rPr>
                    <w:t>，</w:t>
                  </w:r>
                  <w:r>
                    <w:rPr>
                      <w:lang w:val="en-US" w:eastAsia="zh-CN"/>
                    </w:rPr>
                    <w:t>相对密度（空气=1）：2.48</w:t>
                  </w:r>
                  <w:r>
                    <w:rPr>
                      <w:rFonts w:hint="eastAsia"/>
                      <w:lang w:val="en-US" w:eastAsia="zh-CN"/>
                    </w:rPr>
                    <w:t>。</w:t>
                  </w:r>
                  <w:r>
                    <w:rPr>
                      <w:lang w:val="en-US" w:eastAsia="zh-CN"/>
                    </w:rPr>
                    <w:t>溶解性：微溶于水，溶于乙醚、乙醇、丙酮、苯、氯仿等多数有机溶剂。</w:t>
                  </w:r>
                </w:p>
              </w:tc>
            </w:tr>
            <w:tr w14:paraId="5B24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44" w:type="pct"/>
                  <w:vAlign w:val="center"/>
                </w:tcPr>
                <w:p w14:paraId="68AE91C5">
                  <w:pPr>
                    <w:pStyle w:val="5"/>
                    <w:bidi w:val="0"/>
                    <w:rPr>
                      <w:lang w:val="en-US" w:eastAsia="zh-CN"/>
                    </w:rPr>
                  </w:pPr>
                  <w:r>
                    <w:rPr>
                      <w:lang w:val="en-US" w:eastAsia="zh-CN"/>
                    </w:rPr>
                    <w:t>2</w:t>
                  </w:r>
                </w:p>
              </w:tc>
              <w:tc>
                <w:tcPr>
                  <w:tcW w:w="513" w:type="pct"/>
                  <w:vAlign w:val="center"/>
                </w:tcPr>
                <w:p w14:paraId="40D63B58">
                  <w:pPr>
                    <w:pStyle w:val="5"/>
                    <w:bidi w:val="0"/>
                    <w:rPr>
                      <w:lang w:val="en-US" w:eastAsia="zh-CN"/>
                    </w:rPr>
                  </w:pPr>
                  <w:r>
                    <w:rPr>
                      <w:rFonts w:hint="eastAsia"/>
                      <w:lang w:val="en-US" w:eastAsia="zh-CN"/>
                    </w:rPr>
                    <w:t>1#轻烃</w:t>
                  </w:r>
                </w:p>
              </w:tc>
              <w:tc>
                <w:tcPr>
                  <w:tcW w:w="4141" w:type="pct"/>
                  <w:shd w:val="clear" w:color="auto" w:fill="auto"/>
                  <w:vAlign w:val="center"/>
                </w:tcPr>
                <w:p w14:paraId="304A65B5">
                  <w:pPr>
                    <w:pStyle w:val="5"/>
                    <w:bidi w:val="0"/>
                    <w:rPr>
                      <w:lang w:val="en-US" w:eastAsia="zh-CN"/>
                    </w:rPr>
                  </w:pPr>
                  <w:r>
                    <w:rPr>
                      <w:lang w:val="en-US" w:eastAsia="zh-CN"/>
                    </w:rPr>
                    <w:t>外观与性状：无色透明油状液体，具有石油类气味，主要成分为 C₄</w:t>
                  </w:r>
                  <w:r>
                    <w:rPr>
                      <w:lang w:val="en-US" w:eastAsia="zh-CN"/>
                    </w:rPr>
                    <w:noBreakHyphen/>
                  </w:r>
                  <w:r>
                    <w:rPr>
                      <w:lang w:val="en-US" w:eastAsia="zh-CN"/>
                    </w:rPr>
                    <w:t>C₁₀烷烃类混合物；相对密度：650kg/m³，饱和蒸气压 74～200kPa (37.8℃)，闪点＜</w:t>
                  </w:r>
                  <w:r>
                    <w:rPr>
                      <w:lang w:val="en-US" w:eastAsia="zh-CN"/>
                    </w:rPr>
                    <w:noBreakHyphen/>
                  </w:r>
                  <w:r>
                    <w:rPr>
                      <w:lang w:val="en-US" w:eastAsia="zh-CN"/>
                    </w:rPr>
                    <w:t>40℃，属于低闪点易燃液体；不溶于水，易挥发，蒸气重于空气，易在低洼区域积聚，爆炸极限 1.2%</w:t>
                  </w:r>
                  <w:r>
                    <w:rPr>
                      <w:lang w:val="en-US" w:eastAsia="zh-CN"/>
                    </w:rPr>
                    <w:noBreakHyphen/>
                  </w:r>
                  <w:r>
                    <w:rPr>
                      <w:lang w:val="en-US" w:eastAsia="zh-CN"/>
                    </w:rPr>
                    <w:t>7.5%（体积分数）。遇明火、高热易发生燃烧爆炸，对人体中枢神经系统存在麻醉效应，泄漏会造成土壤、水环境的污染风险。</w:t>
                  </w:r>
                </w:p>
              </w:tc>
            </w:tr>
          </w:tbl>
          <w:p w14:paraId="58D54BE7">
            <w:pPr>
              <w:pStyle w:val="2"/>
              <w:bidi w:val="0"/>
              <w:rPr>
                <w:lang w:val="en-US" w:eastAsia="zh-CN"/>
              </w:rPr>
            </w:pPr>
            <w:r>
              <w:rPr>
                <w:rFonts w:hint="eastAsia"/>
                <w:lang w:val="en-US" w:eastAsia="zh-CN"/>
              </w:rPr>
              <w:t>7 本项目实施后</w:t>
            </w:r>
            <w:r>
              <w:rPr>
                <w:lang w:val="en-US" w:eastAsia="zh-CN"/>
              </w:rPr>
              <w:t>储罐设置情况见下表。</w:t>
            </w:r>
          </w:p>
          <w:p w14:paraId="0F33D0B1">
            <w:pPr>
              <w:bidi w:val="0"/>
              <w:rPr>
                <w:lang w:val="en-US" w:eastAsia="zh-CN"/>
              </w:rPr>
            </w:pPr>
            <w:r>
              <w:rPr>
                <w:rFonts w:hint="eastAsia"/>
                <w:lang w:val="en-US" w:eastAsia="zh-CN"/>
              </w:rPr>
              <w:t>本项目新增2个1#轻烃原料/碳五烷烃球罐，暂时停用现有4个轻烃储罐和2个碳五烷烃储罐。项目建成</w:t>
            </w:r>
            <w:r>
              <w:rPr>
                <w:lang w:val="en-US" w:eastAsia="zh-CN"/>
              </w:rPr>
              <w:t>后</w:t>
            </w:r>
            <w:r>
              <w:rPr>
                <w:rFonts w:hint="eastAsia"/>
                <w:lang w:val="en-US" w:eastAsia="zh-CN"/>
              </w:rPr>
              <w:t>全厂</w:t>
            </w:r>
            <w:r>
              <w:rPr>
                <w:lang w:val="en-US" w:eastAsia="zh-CN"/>
              </w:rPr>
              <w:t>储存系统设置情况一览表</w:t>
            </w:r>
          </w:p>
          <w:p w14:paraId="5AEC9F8A">
            <w:pPr>
              <w:pStyle w:val="4"/>
              <w:bidi w:val="0"/>
              <w:rPr>
                <w:lang w:val="en-US" w:eastAsia="zh-CN"/>
              </w:rPr>
            </w:pPr>
            <w:r>
              <w:rPr>
                <w:lang w:val="en-US" w:eastAsia="zh-CN"/>
              </w:rPr>
              <w:t>表2-</w:t>
            </w:r>
            <w:r>
              <w:rPr>
                <w:rFonts w:hint="eastAsia"/>
                <w:lang w:val="en-US" w:eastAsia="zh-CN"/>
              </w:rPr>
              <w:t>6</w:t>
            </w:r>
            <w:r>
              <w:rPr>
                <w:lang w:val="en-US" w:eastAsia="zh-CN"/>
              </w:rPr>
              <w:t xml:space="preserve">  </w:t>
            </w:r>
            <w:r>
              <w:rPr>
                <w:rFonts w:hint="eastAsia"/>
                <w:lang w:val="en-US" w:eastAsia="zh-CN"/>
              </w:rPr>
              <w:t>项目建成</w:t>
            </w:r>
            <w:r>
              <w:rPr>
                <w:lang w:val="en-US" w:eastAsia="zh-CN"/>
              </w:rPr>
              <w:t>后</w:t>
            </w:r>
            <w:r>
              <w:rPr>
                <w:rFonts w:hint="eastAsia"/>
                <w:lang w:val="en-US" w:eastAsia="zh-CN"/>
              </w:rPr>
              <w:t>全厂</w:t>
            </w:r>
            <w:r>
              <w:rPr>
                <w:lang w:val="en-US" w:eastAsia="zh-CN"/>
              </w:rPr>
              <w:t>储存系统设置情况一览表</w:t>
            </w:r>
          </w:p>
          <w:tbl>
            <w:tblPr>
              <w:tblStyle w:val="29"/>
              <w:tblW w:w="4996" w:type="pct"/>
              <w:tblInd w:w="1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1588"/>
              <w:gridCol w:w="3048"/>
              <w:gridCol w:w="636"/>
              <w:gridCol w:w="530"/>
              <w:gridCol w:w="433"/>
              <w:gridCol w:w="779"/>
              <w:gridCol w:w="359"/>
              <w:gridCol w:w="1020"/>
            </w:tblGrid>
            <w:tr w14:paraId="3DC7997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946" w:type="pct"/>
                  <w:vAlign w:val="center"/>
                </w:tcPr>
                <w:p w14:paraId="3762B315">
                  <w:pPr>
                    <w:pStyle w:val="5"/>
                    <w:rPr>
                      <w:lang w:val="en-US" w:eastAsia="zh-CN"/>
                    </w:rPr>
                  </w:pPr>
                  <w:r>
                    <w:rPr>
                      <w:lang w:val="en-US" w:eastAsia="zh-CN"/>
                    </w:rPr>
                    <w:t>名称</w:t>
                  </w:r>
                </w:p>
              </w:tc>
              <w:tc>
                <w:tcPr>
                  <w:tcW w:w="1816" w:type="pct"/>
                  <w:vAlign w:val="center"/>
                </w:tcPr>
                <w:p w14:paraId="6E892B7D">
                  <w:pPr>
                    <w:pStyle w:val="5"/>
                    <w:rPr>
                      <w:lang w:val="en-US" w:eastAsia="zh-CN"/>
                    </w:rPr>
                  </w:pPr>
                  <w:r>
                    <w:rPr>
                      <w:lang w:val="en-US" w:eastAsia="zh-CN"/>
                    </w:rPr>
                    <w:t>尺寸及数量</w:t>
                  </w:r>
                </w:p>
              </w:tc>
              <w:tc>
                <w:tcPr>
                  <w:tcW w:w="379" w:type="pct"/>
                  <w:vAlign w:val="center"/>
                </w:tcPr>
                <w:p w14:paraId="1E2F73F2">
                  <w:pPr>
                    <w:pStyle w:val="5"/>
                    <w:rPr>
                      <w:lang w:val="en-US" w:eastAsia="zh-CN"/>
                    </w:rPr>
                  </w:pPr>
                  <w:r>
                    <w:rPr>
                      <w:lang w:val="en-US" w:eastAsia="zh-CN"/>
                    </w:rPr>
                    <w:t>类型</w:t>
                  </w:r>
                </w:p>
              </w:tc>
              <w:tc>
                <w:tcPr>
                  <w:tcW w:w="316" w:type="pct"/>
                  <w:vAlign w:val="center"/>
                </w:tcPr>
                <w:p w14:paraId="41CA72E6">
                  <w:pPr>
                    <w:pStyle w:val="5"/>
                    <w:rPr>
                      <w:lang w:val="en-US" w:eastAsia="zh-CN"/>
                    </w:rPr>
                  </w:pPr>
                  <w:r>
                    <w:rPr>
                      <w:lang w:val="en-US" w:eastAsia="zh-CN"/>
                    </w:rPr>
                    <w:t>密度g/cm</w:t>
                  </w:r>
                  <w:r>
                    <w:rPr>
                      <w:vertAlign w:val="superscript"/>
                      <w:lang w:val="en-US" w:eastAsia="zh-CN"/>
                    </w:rPr>
                    <w:t>3</w:t>
                  </w:r>
                </w:p>
              </w:tc>
              <w:tc>
                <w:tcPr>
                  <w:tcW w:w="258" w:type="pct"/>
                  <w:vAlign w:val="center"/>
                </w:tcPr>
                <w:p w14:paraId="752650D9">
                  <w:pPr>
                    <w:pStyle w:val="5"/>
                    <w:rPr>
                      <w:lang w:val="en-US" w:eastAsia="zh-CN"/>
                    </w:rPr>
                  </w:pPr>
                  <w:r>
                    <w:rPr>
                      <w:lang w:val="en-US" w:eastAsia="zh-CN"/>
                    </w:rPr>
                    <w:t>结构</w:t>
                  </w:r>
                </w:p>
              </w:tc>
              <w:tc>
                <w:tcPr>
                  <w:tcW w:w="464" w:type="pct"/>
                  <w:vAlign w:val="center"/>
                </w:tcPr>
                <w:p w14:paraId="30919329">
                  <w:pPr>
                    <w:pStyle w:val="5"/>
                    <w:rPr>
                      <w:lang w:val="en-US" w:eastAsia="zh-CN"/>
                    </w:rPr>
                  </w:pPr>
                  <w:r>
                    <w:rPr>
                      <w:lang w:val="en-US" w:eastAsia="zh-CN"/>
                    </w:rPr>
                    <w:t>最大储存量（t）</w:t>
                  </w:r>
                </w:p>
              </w:tc>
              <w:tc>
                <w:tcPr>
                  <w:tcW w:w="214" w:type="pct"/>
                  <w:vAlign w:val="center"/>
                </w:tcPr>
                <w:p w14:paraId="28785788">
                  <w:pPr>
                    <w:pStyle w:val="5"/>
                    <w:rPr>
                      <w:lang w:val="en-US" w:eastAsia="zh-CN"/>
                    </w:rPr>
                  </w:pPr>
                  <w:r>
                    <w:rPr>
                      <w:lang w:val="en-US" w:eastAsia="zh-CN"/>
                    </w:rPr>
                    <w:t>周转</w:t>
                  </w:r>
                </w:p>
                <w:p w14:paraId="1AE91B13">
                  <w:pPr>
                    <w:pStyle w:val="5"/>
                    <w:rPr>
                      <w:lang w:val="en-US" w:eastAsia="zh-CN"/>
                    </w:rPr>
                  </w:pPr>
                  <w:r>
                    <w:rPr>
                      <w:lang w:val="en-US" w:eastAsia="zh-CN"/>
                    </w:rPr>
                    <w:t>天数</w:t>
                  </w:r>
                </w:p>
              </w:tc>
              <w:tc>
                <w:tcPr>
                  <w:tcW w:w="605" w:type="pct"/>
                  <w:vAlign w:val="center"/>
                </w:tcPr>
                <w:p w14:paraId="62601071">
                  <w:pPr>
                    <w:pStyle w:val="5"/>
                    <w:rPr>
                      <w:lang w:val="en-US" w:eastAsia="zh-CN"/>
                    </w:rPr>
                  </w:pPr>
                  <w:r>
                    <w:rPr>
                      <w:lang w:val="en-US" w:eastAsia="zh-CN"/>
                    </w:rPr>
                    <w:t>备注</w:t>
                  </w:r>
                </w:p>
              </w:tc>
            </w:tr>
            <w:tr w14:paraId="54BCF7B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000" w:type="pct"/>
                  <w:gridSpan w:val="8"/>
                  <w:vAlign w:val="center"/>
                </w:tcPr>
                <w:p w14:paraId="41628569">
                  <w:pPr>
                    <w:pStyle w:val="5"/>
                    <w:rPr>
                      <w:lang w:val="en-US" w:eastAsia="zh-CN"/>
                    </w:rPr>
                  </w:pPr>
                  <w:r>
                    <w:rPr>
                      <w:lang w:val="en-US" w:eastAsia="zh-CN"/>
                    </w:rPr>
                    <w:t>罐区一</w:t>
                  </w:r>
                </w:p>
              </w:tc>
            </w:tr>
            <w:tr w14:paraId="026A50B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vAlign w:val="center"/>
                </w:tcPr>
                <w:p w14:paraId="282E7BA1">
                  <w:pPr>
                    <w:pStyle w:val="5"/>
                    <w:rPr>
                      <w:lang w:val="en-US" w:eastAsia="zh-CN"/>
                    </w:rPr>
                  </w:pPr>
                  <w:r>
                    <w:rPr>
                      <w:lang w:val="en-US" w:eastAsia="zh-CN"/>
                    </w:rPr>
                    <w:t>轻烃原料储罐</w:t>
                  </w:r>
                </w:p>
              </w:tc>
              <w:tc>
                <w:tcPr>
                  <w:tcW w:w="1816" w:type="pct"/>
                  <w:vAlign w:val="center"/>
                </w:tcPr>
                <w:p w14:paraId="716874DD">
                  <w:pPr>
                    <w:pStyle w:val="5"/>
                    <w:rPr>
                      <w:lang w:val="en-US" w:eastAsia="zh-CN"/>
                    </w:rPr>
                  </w:pPr>
                  <w:r>
                    <w:rPr>
                      <w:lang w:val="en-US" w:eastAsia="zh-CN"/>
                    </w:rPr>
                    <w:t>φ14×14.27m，2个，2000m</w:t>
                  </w:r>
                  <w:r>
                    <w:rPr>
                      <w:vertAlign w:val="superscript"/>
                      <w:lang w:val="en-US" w:eastAsia="zh-CN"/>
                    </w:rPr>
                    <w:t>3</w:t>
                  </w:r>
                  <w:r>
                    <w:rPr>
                      <w:lang w:val="en-US" w:eastAsia="zh-CN"/>
                    </w:rPr>
                    <w:t>/个，总容积4000m</w:t>
                  </w:r>
                  <w:r>
                    <w:rPr>
                      <w:vertAlign w:val="superscript"/>
                      <w:lang w:val="en-US" w:eastAsia="zh-CN"/>
                    </w:rPr>
                    <w:t>3</w:t>
                  </w:r>
                </w:p>
              </w:tc>
              <w:tc>
                <w:tcPr>
                  <w:tcW w:w="379" w:type="pct"/>
                  <w:vAlign w:val="center"/>
                </w:tcPr>
                <w:p w14:paraId="6CE55A13">
                  <w:pPr>
                    <w:pStyle w:val="5"/>
                    <w:rPr>
                      <w:lang w:val="en-US" w:eastAsia="zh-CN"/>
                    </w:rPr>
                  </w:pPr>
                  <w:r>
                    <w:rPr>
                      <w:lang w:val="en-US" w:eastAsia="zh-CN"/>
                    </w:rPr>
                    <w:t>内浮</w:t>
                  </w:r>
                </w:p>
                <w:p w14:paraId="00FDA393">
                  <w:pPr>
                    <w:pStyle w:val="5"/>
                    <w:rPr>
                      <w:lang w:val="en-US" w:eastAsia="zh-CN"/>
                    </w:rPr>
                  </w:pPr>
                  <w:r>
                    <w:rPr>
                      <w:lang w:val="en-US" w:eastAsia="zh-CN"/>
                    </w:rPr>
                    <w:t>顶罐</w:t>
                  </w:r>
                </w:p>
              </w:tc>
              <w:tc>
                <w:tcPr>
                  <w:tcW w:w="316" w:type="pct"/>
                  <w:vAlign w:val="center"/>
                </w:tcPr>
                <w:p w14:paraId="6F0F7363">
                  <w:pPr>
                    <w:pStyle w:val="5"/>
                    <w:rPr>
                      <w:lang w:val="en-US" w:eastAsia="zh-CN"/>
                    </w:rPr>
                  </w:pPr>
                  <w:r>
                    <w:rPr>
                      <w:lang w:val="en-US" w:eastAsia="zh-CN"/>
                    </w:rPr>
                    <w:t>0.741</w:t>
                  </w:r>
                </w:p>
              </w:tc>
              <w:tc>
                <w:tcPr>
                  <w:tcW w:w="258" w:type="pct"/>
                  <w:vAlign w:val="center"/>
                </w:tcPr>
                <w:p w14:paraId="5842FD71">
                  <w:pPr>
                    <w:pStyle w:val="5"/>
                    <w:rPr>
                      <w:lang w:val="en-US" w:eastAsia="zh-CN"/>
                    </w:rPr>
                  </w:pPr>
                  <w:r>
                    <w:rPr>
                      <w:lang w:val="en-US" w:eastAsia="zh-CN"/>
                    </w:rPr>
                    <w:t>立式</w:t>
                  </w:r>
                </w:p>
              </w:tc>
              <w:tc>
                <w:tcPr>
                  <w:tcW w:w="464" w:type="pct"/>
                  <w:vAlign w:val="center"/>
                </w:tcPr>
                <w:p w14:paraId="20E43F99">
                  <w:pPr>
                    <w:pStyle w:val="5"/>
                    <w:rPr>
                      <w:lang w:val="en-US" w:eastAsia="zh-CN"/>
                    </w:rPr>
                  </w:pPr>
                  <w:r>
                    <w:rPr>
                      <w:lang w:val="en-US" w:eastAsia="zh-CN"/>
                    </w:rPr>
                    <w:t>2608.32</w:t>
                  </w:r>
                </w:p>
              </w:tc>
              <w:tc>
                <w:tcPr>
                  <w:tcW w:w="214" w:type="pct"/>
                  <w:vAlign w:val="center"/>
                </w:tcPr>
                <w:p w14:paraId="7919E08C">
                  <w:pPr>
                    <w:pStyle w:val="5"/>
                    <w:rPr>
                      <w:lang w:val="en-US" w:eastAsia="zh-CN"/>
                    </w:rPr>
                  </w:pPr>
                  <w:r>
                    <w:rPr>
                      <w:lang w:val="en-US" w:eastAsia="zh-CN"/>
                    </w:rPr>
                    <w:t>32</w:t>
                  </w:r>
                </w:p>
              </w:tc>
              <w:tc>
                <w:tcPr>
                  <w:tcW w:w="605" w:type="pct"/>
                  <w:vAlign w:val="center"/>
                </w:tcPr>
                <w:p w14:paraId="6A345A9E">
                  <w:pPr>
                    <w:pStyle w:val="5"/>
                    <w:rPr>
                      <w:lang w:val="en-US" w:eastAsia="zh-CN"/>
                    </w:rPr>
                  </w:pPr>
                  <w:r>
                    <w:rPr>
                      <w:rFonts w:hint="eastAsia"/>
                      <w:lang w:val="en-US" w:eastAsia="zh-CN"/>
                    </w:rPr>
                    <w:t>暂时停用</w:t>
                  </w:r>
                </w:p>
              </w:tc>
            </w:tr>
            <w:tr w14:paraId="5E05EF8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vAlign w:val="center"/>
                </w:tcPr>
                <w:p w14:paraId="374CFB50">
                  <w:pPr>
                    <w:pStyle w:val="5"/>
                    <w:rPr>
                      <w:lang w:val="en-US" w:eastAsia="zh-CN"/>
                    </w:rPr>
                  </w:pPr>
                  <w:r>
                    <w:rPr>
                      <w:lang w:val="en-US" w:eastAsia="zh-CN"/>
                    </w:rPr>
                    <w:t>MTBE储罐</w:t>
                  </w:r>
                </w:p>
              </w:tc>
              <w:tc>
                <w:tcPr>
                  <w:tcW w:w="1816" w:type="pct"/>
                  <w:vAlign w:val="center"/>
                </w:tcPr>
                <w:p w14:paraId="31B0F7C3">
                  <w:pPr>
                    <w:pStyle w:val="5"/>
                    <w:rPr>
                      <w:lang w:val="en-US" w:eastAsia="zh-CN"/>
                    </w:rPr>
                  </w:pPr>
                  <w:r>
                    <w:rPr>
                      <w:lang w:val="en-US" w:eastAsia="zh-CN"/>
                    </w:rPr>
                    <w:t>φ14×14.27m，1个，2000m</w:t>
                  </w:r>
                  <w:r>
                    <w:rPr>
                      <w:vertAlign w:val="superscript"/>
                      <w:lang w:val="en-US" w:eastAsia="zh-CN"/>
                    </w:rPr>
                    <w:t>3</w:t>
                  </w:r>
                  <w:r>
                    <w:rPr>
                      <w:lang w:val="en-US" w:eastAsia="zh-CN"/>
                    </w:rPr>
                    <w:t>/个，总容积2000m</w:t>
                  </w:r>
                  <w:r>
                    <w:rPr>
                      <w:vertAlign w:val="superscript"/>
                      <w:lang w:val="en-US" w:eastAsia="zh-CN"/>
                    </w:rPr>
                    <w:t>3</w:t>
                  </w:r>
                </w:p>
              </w:tc>
              <w:tc>
                <w:tcPr>
                  <w:tcW w:w="379" w:type="pct"/>
                  <w:shd w:val="clear" w:color="auto" w:fill="auto"/>
                  <w:vAlign w:val="center"/>
                </w:tcPr>
                <w:p w14:paraId="3A267BE8">
                  <w:pPr>
                    <w:pStyle w:val="5"/>
                    <w:rPr>
                      <w:lang w:val="en-US" w:eastAsia="zh-CN"/>
                    </w:rPr>
                  </w:pPr>
                  <w:r>
                    <w:rPr>
                      <w:lang w:val="en-US" w:eastAsia="zh-CN"/>
                    </w:rPr>
                    <w:t>内浮</w:t>
                  </w:r>
                </w:p>
                <w:p w14:paraId="0D14DA6C">
                  <w:pPr>
                    <w:pStyle w:val="5"/>
                    <w:rPr>
                      <w:lang w:val="en-US" w:eastAsia="en-US"/>
                    </w:rPr>
                  </w:pPr>
                  <w:r>
                    <w:rPr>
                      <w:lang w:val="en-US" w:eastAsia="zh-CN"/>
                    </w:rPr>
                    <w:t>顶罐</w:t>
                  </w:r>
                </w:p>
              </w:tc>
              <w:tc>
                <w:tcPr>
                  <w:tcW w:w="316" w:type="pct"/>
                  <w:shd w:val="clear" w:color="auto" w:fill="auto"/>
                  <w:vAlign w:val="center"/>
                </w:tcPr>
                <w:p w14:paraId="21D56DF0">
                  <w:pPr>
                    <w:pStyle w:val="5"/>
                    <w:rPr>
                      <w:lang w:val="en-US" w:eastAsia="zh-CN"/>
                    </w:rPr>
                  </w:pPr>
                  <w:r>
                    <w:rPr>
                      <w:lang w:val="en-US" w:eastAsia="zh-CN"/>
                    </w:rPr>
                    <w:t>0.74</w:t>
                  </w:r>
                </w:p>
              </w:tc>
              <w:tc>
                <w:tcPr>
                  <w:tcW w:w="258" w:type="pct"/>
                  <w:shd w:val="clear" w:color="auto" w:fill="auto"/>
                  <w:vAlign w:val="center"/>
                </w:tcPr>
                <w:p w14:paraId="13B99A6A">
                  <w:pPr>
                    <w:pStyle w:val="5"/>
                    <w:rPr>
                      <w:lang w:val="en-US" w:eastAsia="en-US"/>
                    </w:rPr>
                  </w:pPr>
                  <w:r>
                    <w:rPr>
                      <w:lang w:val="en-US" w:eastAsia="zh-CN"/>
                    </w:rPr>
                    <w:t>立式</w:t>
                  </w:r>
                </w:p>
              </w:tc>
              <w:tc>
                <w:tcPr>
                  <w:tcW w:w="464" w:type="pct"/>
                  <w:shd w:val="clear" w:color="auto" w:fill="auto"/>
                  <w:vAlign w:val="center"/>
                </w:tcPr>
                <w:p w14:paraId="2EE985B2">
                  <w:pPr>
                    <w:pStyle w:val="5"/>
                    <w:rPr>
                      <w:lang w:val="en-US" w:eastAsia="zh-CN"/>
                    </w:rPr>
                  </w:pPr>
                  <w:r>
                    <w:rPr>
                      <w:lang w:val="en-US" w:eastAsia="zh-CN"/>
                    </w:rPr>
                    <w:t>1302.4</w:t>
                  </w:r>
                </w:p>
              </w:tc>
              <w:tc>
                <w:tcPr>
                  <w:tcW w:w="214" w:type="pct"/>
                  <w:shd w:val="clear" w:color="auto" w:fill="auto"/>
                  <w:vAlign w:val="center"/>
                </w:tcPr>
                <w:p w14:paraId="01E33E68">
                  <w:pPr>
                    <w:pStyle w:val="5"/>
                    <w:rPr>
                      <w:lang w:val="en-US" w:eastAsia="zh-CN"/>
                    </w:rPr>
                  </w:pPr>
                  <w:r>
                    <w:rPr>
                      <w:lang w:val="en-US" w:eastAsia="zh-CN"/>
                    </w:rPr>
                    <w:t>10</w:t>
                  </w:r>
                </w:p>
              </w:tc>
              <w:tc>
                <w:tcPr>
                  <w:tcW w:w="605" w:type="pct"/>
                  <w:shd w:val="clear" w:color="auto" w:fill="auto"/>
                  <w:vAlign w:val="center"/>
                </w:tcPr>
                <w:p w14:paraId="23519AD1">
                  <w:pPr>
                    <w:pStyle w:val="5"/>
                    <w:jc w:val="center"/>
                    <w:rPr>
                      <w:rFonts w:hint="eastAsia" w:eastAsia="宋体"/>
                      <w:lang w:val="en-US" w:eastAsia="zh-CN"/>
                    </w:rPr>
                  </w:pPr>
                  <w:r>
                    <w:rPr>
                      <w:rFonts w:hint="eastAsia"/>
                      <w:lang w:val="en-US" w:eastAsia="zh-CN"/>
                    </w:rPr>
                    <w:t>现有</w:t>
                  </w:r>
                </w:p>
              </w:tc>
            </w:tr>
            <w:tr w14:paraId="4B0C576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46" w:type="pct"/>
                  <w:vAlign w:val="center"/>
                </w:tcPr>
                <w:p w14:paraId="6677BEA1">
                  <w:pPr>
                    <w:pStyle w:val="5"/>
                    <w:rPr>
                      <w:lang w:val="en-US" w:eastAsia="zh-CN"/>
                    </w:rPr>
                  </w:pPr>
                  <w:r>
                    <w:rPr>
                      <w:lang w:val="en-US" w:eastAsia="zh-CN"/>
                    </w:rPr>
                    <w:t>混烃碳八储罐</w:t>
                  </w:r>
                </w:p>
              </w:tc>
              <w:tc>
                <w:tcPr>
                  <w:tcW w:w="1816" w:type="pct"/>
                  <w:vAlign w:val="center"/>
                </w:tcPr>
                <w:p w14:paraId="57D43C45">
                  <w:pPr>
                    <w:pStyle w:val="5"/>
                    <w:rPr>
                      <w:lang w:val="en-US" w:eastAsia="zh-CN"/>
                    </w:rPr>
                  </w:pPr>
                  <w:r>
                    <w:rPr>
                      <w:lang w:val="en-US" w:eastAsia="zh-CN"/>
                    </w:rPr>
                    <w:t>φ14×14.27m，1个，2000m</w:t>
                  </w:r>
                  <w:r>
                    <w:rPr>
                      <w:vertAlign w:val="superscript"/>
                      <w:lang w:val="en-US" w:eastAsia="zh-CN"/>
                    </w:rPr>
                    <w:t>3</w:t>
                  </w:r>
                  <w:r>
                    <w:rPr>
                      <w:lang w:val="en-US" w:eastAsia="zh-CN"/>
                    </w:rPr>
                    <w:t>/个</w:t>
                  </w:r>
                </w:p>
              </w:tc>
              <w:tc>
                <w:tcPr>
                  <w:tcW w:w="379" w:type="pct"/>
                  <w:vAlign w:val="center"/>
                </w:tcPr>
                <w:p w14:paraId="6F71FB1C">
                  <w:pPr>
                    <w:pStyle w:val="5"/>
                    <w:rPr>
                      <w:lang w:val="en-US" w:eastAsia="zh-CN"/>
                    </w:rPr>
                  </w:pPr>
                  <w:r>
                    <w:rPr>
                      <w:lang w:val="en-US" w:eastAsia="zh-CN"/>
                    </w:rPr>
                    <w:t>固定拱顶罐</w:t>
                  </w:r>
                </w:p>
              </w:tc>
              <w:tc>
                <w:tcPr>
                  <w:tcW w:w="316" w:type="pct"/>
                  <w:vAlign w:val="center"/>
                </w:tcPr>
                <w:p w14:paraId="5756D02B">
                  <w:pPr>
                    <w:pStyle w:val="5"/>
                    <w:rPr>
                      <w:lang w:val="en-US" w:eastAsia="zh-CN"/>
                    </w:rPr>
                  </w:pPr>
                  <w:r>
                    <w:rPr>
                      <w:lang w:val="en-US" w:eastAsia="zh-CN"/>
                    </w:rPr>
                    <w:t>0.856</w:t>
                  </w:r>
                </w:p>
              </w:tc>
              <w:tc>
                <w:tcPr>
                  <w:tcW w:w="258" w:type="pct"/>
                  <w:vAlign w:val="center"/>
                </w:tcPr>
                <w:p w14:paraId="0871FB39">
                  <w:pPr>
                    <w:pStyle w:val="5"/>
                    <w:rPr>
                      <w:lang w:val="en-US" w:eastAsia="zh-CN"/>
                    </w:rPr>
                  </w:pPr>
                  <w:r>
                    <w:rPr>
                      <w:lang w:val="en-US" w:eastAsia="zh-CN"/>
                    </w:rPr>
                    <w:t>立式</w:t>
                  </w:r>
                </w:p>
              </w:tc>
              <w:tc>
                <w:tcPr>
                  <w:tcW w:w="464" w:type="pct"/>
                  <w:vAlign w:val="center"/>
                </w:tcPr>
                <w:p w14:paraId="5C646CDD">
                  <w:pPr>
                    <w:pStyle w:val="5"/>
                    <w:rPr>
                      <w:lang w:val="en-US" w:eastAsia="zh-CN"/>
                    </w:rPr>
                  </w:pPr>
                  <w:r>
                    <w:rPr>
                      <w:lang w:val="en-US" w:eastAsia="zh-CN"/>
                    </w:rPr>
                    <w:t>1506.56</w:t>
                  </w:r>
                </w:p>
              </w:tc>
              <w:tc>
                <w:tcPr>
                  <w:tcW w:w="214" w:type="pct"/>
                  <w:vAlign w:val="center"/>
                </w:tcPr>
                <w:p w14:paraId="60801421">
                  <w:pPr>
                    <w:pStyle w:val="5"/>
                    <w:rPr>
                      <w:lang w:val="en-US" w:eastAsia="zh-CN"/>
                    </w:rPr>
                  </w:pPr>
                  <w:r>
                    <w:rPr>
                      <w:lang w:val="en-US" w:eastAsia="zh-CN"/>
                    </w:rPr>
                    <w:t>3</w:t>
                  </w:r>
                </w:p>
              </w:tc>
              <w:tc>
                <w:tcPr>
                  <w:tcW w:w="605" w:type="pct"/>
                  <w:vAlign w:val="center"/>
                </w:tcPr>
                <w:p w14:paraId="2C2769D1">
                  <w:pPr>
                    <w:pStyle w:val="5"/>
                    <w:bidi w:val="0"/>
                    <w:rPr>
                      <w:lang w:val="en-US" w:eastAsia="zh-CN"/>
                    </w:rPr>
                  </w:pPr>
                  <w:r>
                    <w:rPr>
                      <w:rFonts w:hint="eastAsia"/>
                      <w:lang w:val="en-US" w:eastAsia="zh-CN"/>
                    </w:rPr>
                    <w:t>现有</w:t>
                  </w:r>
                </w:p>
              </w:tc>
            </w:tr>
            <w:tr w14:paraId="53CC476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vAlign w:val="center"/>
                </w:tcPr>
                <w:p w14:paraId="3A3696DF">
                  <w:pPr>
                    <w:pStyle w:val="5"/>
                    <w:rPr>
                      <w:lang w:val="en-US" w:eastAsia="zh-CN"/>
                    </w:rPr>
                  </w:pPr>
                  <w:r>
                    <w:rPr>
                      <w:lang w:val="en-US" w:eastAsia="zh-CN"/>
                    </w:rPr>
                    <w:t>己烷异构体储罐</w:t>
                  </w:r>
                </w:p>
              </w:tc>
              <w:tc>
                <w:tcPr>
                  <w:tcW w:w="1816" w:type="pct"/>
                  <w:vAlign w:val="center"/>
                </w:tcPr>
                <w:p w14:paraId="32072273">
                  <w:pPr>
                    <w:pStyle w:val="5"/>
                    <w:rPr>
                      <w:lang w:val="en-US" w:eastAsia="zh-CN"/>
                    </w:rPr>
                  </w:pPr>
                  <w:r>
                    <w:rPr>
                      <w:lang w:val="en-US" w:eastAsia="zh-CN"/>
                    </w:rPr>
                    <w:t>φ14×14.27m，2个，2000m</w:t>
                  </w:r>
                  <w:r>
                    <w:rPr>
                      <w:vertAlign w:val="superscript"/>
                      <w:lang w:val="en-US" w:eastAsia="zh-CN"/>
                    </w:rPr>
                    <w:t>3</w:t>
                  </w:r>
                  <w:r>
                    <w:rPr>
                      <w:lang w:val="en-US" w:eastAsia="zh-CN"/>
                    </w:rPr>
                    <w:t>/个，总容积4000m</w:t>
                  </w:r>
                  <w:r>
                    <w:rPr>
                      <w:vertAlign w:val="superscript"/>
                      <w:lang w:val="en-US" w:eastAsia="zh-CN"/>
                    </w:rPr>
                    <w:t>3</w:t>
                  </w:r>
                </w:p>
              </w:tc>
              <w:tc>
                <w:tcPr>
                  <w:tcW w:w="379" w:type="pct"/>
                  <w:vAlign w:val="center"/>
                </w:tcPr>
                <w:p w14:paraId="4CF322D0">
                  <w:pPr>
                    <w:pStyle w:val="5"/>
                    <w:rPr>
                      <w:lang w:val="en-US" w:eastAsia="zh-CN"/>
                    </w:rPr>
                  </w:pPr>
                  <w:r>
                    <w:rPr>
                      <w:lang w:val="en-US" w:eastAsia="zh-CN"/>
                    </w:rPr>
                    <w:t>内浮</w:t>
                  </w:r>
                </w:p>
                <w:p w14:paraId="48C63A17">
                  <w:pPr>
                    <w:pStyle w:val="5"/>
                    <w:rPr>
                      <w:lang w:val="en-US" w:eastAsia="zh-CN"/>
                    </w:rPr>
                  </w:pPr>
                  <w:r>
                    <w:rPr>
                      <w:lang w:val="en-US" w:eastAsia="zh-CN"/>
                    </w:rPr>
                    <w:t>顶罐</w:t>
                  </w:r>
                </w:p>
              </w:tc>
              <w:tc>
                <w:tcPr>
                  <w:tcW w:w="316" w:type="pct"/>
                  <w:vAlign w:val="center"/>
                </w:tcPr>
                <w:p w14:paraId="2E71C200">
                  <w:pPr>
                    <w:pStyle w:val="5"/>
                    <w:rPr>
                      <w:lang w:val="en-US" w:eastAsia="zh-CN"/>
                    </w:rPr>
                  </w:pPr>
                  <w:r>
                    <w:rPr>
                      <w:lang w:val="en-US" w:eastAsia="zh-CN"/>
                    </w:rPr>
                    <w:t>0.701</w:t>
                  </w:r>
                </w:p>
              </w:tc>
              <w:tc>
                <w:tcPr>
                  <w:tcW w:w="258" w:type="pct"/>
                  <w:vAlign w:val="center"/>
                </w:tcPr>
                <w:p w14:paraId="4250048A">
                  <w:pPr>
                    <w:pStyle w:val="5"/>
                    <w:rPr>
                      <w:lang w:val="en-US" w:eastAsia="zh-CN"/>
                    </w:rPr>
                  </w:pPr>
                  <w:r>
                    <w:rPr>
                      <w:lang w:val="en-US" w:eastAsia="zh-CN"/>
                    </w:rPr>
                    <w:t>立式</w:t>
                  </w:r>
                </w:p>
              </w:tc>
              <w:tc>
                <w:tcPr>
                  <w:tcW w:w="464" w:type="pct"/>
                  <w:vAlign w:val="center"/>
                </w:tcPr>
                <w:p w14:paraId="158308FC">
                  <w:pPr>
                    <w:pStyle w:val="5"/>
                    <w:rPr>
                      <w:lang w:val="en-US" w:eastAsia="zh-CN"/>
                    </w:rPr>
                  </w:pPr>
                  <w:r>
                    <w:rPr>
                      <w:lang w:val="en-US" w:eastAsia="zh-CN"/>
                    </w:rPr>
                    <w:t>2467.52</w:t>
                  </w:r>
                </w:p>
              </w:tc>
              <w:tc>
                <w:tcPr>
                  <w:tcW w:w="214" w:type="pct"/>
                  <w:vAlign w:val="center"/>
                </w:tcPr>
                <w:p w14:paraId="6D3D7FA9">
                  <w:pPr>
                    <w:pStyle w:val="5"/>
                    <w:rPr>
                      <w:lang w:val="en-US" w:eastAsia="zh-CN"/>
                    </w:rPr>
                  </w:pPr>
                  <w:r>
                    <w:rPr>
                      <w:lang w:val="en-US" w:eastAsia="zh-CN"/>
                    </w:rPr>
                    <w:t>13</w:t>
                  </w:r>
                </w:p>
              </w:tc>
              <w:tc>
                <w:tcPr>
                  <w:tcW w:w="605" w:type="pct"/>
                  <w:vAlign w:val="center"/>
                </w:tcPr>
                <w:p w14:paraId="642A5A5D">
                  <w:pPr>
                    <w:pStyle w:val="5"/>
                    <w:bidi w:val="0"/>
                    <w:rPr>
                      <w:lang w:val="en-US" w:eastAsia="zh-CN"/>
                    </w:rPr>
                  </w:pPr>
                  <w:r>
                    <w:rPr>
                      <w:rFonts w:hint="eastAsia"/>
                      <w:lang w:val="en-US" w:eastAsia="zh-CN"/>
                    </w:rPr>
                    <w:t>现有</w:t>
                  </w:r>
                </w:p>
              </w:tc>
            </w:tr>
            <w:tr w14:paraId="5B18AF8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6" w:type="pct"/>
                  <w:vAlign w:val="center"/>
                </w:tcPr>
                <w:p w14:paraId="743E405F">
                  <w:pPr>
                    <w:pStyle w:val="5"/>
                    <w:rPr>
                      <w:lang w:val="en-US" w:eastAsia="zh-CN"/>
                    </w:rPr>
                  </w:pPr>
                  <w:r>
                    <w:rPr>
                      <w:lang w:val="en-US" w:eastAsia="zh-CN"/>
                    </w:rPr>
                    <w:t>混烃原料储罐</w:t>
                  </w:r>
                </w:p>
              </w:tc>
              <w:tc>
                <w:tcPr>
                  <w:tcW w:w="1816" w:type="pct"/>
                  <w:vAlign w:val="center"/>
                </w:tcPr>
                <w:p w14:paraId="3D403936">
                  <w:pPr>
                    <w:pStyle w:val="5"/>
                    <w:rPr>
                      <w:lang w:val="en-US" w:eastAsia="zh-CN"/>
                    </w:rPr>
                  </w:pPr>
                  <w:r>
                    <w:rPr>
                      <w:lang w:val="en-US" w:eastAsia="zh-CN"/>
                    </w:rPr>
                    <w:t>φ14×14.27m，2个，2000m</w:t>
                  </w:r>
                  <w:r>
                    <w:rPr>
                      <w:vertAlign w:val="superscript"/>
                      <w:lang w:val="en-US" w:eastAsia="zh-CN"/>
                    </w:rPr>
                    <w:t>3</w:t>
                  </w:r>
                  <w:r>
                    <w:rPr>
                      <w:lang w:val="en-US" w:eastAsia="zh-CN"/>
                    </w:rPr>
                    <w:t>/个，总容积4000m</w:t>
                  </w:r>
                  <w:r>
                    <w:rPr>
                      <w:vertAlign w:val="superscript"/>
                      <w:lang w:val="en-US" w:eastAsia="zh-CN"/>
                    </w:rPr>
                    <w:t>3</w:t>
                  </w:r>
                </w:p>
              </w:tc>
              <w:tc>
                <w:tcPr>
                  <w:tcW w:w="379" w:type="pct"/>
                  <w:vAlign w:val="center"/>
                </w:tcPr>
                <w:p w14:paraId="6C3A2805">
                  <w:pPr>
                    <w:pStyle w:val="5"/>
                    <w:rPr>
                      <w:lang w:val="en-US" w:eastAsia="zh-CN"/>
                    </w:rPr>
                  </w:pPr>
                  <w:r>
                    <w:rPr>
                      <w:lang w:val="en-US" w:eastAsia="zh-CN"/>
                    </w:rPr>
                    <w:t>内浮</w:t>
                  </w:r>
                </w:p>
                <w:p w14:paraId="67522EAD">
                  <w:pPr>
                    <w:pStyle w:val="5"/>
                    <w:rPr>
                      <w:lang w:val="en-US" w:eastAsia="zh-CN"/>
                    </w:rPr>
                  </w:pPr>
                  <w:r>
                    <w:rPr>
                      <w:lang w:val="en-US" w:eastAsia="zh-CN"/>
                    </w:rPr>
                    <w:t>顶罐</w:t>
                  </w:r>
                </w:p>
              </w:tc>
              <w:tc>
                <w:tcPr>
                  <w:tcW w:w="316" w:type="pct"/>
                  <w:vAlign w:val="center"/>
                </w:tcPr>
                <w:p w14:paraId="27662739">
                  <w:pPr>
                    <w:pStyle w:val="5"/>
                    <w:rPr>
                      <w:lang w:val="en-US" w:eastAsia="zh-CN"/>
                    </w:rPr>
                  </w:pPr>
                  <w:r>
                    <w:rPr>
                      <w:lang w:val="en-US" w:eastAsia="zh-CN"/>
                    </w:rPr>
                    <w:t>0.781</w:t>
                  </w:r>
                </w:p>
              </w:tc>
              <w:tc>
                <w:tcPr>
                  <w:tcW w:w="258" w:type="pct"/>
                  <w:vAlign w:val="center"/>
                </w:tcPr>
                <w:p w14:paraId="30641ECA">
                  <w:pPr>
                    <w:pStyle w:val="5"/>
                    <w:rPr>
                      <w:lang w:val="en-US" w:eastAsia="zh-CN"/>
                    </w:rPr>
                  </w:pPr>
                  <w:r>
                    <w:rPr>
                      <w:lang w:val="en-US" w:eastAsia="zh-CN"/>
                    </w:rPr>
                    <w:t>立式</w:t>
                  </w:r>
                </w:p>
              </w:tc>
              <w:tc>
                <w:tcPr>
                  <w:tcW w:w="464" w:type="pct"/>
                  <w:vAlign w:val="center"/>
                </w:tcPr>
                <w:p w14:paraId="3318A7A0">
                  <w:pPr>
                    <w:pStyle w:val="5"/>
                    <w:rPr>
                      <w:lang w:val="en-US" w:eastAsia="zh-CN"/>
                    </w:rPr>
                  </w:pPr>
                  <w:r>
                    <w:rPr>
                      <w:lang w:val="en-US" w:eastAsia="zh-CN"/>
                    </w:rPr>
                    <w:t>2749.12</w:t>
                  </w:r>
                </w:p>
              </w:tc>
              <w:tc>
                <w:tcPr>
                  <w:tcW w:w="214" w:type="pct"/>
                  <w:vAlign w:val="center"/>
                </w:tcPr>
                <w:p w14:paraId="21A2551C">
                  <w:pPr>
                    <w:pStyle w:val="5"/>
                    <w:rPr>
                      <w:lang w:val="en-US" w:eastAsia="zh-CN"/>
                    </w:rPr>
                  </w:pPr>
                  <w:r>
                    <w:rPr>
                      <w:lang w:val="en-US" w:eastAsia="zh-CN"/>
                    </w:rPr>
                    <w:t>24</w:t>
                  </w:r>
                </w:p>
              </w:tc>
              <w:tc>
                <w:tcPr>
                  <w:tcW w:w="605" w:type="pct"/>
                  <w:vAlign w:val="center"/>
                </w:tcPr>
                <w:p w14:paraId="42AE7C78">
                  <w:pPr>
                    <w:pStyle w:val="5"/>
                    <w:bidi w:val="0"/>
                    <w:rPr>
                      <w:lang w:val="en-US" w:eastAsia="zh-CN"/>
                    </w:rPr>
                  </w:pPr>
                  <w:r>
                    <w:rPr>
                      <w:rFonts w:hint="eastAsia"/>
                      <w:lang w:val="en-US" w:eastAsia="zh-CN"/>
                    </w:rPr>
                    <w:t>现有</w:t>
                  </w:r>
                </w:p>
              </w:tc>
            </w:tr>
            <w:tr w14:paraId="36A72B5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6" w:type="pct"/>
                  <w:vAlign w:val="center"/>
                </w:tcPr>
                <w:p w14:paraId="2F7BB493">
                  <w:pPr>
                    <w:pStyle w:val="5"/>
                    <w:rPr>
                      <w:lang w:val="en-US" w:eastAsia="zh-CN"/>
                    </w:rPr>
                  </w:pPr>
                  <w:r>
                    <w:rPr>
                      <w:lang w:val="en-US" w:eastAsia="zh-CN"/>
                    </w:rPr>
                    <w:t>三甲苯储罐</w:t>
                  </w:r>
                </w:p>
              </w:tc>
              <w:tc>
                <w:tcPr>
                  <w:tcW w:w="1816" w:type="pct"/>
                  <w:vAlign w:val="center"/>
                </w:tcPr>
                <w:p w14:paraId="708287D3">
                  <w:pPr>
                    <w:pStyle w:val="5"/>
                    <w:rPr>
                      <w:lang w:val="en-US" w:eastAsia="zh-CN"/>
                    </w:rPr>
                  </w:pPr>
                  <w:r>
                    <w:rPr>
                      <w:lang w:val="en-US" w:eastAsia="zh-CN"/>
                    </w:rPr>
                    <w:t>φ14×14.27m，1个，2000m</w:t>
                  </w:r>
                  <w:r>
                    <w:rPr>
                      <w:vertAlign w:val="superscript"/>
                      <w:lang w:val="en-US" w:eastAsia="zh-CN"/>
                    </w:rPr>
                    <w:t>3</w:t>
                  </w:r>
                  <w:r>
                    <w:rPr>
                      <w:lang w:val="en-US" w:eastAsia="zh-CN"/>
                    </w:rPr>
                    <w:t>/个，总容积2000m</w:t>
                  </w:r>
                  <w:r>
                    <w:rPr>
                      <w:vertAlign w:val="superscript"/>
                      <w:lang w:val="en-US" w:eastAsia="zh-CN"/>
                    </w:rPr>
                    <w:t>3</w:t>
                  </w:r>
                </w:p>
              </w:tc>
              <w:tc>
                <w:tcPr>
                  <w:tcW w:w="379" w:type="pct"/>
                  <w:shd w:val="clear" w:color="auto" w:fill="auto"/>
                  <w:vAlign w:val="center"/>
                </w:tcPr>
                <w:p w14:paraId="30B6C5EA">
                  <w:pPr>
                    <w:pStyle w:val="5"/>
                    <w:rPr>
                      <w:lang w:val="en-US" w:eastAsia="zh-CN"/>
                    </w:rPr>
                  </w:pPr>
                  <w:r>
                    <w:rPr>
                      <w:lang w:val="en-US" w:eastAsia="zh-CN"/>
                    </w:rPr>
                    <w:t>内浮</w:t>
                  </w:r>
                </w:p>
                <w:p w14:paraId="209AC895">
                  <w:pPr>
                    <w:pStyle w:val="5"/>
                    <w:rPr>
                      <w:lang w:val="en-US" w:eastAsia="en-US"/>
                    </w:rPr>
                  </w:pPr>
                  <w:r>
                    <w:rPr>
                      <w:lang w:val="en-US" w:eastAsia="zh-CN"/>
                    </w:rPr>
                    <w:t>顶罐</w:t>
                  </w:r>
                </w:p>
              </w:tc>
              <w:tc>
                <w:tcPr>
                  <w:tcW w:w="316" w:type="pct"/>
                  <w:shd w:val="clear" w:color="auto" w:fill="auto"/>
                  <w:vAlign w:val="center"/>
                </w:tcPr>
                <w:p w14:paraId="5CFDDE90">
                  <w:pPr>
                    <w:pStyle w:val="5"/>
                    <w:rPr>
                      <w:lang w:val="en-US" w:eastAsia="zh-CN"/>
                    </w:rPr>
                  </w:pPr>
                  <w:r>
                    <w:rPr>
                      <w:lang w:val="en-US" w:eastAsia="zh-CN"/>
                    </w:rPr>
                    <w:t>0.867</w:t>
                  </w:r>
                </w:p>
              </w:tc>
              <w:tc>
                <w:tcPr>
                  <w:tcW w:w="258" w:type="pct"/>
                  <w:shd w:val="clear" w:color="auto" w:fill="auto"/>
                  <w:vAlign w:val="center"/>
                </w:tcPr>
                <w:p w14:paraId="1AEFD7FB">
                  <w:pPr>
                    <w:pStyle w:val="5"/>
                    <w:rPr>
                      <w:lang w:val="en-US" w:eastAsia="en-US"/>
                    </w:rPr>
                  </w:pPr>
                  <w:r>
                    <w:rPr>
                      <w:lang w:val="en-US" w:eastAsia="zh-CN"/>
                    </w:rPr>
                    <w:t>立式</w:t>
                  </w:r>
                </w:p>
              </w:tc>
              <w:tc>
                <w:tcPr>
                  <w:tcW w:w="464" w:type="pct"/>
                  <w:shd w:val="clear" w:color="auto" w:fill="auto"/>
                  <w:vAlign w:val="center"/>
                </w:tcPr>
                <w:p w14:paraId="5BE100CA">
                  <w:pPr>
                    <w:pStyle w:val="5"/>
                    <w:rPr>
                      <w:lang w:val="en-US" w:eastAsia="zh-CN"/>
                    </w:rPr>
                  </w:pPr>
                  <w:r>
                    <w:rPr>
                      <w:lang w:val="en-US" w:eastAsia="zh-CN"/>
                    </w:rPr>
                    <w:t>1525.92</w:t>
                  </w:r>
                </w:p>
              </w:tc>
              <w:tc>
                <w:tcPr>
                  <w:tcW w:w="214" w:type="pct"/>
                  <w:shd w:val="clear" w:color="auto" w:fill="auto"/>
                  <w:vAlign w:val="center"/>
                </w:tcPr>
                <w:p w14:paraId="5EAB36A4">
                  <w:pPr>
                    <w:pStyle w:val="5"/>
                    <w:rPr>
                      <w:lang w:val="en-US" w:eastAsia="zh-CN"/>
                    </w:rPr>
                  </w:pPr>
                  <w:r>
                    <w:rPr>
                      <w:lang w:val="en-US" w:eastAsia="zh-CN"/>
                    </w:rPr>
                    <w:t>5</w:t>
                  </w:r>
                </w:p>
              </w:tc>
              <w:tc>
                <w:tcPr>
                  <w:tcW w:w="605" w:type="pct"/>
                  <w:shd w:val="clear" w:color="auto" w:fill="auto"/>
                  <w:vAlign w:val="center"/>
                </w:tcPr>
                <w:p w14:paraId="3A9FA6C6">
                  <w:pPr>
                    <w:pStyle w:val="5"/>
                    <w:bidi w:val="0"/>
                    <w:rPr>
                      <w:lang w:val="en-US" w:eastAsia="en-US"/>
                    </w:rPr>
                  </w:pPr>
                  <w:r>
                    <w:rPr>
                      <w:rFonts w:hint="eastAsia"/>
                      <w:lang w:val="en-US" w:eastAsia="zh-CN"/>
                    </w:rPr>
                    <w:t>现有</w:t>
                  </w:r>
                </w:p>
              </w:tc>
            </w:tr>
            <w:tr w14:paraId="0D8009B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vAlign w:val="center"/>
                </w:tcPr>
                <w:p w14:paraId="5144887B">
                  <w:pPr>
                    <w:pStyle w:val="5"/>
                    <w:rPr>
                      <w:lang w:val="en-US" w:eastAsia="zh-CN"/>
                    </w:rPr>
                  </w:pPr>
                  <w:r>
                    <w:rPr>
                      <w:lang w:val="en-US" w:eastAsia="zh-CN"/>
                    </w:rPr>
                    <w:t>不合格品储罐</w:t>
                  </w:r>
                </w:p>
              </w:tc>
              <w:tc>
                <w:tcPr>
                  <w:tcW w:w="1816" w:type="pct"/>
                  <w:vAlign w:val="center"/>
                </w:tcPr>
                <w:p w14:paraId="6CA98122">
                  <w:pPr>
                    <w:pStyle w:val="5"/>
                    <w:rPr>
                      <w:lang w:val="en-US" w:eastAsia="zh-CN"/>
                    </w:rPr>
                  </w:pPr>
                  <w:r>
                    <w:rPr>
                      <w:lang w:val="en-US" w:eastAsia="zh-CN"/>
                    </w:rPr>
                    <w:t>φ14×14.27m，1个，2000m</w:t>
                  </w:r>
                  <w:r>
                    <w:rPr>
                      <w:vertAlign w:val="superscript"/>
                      <w:lang w:val="en-US" w:eastAsia="zh-CN"/>
                    </w:rPr>
                    <w:t>3</w:t>
                  </w:r>
                  <w:r>
                    <w:rPr>
                      <w:lang w:val="en-US" w:eastAsia="zh-CN"/>
                    </w:rPr>
                    <w:t>/个</w:t>
                  </w:r>
                </w:p>
              </w:tc>
              <w:tc>
                <w:tcPr>
                  <w:tcW w:w="379" w:type="pct"/>
                  <w:vAlign w:val="center"/>
                </w:tcPr>
                <w:p w14:paraId="4B396CCA">
                  <w:pPr>
                    <w:pStyle w:val="5"/>
                    <w:rPr>
                      <w:lang w:val="en-US" w:eastAsia="zh-CN"/>
                    </w:rPr>
                  </w:pPr>
                  <w:r>
                    <w:rPr>
                      <w:lang w:val="en-US" w:eastAsia="zh-CN"/>
                    </w:rPr>
                    <w:t>内浮</w:t>
                  </w:r>
                </w:p>
                <w:p w14:paraId="3DA39F15">
                  <w:pPr>
                    <w:pStyle w:val="5"/>
                    <w:rPr>
                      <w:lang w:val="en-US" w:eastAsia="zh-CN"/>
                    </w:rPr>
                  </w:pPr>
                  <w:r>
                    <w:rPr>
                      <w:lang w:val="en-US" w:eastAsia="zh-CN"/>
                    </w:rPr>
                    <w:t>顶罐</w:t>
                  </w:r>
                </w:p>
              </w:tc>
              <w:tc>
                <w:tcPr>
                  <w:tcW w:w="316" w:type="pct"/>
                  <w:vAlign w:val="center"/>
                </w:tcPr>
                <w:p w14:paraId="0565F5BE">
                  <w:pPr>
                    <w:pStyle w:val="5"/>
                    <w:rPr>
                      <w:lang w:val="en-US" w:eastAsia="zh-CN"/>
                    </w:rPr>
                  </w:pPr>
                  <w:r>
                    <w:rPr>
                      <w:lang w:val="en-US" w:eastAsia="zh-CN"/>
                    </w:rPr>
                    <w:t>0.801</w:t>
                  </w:r>
                </w:p>
              </w:tc>
              <w:tc>
                <w:tcPr>
                  <w:tcW w:w="258" w:type="pct"/>
                  <w:vAlign w:val="center"/>
                </w:tcPr>
                <w:p w14:paraId="7A56CA5D">
                  <w:pPr>
                    <w:pStyle w:val="5"/>
                    <w:rPr>
                      <w:lang w:val="en-US" w:eastAsia="zh-CN"/>
                    </w:rPr>
                  </w:pPr>
                  <w:r>
                    <w:rPr>
                      <w:lang w:val="en-US" w:eastAsia="zh-CN"/>
                    </w:rPr>
                    <w:t>立式</w:t>
                  </w:r>
                </w:p>
              </w:tc>
              <w:tc>
                <w:tcPr>
                  <w:tcW w:w="464" w:type="pct"/>
                  <w:vAlign w:val="center"/>
                </w:tcPr>
                <w:p w14:paraId="5DF4504F">
                  <w:pPr>
                    <w:pStyle w:val="5"/>
                    <w:rPr>
                      <w:lang w:val="en-US" w:eastAsia="zh-CN"/>
                    </w:rPr>
                  </w:pPr>
                  <w:r>
                    <w:rPr>
                      <w:lang w:val="en-US" w:eastAsia="zh-CN"/>
                    </w:rPr>
                    <w:t>1409.76</w:t>
                  </w:r>
                </w:p>
              </w:tc>
              <w:tc>
                <w:tcPr>
                  <w:tcW w:w="214" w:type="pct"/>
                  <w:vAlign w:val="center"/>
                </w:tcPr>
                <w:p w14:paraId="43FAD033">
                  <w:pPr>
                    <w:pStyle w:val="5"/>
                    <w:rPr>
                      <w:lang w:val="en-US" w:eastAsia="zh-CN"/>
                    </w:rPr>
                  </w:pPr>
                  <w:r>
                    <w:rPr>
                      <w:lang w:val="en-US" w:eastAsia="zh-CN"/>
                    </w:rPr>
                    <w:t>/</w:t>
                  </w:r>
                </w:p>
              </w:tc>
              <w:tc>
                <w:tcPr>
                  <w:tcW w:w="605" w:type="pct"/>
                  <w:vAlign w:val="center"/>
                </w:tcPr>
                <w:p w14:paraId="5950BC59">
                  <w:pPr>
                    <w:pStyle w:val="5"/>
                    <w:bidi w:val="0"/>
                    <w:rPr>
                      <w:lang w:val="en-US" w:eastAsia="zh-CN"/>
                    </w:rPr>
                  </w:pPr>
                  <w:r>
                    <w:rPr>
                      <w:rFonts w:hint="eastAsia"/>
                      <w:lang w:val="en-US" w:eastAsia="zh-CN"/>
                    </w:rPr>
                    <w:t>现有</w:t>
                  </w:r>
                </w:p>
              </w:tc>
            </w:tr>
            <w:tr w14:paraId="567FA07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tcBorders>
                    <w:bottom w:val="single" w:color="auto" w:sz="4" w:space="0"/>
                  </w:tcBorders>
                  <w:vAlign w:val="center"/>
                </w:tcPr>
                <w:p w14:paraId="49F894E0">
                  <w:pPr>
                    <w:pStyle w:val="5"/>
                    <w:rPr>
                      <w:lang w:val="en-US" w:eastAsia="zh-CN"/>
                    </w:rPr>
                  </w:pPr>
                  <w:r>
                    <w:rPr>
                      <w:lang w:val="en-US" w:eastAsia="zh-CN"/>
                    </w:rPr>
                    <w:t>工业碳六储罐</w:t>
                  </w:r>
                </w:p>
              </w:tc>
              <w:tc>
                <w:tcPr>
                  <w:tcW w:w="1816" w:type="pct"/>
                  <w:tcBorders>
                    <w:bottom w:val="single" w:color="auto" w:sz="4" w:space="0"/>
                  </w:tcBorders>
                  <w:vAlign w:val="center"/>
                </w:tcPr>
                <w:p w14:paraId="513D6D78">
                  <w:pPr>
                    <w:pStyle w:val="5"/>
                    <w:rPr>
                      <w:lang w:val="en-US" w:eastAsia="zh-CN"/>
                    </w:rPr>
                  </w:pPr>
                  <w:r>
                    <w:rPr>
                      <w:lang w:val="en-US" w:eastAsia="zh-CN"/>
                    </w:rPr>
                    <w:t>φ14×14.27m，1个，2000m</w:t>
                  </w:r>
                  <w:r>
                    <w:rPr>
                      <w:vertAlign w:val="superscript"/>
                      <w:lang w:val="en-US" w:eastAsia="zh-CN"/>
                    </w:rPr>
                    <w:t>3</w:t>
                  </w:r>
                  <w:r>
                    <w:rPr>
                      <w:lang w:val="en-US" w:eastAsia="zh-CN"/>
                    </w:rPr>
                    <w:t>/个</w:t>
                  </w:r>
                </w:p>
              </w:tc>
              <w:tc>
                <w:tcPr>
                  <w:tcW w:w="379" w:type="pct"/>
                  <w:vAlign w:val="center"/>
                </w:tcPr>
                <w:p w14:paraId="19D02383">
                  <w:pPr>
                    <w:pStyle w:val="5"/>
                    <w:rPr>
                      <w:lang w:val="en-US" w:eastAsia="zh-CN"/>
                    </w:rPr>
                  </w:pPr>
                  <w:r>
                    <w:rPr>
                      <w:lang w:val="en-US" w:eastAsia="zh-CN"/>
                    </w:rPr>
                    <w:t>内浮</w:t>
                  </w:r>
                </w:p>
                <w:p w14:paraId="688ABDC4">
                  <w:pPr>
                    <w:pStyle w:val="5"/>
                    <w:rPr>
                      <w:lang w:val="en-US" w:eastAsia="zh-CN"/>
                    </w:rPr>
                  </w:pPr>
                  <w:r>
                    <w:rPr>
                      <w:lang w:val="en-US" w:eastAsia="zh-CN"/>
                    </w:rPr>
                    <w:t>顶罐</w:t>
                  </w:r>
                </w:p>
              </w:tc>
              <w:tc>
                <w:tcPr>
                  <w:tcW w:w="316" w:type="pct"/>
                  <w:vAlign w:val="center"/>
                </w:tcPr>
                <w:p w14:paraId="2604AEEF">
                  <w:pPr>
                    <w:pStyle w:val="5"/>
                    <w:rPr>
                      <w:lang w:val="en-US" w:eastAsia="zh-CN"/>
                    </w:rPr>
                  </w:pPr>
                  <w:r>
                    <w:rPr>
                      <w:lang w:val="en-US" w:eastAsia="zh-CN"/>
                    </w:rPr>
                    <w:t>0.790</w:t>
                  </w:r>
                </w:p>
              </w:tc>
              <w:tc>
                <w:tcPr>
                  <w:tcW w:w="258" w:type="pct"/>
                  <w:vAlign w:val="center"/>
                </w:tcPr>
                <w:p w14:paraId="579F185C">
                  <w:pPr>
                    <w:pStyle w:val="5"/>
                    <w:rPr>
                      <w:lang w:val="en-US" w:eastAsia="zh-CN"/>
                    </w:rPr>
                  </w:pPr>
                  <w:r>
                    <w:rPr>
                      <w:lang w:val="en-US" w:eastAsia="zh-CN"/>
                    </w:rPr>
                    <w:t>立式</w:t>
                  </w:r>
                </w:p>
              </w:tc>
              <w:tc>
                <w:tcPr>
                  <w:tcW w:w="464" w:type="pct"/>
                  <w:tcBorders>
                    <w:right w:val="single" w:color="auto" w:sz="4" w:space="0"/>
                  </w:tcBorders>
                  <w:vAlign w:val="center"/>
                </w:tcPr>
                <w:p w14:paraId="3879D6E0">
                  <w:pPr>
                    <w:pStyle w:val="5"/>
                    <w:rPr>
                      <w:lang w:val="en-US" w:eastAsia="zh-CN"/>
                    </w:rPr>
                  </w:pPr>
                  <w:r>
                    <w:rPr>
                      <w:lang w:val="en-US" w:eastAsia="zh-CN"/>
                    </w:rPr>
                    <w:t>1390.4</w:t>
                  </w:r>
                </w:p>
              </w:tc>
              <w:tc>
                <w:tcPr>
                  <w:tcW w:w="214" w:type="pct"/>
                  <w:tcBorders>
                    <w:left w:val="single" w:color="auto" w:sz="4" w:space="0"/>
                    <w:right w:val="single" w:color="auto" w:sz="4" w:space="0"/>
                  </w:tcBorders>
                  <w:vAlign w:val="center"/>
                </w:tcPr>
                <w:p w14:paraId="767DC1B7">
                  <w:pPr>
                    <w:pStyle w:val="5"/>
                    <w:rPr>
                      <w:lang w:val="en-US" w:eastAsia="zh-CN"/>
                    </w:rPr>
                  </w:pPr>
                  <w:r>
                    <w:rPr>
                      <w:lang w:val="en-US" w:eastAsia="zh-CN"/>
                    </w:rPr>
                    <w:t>23</w:t>
                  </w:r>
                </w:p>
              </w:tc>
              <w:tc>
                <w:tcPr>
                  <w:tcW w:w="605" w:type="pct"/>
                  <w:tcBorders>
                    <w:left w:val="single" w:color="auto" w:sz="4" w:space="0"/>
                  </w:tcBorders>
                  <w:vAlign w:val="center"/>
                </w:tcPr>
                <w:p w14:paraId="59AEF7C1">
                  <w:pPr>
                    <w:pStyle w:val="5"/>
                    <w:bidi w:val="0"/>
                    <w:rPr>
                      <w:lang w:val="en-US" w:eastAsia="zh-CN"/>
                    </w:rPr>
                  </w:pPr>
                  <w:r>
                    <w:rPr>
                      <w:rFonts w:hint="eastAsia"/>
                      <w:lang w:val="en-US" w:eastAsia="zh-CN"/>
                    </w:rPr>
                    <w:t>现有</w:t>
                  </w:r>
                </w:p>
              </w:tc>
            </w:tr>
            <w:tr w14:paraId="5108922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tcBorders>
                    <w:top w:val="single" w:color="auto" w:sz="4" w:space="0"/>
                  </w:tcBorders>
                  <w:vAlign w:val="center"/>
                </w:tcPr>
                <w:p w14:paraId="6BBA2224">
                  <w:pPr>
                    <w:pStyle w:val="5"/>
                    <w:rPr>
                      <w:lang w:val="en-US" w:eastAsia="zh-CN"/>
                    </w:rPr>
                  </w:pPr>
                  <w:r>
                    <w:rPr>
                      <w:lang w:val="en-US" w:eastAsia="zh-CN"/>
                    </w:rPr>
                    <w:t>二甲苯储罐</w:t>
                  </w:r>
                </w:p>
              </w:tc>
              <w:tc>
                <w:tcPr>
                  <w:tcW w:w="1816" w:type="pct"/>
                  <w:tcBorders>
                    <w:top w:val="single" w:color="auto" w:sz="4" w:space="0"/>
                  </w:tcBorders>
                  <w:vAlign w:val="center"/>
                </w:tcPr>
                <w:p w14:paraId="3E110A10">
                  <w:pPr>
                    <w:pStyle w:val="5"/>
                    <w:rPr>
                      <w:lang w:val="en-US" w:eastAsia="zh-CN"/>
                    </w:rPr>
                  </w:pPr>
                  <w:r>
                    <w:rPr>
                      <w:lang w:val="en-US" w:eastAsia="zh-CN"/>
                    </w:rPr>
                    <w:t>φ14×14.27m，1个，2000m</w:t>
                  </w:r>
                  <w:r>
                    <w:rPr>
                      <w:vertAlign w:val="superscript"/>
                      <w:lang w:val="en-US" w:eastAsia="zh-CN"/>
                    </w:rPr>
                    <w:t>3</w:t>
                  </w:r>
                  <w:r>
                    <w:rPr>
                      <w:lang w:val="en-US" w:eastAsia="zh-CN"/>
                    </w:rPr>
                    <w:t>/个</w:t>
                  </w:r>
                </w:p>
              </w:tc>
              <w:tc>
                <w:tcPr>
                  <w:tcW w:w="379" w:type="pct"/>
                  <w:vAlign w:val="center"/>
                </w:tcPr>
                <w:p w14:paraId="2B206D2D">
                  <w:pPr>
                    <w:pStyle w:val="5"/>
                    <w:rPr>
                      <w:lang w:val="en-US" w:eastAsia="zh-CN"/>
                    </w:rPr>
                  </w:pPr>
                  <w:r>
                    <w:rPr>
                      <w:lang w:val="en-US" w:eastAsia="zh-CN"/>
                    </w:rPr>
                    <w:t>内浮</w:t>
                  </w:r>
                </w:p>
                <w:p w14:paraId="47275354">
                  <w:pPr>
                    <w:pStyle w:val="5"/>
                    <w:rPr>
                      <w:lang w:val="en-US" w:eastAsia="zh-CN"/>
                    </w:rPr>
                  </w:pPr>
                  <w:r>
                    <w:rPr>
                      <w:lang w:val="en-US" w:eastAsia="zh-CN"/>
                    </w:rPr>
                    <w:t>顶罐</w:t>
                  </w:r>
                </w:p>
              </w:tc>
              <w:tc>
                <w:tcPr>
                  <w:tcW w:w="316" w:type="pct"/>
                  <w:vAlign w:val="center"/>
                </w:tcPr>
                <w:p w14:paraId="2645512E">
                  <w:pPr>
                    <w:pStyle w:val="5"/>
                    <w:rPr>
                      <w:lang w:val="en-US" w:eastAsia="zh-CN"/>
                    </w:rPr>
                  </w:pPr>
                  <w:r>
                    <w:rPr>
                      <w:lang w:val="en-US" w:eastAsia="zh-CN"/>
                    </w:rPr>
                    <w:t>0.879</w:t>
                  </w:r>
                </w:p>
              </w:tc>
              <w:tc>
                <w:tcPr>
                  <w:tcW w:w="258" w:type="pct"/>
                  <w:vAlign w:val="center"/>
                </w:tcPr>
                <w:p w14:paraId="012EBF33">
                  <w:pPr>
                    <w:pStyle w:val="5"/>
                    <w:rPr>
                      <w:lang w:val="en-US" w:eastAsia="zh-CN"/>
                    </w:rPr>
                  </w:pPr>
                  <w:r>
                    <w:rPr>
                      <w:lang w:val="en-US" w:eastAsia="zh-CN"/>
                    </w:rPr>
                    <w:t>立式</w:t>
                  </w:r>
                </w:p>
              </w:tc>
              <w:tc>
                <w:tcPr>
                  <w:tcW w:w="464" w:type="pct"/>
                  <w:tcBorders>
                    <w:right w:val="single" w:color="auto" w:sz="4" w:space="0"/>
                  </w:tcBorders>
                  <w:vAlign w:val="center"/>
                </w:tcPr>
                <w:p w14:paraId="0EEF7569">
                  <w:pPr>
                    <w:pStyle w:val="5"/>
                    <w:rPr>
                      <w:lang w:val="en-US" w:eastAsia="zh-CN"/>
                    </w:rPr>
                  </w:pPr>
                  <w:r>
                    <w:rPr>
                      <w:lang w:val="en-US" w:eastAsia="zh-CN"/>
                    </w:rPr>
                    <w:t>1547.04</w:t>
                  </w:r>
                </w:p>
              </w:tc>
              <w:tc>
                <w:tcPr>
                  <w:tcW w:w="214" w:type="pct"/>
                  <w:tcBorders>
                    <w:right w:val="single" w:color="auto" w:sz="4" w:space="0"/>
                  </w:tcBorders>
                  <w:vAlign w:val="center"/>
                </w:tcPr>
                <w:p w14:paraId="77BD6D59">
                  <w:pPr>
                    <w:pStyle w:val="5"/>
                    <w:rPr>
                      <w:lang w:val="en-US" w:eastAsia="zh-CN"/>
                    </w:rPr>
                  </w:pPr>
                  <w:r>
                    <w:rPr>
                      <w:lang w:val="en-US" w:eastAsia="zh-CN"/>
                    </w:rPr>
                    <w:t>11</w:t>
                  </w:r>
                </w:p>
              </w:tc>
              <w:tc>
                <w:tcPr>
                  <w:tcW w:w="605" w:type="pct"/>
                  <w:tcBorders>
                    <w:left w:val="single" w:color="auto" w:sz="4" w:space="0"/>
                  </w:tcBorders>
                  <w:vAlign w:val="center"/>
                </w:tcPr>
                <w:p w14:paraId="4C500EB6">
                  <w:pPr>
                    <w:pStyle w:val="5"/>
                    <w:bidi w:val="0"/>
                    <w:rPr>
                      <w:lang w:val="en-US" w:eastAsia="zh-CN"/>
                    </w:rPr>
                  </w:pPr>
                  <w:r>
                    <w:rPr>
                      <w:rFonts w:hint="eastAsia"/>
                      <w:lang w:val="en-US" w:eastAsia="zh-CN"/>
                    </w:rPr>
                    <w:t>现有</w:t>
                  </w:r>
                </w:p>
              </w:tc>
            </w:tr>
            <w:tr w14:paraId="487B4C8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000" w:type="pct"/>
                  <w:gridSpan w:val="8"/>
                  <w:vAlign w:val="center"/>
                </w:tcPr>
                <w:p w14:paraId="046E7485">
                  <w:pPr>
                    <w:pStyle w:val="5"/>
                    <w:rPr>
                      <w:lang w:val="en-US" w:eastAsia="en-US"/>
                    </w:rPr>
                  </w:pPr>
                  <w:r>
                    <w:rPr>
                      <w:lang w:val="en-US" w:eastAsia="en-US"/>
                    </w:rPr>
                    <w:t>罐区二</w:t>
                  </w:r>
                </w:p>
              </w:tc>
            </w:tr>
            <w:tr w14:paraId="3A18E17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vAlign w:val="center"/>
                </w:tcPr>
                <w:p w14:paraId="0C7CA1E4">
                  <w:pPr>
                    <w:pStyle w:val="5"/>
                    <w:rPr>
                      <w:lang w:val="en-US" w:eastAsia="zh-CN"/>
                    </w:rPr>
                  </w:pPr>
                  <w:r>
                    <w:rPr>
                      <w:lang w:val="en-US" w:eastAsia="zh-CN"/>
                    </w:rPr>
                    <w:t>轻烃原料储罐</w:t>
                  </w:r>
                </w:p>
              </w:tc>
              <w:tc>
                <w:tcPr>
                  <w:tcW w:w="1816" w:type="pct"/>
                  <w:vAlign w:val="center"/>
                </w:tcPr>
                <w:p w14:paraId="23B6519D">
                  <w:pPr>
                    <w:pStyle w:val="5"/>
                    <w:rPr>
                      <w:lang w:val="en-US" w:eastAsia="zh-CN"/>
                    </w:rPr>
                  </w:pPr>
                  <w:r>
                    <w:rPr>
                      <w:lang w:val="en-US" w:eastAsia="zh-CN"/>
                    </w:rPr>
                    <w:t>φ14×14.27m，2个，2000m</w:t>
                  </w:r>
                  <w:r>
                    <w:rPr>
                      <w:vertAlign w:val="superscript"/>
                      <w:lang w:val="en-US" w:eastAsia="zh-CN"/>
                    </w:rPr>
                    <w:t>3</w:t>
                  </w:r>
                  <w:r>
                    <w:rPr>
                      <w:lang w:val="en-US" w:eastAsia="zh-CN"/>
                    </w:rPr>
                    <w:t>/个，总容积4000m</w:t>
                  </w:r>
                  <w:r>
                    <w:rPr>
                      <w:vertAlign w:val="superscript"/>
                      <w:lang w:val="en-US" w:eastAsia="zh-CN"/>
                    </w:rPr>
                    <w:t>3</w:t>
                  </w:r>
                </w:p>
              </w:tc>
              <w:tc>
                <w:tcPr>
                  <w:tcW w:w="379" w:type="pct"/>
                  <w:vAlign w:val="center"/>
                </w:tcPr>
                <w:p w14:paraId="0AF73D16">
                  <w:pPr>
                    <w:pStyle w:val="5"/>
                    <w:rPr>
                      <w:lang w:val="en-US" w:eastAsia="zh-CN"/>
                    </w:rPr>
                  </w:pPr>
                  <w:r>
                    <w:rPr>
                      <w:lang w:val="en-US" w:eastAsia="zh-CN"/>
                    </w:rPr>
                    <w:t>内浮</w:t>
                  </w:r>
                </w:p>
                <w:p w14:paraId="4C5DF8EE">
                  <w:pPr>
                    <w:pStyle w:val="5"/>
                    <w:rPr>
                      <w:lang w:val="en-US" w:eastAsia="zh-CN"/>
                    </w:rPr>
                  </w:pPr>
                  <w:r>
                    <w:rPr>
                      <w:lang w:val="en-US" w:eastAsia="zh-CN"/>
                    </w:rPr>
                    <w:t>顶罐</w:t>
                  </w:r>
                </w:p>
              </w:tc>
              <w:tc>
                <w:tcPr>
                  <w:tcW w:w="316" w:type="pct"/>
                  <w:vAlign w:val="center"/>
                </w:tcPr>
                <w:p w14:paraId="385DD823">
                  <w:pPr>
                    <w:pStyle w:val="5"/>
                    <w:rPr>
                      <w:lang w:val="en-US" w:eastAsia="zh-CN"/>
                    </w:rPr>
                  </w:pPr>
                  <w:r>
                    <w:rPr>
                      <w:lang w:val="en-US" w:eastAsia="zh-CN"/>
                    </w:rPr>
                    <w:t>0.741</w:t>
                  </w:r>
                </w:p>
              </w:tc>
              <w:tc>
                <w:tcPr>
                  <w:tcW w:w="258" w:type="pct"/>
                  <w:vAlign w:val="center"/>
                </w:tcPr>
                <w:p w14:paraId="123823D4">
                  <w:pPr>
                    <w:pStyle w:val="5"/>
                    <w:rPr>
                      <w:lang w:val="en-US" w:eastAsia="zh-CN"/>
                    </w:rPr>
                  </w:pPr>
                  <w:r>
                    <w:rPr>
                      <w:lang w:val="en-US" w:eastAsia="zh-CN"/>
                    </w:rPr>
                    <w:t>立式</w:t>
                  </w:r>
                </w:p>
              </w:tc>
              <w:tc>
                <w:tcPr>
                  <w:tcW w:w="464" w:type="pct"/>
                  <w:vAlign w:val="center"/>
                </w:tcPr>
                <w:p w14:paraId="0BA8B633">
                  <w:pPr>
                    <w:pStyle w:val="5"/>
                    <w:rPr>
                      <w:lang w:val="en-US" w:eastAsia="zh-CN"/>
                    </w:rPr>
                  </w:pPr>
                  <w:r>
                    <w:rPr>
                      <w:lang w:val="en-US" w:eastAsia="zh-CN"/>
                    </w:rPr>
                    <w:t>2608.32</w:t>
                  </w:r>
                </w:p>
              </w:tc>
              <w:tc>
                <w:tcPr>
                  <w:tcW w:w="214" w:type="pct"/>
                  <w:vAlign w:val="center"/>
                </w:tcPr>
                <w:p w14:paraId="467707BE">
                  <w:pPr>
                    <w:pStyle w:val="5"/>
                    <w:rPr>
                      <w:lang w:val="en-US" w:eastAsia="zh-CN"/>
                    </w:rPr>
                  </w:pPr>
                  <w:r>
                    <w:rPr>
                      <w:lang w:val="en-US" w:eastAsia="zh-CN"/>
                    </w:rPr>
                    <w:t>32</w:t>
                  </w:r>
                </w:p>
              </w:tc>
              <w:tc>
                <w:tcPr>
                  <w:tcW w:w="605" w:type="pct"/>
                  <w:vAlign w:val="center"/>
                </w:tcPr>
                <w:p w14:paraId="4C2297FB">
                  <w:pPr>
                    <w:pStyle w:val="5"/>
                    <w:rPr>
                      <w:lang w:val="en-US" w:eastAsia="zh-CN"/>
                    </w:rPr>
                  </w:pPr>
                  <w:r>
                    <w:rPr>
                      <w:rFonts w:hint="eastAsia"/>
                      <w:lang w:val="en-US" w:eastAsia="zh-CN"/>
                    </w:rPr>
                    <w:t>暂时停用</w:t>
                  </w:r>
                </w:p>
              </w:tc>
            </w:tr>
            <w:tr w14:paraId="43CFE5A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vAlign w:val="center"/>
                </w:tcPr>
                <w:p w14:paraId="4D461E09">
                  <w:pPr>
                    <w:pStyle w:val="5"/>
                    <w:rPr>
                      <w:lang w:val="en-US" w:eastAsia="zh-CN"/>
                    </w:rPr>
                  </w:pPr>
                  <w:r>
                    <w:rPr>
                      <w:lang w:val="en-US" w:eastAsia="zh-CN"/>
                    </w:rPr>
                    <w:t>92#汽油、95#汽油</w:t>
                  </w:r>
                </w:p>
              </w:tc>
              <w:tc>
                <w:tcPr>
                  <w:tcW w:w="1816" w:type="pct"/>
                  <w:vAlign w:val="center"/>
                </w:tcPr>
                <w:p w14:paraId="23F51B74">
                  <w:pPr>
                    <w:pStyle w:val="5"/>
                    <w:rPr>
                      <w:lang w:val="en-US" w:eastAsia="zh-CN"/>
                    </w:rPr>
                  </w:pPr>
                  <w:r>
                    <w:rPr>
                      <w:lang w:val="en-US" w:eastAsia="zh-CN"/>
                    </w:rPr>
                    <w:t>φ14×14.27m，2个，2000m</w:t>
                  </w:r>
                  <w:r>
                    <w:rPr>
                      <w:vertAlign w:val="superscript"/>
                      <w:lang w:val="en-US" w:eastAsia="zh-CN"/>
                    </w:rPr>
                    <w:t>3</w:t>
                  </w:r>
                  <w:r>
                    <w:rPr>
                      <w:lang w:val="en-US" w:eastAsia="zh-CN"/>
                    </w:rPr>
                    <w:t>/个，总容积4000m</w:t>
                  </w:r>
                  <w:r>
                    <w:rPr>
                      <w:vertAlign w:val="superscript"/>
                      <w:lang w:val="en-US" w:eastAsia="zh-CN"/>
                    </w:rPr>
                    <w:t>3</w:t>
                  </w:r>
                </w:p>
              </w:tc>
              <w:tc>
                <w:tcPr>
                  <w:tcW w:w="379" w:type="pct"/>
                  <w:vAlign w:val="center"/>
                </w:tcPr>
                <w:p w14:paraId="258510B6">
                  <w:pPr>
                    <w:pStyle w:val="5"/>
                    <w:rPr>
                      <w:lang w:val="en-US" w:eastAsia="zh-CN"/>
                    </w:rPr>
                  </w:pPr>
                  <w:r>
                    <w:rPr>
                      <w:lang w:val="en-US" w:eastAsia="zh-CN"/>
                    </w:rPr>
                    <w:t>内浮</w:t>
                  </w:r>
                </w:p>
                <w:p w14:paraId="3076BAE7">
                  <w:pPr>
                    <w:pStyle w:val="5"/>
                    <w:rPr>
                      <w:lang w:val="en-US" w:eastAsia="zh-CN"/>
                    </w:rPr>
                  </w:pPr>
                  <w:r>
                    <w:rPr>
                      <w:lang w:val="en-US" w:eastAsia="zh-CN"/>
                    </w:rPr>
                    <w:t>顶罐</w:t>
                  </w:r>
                </w:p>
              </w:tc>
              <w:tc>
                <w:tcPr>
                  <w:tcW w:w="316" w:type="pct"/>
                  <w:vAlign w:val="center"/>
                </w:tcPr>
                <w:p w14:paraId="4161E5BD">
                  <w:pPr>
                    <w:pStyle w:val="5"/>
                    <w:rPr>
                      <w:lang w:val="en-US" w:eastAsia="zh-CN"/>
                    </w:rPr>
                  </w:pPr>
                  <w:r>
                    <w:rPr>
                      <w:lang w:val="en-US" w:eastAsia="zh-CN"/>
                    </w:rPr>
                    <w:t>0.775</w:t>
                  </w:r>
                </w:p>
              </w:tc>
              <w:tc>
                <w:tcPr>
                  <w:tcW w:w="258" w:type="pct"/>
                  <w:vAlign w:val="center"/>
                </w:tcPr>
                <w:p w14:paraId="4D5D4273">
                  <w:pPr>
                    <w:pStyle w:val="5"/>
                    <w:rPr>
                      <w:lang w:val="en-US" w:eastAsia="zh-CN"/>
                    </w:rPr>
                  </w:pPr>
                  <w:r>
                    <w:rPr>
                      <w:lang w:val="en-US" w:eastAsia="zh-CN"/>
                    </w:rPr>
                    <w:t>立式</w:t>
                  </w:r>
                </w:p>
              </w:tc>
              <w:tc>
                <w:tcPr>
                  <w:tcW w:w="464" w:type="pct"/>
                  <w:vAlign w:val="center"/>
                </w:tcPr>
                <w:p w14:paraId="71DEB7C1">
                  <w:pPr>
                    <w:pStyle w:val="5"/>
                    <w:rPr>
                      <w:lang w:val="en-US" w:eastAsia="zh-CN"/>
                    </w:rPr>
                  </w:pPr>
                  <w:r>
                    <w:rPr>
                      <w:lang w:val="en-US" w:eastAsia="zh-CN"/>
                    </w:rPr>
                    <w:t>2728</w:t>
                  </w:r>
                </w:p>
              </w:tc>
              <w:tc>
                <w:tcPr>
                  <w:tcW w:w="214" w:type="pct"/>
                  <w:vAlign w:val="center"/>
                </w:tcPr>
                <w:p w14:paraId="6FBC685B">
                  <w:pPr>
                    <w:pStyle w:val="5"/>
                    <w:rPr>
                      <w:lang w:val="en-US" w:eastAsia="zh-CN"/>
                    </w:rPr>
                  </w:pPr>
                  <w:r>
                    <w:rPr>
                      <w:lang w:val="en-US" w:eastAsia="zh-CN"/>
                    </w:rPr>
                    <w:t>63</w:t>
                  </w:r>
                </w:p>
              </w:tc>
              <w:tc>
                <w:tcPr>
                  <w:tcW w:w="605" w:type="pct"/>
                  <w:vAlign w:val="center"/>
                </w:tcPr>
                <w:p w14:paraId="7A2C3CEB">
                  <w:pPr>
                    <w:pStyle w:val="5"/>
                    <w:rPr>
                      <w:lang w:val="en-US" w:eastAsia="zh-CN"/>
                    </w:rPr>
                  </w:pPr>
                  <w:r>
                    <w:rPr>
                      <w:rFonts w:hint="eastAsia"/>
                      <w:lang w:val="en-US" w:eastAsia="zh-CN"/>
                    </w:rPr>
                    <w:t>现有</w:t>
                  </w:r>
                </w:p>
              </w:tc>
            </w:tr>
            <w:tr w14:paraId="30B265F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vAlign w:val="center"/>
                </w:tcPr>
                <w:p w14:paraId="2EE9BA4A">
                  <w:pPr>
                    <w:pStyle w:val="5"/>
                    <w:rPr>
                      <w:lang w:val="en-US" w:eastAsia="zh-CN"/>
                    </w:rPr>
                  </w:pPr>
                  <w:r>
                    <w:rPr>
                      <w:lang w:val="en-US" w:eastAsia="zh-CN"/>
                    </w:rPr>
                    <w:t>碳五烷烃储罐</w:t>
                  </w:r>
                </w:p>
              </w:tc>
              <w:tc>
                <w:tcPr>
                  <w:tcW w:w="1816" w:type="pct"/>
                  <w:vAlign w:val="center"/>
                </w:tcPr>
                <w:p w14:paraId="112FB345">
                  <w:pPr>
                    <w:pStyle w:val="5"/>
                    <w:rPr>
                      <w:lang w:val="en-US" w:eastAsia="zh-CN"/>
                    </w:rPr>
                  </w:pPr>
                  <w:r>
                    <w:rPr>
                      <w:lang w:val="en-US" w:eastAsia="zh-CN"/>
                    </w:rPr>
                    <w:t>φ14×14.27m，2个，</w:t>
                  </w:r>
                  <w:r>
                    <w:rPr>
                      <w:rFonts w:hint="eastAsia"/>
                      <w:lang w:val="en-US" w:eastAsia="zh-CN"/>
                    </w:rPr>
                    <w:t>1</w:t>
                  </w:r>
                  <w:r>
                    <w:rPr>
                      <w:lang w:val="en-US" w:eastAsia="zh-CN"/>
                    </w:rPr>
                    <w:t>000m</w:t>
                  </w:r>
                  <w:r>
                    <w:rPr>
                      <w:vertAlign w:val="superscript"/>
                      <w:lang w:val="en-US" w:eastAsia="zh-CN"/>
                    </w:rPr>
                    <w:t>3</w:t>
                  </w:r>
                  <w:r>
                    <w:rPr>
                      <w:lang w:val="en-US" w:eastAsia="zh-CN"/>
                    </w:rPr>
                    <w:t>/个，总容积2000m</w:t>
                  </w:r>
                  <w:r>
                    <w:rPr>
                      <w:vertAlign w:val="superscript"/>
                      <w:lang w:val="en-US" w:eastAsia="zh-CN"/>
                    </w:rPr>
                    <w:t>3</w:t>
                  </w:r>
                </w:p>
              </w:tc>
              <w:tc>
                <w:tcPr>
                  <w:tcW w:w="379" w:type="pct"/>
                  <w:vAlign w:val="center"/>
                </w:tcPr>
                <w:p w14:paraId="6C17521B">
                  <w:pPr>
                    <w:pStyle w:val="5"/>
                    <w:rPr>
                      <w:lang w:val="en-US" w:eastAsia="zh-CN"/>
                    </w:rPr>
                  </w:pPr>
                  <w:r>
                    <w:rPr>
                      <w:lang w:val="en-US" w:eastAsia="zh-CN"/>
                    </w:rPr>
                    <w:t>内浮</w:t>
                  </w:r>
                </w:p>
                <w:p w14:paraId="41ACF9EA">
                  <w:pPr>
                    <w:pStyle w:val="5"/>
                    <w:rPr>
                      <w:lang w:val="en-US" w:eastAsia="zh-CN"/>
                    </w:rPr>
                  </w:pPr>
                  <w:r>
                    <w:rPr>
                      <w:lang w:val="en-US" w:eastAsia="zh-CN"/>
                    </w:rPr>
                    <w:t>顶罐</w:t>
                  </w:r>
                </w:p>
              </w:tc>
              <w:tc>
                <w:tcPr>
                  <w:tcW w:w="316" w:type="pct"/>
                  <w:vAlign w:val="center"/>
                </w:tcPr>
                <w:p w14:paraId="7962FECE">
                  <w:pPr>
                    <w:pStyle w:val="5"/>
                    <w:rPr>
                      <w:lang w:val="en-US" w:eastAsia="zh-CN"/>
                    </w:rPr>
                  </w:pPr>
                  <w:r>
                    <w:rPr>
                      <w:lang w:val="en-US" w:eastAsia="zh-CN"/>
                    </w:rPr>
                    <w:t>0.626</w:t>
                  </w:r>
                </w:p>
              </w:tc>
              <w:tc>
                <w:tcPr>
                  <w:tcW w:w="258" w:type="pct"/>
                  <w:vAlign w:val="center"/>
                </w:tcPr>
                <w:p w14:paraId="676312C3">
                  <w:pPr>
                    <w:pStyle w:val="5"/>
                    <w:rPr>
                      <w:lang w:val="en-US" w:eastAsia="zh-CN"/>
                    </w:rPr>
                  </w:pPr>
                  <w:r>
                    <w:rPr>
                      <w:lang w:val="en-US" w:eastAsia="zh-CN"/>
                    </w:rPr>
                    <w:t>立式</w:t>
                  </w:r>
                </w:p>
              </w:tc>
              <w:tc>
                <w:tcPr>
                  <w:tcW w:w="464" w:type="pct"/>
                  <w:vAlign w:val="center"/>
                </w:tcPr>
                <w:p w14:paraId="6F8127AE">
                  <w:pPr>
                    <w:pStyle w:val="5"/>
                    <w:rPr>
                      <w:lang w:val="en-US" w:eastAsia="zh-CN"/>
                    </w:rPr>
                  </w:pPr>
                  <w:r>
                    <w:rPr>
                      <w:lang w:val="en-US" w:eastAsia="zh-CN"/>
                    </w:rPr>
                    <w:t>2203.52</w:t>
                  </w:r>
                </w:p>
              </w:tc>
              <w:tc>
                <w:tcPr>
                  <w:tcW w:w="214" w:type="pct"/>
                  <w:vAlign w:val="center"/>
                </w:tcPr>
                <w:p w14:paraId="21C26773">
                  <w:pPr>
                    <w:pStyle w:val="5"/>
                    <w:rPr>
                      <w:lang w:val="en-US" w:eastAsia="zh-CN"/>
                    </w:rPr>
                  </w:pPr>
                  <w:r>
                    <w:rPr>
                      <w:lang w:val="en-US" w:eastAsia="zh-CN"/>
                    </w:rPr>
                    <w:t>17</w:t>
                  </w:r>
                </w:p>
              </w:tc>
              <w:tc>
                <w:tcPr>
                  <w:tcW w:w="605" w:type="pct"/>
                  <w:vAlign w:val="center"/>
                </w:tcPr>
                <w:p w14:paraId="149676C2">
                  <w:pPr>
                    <w:pStyle w:val="5"/>
                    <w:rPr>
                      <w:lang w:val="en-US" w:eastAsia="zh-CN"/>
                    </w:rPr>
                  </w:pPr>
                  <w:r>
                    <w:rPr>
                      <w:rFonts w:hint="eastAsia"/>
                      <w:lang w:val="en-US" w:eastAsia="zh-CN"/>
                    </w:rPr>
                    <w:t>暂时停用</w:t>
                  </w:r>
                </w:p>
              </w:tc>
            </w:tr>
            <w:tr w14:paraId="42103DA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946" w:type="pct"/>
                  <w:tcBorders>
                    <w:bottom w:val="single" w:color="000000" w:sz="6" w:space="0"/>
                  </w:tcBorders>
                  <w:vAlign w:val="center"/>
                </w:tcPr>
                <w:p w14:paraId="648A7B90">
                  <w:pPr>
                    <w:pStyle w:val="5"/>
                    <w:rPr>
                      <w:lang w:val="en-US" w:eastAsia="zh-CN"/>
                    </w:rPr>
                  </w:pPr>
                  <w:r>
                    <w:rPr>
                      <w:lang w:val="en-US" w:eastAsia="zh-CN"/>
                    </w:rPr>
                    <w:t>工业碳七储罐</w:t>
                  </w:r>
                </w:p>
              </w:tc>
              <w:tc>
                <w:tcPr>
                  <w:tcW w:w="1816" w:type="pct"/>
                  <w:tcBorders>
                    <w:bottom w:val="single" w:color="000000" w:sz="6" w:space="0"/>
                  </w:tcBorders>
                  <w:vAlign w:val="center"/>
                </w:tcPr>
                <w:p w14:paraId="7E687DA9">
                  <w:pPr>
                    <w:pStyle w:val="5"/>
                    <w:rPr>
                      <w:lang w:val="en-US" w:eastAsia="zh-CN"/>
                    </w:rPr>
                  </w:pPr>
                  <w:r>
                    <w:rPr>
                      <w:lang w:val="en-US" w:eastAsia="zh-CN"/>
                    </w:rPr>
                    <w:t>φ14×14.27m，2个，2000m</w:t>
                  </w:r>
                  <w:r>
                    <w:rPr>
                      <w:vertAlign w:val="superscript"/>
                      <w:lang w:val="en-US" w:eastAsia="zh-CN"/>
                    </w:rPr>
                    <w:t>3</w:t>
                  </w:r>
                  <w:r>
                    <w:rPr>
                      <w:lang w:val="en-US" w:eastAsia="zh-CN"/>
                    </w:rPr>
                    <w:t>/个，总容积4000m</w:t>
                  </w:r>
                  <w:r>
                    <w:rPr>
                      <w:vertAlign w:val="superscript"/>
                      <w:lang w:val="en-US" w:eastAsia="zh-CN"/>
                    </w:rPr>
                    <w:t>3</w:t>
                  </w:r>
                </w:p>
              </w:tc>
              <w:tc>
                <w:tcPr>
                  <w:tcW w:w="379" w:type="pct"/>
                  <w:tcBorders>
                    <w:bottom w:val="single" w:color="000000" w:sz="6" w:space="0"/>
                  </w:tcBorders>
                  <w:vAlign w:val="center"/>
                </w:tcPr>
                <w:p w14:paraId="5DA2B7ED">
                  <w:pPr>
                    <w:pStyle w:val="5"/>
                    <w:rPr>
                      <w:lang w:val="en-US" w:eastAsia="zh-CN"/>
                    </w:rPr>
                  </w:pPr>
                  <w:r>
                    <w:rPr>
                      <w:lang w:val="en-US" w:eastAsia="zh-CN"/>
                    </w:rPr>
                    <w:t>内浮</w:t>
                  </w:r>
                </w:p>
                <w:p w14:paraId="4F2760A9">
                  <w:pPr>
                    <w:pStyle w:val="5"/>
                    <w:rPr>
                      <w:lang w:val="en-US" w:eastAsia="zh-CN"/>
                    </w:rPr>
                  </w:pPr>
                  <w:r>
                    <w:rPr>
                      <w:lang w:val="en-US" w:eastAsia="zh-CN"/>
                    </w:rPr>
                    <w:t>顶罐</w:t>
                  </w:r>
                </w:p>
              </w:tc>
              <w:tc>
                <w:tcPr>
                  <w:tcW w:w="316" w:type="pct"/>
                  <w:tcBorders>
                    <w:bottom w:val="single" w:color="000000" w:sz="6" w:space="0"/>
                  </w:tcBorders>
                  <w:vAlign w:val="center"/>
                </w:tcPr>
                <w:p w14:paraId="32F8289B">
                  <w:pPr>
                    <w:pStyle w:val="5"/>
                    <w:rPr>
                      <w:lang w:val="en-US" w:eastAsia="zh-CN"/>
                    </w:rPr>
                  </w:pPr>
                  <w:r>
                    <w:rPr>
                      <w:lang w:val="en-US" w:eastAsia="zh-CN"/>
                    </w:rPr>
                    <w:t>0.684</w:t>
                  </w:r>
                </w:p>
              </w:tc>
              <w:tc>
                <w:tcPr>
                  <w:tcW w:w="258" w:type="pct"/>
                  <w:tcBorders>
                    <w:bottom w:val="single" w:color="000000" w:sz="6" w:space="0"/>
                  </w:tcBorders>
                  <w:vAlign w:val="center"/>
                </w:tcPr>
                <w:p w14:paraId="7F083934">
                  <w:pPr>
                    <w:pStyle w:val="5"/>
                    <w:rPr>
                      <w:lang w:val="en-US" w:eastAsia="zh-CN"/>
                    </w:rPr>
                  </w:pPr>
                  <w:r>
                    <w:rPr>
                      <w:lang w:val="en-US" w:eastAsia="zh-CN"/>
                    </w:rPr>
                    <w:t>立式</w:t>
                  </w:r>
                </w:p>
              </w:tc>
              <w:tc>
                <w:tcPr>
                  <w:tcW w:w="464" w:type="pct"/>
                  <w:tcBorders>
                    <w:bottom w:val="single" w:color="000000" w:sz="6" w:space="0"/>
                  </w:tcBorders>
                  <w:vAlign w:val="center"/>
                </w:tcPr>
                <w:p w14:paraId="0259255F">
                  <w:pPr>
                    <w:pStyle w:val="5"/>
                    <w:rPr>
                      <w:lang w:val="en-US" w:eastAsia="zh-CN"/>
                    </w:rPr>
                  </w:pPr>
                  <w:r>
                    <w:rPr>
                      <w:lang w:val="en-US" w:eastAsia="zh-CN"/>
                    </w:rPr>
                    <w:t>2407.68</w:t>
                  </w:r>
                </w:p>
              </w:tc>
              <w:tc>
                <w:tcPr>
                  <w:tcW w:w="214" w:type="pct"/>
                  <w:tcBorders>
                    <w:bottom w:val="single" w:color="000000" w:sz="6" w:space="0"/>
                  </w:tcBorders>
                  <w:vAlign w:val="center"/>
                </w:tcPr>
                <w:p w14:paraId="74E001DA">
                  <w:pPr>
                    <w:pStyle w:val="5"/>
                    <w:rPr>
                      <w:lang w:val="en-US" w:eastAsia="zh-CN"/>
                    </w:rPr>
                  </w:pPr>
                  <w:r>
                    <w:rPr>
                      <w:lang w:val="en-US" w:eastAsia="zh-CN"/>
                    </w:rPr>
                    <w:t>13</w:t>
                  </w:r>
                </w:p>
              </w:tc>
              <w:tc>
                <w:tcPr>
                  <w:tcW w:w="605" w:type="pct"/>
                  <w:tcBorders>
                    <w:bottom w:val="single" w:color="000000" w:sz="6" w:space="0"/>
                  </w:tcBorders>
                  <w:vAlign w:val="center"/>
                </w:tcPr>
                <w:p w14:paraId="17F08636">
                  <w:pPr>
                    <w:pStyle w:val="5"/>
                    <w:bidi w:val="0"/>
                    <w:rPr>
                      <w:lang w:val="en-US" w:eastAsia="zh-CN"/>
                    </w:rPr>
                  </w:pPr>
                  <w:r>
                    <w:rPr>
                      <w:rFonts w:hint="eastAsia"/>
                      <w:lang w:val="en-US" w:eastAsia="zh-CN"/>
                    </w:rPr>
                    <w:t>现有</w:t>
                  </w:r>
                </w:p>
              </w:tc>
            </w:tr>
            <w:tr w14:paraId="556E8D5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946" w:type="pct"/>
                  <w:tcBorders>
                    <w:bottom w:val="single" w:color="000000" w:sz="6" w:space="0"/>
                  </w:tcBorders>
                  <w:vAlign w:val="center"/>
                </w:tcPr>
                <w:p w14:paraId="5EC3931E">
                  <w:pPr>
                    <w:pStyle w:val="5"/>
                    <w:rPr>
                      <w:lang w:val="en-US" w:eastAsia="zh-CN"/>
                    </w:rPr>
                  </w:pPr>
                  <w:r>
                    <w:rPr>
                      <w:lang w:val="en-US" w:eastAsia="zh-CN"/>
                    </w:rPr>
                    <w:t>汽油备用储罐</w:t>
                  </w:r>
                </w:p>
              </w:tc>
              <w:tc>
                <w:tcPr>
                  <w:tcW w:w="1816" w:type="pct"/>
                  <w:tcBorders>
                    <w:bottom w:val="single" w:color="000000" w:sz="6" w:space="0"/>
                  </w:tcBorders>
                  <w:shd w:val="clear" w:color="auto" w:fill="auto"/>
                  <w:vAlign w:val="center"/>
                </w:tcPr>
                <w:p w14:paraId="2CD9FE5F">
                  <w:pPr>
                    <w:pStyle w:val="5"/>
                    <w:rPr>
                      <w:lang w:val="en-US" w:eastAsia="en-US"/>
                    </w:rPr>
                  </w:pPr>
                  <w:r>
                    <w:rPr>
                      <w:lang w:val="en-US" w:eastAsia="zh-CN"/>
                    </w:rPr>
                    <w:t>φ14×14.27m，1个，2000m</w:t>
                  </w:r>
                  <w:r>
                    <w:rPr>
                      <w:vertAlign w:val="superscript"/>
                      <w:lang w:val="en-US" w:eastAsia="zh-CN"/>
                    </w:rPr>
                    <w:t>3</w:t>
                  </w:r>
                  <w:r>
                    <w:rPr>
                      <w:lang w:val="en-US" w:eastAsia="zh-CN"/>
                    </w:rPr>
                    <w:t>/个，总容积2000m</w:t>
                  </w:r>
                  <w:r>
                    <w:rPr>
                      <w:vertAlign w:val="superscript"/>
                      <w:lang w:val="en-US" w:eastAsia="zh-CN"/>
                    </w:rPr>
                    <w:t>3</w:t>
                  </w:r>
                </w:p>
              </w:tc>
              <w:tc>
                <w:tcPr>
                  <w:tcW w:w="379" w:type="pct"/>
                  <w:tcBorders>
                    <w:bottom w:val="single" w:color="000000" w:sz="6" w:space="0"/>
                  </w:tcBorders>
                  <w:shd w:val="clear" w:color="auto" w:fill="auto"/>
                  <w:vAlign w:val="center"/>
                </w:tcPr>
                <w:p w14:paraId="0ACEBAB9">
                  <w:pPr>
                    <w:pStyle w:val="5"/>
                    <w:rPr>
                      <w:lang w:val="en-US" w:eastAsia="zh-CN"/>
                    </w:rPr>
                  </w:pPr>
                  <w:r>
                    <w:rPr>
                      <w:lang w:val="en-US" w:eastAsia="zh-CN"/>
                    </w:rPr>
                    <w:t>内浮</w:t>
                  </w:r>
                </w:p>
                <w:p w14:paraId="2234A04B">
                  <w:pPr>
                    <w:pStyle w:val="5"/>
                    <w:rPr>
                      <w:lang w:val="en-US" w:eastAsia="en-US"/>
                    </w:rPr>
                  </w:pPr>
                  <w:r>
                    <w:rPr>
                      <w:lang w:val="en-US" w:eastAsia="zh-CN"/>
                    </w:rPr>
                    <w:t>顶罐</w:t>
                  </w:r>
                </w:p>
              </w:tc>
              <w:tc>
                <w:tcPr>
                  <w:tcW w:w="316" w:type="pct"/>
                  <w:tcBorders>
                    <w:bottom w:val="single" w:color="000000" w:sz="6" w:space="0"/>
                  </w:tcBorders>
                  <w:shd w:val="clear" w:color="auto" w:fill="auto"/>
                  <w:vAlign w:val="center"/>
                </w:tcPr>
                <w:p w14:paraId="5D823C51">
                  <w:pPr>
                    <w:pStyle w:val="5"/>
                    <w:rPr>
                      <w:lang w:val="en-US" w:eastAsia="zh-CN"/>
                    </w:rPr>
                  </w:pPr>
                  <w:r>
                    <w:rPr>
                      <w:lang w:val="en-US" w:eastAsia="zh-CN"/>
                    </w:rPr>
                    <w:t>/</w:t>
                  </w:r>
                </w:p>
              </w:tc>
              <w:tc>
                <w:tcPr>
                  <w:tcW w:w="258" w:type="pct"/>
                  <w:tcBorders>
                    <w:bottom w:val="single" w:color="000000" w:sz="6" w:space="0"/>
                  </w:tcBorders>
                  <w:shd w:val="clear" w:color="auto" w:fill="auto"/>
                  <w:vAlign w:val="center"/>
                </w:tcPr>
                <w:p w14:paraId="14C21C51">
                  <w:pPr>
                    <w:pStyle w:val="5"/>
                    <w:rPr>
                      <w:lang w:val="en-US" w:eastAsia="zh-CN"/>
                    </w:rPr>
                  </w:pPr>
                  <w:r>
                    <w:rPr>
                      <w:lang w:val="en-US" w:eastAsia="zh-CN"/>
                    </w:rPr>
                    <w:t>/</w:t>
                  </w:r>
                </w:p>
              </w:tc>
              <w:tc>
                <w:tcPr>
                  <w:tcW w:w="464" w:type="pct"/>
                  <w:tcBorders>
                    <w:bottom w:val="single" w:color="000000" w:sz="6" w:space="0"/>
                  </w:tcBorders>
                  <w:shd w:val="clear" w:color="auto" w:fill="auto"/>
                  <w:vAlign w:val="center"/>
                </w:tcPr>
                <w:p w14:paraId="0199E753">
                  <w:pPr>
                    <w:pStyle w:val="5"/>
                    <w:rPr>
                      <w:lang w:val="en-US" w:eastAsia="zh-CN"/>
                    </w:rPr>
                  </w:pPr>
                  <w:r>
                    <w:rPr>
                      <w:lang w:val="en-US" w:eastAsia="zh-CN"/>
                    </w:rPr>
                    <w:t>/</w:t>
                  </w:r>
                </w:p>
              </w:tc>
              <w:tc>
                <w:tcPr>
                  <w:tcW w:w="214" w:type="pct"/>
                  <w:tcBorders>
                    <w:bottom w:val="single" w:color="000000" w:sz="6" w:space="0"/>
                  </w:tcBorders>
                  <w:shd w:val="clear" w:color="auto" w:fill="auto"/>
                  <w:vAlign w:val="center"/>
                </w:tcPr>
                <w:p w14:paraId="2E43E4E5">
                  <w:pPr>
                    <w:pStyle w:val="5"/>
                    <w:rPr>
                      <w:lang w:val="en-US" w:eastAsia="zh-CN"/>
                    </w:rPr>
                  </w:pPr>
                  <w:r>
                    <w:rPr>
                      <w:lang w:val="en-US" w:eastAsia="zh-CN"/>
                    </w:rPr>
                    <w:t>/</w:t>
                  </w:r>
                </w:p>
              </w:tc>
              <w:tc>
                <w:tcPr>
                  <w:tcW w:w="605" w:type="pct"/>
                  <w:tcBorders>
                    <w:bottom w:val="single" w:color="000000" w:sz="6" w:space="0"/>
                  </w:tcBorders>
                  <w:shd w:val="clear" w:color="auto" w:fill="auto"/>
                  <w:vAlign w:val="center"/>
                </w:tcPr>
                <w:p w14:paraId="205274CB">
                  <w:pPr>
                    <w:pStyle w:val="5"/>
                    <w:bidi w:val="0"/>
                    <w:rPr>
                      <w:lang w:val="en-US" w:eastAsia="en-US"/>
                    </w:rPr>
                  </w:pPr>
                  <w:r>
                    <w:rPr>
                      <w:rFonts w:hint="eastAsia"/>
                      <w:lang w:val="en-US" w:eastAsia="zh-CN"/>
                    </w:rPr>
                    <w:t>现有</w:t>
                  </w:r>
                </w:p>
              </w:tc>
            </w:tr>
            <w:tr w14:paraId="129D498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946" w:type="pct"/>
                  <w:tcBorders>
                    <w:top w:val="single" w:color="000000" w:sz="6" w:space="0"/>
                  </w:tcBorders>
                  <w:vAlign w:val="center"/>
                </w:tcPr>
                <w:p w14:paraId="7E67AF26">
                  <w:pPr>
                    <w:pStyle w:val="5"/>
                    <w:rPr>
                      <w:lang w:val="en-US" w:eastAsia="zh-CN"/>
                    </w:rPr>
                  </w:pPr>
                  <w:r>
                    <w:rPr>
                      <w:lang w:val="en-US" w:eastAsia="zh-CN"/>
                    </w:rPr>
                    <w:t>碳八料储罐</w:t>
                  </w:r>
                </w:p>
              </w:tc>
              <w:tc>
                <w:tcPr>
                  <w:tcW w:w="1816" w:type="pct"/>
                  <w:tcBorders>
                    <w:top w:val="single" w:color="000000" w:sz="6" w:space="0"/>
                  </w:tcBorders>
                  <w:vAlign w:val="center"/>
                </w:tcPr>
                <w:p w14:paraId="5AEA08AE">
                  <w:pPr>
                    <w:pStyle w:val="5"/>
                    <w:rPr>
                      <w:lang w:val="en-US" w:eastAsia="zh-CN"/>
                    </w:rPr>
                  </w:pPr>
                  <w:r>
                    <w:rPr>
                      <w:lang w:val="en-US" w:eastAsia="zh-CN"/>
                    </w:rPr>
                    <w:t>φ14×14.27m，2个，2000m</w:t>
                  </w:r>
                  <w:r>
                    <w:rPr>
                      <w:vertAlign w:val="superscript"/>
                      <w:lang w:val="en-US" w:eastAsia="zh-CN"/>
                    </w:rPr>
                    <w:t>3</w:t>
                  </w:r>
                  <w:r>
                    <w:rPr>
                      <w:lang w:val="en-US" w:eastAsia="zh-CN"/>
                    </w:rPr>
                    <w:t>/个，总容积4000m</w:t>
                  </w:r>
                  <w:r>
                    <w:rPr>
                      <w:vertAlign w:val="superscript"/>
                      <w:lang w:val="en-US" w:eastAsia="zh-CN"/>
                    </w:rPr>
                    <w:t>3</w:t>
                  </w:r>
                </w:p>
              </w:tc>
              <w:tc>
                <w:tcPr>
                  <w:tcW w:w="379" w:type="pct"/>
                  <w:tcBorders>
                    <w:top w:val="single" w:color="000000" w:sz="6" w:space="0"/>
                  </w:tcBorders>
                  <w:vAlign w:val="center"/>
                </w:tcPr>
                <w:p w14:paraId="0C62D279">
                  <w:pPr>
                    <w:pStyle w:val="5"/>
                    <w:rPr>
                      <w:lang w:val="en-US" w:eastAsia="zh-CN"/>
                    </w:rPr>
                  </w:pPr>
                  <w:r>
                    <w:rPr>
                      <w:lang w:val="en-US" w:eastAsia="zh-CN"/>
                    </w:rPr>
                    <w:t>内浮</w:t>
                  </w:r>
                </w:p>
                <w:p w14:paraId="5840AD89">
                  <w:pPr>
                    <w:pStyle w:val="5"/>
                    <w:rPr>
                      <w:lang w:val="en-US" w:eastAsia="zh-CN"/>
                    </w:rPr>
                  </w:pPr>
                  <w:r>
                    <w:rPr>
                      <w:lang w:val="en-US" w:eastAsia="zh-CN"/>
                    </w:rPr>
                    <w:t>顶罐</w:t>
                  </w:r>
                </w:p>
              </w:tc>
              <w:tc>
                <w:tcPr>
                  <w:tcW w:w="316" w:type="pct"/>
                  <w:tcBorders>
                    <w:top w:val="single" w:color="000000" w:sz="6" w:space="0"/>
                  </w:tcBorders>
                  <w:vAlign w:val="center"/>
                </w:tcPr>
                <w:p w14:paraId="5144BBBE">
                  <w:pPr>
                    <w:pStyle w:val="5"/>
                    <w:rPr>
                      <w:lang w:val="en-US" w:eastAsia="zh-CN"/>
                    </w:rPr>
                  </w:pPr>
                  <w:r>
                    <w:rPr>
                      <w:lang w:val="en-US" w:eastAsia="zh-CN"/>
                    </w:rPr>
                    <w:t>0.749</w:t>
                  </w:r>
                </w:p>
              </w:tc>
              <w:tc>
                <w:tcPr>
                  <w:tcW w:w="258" w:type="pct"/>
                  <w:tcBorders>
                    <w:top w:val="single" w:color="000000" w:sz="6" w:space="0"/>
                  </w:tcBorders>
                  <w:vAlign w:val="center"/>
                </w:tcPr>
                <w:p w14:paraId="47CD4AED">
                  <w:pPr>
                    <w:pStyle w:val="5"/>
                    <w:rPr>
                      <w:lang w:val="en-US" w:eastAsia="zh-CN"/>
                    </w:rPr>
                  </w:pPr>
                  <w:r>
                    <w:rPr>
                      <w:lang w:val="en-US" w:eastAsia="zh-CN"/>
                    </w:rPr>
                    <w:t>立式</w:t>
                  </w:r>
                </w:p>
              </w:tc>
              <w:tc>
                <w:tcPr>
                  <w:tcW w:w="464" w:type="pct"/>
                  <w:tcBorders>
                    <w:top w:val="single" w:color="000000" w:sz="6" w:space="0"/>
                  </w:tcBorders>
                  <w:vAlign w:val="center"/>
                </w:tcPr>
                <w:p w14:paraId="728761BE">
                  <w:pPr>
                    <w:pStyle w:val="5"/>
                    <w:rPr>
                      <w:lang w:val="en-US" w:eastAsia="zh-CN"/>
                    </w:rPr>
                  </w:pPr>
                  <w:r>
                    <w:rPr>
                      <w:lang w:val="en-US" w:eastAsia="zh-CN"/>
                    </w:rPr>
                    <w:t>2636.48</w:t>
                  </w:r>
                </w:p>
              </w:tc>
              <w:tc>
                <w:tcPr>
                  <w:tcW w:w="214" w:type="pct"/>
                  <w:tcBorders>
                    <w:top w:val="single" w:color="000000" w:sz="6" w:space="0"/>
                  </w:tcBorders>
                  <w:vAlign w:val="center"/>
                </w:tcPr>
                <w:p w14:paraId="098B61CC">
                  <w:pPr>
                    <w:pStyle w:val="5"/>
                    <w:rPr>
                      <w:lang w:val="en-US" w:eastAsia="zh-CN"/>
                    </w:rPr>
                  </w:pPr>
                  <w:r>
                    <w:rPr>
                      <w:lang w:val="en-US" w:eastAsia="zh-CN"/>
                    </w:rPr>
                    <w:t>8</w:t>
                  </w:r>
                </w:p>
              </w:tc>
              <w:tc>
                <w:tcPr>
                  <w:tcW w:w="605" w:type="pct"/>
                  <w:tcBorders>
                    <w:top w:val="single" w:color="000000" w:sz="6" w:space="0"/>
                  </w:tcBorders>
                  <w:vAlign w:val="center"/>
                </w:tcPr>
                <w:p w14:paraId="4BADC6F3">
                  <w:pPr>
                    <w:pStyle w:val="5"/>
                    <w:bidi w:val="0"/>
                    <w:rPr>
                      <w:lang w:val="en-US" w:eastAsia="zh-CN"/>
                    </w:rPr>
                  </w:pPr>
                  <w:r>
                    <w:rPr>
                      <w:rFonts w:hint="eastAsia"/>
                      <w:lang w:val="en-US" w:eastAsia="zh-CN"/>
                    </w:rPr>
                    <w:t>现有</w:t>
                  </w:r>
                </w:p>
              </w:tc>
            </w:tr>
            <w:tr w14:paraId="204EFD4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946" w:type="pct"/>
                  <w:tcBorders>
                    <w:top w:val="single" w:color="000000" w:sz="6" w:space="0"/>
                  </w:tcBorders>
                  <w:vAlign w:val="center"/>
                </w:tcPr>
                <w:p w14:paraId="794ECAFF">
                  <w:pPr>
                    <w:pStyle w:val="5"/>
                    <w:rPr>
                      <w:lang w:val="en-US" w:eastAsia="zh-CN"/>
                    </w:rPr>
                  </w:pPr>
                  <w:r>
                    <w:rPr>
                      <w:lang w:val="en-US" w:eastAsia="zh-CN"/>
                    </w:rPr>
                    <w:t>宁煤汽油储罐</w:t>
                  </w:r>
                </w:p>
              </w:tc>
              <w:tc>
                <w:tcPr>
                  <w:tcW w:w="1816" w:type="pct"/>
                  <w:tcBorders>
                    <w:top w:val="single" w:color="000000" w:sz="6" w:space="0"/>
                  </w:tcBorders>
                  <w:shd w:val="clear" w:color="auto" w:fill="auto"/>
                  <w:vAlign w:val="center"/>
                </w:tcPr>
                <w:p w14:paraId="1E81D69B">
                  <w:pPr>
                    <w:pStyle w:val="5"/>
                    <w:rPr>
                      <w:lang w:val="en-US" w:eastAsia="en-US"/>
                    </w:rPr>
                  </w:pPr>
                  <w:r>
                    <w:rPr>
                      <w:lang w:val="en-US" w:eastAsia="zh-CN"/>
                    </w:rPr>
                    <w:t>φ14×14.27m，1个，2000m</w:t>
                  </w:r>
                  <w:r>
                    <w:rPr>
                      <w:vertAlign w:val="superscript"/>
                      <w:lang w:val="en-US" w:eastAsia="zh-CN"/>
                    </w:rPr>
                    <w:t>3</w:t>
                  </w:r>
                  <w:r>
                    <w:rPr>
                      <w:lang w:val="en-US" w:eastAsia="zh-CN"/>
                    </w:rPr>
                    <w:t>/个，总容积2000m</w:t>
                  </w:r>
                  <w:r>
                    <w:rPr>
                      <w:vertAlign w:val="superscript"/>
                      <w:lang w:val="en-US" w:eastAsia="zh-CN"/>
                    </w:rPr>
                    <w:t>3</w:t>
                  </w:r>
                </w:p>
              </w:tc>
              <w:tc>
                <w:tcPr>
                  <w:tcW w:w="379" w:type="pct"/>
                  <w:tcBorders>
                    <w:top w:val="single" w:color="000000" w:sz="6" w:space="0"/>
                  </w:tcBorders>
                  <w:shd w:val="clear" w:color="auto" w:fill="auto"/>
                  <w:vAlign w:val="center"/>
                </w:tcPr>
                <w:p w14:paraId="0909E358">
                  <w:pPr>
                    <w:pStyle w:val="5"/>
                    <w:rPr>
                      <w:lang w:val="en-US" w:eastAsia="zh-CN"/>
                    </w:rPr>
                  </w:pPr>
                  <w:r>
                    <w:rPr>
                      <w:lang w:val="en-US" w:eastAsia="zh-CN"/>
                    </w:rPr>
                    <w:t>内浮</w:t>
                  </w:r>
                </w:p>
                <w:p w14:paraId="1E0041E7">
                  <w:pPr>
                    <w:pStyle w:val="5"/>
                    <w:rPr>
                      <w:lang w:val="en-US" w:eastAsia="en-US"/>
                    </w:rPr>
                  </w:pPr>
                  <w:r>
                    <w:rPr>
                      <w:lang w:val="en-US" w:eastAsia="zh-CN"/>
                    </w:rPr>
                    <w:t>顶罐</w:t>
                  </w:r>
                </w:p>
              </w:tc>
              <w:tc>
                <w:tcPr>
                  <w:tcW w:w="316" w:type="pct"/>
                  <w:tcBorders>
                    <w:top w:val="single" w:color="000000" w:sz="6" w:space="0"/>
                  </w:tcBorders>
                  <w:shd w:val="clear" w:color="auto" w:fill="auto"/>
                  <w:vAlign w:val="center"/>
                </w:tcPr>
                <w:p w14:paraId="7E232085">
                  <w:pPr>
                    <w:pStyle w:val="5"/>
                    <w:rPr>
                      <w:lang w:val="en-US" w:eastAsia="zh-CN"/>
                    </w:rPr>
                  </w:pPr>
                  <w:r>
                    <w:rPr>
                      <w:lang w:val="en-US" w:eastAsia="zh-CN"/>
                    </w:rPr>
                    <w:t>0.737</w:t>
                  </w:r>
                </w:p>
              </w:tc>
              <w:tc>
                <w:tcPr>
                  <w:tcW w:w="258" w:type="pct"/>
                  <w:tcBorders>
                    <w:top w:val="single" w:color="000000" w:sz="6" w:space="0"/>
                  </w:tcBorders>
                  <w:shd w:val="clear" w:color="auto" w:fill="auto"/>
                  <w:vAlign w:val="center"/>
                </w:tcPr>
                <w:p w14:paraId="02FE2286">
                  <w:pPr>
                    <w:pStyle w:val="5"/>
                    <w:rPr>
                      <w:lang w:val="en-US" w:eastAsia="en-US"/>
                    </w:rPr>
                  </w:pPr>
                  <w:r>
                    <w:rPr>
                      <w:lang w:val="en-US" w:eastAsia="zh-CN"/>
                    </w:rPr>
                    <w:t>立式</w:t>
                  </w:r>
                </w:p>
              </w:tc>
              <w:tc>
                <w:tcPr>
                  <w:tcW w:w="464" w:type="pct"/>
                  <w:tcBorders>
                    <w:top w:val="single" w:color="000000" w:sz="6" w:space="0"/>
                  </w:tcBorders>
                  <w:shd w:val="clear" w:color="auto" w:fill="auto"/>
                  <w:vAlign w:val="center"/>
                </w:tcPr>
                <w:p w14:paraId="7F1A3DF7">
                  <w:pPr>
                    <w:pStyle w:val="5"/>
                    <w:rPr>
                      <w:lang w:val="en-US" w:eastAsia="zh-CN"/>
                    </w:rPr>
                  </w:pPr>
                  <w:r>
                    <w:rPr>
                      <w:lang w:val="en-US" w:eastAsia="zh-CN"/>
                    </w:rPr>
                    <w:t>1297.12</w:t>
                  </w:r>
                </w:p>
              </w:tc>
              <w:tc>
                <w:tcPr>
                  <w:tcW w:w="214" w:type="pct"/>
                  <w:tcBorders>
                    <w:top w:val="single" w:color="000000" w:sz="6" w:space="0"/>
                  </w:tcBorders>
                  <w:shd w:val="clear" w:color="auto" w:fill="auto"/>
                  <w:vAlign w:val="center"/>
                </w:tcPr>
                <w:p w14:paraId="347F3A05">
                  <w:pPr>
                    <w:pStyle w:val="5"/>
                    <w:rPr>
                      <w:lang w:val="en-US" w:eastAsia="zh-CN"/>
                    </w:rPr>
                  </w:pPr>
                  <w:r>
                    <w:rPr>
                      <w:lang w:val="en-US" w:eastAsia="zh-CN"/>
                    </w:rPr>
                    <w:t>29</w:t>
                  </w:r>
                </w:p>
              </w:tc>
              <w:tc>
                <w:tcPr>
                  <w:tcW w:w="605" w:type="pct"/>
                  <w:tcBorders>
                    <w:top w:val="single" w:color="000000" w:sz="6" w:space="0"/>
                  </w:tcBorders>
                  <w:shd w:val="clear" w:color="auto" w:fill="auto"/>
                  <w:vAlign w:val="center"/>
                </w:tcPr>
                <w:p w14:paraId="317AFC58">
                  <w:pPr>
                    <w:pStyle w:val="5"/>
                    <w:bidi w:val="0"/>
                    <w:rPr>
                      <w:lang w:val="en-US" w:eastAsia="en-US"/>
                    </w:rPr>
                  </w:pPr>
                  <w:r>
                    <w:rPr>
                      <w:rFonts w:hint="eastAsia"/>
                      <w:lang w:val="en-US" w:eastAsia="zh-CN"/>
                    </w:rPr>
                    <w:t>现有</w:t>
                  </w:r>
                </w:p>
              </w:tc>
            </w:tr>
            <w:tr w14:paraId="6113D68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000" w:type="pct"/>
                  <w:gridSpan w:val="8"/>
                  <w:vAlign w:val="center"/>
                </w:tcPr>
                <w:p w14:paraId="05DD25AB">
                  <w:pPr>
                    <w:pStyle w:val="5"/>
                    <w:rPr>
                      <w:lang w:val="en-US" w:eastAsia="zh-CN"/>
                    </w:rPr>
                  </w:pPr>
                  <w:r>
                    <w:rPr>
                      <w:lang w:val="en-US" w:eastAsia="zh-CN"/>
                    </w:rPr>
                    <w:t>罐区三</w:t>
                  </w:r>
                </w:p>
              </w:tc>
            </w:tr>
            <w:tr w14:paraId="42BFE72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vAlign w:val="center"/>
                </w:tcPr>
                <w:p w14:paraId="07E90205">
                  <w:pPr>
                    <w:pStyle w:val="5"/>
                    <w:rPr>
                      <w:lang w:val="en-US" w:eastAsia="zh-CN"/>
                    </w:rPr>
                  </w:pPr>
                  <w:r>
                    <w:rPr>
                      <w:lang w:val="en-US" w:eastAsia="zh-CN"/>
                    </w:rPr>
                    <w:t>液化石油气储罐</w:t>
                  </w:r>
                </w:p>
              </w:tc>
              <w:tc>
                <w:tcPr>
                  <w:tcW w:w="1816" w:type="pct"/>
                  <w:vAlign w:val="center"/>
                </w:tcPr>
                <w:p w14:paraId="15C15C18">
                  <w:pPr>
                    <w:pStyle w:val="5"/>
                    <w:rPr>
                      <w:lang w:val="en-US" w:eastAsia="zh-CN"/>
                    </w:rPr>
                  </w:pPr>
                  <w:r>
                    <w:rPr>
                      <w:lang w:val="en-US" w:eastAsia="zh-CN"/>
                    </w:rPr>
                    <w:t>D=3.2m、L=11.62m，10个，100m</w:t>
                  </w:r>
                  <w:r>
                    <w:rPr>
                      <w:vertAlign w:val="superscript"/>
                      <w:lang w:val="en-US" w:eastAsia="zh-CN"/>
                    </w:rPr>
                    <w:t>3</w:t>
                  </w:r>
                  <w:r>
                    <w:rPr>
                      <w:lang w:val="en-US" w:eastAsia="zh-CN"/>
                    </w:rPr>
                    <w:t>/个，总容积1000m</w:t>
                  </w:r>
                  <w:r>
                    <w:rPr>
                      <w:vertAlign w:val="superscript"/>
                      <w:lang w:val="en-US" w:eastAsia="zh-CN"/>
                    </w:rPr>
                    <w:t>3</w:t>
                  </w:r>
                </w:p>
              </w:tc>
              <w:tc>
                <w:tcPr>
                  <w:tcW w:w="379" w:type="pct"/>
                  <w:vAlign w:val="center"/>
                </w:tcPr>
                <w:p w14:paraId="4EDE3AE2">
                  <w:pPr>
                    <w:pStyle w:val="5"/>
                    <w:rPr>
                      <w:lang w:val="en-US" w:eastAsia="zh-CN"/>
                    </w:rPr>
                  </w:pPr>
                  <w:r>
                    <w:rPr>
                      <w:lang w:val="en-US" w:eastAsia="zh-CN"/>
                    </w:rPr>
                    <w:t>压力罐</w:t>
                  </w:r>
                </w:p>
              </w:tc>
              <w:tc>
                <w:tcPr>
                  <w:tcW w:w="316" w:type="pct"/>
                  <w:vAlign w:val="center"/>
                </w:tcPr>
                <w:p w14:paraId="1CE8A8E6">
                  <w:pPr>
                    <w:pStyle w:val="5"/>
                    <w:rPr>
                      <w:lang w:val="en-US" w:eastAsia="zh-CN"/>
                    </w:rPr>
                  </w:pPr>
                  <w:r>
                    <w:rPr>
                      <w:lang w:val="en-US" w:eastAsia="zh-CN"/>
                    </w:rPr>
                    <w:t>0.560</w:t>
                  </w:r>
                </w:p>
              </w:tc>
              <w:tc>
                <w:tcPr>
                  <w:tcW w:w="258" w:type="pct"/>
                  <w:vAlign w:val="center"/>
                </w:tcPr>
                <w:p w14:paraId="5C50172B">
                  <w:pPr>
                    <w:pStyle w:val="5"/>
                    <w:rPr>
                      <w:lang w:val="en-US" w:eastAsia="zh-CN"/>
                    </w:rPr>
                  </w:pPr>
                  <w:r>
                    <w:rPr>
                      <w:lang w:val="en-US" w:eastAsia="zh-CN"/>
                    </w:rPr>
                    <w:t>卧式</w:t>
                  </w:r>
                </w:p>
              </w:tc>
              <w:tc>
                <w:tcPr>
                  <w:tcW w:w="464" w:type="pct"/>
                  <w:vAlign w:val="center"/>
                </w:tcPr>
                <w:p w14:paraId="6E502AF5">
                  <w:pPr>
                    <w:pStyle w:val="5"/>
                    <w:rPr>
                      <w:lang w:val="en-US" w:eastAsia="zh-CN"/>
                    </w:rPr>
                  </w:pPr>
                  <w:r>
                    <w:rPr>
                      <w:lang w:val="en-US" w:eastAsia="zh-CN"/>
                    </w:rPr>
                    <w:t>492.80t</w:t>
                  </w:r>
                </w:p>
              </w:tc>
              <w:tc>
                <w:tcPr>
                  <w:tcW w:w="214" w:type="pct"/>
                  <w:vAlign w:val="center"/>
                </w:tcPr>
                <w:p w14:paraId="5413076C">
                  <w:pPr>
                    <w:pStyle w:val="5"/>
                    <w:rPr>
                      <w:lang w:val="en-US" w:eastAsia="zh-CN"/>
                    </w:rPr>
                  </w:pPr>
                  <w:r>
                    <w:rPr>
                      <w:lang w:val="en-US" w:eastAsia="zh-CN"/>
                    </w:rPr>
                    <w:t>17</w:t>
                  </w:r>
                </w:p>
              </w:tc>
              <w:tc>
                <w:tcPr>
                  <w:tcW w:w="605" w:type="pct"/>
                  <w:vAlign w:val="center"/>
                </w:tcPr>
                <w:p w14:paraId="4969B00B">
                  <w:pPr>
                    <w:pStyle w:val="5"/>
                    <w:rPr>
                      <w:lang w:val="en-US" w:eastAsia="zh-CN"/>
                    </w:rPr>
                  </w:pPr>
                  <w:r>
                    <w:rPr>
                      <w:rFonts w:hint="eastAsia"/>
                      <w:lang w:val="en-US" w:eastAsia="zh-CN"/>
                    </w:rPr>
                    <w:t>现有</w:t>
                  </w:r>
                </w:p>
              </w:tc>
            </w:tr>
            <w:tr w14:paraId="0A8FE1B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000" w:type="pct"/>
                  <w:gridSpan w:val="8"/>
                  <w:vAlign w:val="center"/>
                </w:tcPr>
                <w:p w14:paraId="325028BD">
                  <w:pPr>
                    <w:pStyle w:val="5"/>
                    <w:rPr>
                      <w:rFonts w:hint="default"/>
                      <w:lang w:val="en-US" w:eastAsia="zh-CN"/>
                    </w:rPr>
                  </w:pPr>
                  <w:r>
                    <w:rPr>
                      <w:rFonts w:hint="eastAsia"/>
                      <w:lang w:val="en-US" w:eastAsia="zh-CN"/>
                    </w:rPr>
                    <w:t>罐区四</w:t>
                  </w:r>
                </w:p>
              </w:tc>
            </w:tr>
            <w:tr w14:paraId="39B8104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46" w:type="pct"/>
                  <w:vAlign w:val="center"/>
                </w:tcPr>
                <w:p w14:paraId="02693A9D">
                  <w:pPr>
                    <w:pStyle w:val="5"/>
                    <w:rPr>
                      <w:rFonts w:hint="default"/>
                      <w:lang w:val="en-US" w:eastAsia="zh-CN"/>
                    </w:rPr>
                  </w:pPr>
                  <w:r>
                    <w:rPr>
                      <w:rFonts w:hint="default"/>
                      <w:lang w:val="en-US" w:eastAsia="zh-CN"/>
                    </w:rPr>
                    <w:t>1#</w:t>
                  </w:r>
                  <w:r>
                    <w:rPr>
                      <w:rFonts w:hint="eastAsia"/>
                      <w:lang w:val="en-US" w:eastAsia="zh-CN"/>
                    </w:rPr>
                    <w:t>轻烃原料</w:t>
                  </w:r>
                  <w:r>
                    <w:rPr>
                      <w:rFonts w:hint="default"/>
                      <w:lang w:val="en-US" w:eastAsia="zh-CN"/>
                    </w:rPr>
                    <w:t>/</w:t>
                  </w:r>
                  <w:r>
                    <w:rPr>
                      <w:rFonts w:hint="eastAsia"/>
                      <w:lang w:val="en-US" w:eastAsia="zh-CN"/>
                    </w:rPr>
                    <w:t>碳五烷烃球罐</w:t>
                  </w:r>
                </w:p>
              </w:tc>
              <w:tc>
                <w:tcPr>
                  <w:tcW w:w="1816" w:type="pct"/>
                  <w:vAlign w:val="center"/>
                </w:tcPr>
                <w:p w14:paraId="559EB914">
                  <w:pPr>
                    <w:pStyle w:val="5"/>
                    <w:rPr>
                      <w:rFonts w:hint="default"/>
                      <w:lang w:val="en-US" w:eastAsia="zh-CN"/>
                    </w:rPr>
                  </w:pPr>
                  <w:r>
                    <w:rPr>
                      <w:lang w:val="en-US" w:eastAsia="zh-CN"/>
                    </w:rPr>
                    <w:t>∅1</w:t>
                  </w:r>
                  <w:r>
                    <w:rPr>
                      <w:rFonts w:hint="eastAsia"/>
                      <w:lang w:val="en-US" w:eastAsia="zh-CN"/>
                    </w:rPr>
                    <w:t>2.3m，2个，1000m</w:t>
                  </w:r>
                  <w:r>
                    <w:rPr>
                      <w:rFonts w:hint="eastAsia"/>
                      <w:vertAlign w:val="superscript"/>
                      <w:lang w:val="en-US" w:eastAsia="zh-CN"/>
                    </w:rPr>
                    <w:t>3</w:t>
                  </w:r>
                  <w:r>
                    <w:rPr>
                      <w:rFonts w:hint="eastAsia"/>
                      <w:lang w:val="en-US" w:eastAsia="zh-CN"/>
                    </w:rPr>
                    <w:t>/个，总容积2000m</w:t>
                  </w:r>
                  <w:r>
                    <w:rPr>
                      <w:rFonts w:hint="eastAsia"/>
                      <w:vertAlign w:val="superscript"/>
                      <w:lang w:val="en-US" w:eastAsia="zh-CN"/>
                    </w:rPr>
                    <w:t>3</w:t>
                  </w:r>
                </w:p>
              </w:tc>
              <w:tc>
                <w:tcPr>
                  <w:tcW w:w="379" w:type="pct"/>
                  <w:vAlign w:val="center"/>
                </w:tcPr>
                <w:p w14:paraId="73309CA1">
                  <w:pPr>
                    <w:pStyle w:val="5"/>
                    <w:rPr>
                      <w:rFonts w:hint="default"/>
                      <w:lang w:val="en-US" w:eastAsia="zh-CN"/>
                    </w:rPr>
                  </w:pPr>
                  <w:r>
                    <w:rPr>
                      <w:rFonts w:hint="eastAsia"/>
                      <w:lang w:val="en-US" w:eastAsia="zh-CN"/>
                    </w:rPr>
                    <w:t>压力罐</w:t>
                  </w:r>
                </w:p>
              </w:tc>
              <w:tc>
                <w:tcPr>
                  <w:tcW w:w="316" w:type="pct"/>
                  <w:vAlign w:val="center"/>
                </w:tcPr>
                <w:p w14:paraId="7A12CF0B">
                  <w:pPr>
                    <w:pStyle w:val="5"/>
                    <w:rPr>
                      <w:rFonts w:hint="default"/>
                      <w:lang w:val="en-US" w:eastAsia="zh-CN"/>
                    </w:rPr>
                  </w:pPr>
                  <w:r>
                    <w:rPr>
                      <w:rFonts w:hint="eastAsia"/>
                      <w:lang w:val="en-US" w:eastAsia="zh-CN"/>
                    </w:rPr>
                    <w:t>0.65/0.68</w:t>
                  </w:r>
                </w:p>
              </w:tc>
              <w:tc>
                <w:tcPr>
                  <w:tcW w:w="258" w:type="pct"/>
                  <w:vAlign w:val="center"/>
                </w:tcPr>
                <w:p w14:paraId="19148912">
                  <w:pPr>
                    <w:pStyle w:val="5"/>
                    <w:rPr>
                      <w:rFonts w:hint="default"/>
                      <w:lang w:val="en-US" w:eastAsia="zh-CN"/>
                    </w:rPr>
                  </w:pPr>
                  <w:r>
                    <w:rPr>
                      <w:rFonts w:hint="eastAsia"/>
                      <w:lang w:val="en-US" w:eastAsia="zh-CN"/>
                    </w:rPr>
                    <w:t>球罐</w:t>
                  </w:r>
                </w:p>
              </w:tc>
              <w:tc>
                <w:tcPr>
                  <w:tcW w:w="464" w:type="pct"/>
                  <w:vAlign w:val="center"/>
                </w:tcPr>
                <w:p w14:paraId="428A2408">
                  <w:pPr>
                    <w:pStyle w:val="5"/>
                    <w:rPr>
                      <w:rFonts w:hint="default"/>
                      <w:lang w:val="en-US" w:eastAsia="zh-CN"/>
                    </w:rPr>
                  </w:pPr>
                  <w:r>
                    <w:rPr>
                      <w:rFonts w:hint="eastAsia"/>
                      <w:lang w:val="en-US" w:eastAsia="zh-CN"/>
                    </w:rPr>
                    <w:t>1144/1196.8</w:t>
                  </w:r>
                </w:p>
              </w:tc>
              <w:tc>
                <w:tcPr>
                  <w:tcW w:w="214" w:type="pct"/>
                  <w:vAlign w:val="center"/>
                </w:tcPr>
                <w:p w14:paraId="45BB9F28">
                  <w:pPr>
                    <w:pStyle w:val="5"/>
                    <w:rPr>
                      <w:rFonts w:hint="default"/>
                      <w:lang w:val="en-US" w:eastAsia="zh-CN"/>
                    </w:rPr>
                  </w:pPr>
                  <w:r>
                    <w:rPr>
                      <w:rFonts w:hint="eastAsia"/>
                      <w:lang w:val="en-US" w:eastAsia="zh-CN"/>
                    </w:rPr>
                    <w:t>2/4</w:t>
                  </w:r>
                </w:p>
              </w:tc>
              <w:tc>
                <w:tcPr>
                  <w:tcW w:w="605" w:type="pct"/>
                  <w:vAlign w:val="center"/>
                </w:tcPr>
                <w:p w14:paraId="61F16B7D">
                  <w:pPr>
                    <w:pStyle w:val="5"/>
                    <w:rPr>
                      <w:rFonts w:hint="default"/>
                      <w:lang w:val="en-US" w:eastAsia="zh-CN"/>
                    </w:rPr>
                  </w:pPr>
                  <w:r>
                    <w:rPr>
                      <w:rFonts w:hint="eastAsia"/>
                      <w:lang w:val="en-US" w:eastAsia="zh-CN"/>
                    </w:rPr>
                    <w:t>新建</w:t>
                  </w:r>
                </w:p>
              </w:tc>
            </w:tr>
            <w:tr w14:paraId="52B8489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5000" w:type="pct"/>
                  <w:gridSpan w:val="8"/>
                  <w:vAlign w:val="center"/>
                </w:tcPr>
                <w:p w14:paraId="50AC08D4">
                  <w:pPr>
                    <w:pStyle w:val="5"/>
                    <w:rPr>
                      <w:lang w:val="en-US" w:eastAsia="zh-CN"/>
                    </w:rPr>
                  </w:pPr>
                  <w:r>
                    <w:rPr>
                      <w:lang w:val="en-US" w:eastAsia="zh-CN"/>
                    </w:rPr>
                    <w:t>注：①装填系数取88%。</w:t>
                  </w:r>
                </w:p>
              </w:tc>
            </w:tr>
          </w:tbl>
          <w:p w14:paraId="77DAE215">
            <w:pPr>
              <w:pStyle w:val="2"/>
              <w:bidi w:val="0"/>
              <w:rPr>
                <w:lang w:val="en-US" w:eastAsia="zh-CN"/>
              </w:rPr>
            </w:pPr>
            <w:r>
              <w:rPr>
                <w:rFonts w:hint="eastAsia"/>
                <w:lang w:val="en-US" w:eastAsia="zh-CN"/>
              </w:rPr>
              <w:t xml:space="preserve">8 </w:t>
            </w:r>
            <w:r>
              <w:rPr>
                <w:lang w:val="en-US" w:eastAsia="zh-CN"/>
              </w:rPr>
              <w:t>总平面布置</w:t>
            </w:r>
          </w:p>
          <w:p w14:paraId="60DF325F">
            <w:pPr>
              <w:bidi w:val="0"/>
              <w:rPr>
                <w:lang w:val="en-US" w:eastAsia="zh-CN"/>
              </w:rPr>
            </w:pPr>
            <w:r>
              <w:rPr>
                <w:lang w:val="en-US" w:eastAsia="zh-CN"/>
              </w:rPr>
              <w:t>本项目不增加用地，</w:t>
            </w:r>
            <w:r>
              <w:rPr>
                <w:rFonts w:hint="eastAsia"/>
                <w:lang w:val="en-US" w:eastAsia="zh-CN"/>
              </w:rPr>
              <w:t>在厂区现有空地建设罐区四，</w:t>
            </w:r>
            <w:r>
              <w:rPr>
                <w:lang w:val="en-US" w:eastAsia="zh-CN"/>
              </w:rPr>
              <w:t>在原储运系统装卸车台的基础上加装</w:t>
            </w:r>
            <w:r>
              <w:rPr>
                <w:rFonts w:hint="eastAsia"/>
                <w:lang w:val="en-US" w:eastAsia="zh-CN"/>
              </w:rPr>
              <w:t>至</w:t>
            </w:r>
            <w:r>
              <w:rPr>
                <w:lang w:val="en-US" w:eastAsia="zh-CN"/>
              </w:rPr>
              <w:t>罐区</w:t>
            </w:r>
            <w:r>
              <w:rPr>
                <w:rFonts w:hint="eastAsia"/>
                <w:lang w:val="en-US" w:eastAsia="zh-CN"/>
              </w:rPr>
              <w:t>四</w:t>
            </w:r>
            <w:r>
              <w:rPr>
                <w:lang w:val="en-US" w:eastAsia="zh-CN"/>
              </w:rPr>
              <w:t>的卸车工艺管道</w:t>
            </w:r>
            <w:r>
              <w:rPr>
                <w:rFonts w:hint="eastAsia"/>
                <w:lang w:val="en-US" w:eastAsia="zh-CN"/>
              </w:rPr>
              <w:t>。</w:t>
            </w:r>
          </w:p>
          <w:p w14:paraId="6A34A886">
            <w:pPr>
              <w:bidi w:val="0"/>
              <w:rPr>
                <w:lang w:val="en-US" w:eastAsia="zh-CN"/>
              </w:rPr>
            </w:pPr>
            <w:r>
              <w:rPr>
                <w:lang w:val="en-US" w:eastAsia="zh-CN"/>
              </w:rPr>
              <w:t>厂区平面呈矩形布置，东西长约546m，南北宽约204m。厂区总平面布置按照功能分区，划分为厂前区、生产装置区、公用工程区、储罐区、装卸区等。</w:t>
            </w:r>
          </w:p>
          <w:p w14:paraId="654AD4B6">
            <w:pPr>
              <w:bidi w:val="0"/>
              <w:rPr>
                <w:lang w:val="en-US" w:eastAsia="zh-CN"/>
              </w:rPr>
            </w:pPr>
            <w:r>
              <w:rPr>
                <w:lang w:val="en-US" w:eastAsia="zh-CN"/>
              </w:rPr>
              <w:t>厂前区主要设置有综合楼、食堂、辅助楼、职工活动室等，位于厂区西北侧；生产装置区主要为混烃预处理单元和轻烃预处理单元，位于厂区中部；公用工程区包括主控室、分析化验及变配电室、消防泵房及空压站、消防水罐、污水处理间、初期雨水收集池、污水收集池、消防事故水收集池、循环水站、导热油炉、地面火炬等，公用工程设施分布在厂区西侧及东南侧；储罐区包括罐区一、罐区二、罐区三</w:t>
            </w:r>
            <w:r>
              <w:rPr>
                <w:rFonts w:hint="eastAsia"/>
                <w:lang w:val="en-US" w:eastAsia="zh-CN"/>
              </w:rPr>
              <w:t>、罐区四</w:t>
            </w:r>
            <w:r>
              <w:rPr>
                <w:lang w:val="en-US" w:eastAsia="zh-CN"/>
              </w:rPr>
              <w:t>及其泵棚、油气回收装置，储罐区位于厂区东侧；装卸区主要由汽车装卸站以及倒车场地组成，位于厂区北侧中部位置；危废</w:t>
            </w:r>
            <w:r>
              <w:rPr>
                <w:rFonts w:hint="eastAsia"/>
                <w:lang w:val="en-US" w:eastAsia="zh-CN"/>
              </w:rPr>
              <w:t>贮存点</w:t>
            </w:r>
            <w:r>
              <w:rPr>
                <w:lang w:val="en-US" w:eastAsia="zh-CN"/>
              </w:rPr>
              <w:t>位于厂区西南侧。除厂前区与装卸区由独立围墙与其他功能区分隔外，其余各功能区之间均用通道隔开，通道宽度分主次通道。加热炉布置在原料预处理装置的边缘，与燃料气储罐保持7.5m以上的防火间距，与最近的混烃分离塔之间保持15m以上的防火间距。</w:t>
            </w:r>
          </w:p>
          <w:p w14:paraId="74B73145">
            <w:pPr>
              <w:bidi w:val="0"/>
              <w:rPr>
                <w:lang w:val="en-US" w:eastAsia="zh-CN"/>
              </w:rPr>
            </w:pPr>
            <w:r>
              <w:rPr>
                <w:lang w:val="en-US" w:eastAsia="zh-CN"/>
              </w:rPr>
              <w:t>为满足物料和人流出入，生产厂区设置2个出入口，其中物流出入口位于厂区北侧中部，人员出入口位于厂区北侧与物流出入口隔离设置，紧邻园区规划道路。满足人流、物流出入需求。平面布置详见附图</w:t>
            </w:r>
            <w:r>
              <w:rPr>
                <w:rFonts w:hint="eastAsia"/>
                <w:lang w:val="en-US" w:eastAsia="zh-CN"/>
              </w:rPr>
              <w:t>7</w:t>
            </w:r>
            <w:r>
              <w:rPr>
                <w:lang w:val="en-US" w:eastAsia="zh-CN"/>
              </w:rPr>
              <w:t>。</w:t>
            </w:r>
          </w:p>
          <w:p w14:paraId="6FC4E302">
            <w:pPr>
              <w:pStyle w:val="2"/>
              <w:bidi w:val="0"/>
              <w:rPr>
                <w:lang w:val="en-US" w:eastAsia="zh-CN"/>
              </w:rPr>
            </w:pPr>
            <w:r>
              <w:rPr>
                <w:rFonts w:hint="eastAsia"/>
                <w:lang w:val="en-US" w:eastAsia="zh-CN"/>
              </w:rPr>
              <w:t xml:space="preserve">9 </w:t>
            </w:r>
            <w:r>
              <w:rPr>
                <w:lang w:val="en-US" w:eastAsia="zh-CN"/>
              </w:rPr>
              <w:t>公用工程</w:t>
            </w:r>
          </w:p>
          <w:p w14:paraId="3F120E60">
            <w:pPr>
              <w:bidi w:val="0"/>
              <w:rPr>
                <w:lang w:val="en-US" w:eastAsia="zh-CN"/>
              </w:rPr>
            </w:pPr>
            <w:r>
              <w:rPr>
                <w:lang w:val="en-US" w:eastAsia="zh-CN"/>
              </w:rPr>
              <w:t>（1）给排水</w:t>
            </w:r>
          </w:p>
          <w:p w14:paraId="3ADCDA26">
            <w:pPr>
              <w:bidi w:val="0"/>
              <w:rPr>
                <w:lang w:val="en-US" w:eastAsia="zh-CN"/>
              </w:rPr>
            </w:pPr>
            <w:r>
              <w:rPr>
                <w:lang w:val="en-US" w:eastAsia="zh-CN"/>
              </w:rPr>
              <w:t>厂区</w:t>
            </w:r>
            <w:r>
              <w:rPr>
                <w:rFonts w:hint="eastAsia"/>
                <w:lang w:val="en-US" w:eastAsia="zh-CN"/>
              </w:rPr>
              <w:t>用水依托园区供水管网</w:t>
            </w:r>
            <w:r>
              <w:rPr>
                <w:lang w:val="en-US" w:eastAsia="zh-CN"/>
              </w:rPr>
              <w:t>，本项目不新增用水。</w:t>
            </w:r>
          </w:p>
          <w:p w14:paraId="70A8116B">
            <w:pPr>
              <w:bidi w:val="0"/>
              <w:rPr>
                <w:lang w:val="en-US" w:eastAsia="zh-CN"/>
              </w:rPr>
            </w:pPr>
            <w:r>
              <w:rPr>
                <w:lang w:val="en-US" w:eastAsia="zh-CN"/>
              </w:rPr>
              <w:t>（2）供电</w:t>
            </w:r>
          </w:p>
          <w:p w14:paraId="30DE6B6D">
            <w:pPr>
              <w:bidi w:val="0"/>
              <w:rPr>
                <w:lang w:val="en-US" w:eastAsia="zh-CN"/>
              </w:rPr>
            </w:pPr>
            <w:r>
              <w:rPr>
                <w:lang w:val="en-US" w:eastAsia="zh-CN"/>
              </w:rPr>
              <w:t>本项目供电由拉伊苏园区库尔勒110千伏供变电站采用两路电源供电，厂区内已设一座总变配电室，具有1250kVA的配电变压器两台，完全满足负荷需求。厂区供电电压等级可分为：10kV、380V、220V。</w:t>
            </w:r>
          </w:p>
          <w:p w14:paraId="10C67F10">
            <w:pPr>
              <w:bidi w:val="0"/>
              <w:rPr>
                <w:lang w:val="en-US" w:eastAsia="zh-CN"/>
              </w:rPr>
            </w:pPr>
            <w:r>
              <w:rPr>
                <w:lang w:val="en-US" w:eastAsia="zh-CN"/>
              </w:rPr>
              <w:t>本项目用电量为</w:t>
            </w:r>
            <w:r>
              <w:rPr>
                <w:rFonts w:hint="eastAsia"/>
                <w:lang w:val="en-US" w:eastAsia="zh-CN"/>
              </w:rPr>
              <w:t>264000</w:t>
            </w:r>
            <w:r>
              <w:rPr>
                <w:lang w:val="en-US" w:eastAsia="zh-CN"/>
              </w:rPr>
              <w:t>kWh/a。</w:t>
            </w:r>
          </w:p>
          <w:p w14:paraId="37FD4B2E">
            <w:pPr>
              <w:bidi w:val="0"/>
              <w:rPr>
                <w:lang w:val="en-US" w:eastAsia="zh-CN"/>
              </w:rPr>
            </w:pPr>
            <w:r>
              <w:rPr>
                <w:lang w:val="en-US" w:eastAsia="zh-CN"/>
              </w:rPr>
              <w:t>（3）劳动定员及工作制度</w:t>
            </w:r>
          </w:p>
          <w:p w14:paraId="1C0B350A">
            <w:pPr>
              <w:bidi w:val="0"/>
              <w:rPr>
                <w:rFonts w:eastAsia="宋体"/>
                <w:kern w:val="2"/>
                <w:lang w:val="en-US" w:eastAsia="zh-CN" w:bidi="ar-SA"/>
              </w:rPr>
            </w:pPr>
            <w:r>
              <w:rPr>
                <w:rFonts w:hint="eastAsia"/>
                <w:lang w:val="en-US" w:eastAsia="zh-CN"/>
              </w:rPr>
              <w:t>现有工程总定员</w:t>
            </w:r>
            <w:r>
              <w:rPr>
                <w:rFonts w:hint="default"/>
                <w:lang w:val="en-US" w:eastAsia="zh-CN"/>
              </w:rPr>
              <w:t>105</w:t>
            </w:r>
            <w:r>
              <w:rPr>
                <w:rFonts w:hint="eastAsia"/>
                <w:lang w:val="en-US" w:eastAsia="zh-CN"/>
              </w:rPr>
              <w:t>人，年工作时间</w:t>
            </w:r>
            <w:r>
              <w:rPr>
                <w:rFonts w:hint="default"/>
                <w:lang w:val="en-US" w:eastAsia="zh-CN"/>
              </w:rPr>
              <w:t>333</w:t>
            </w:r>
            <w:r>
              <w:rPr>
                <w:rFonts w:hint="eastAsia"/>
                <w:lang w:val="en-US" w:eastAsia="zh-CN"/>
              </w:rPr>
              <w:t>天，工作时长按</w:t>
            </w:r>
            <w:r>
              <w:rPr>
                <w:rFonts w:hint="default"/>
                <w:lang w:val="en-US" w:eastAsia="zh-CN"/>
              </w:rPr>
              <w:t>8000</w:t>
            </w:r>
            <w:r>
              <w:rPr>
                <w:rFonts w:hint="eastAsia"/>
                <w:lang w:val="en-US" w:eastAsia="zh-CN"/>
              </w:rPr>
              <w:t>小时计，本项目</w:t>
            </w:r>
            <w:r>
              <w:rPr>
                <w:lang w:val="en-US" w:eastAsia="zh-CN"/>
              </w:rPr>
              <w:t>依托厂区现有工作人员，不新增劳动定员。</w:t>
            </w:r>
          </w:p>
        </w:tc>
      </w:tr>
      <w:tr w14:paraId="046D7F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434" w:type="dxa"/>
            <w:noWrap w:val="0"/>
            <w:vAlign w:val="center"/>
          </w:tcPr>
          <w:p w14:paraId="5FAB5BC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lang w:val="en-US" w:eastAsia="zh-CN" w:bidi="ar-SA"/>
              </w:rPr>
            </w:pPr>
            <w:r>
              <w:rPr>
                <w:rFonts w:eastAsia="宋体"/>
                <w:lang w:val="en-US" w:eastAsia="zh-CN" w:bidi="ar-SA"/>
              </w:rPr>
              <w:t>工艺流程和产排污环节</w:t>
            </w:r>
          </w:p>
        </w:tc>
        <w:tc>
          <w:tcPr>
            <w:tcW w:w="8626" w:type="dxa"/>
            <w:noWrap w:val="0"/>
            <w:vAlign w:val="top"/>
          </w:tcPr>
          <w:p w14:paraId="44F12C92">
            <w:pPr>
              <w:pStyle w:val="2"/>
              <w:bidi w:val="0"/>
              <w:rPr>
                <w:lang w:val="en-US" w:eastAsia="zh-CN"/>
              </w:rPr>
            </w:pPr>
            <w:r>
              <w:rPr>
                <w:rFonts w:hint="eastAsia"/>
                <w:lang w:val="en-US" w:eastAsia="zh-CN"/>
              </w:rPr>
              <w:t xml:space="preserve">1 </w:t>
            </w:r>
            <w:r>
              <w:rPr>
                <w:lang w:val="en-US" w:eastAsia="zh-CN"/>
              </w:rPr>
              <w:t>施工期工艺流程和产排污环节</w:t>
            </w:r>
          </w:p>
          <w:p w14:paraId="3F0D2F7E">
            <w:pPr>
              <w:bidi w:val="0"/>
              <w:rPr>
                <w:rFonts w:hint="eastAsia"/>
                <w:lang w:val="en-US" w:eastAsia="zh-CN"/>
              </w:rPr>
            </w:pPr>
            <w:r>
              <w:rPr>
                <w:rFonts w:hint="default"/>
                <w:lang w:val="en-US" w:eastAsia="zh-CN"/>
              </w:rPr>
              <w:pict>
                <v:shape id="_x0000_s1026" o:spid="_x0000_s1026" o:spt="75" type="#_x0000_t75" style="position:absolute;left:0pt;margin-left:53.25pt;margin-top:67pt;height:104.55pt;width:285.25pt;mso-wrap-distance-bottom:0pt;mso-wrap-distance-top:0pt;z-index:251665408;mso-width-relative:page;mso-height-relative:page;" o:ole="t" filled="f" o:preferrelative="t" stroked="f" coordsize="21600,21600">
                  <v:path/>
                  <v:fill on="f" focussize="0,0"/>
                  <v:stroke on="f"/>
                  <v:imagedata r:id="rId17" o:title=""/>
                  <o:lock v:ext="edit" aspectratio="f"/>
                  <w10:wrap type="topAndBottom"/>
                </v:shape>
                <o:OLEObject Type="Embed" ProgID="Visio.Drawing.15" ShapeID="_x0000_s1026" DrawAspect="Content" ObjectID="_1468075725" r:id="rId16">
                  <o:LockedField>false</o:LockedField>
                </o:OLEObject>
              </w:pict>
            </w:r>
            <w:r>
              <w:rPr>
                <w:rFonts w:hint="default"/>
                <w:lang w:val="en-US" w:eastAsia="zh-CN"/>
              </w:rPr>
              <w:t>项目建设期对环境的影响主要表现为：施工扬尘、施工废水、施工机械噪声、施工固废以及施工队伍的生活排污。施工期工艺和产污环节详见图2-</w:t>
            </w:r>
            <w:r>
              <w:rPr>
                <w:rFonts w:hint="eastAsia"/>
                <w:lang w:val="en-US" w:eastAsia="zh-CN"/>
              </w:rPr>
              <w:t>1。</w:t>
            </w:r>
          </w:p>
          <w:p w14:paraId="009AFA43">
            <w:pPr>
              <w:pStyle w:val="4"/>
              <w:bidi w:val="0"/>
              <w:rPr>
                <w:lang w:val="en-US" w:eastAsia="zh-CN"/>
              </w:rPr>
            </w:pPr>
            <w:r>
              <w:rPr>
                <w:lang w:val="en-US" w:eastAsia="zh-CN"/>
              </w:rPr>
              <w:t>图2-</w:t>
            </w:r>
            <w:r>
              <w:rPr>
                <w:rFonts w:hint="eastAsia"/>
                <w:lang w:val="en-US" w:eastAsia="zh-CN"/>
              </w:rPr>
              <w:t>1</w:t>
            </w:r>
            <w:r>
              <w:rPr>
                <w:lang w:val="en-US" w:eastAsia="zh-CN"/>
              </w:rPr>
              <w:t xml:space="preserve">  施工期工艺流程及产污环节图</w:t>
            </w:r>
          </w:p>
          <w:p w14:paraId="401DF011">
            <w:pPr>
              <w:pStyle w:val="2"/>
              <w:bidi w:val="0"/>
              <w:rPr>
                <w:lang w:val="en-US" w:eastAsia="zh-CN"/>
              </w:rPr>
            </w:pPr>
            <w:r>
              <w:rPr>
                <w:rFonts w:hint="eastAsia"/>
                <w:lang w:val="en-US" w:eastAsia="zh-CN"/>
              </w:rPr>
              <w:t xml:space="preserve">2 </w:t>
            </w:r>
            <w:r>
              <w:rPr>
                <w:lang w:val="en-US" w:eastAsia="zh-CN"/>
              </w:rPr>
              <w:t>运营期工艺流程和产污环节</w:t>
            </w:r>
          </w:p>
          <w:p w14:paraId="57834D95">
            <w:pPr>
              <w:bidi w:val="0"/>
              <w:rPr>
                <w:rFonts w:hint="default"/>
                <w:lang w:val="en-US" w:eastAsia="zh-CN"/>
              </w:rPr>
            </w:pPr>
            <w:r>
              <w:rPr>
                <w:lang w:val="en-US" w:eastAsia="zh-CN"/>
              </w:rPr>
              <w:t>本次新增球罐V-4601A/B，1#轻烃原料和碳五烷烃至球罐进出料总线管道</w:t>
            </w:r>
            <w:r>
              <w:rPr>
                <w:rFonts w:hint="default"/>
                <w:lang w:val="en-US" w:eastAsia="zh-CN"/>
              </w:rPr>
              <w:t>分别单独设置，实现新增球罐V-4601A/B既能单独储存1#轻烃原料又能单独储存碳五烷烃，具体储存哪种介质根据生产储存需求调整。</w:t>
            </w:r>
          </w:p>
          <w:p w14:paraId="41B2A54A">
            <w:pPr>
              <w:bidi w:val="0"/>
              <w:rPr>
                <w:rFonts w:hint="default"/>
                <w:lang w:val="en-US" w:eastAsia="zh-CN"/>
              </w:rPr>
            </w:pPr>
            <w:r>
              <w:rPr>
                <w:lang w:val="en-US" w:eastAsia="zh-CN"/>
              </w:rPr>
              <w:t>（1）</w:t>
            </w:r>
            <w:r>
              <w:rPr>
                <w:rFonts w:hint="default"/>
                <w:lang w:val="en-US" w:eastAsia="zh-CN"/>
              </w:rPr>
              <w:t>1#轻烃卸车储存工序</w:t>
            </w:r>
          </w:p>
          <w:p w14:paraId="683FE7A5">
            <w:pPr>
              <w:bidi w:val="0"/>
              <w:rPr>
                <w:rFonts w:hint="default"/>
                <w:lang w:val="en-US" w:eastAsia="zh-CN"/>
              </w:rPr>
            </w:pPr>
            <w:r>
              <w:rPr>
                <w:rFonts w:hint="default"/>
                <w:lang w:val="en-US" w:eastAsia="zh-CN"/>
              </w:rPr>
              <w:t>项目外购1#轻烃原料由密闭罐车运输至厂区卸车区域，采用密闭卸车方式，通过新增1#轻烃原料卸车泵对罐车内物料进行加压输送，经专用1#轻烃进料总管输送至新增球罐密闭储存。</w:t>
            </w:r>
          </w:p>
          <w:p w14:paraId="623799CE">
            <w:pPr>
              <w:bidi w:val="0"/>
              <w:rPr>
                <w:rFonts w:hint="default"/>
                <w:lang w:val="en-US" w:eastAsia="zh-CN"/>
              </w:rPr>
            </w:pPr>
            <w:r>
              <w:rPr>
                <w:rFonts w:hint="default"/>
                <w:lang w:val="en-US" w:eastAsia="zh-CN"/>
              </w:rPr>
              <w:t>生产需要使用1#轻烃原料时，通过共用的输送泵将球罐内储存的1#轻烃输送至厂区主生产装置，满足生产原料供给。</w:t>
            </w:r>
          </w:p>
          <w:p w14:paraId="2F4251BC">
            <w:pPr>
              <w:bidi w:val="0"/>
              <w:rPr>
                <w:rFonts w:hint="default"/>
                <w:lang w:val="en-US" w:eastAsia="zh-CN"/>
              </w:rPr>
            </w:pPr>
            <w:r>
              <w:rPr>
                <w:rFonts w:hint="default"/>
                <w:lang w:val="en-US" w:eastAsia="zh-CN"/>
              </w:rPr>
              <w:t>物料装车废气</w:t>
            </w:r>
            <w:r>
              <w:rPr>
                <w:rFonts w:hint="eastAsia"/>
                <w:lang w:val="en-US" w:eastAsia="zh-CN"/>
              </w:rPr>
              <w:t>收集后输送至厂区现有</w:t>
            </w:r>
            <w:r>
              <w:rPr>
                <w:rFonts w:hint="default"/>
                <w:lang w:val="en-US" w:eastAsia="zh-CN"/>
              </w:rPr>
              <w:t>油气回收系统（冷凝+活性炭吸附）处理，处理后废气经1根15m高排气筒（DA003）排放</w:t>
            </w:r>
            <w:r>
              <w:rPr>
                <w:rFonts w:hint="eastAsia"/>
                <w:lang w:val="en-US" w:eastAsia="zh-CN"/>
              </w:rPr>
              <w:t>。</w:t>
            </w:r>
          </w:p>
          <w:p w14:paraId="6167D4D7">
            <w:pPr>
              <w:bidi w:val="0"/>
              <w:rPr>
                <w:lang w:val="en-US" w:eastAsia="zh-CN"/>
              </w:rPr>
            </w:pPr>
            <w:r>
              <w:rPr>
                <w:rFonts w:hint="default"/>
                <w:lang w:val="en-US" w:eastAsia="zh-CN"/>
              </w:rPr>
              <w:t>（2）碳五烷烃收料储存工序</w:t>
            </w:r>
          </w:p>
          <w:p w14:paraId="0975A487">
            <w:pPr>
              <w:bidi w:val="0"/>
              <w:rPr>
                <w:rFonts w:hint="default"/>
                <w:lang w:val="en-US" w:eastAsia="zh-CN"/>
              </w:rPr>
            </w:pPr>
            <w:r>
              <w:rPr>
                <w:rFonts w:hint="default"/>
                <w:lang w:val="en-US" w:eastAsia="zh-CN"/>
              </w:rPr>
              <w:t>碳五烷烃为本厂主装置产出中间产品，由现有主生产装置通过密闭管道输送至本项目新增球罐区密闭储存，作为后续调油工序备用原料。球罐储存监控、安全防护系统与1#轻烃储存系统一致，实现压力、液位、温度全程监控。</w:t>
            </w:r>
          </w:p>
          <w:p w14:paraId="4ECF36E3">
            <w:pPr>
              <w:bidi w:val="0"/>
              <w:rPr>
                <w:rFonts w:hint="default"/>
                <w:lang w:val="en-US" w:eastAsia="zh-CN"/>
              </w:rPr>
            </w:pPr>
            <w:r>
              <w:rPr>
                <w:rFonts w:hint="default"/>
                <w:lang w:val="en-US" w:eastAsia="zh-CN"/>
              </w:rPr>
              <w:t>当开展油品调合生产作业时，罐内储存的碳五烷烃通过1#轻烃原料/碳五烷烃输送泵加压输送，密闭输送至管道式调油混合器内，与其他油品组分进行混合调合，完成产品调配工序。</w:t>
            </w:r>
          </w:p>
          <w:p w14:paraId="68C78704">
            <w:pPr>
              <w:bidi w:val="0"/>
              <w:rPr>
                <w:lang w:val="en-US" w:eastAsia="zh-CN"/>
              </w:rPr>
            </w:pPr>
            <w:r>
              <w:rPr>
                <w:lang w:val="en-US" w:eastAsia="zh-CN"/>
              </w:rPr>
              <w:t>工艺流程见图2-</w:t>
            </w:r>
            <w:r>
              <w:rPr>
                <w:rFonts w:hint="eastAsia"/>
                <w:lang w:val="en-US" w:eastAsia="zh-CN"/>
              </w:rPr>
              <w:t>2</w:t>
            </w:r>
            <w:r>
              <w:rPr>
                <w:lang w:val="en-US" w:eastAsia="zh-CN"/>
              </w:rPr>
              <w:t>。</w:t>
            </w:r>
          </w:p>
          <w:p w14:paraId="0390D5EE">
            <w:pPr>
              <w:pStyle w:val="4"/>
              <w:bidi w:val="0"/>
              <w:rPr>
                <w:lang w:val="en-US" w:eastAsia="zh-CN"/>
              </w:rPr>
            </w:pPr>
            <w:r>
              <w:rPr>
                <w:rFonts w:eastAsia="宋体"/>
                <w:b/>
                <w:bCs/>
                <w:kern w:val="2"/>
                <w:lang w:val="en-US" w:eastAsia="zh-CN" w:bidi="ar-SA"/>
              </w:rPr>
              <w:drawing>
                <wp:anchor distT="0" distB="0" distL="114300" distR="114300" simplePos="0" relativeHeight="251664384" behindDoc="0" locked="0" layoutInCell="1" allowOverlap="1">
                  <wp:simplePos x="0" y="0"/>
                  <wp:positionH relativeFrom="column">
                    <wp:posOffset>597535</wp:posOffset>
                  </wp:positionH>
                  <wp:positionV relativeFrom="paragraph">
                    <wp:posOffset>40640</wp:posOffset>
                  </wp:positionV>
                  <wp:extent cx="3691255" cy="1691005"/>
                  <wp:effectExtent l="0" t="0" r="0" b="4445"/>
                  <wp:wrapTopAndBottom/>
                  <wp:docPr id="3" name="E657119C-6982-421D-8BA7-E74DEB70A7D9-1" descr="C:/Users/Administrator/AppData/Local/Temp/wps.JDEhuq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657119C-6982-421D-8BA7-E74DEB70A7D9-1" descr="C:/Users/Administrator/AppData/Local/Temp/wps.JDEhuqwps"/>
                          <pic:cNvPicPr>
                            <a:picLocks noChangeAspect="1"/>
                          </pic:cNvPicPr>
                        </pic:nvPicPr>
                        <pic:blipFill>
                          <a:blip r:embed="rId18"/>
                          <a:srcRect t="9655" b="8544"/>
                          <a:stretch>
                            <a:fillRect/>
                          </a:stretch>
                        </pic:blipFill>
                        <pic:spPr>
                          <a:xfrm>
                            <a:off x="0" y="0"/>
                            <a:ext cx="3691255" cy="1691005"/>
                          </a:xfrm>
                          <a:prstGeom prst="rect">
                            <a:avLst/>
                          </a:prstGeom>
                        </pic:spPr>
                      </pic:pic>
                    </a:graphicData>
                  </a:graphic>
                </wp:anchor>
              </w:drawing>
            </w:r>
            <w:r>
              <w:rPr>
                <w:lang w:val="en-US" w:eastAsia="zh-CN"/>
              </w:rPr>
              <w:t>图2-</w:t>
            </w:r>
            <w:r>
              <w:rPr>
                <w:rFonts w:hint="eastAsia"/>
                <w:lang w:val="en-US" w:eastAsia="zh-CN"/>
              </w:rPr>
              <w:t>2</w:t>
            </w:r>
            <w:r>
              <w:rPr>
                <w:lang w:val="en-US" w:eastAsia="zh-CN"/>
              </w:rPr>
              <w:t xml:space="preserve">  项目工艺流程及产污环节图</w:t>
            </w:r>
          </w:p>
          <w:p w14:paraId="4C2F1F69">
            <w:pPr>
              <w:bidi w:val="0"/>
              <w:rPr>
                <w:lang w:val="en-US" w:eastAsia="zh-CN"/>
              </w:rPr>
            </w:pPr>
            <w:r>
              <w:rPr>
                <w:lang w:val="en-US" w:eastAsia="zh-CN"/>
              </w:rPr>
              <w:t>项目主要产污工序及污染物见下表。</w:t>
            </w:r>
          </w:p>
          <w:p w14:paraId="4286CB61">
            <w:pPr>
              <w:pStyle w:val="4"/>
              <w:bidi w:val="0"/>
              <w:rPr>
                <w:lang w:val="en-US" w:eastAsia="zh-CN"/>
              </w:rPr>
            </w:pPr>
            <w:r>
              <w:rPr>
                <w:lang w:val="en-US" w:eastAsia="zh-CN"/>
              </w:rPr>
              <w:t>表2-</w:t>
            </w:r>
            <w:r>
              <w:rPr>
                <w:rFonts w:hint="eastAsia"/>
                <w:lang w:val="en-US" w:eastAsia="zh-CN"/>
              </w:rPr>
              <w:t>7</w:t>
            </w:r>
            <w:r>
              <w:rPr>
                <w:lang w:val="en-US" w:eastAsia="zh-CN"/>
              </w:rPr>
              <w:t xml:space="preserve">  项目主要产污工序及污染物对照一览表</w:t>
            </w:r>
          </w:p>
          <w:tbl>
            <w:tblPr>
              <w:tblStyle w:val="19"/>
              <w:tblW w:w="4998"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36"/>
              <w:gridCol w:w="1446"/>
              <w:gridCol w:w="996"/>
              <w:gridCol w:w="1591"/>
              <w:gridCol w:w="3628"/>
            </w:tblGrid>
            <w:tr w14:paraId="70A9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438" w:type="pct"/>
                  <w:tcBorders>
                    <w:tl2br w:val="nil"/>
                    <w:tr2bl w:val="nil"/>
                  </w:tcBorders>
                  <w:noWrap w:val="0"/>
                  <w:vAlign w:val="center"/>
                </w:tcPr>
                <w:p w14:paraId="340E5A71">
                  <w:pPr>
                    <w:pStyle w:val="5"/>
                    <w:bidi w:val="0"/>
                    <w:rPr>
                      <w:lang w:val="en-US" w:eastAsia="zh-CN"/>
                    </w:rPr>
                  </w:pPr>
                  <w:r>
                    <w:rPr>
                      <w:lang w:val="en-US" w:eastAsia="zh-CN"/>
                    </w:rPr>
                    <w:t>项目</w:t>
                  </w:r>
                </w:p>
              </w:tc>
              <w:tc>
                <w:tcPr>
                  <w:tcW w:w="861" w:type="pct"/>
                  <w:tcBorders>
                    <w:tl2br w:val="nil"/>
                    <w:tr2bl w:val="nil"/>
                  </w:tcBorders>
                  <w:noWrap w:val="0"/>
                  <w:vAlign w:val="center"/>
                </w:tcPr>
                <w:p w14:paraId="1B6EBD61">
                  <w:pPr>
                    <w:pStyle w:val="5"/>
                    <w:bidi w:val="0"/>
                    <w:rPr>
                      <w:lang w:val="en-US" w:eastAsia="zh-CN"/>
                    </w:rPr>
                  </w:pPr>
                  <w:r>
                    <w:rPr>
                      <w:lang w:val="en-US" w:eastAsia="zh-CN"/>
                    </w:rPr>
                    <w:t>产污工序</w:t>
                  </w:r>
                </w:p>
              </w:tc>
              <w:tc>
                <w:tcPr>
                  <w:tcW w:w="593" w:type="pct"/>
                  <w:tcBorders>
                    <w:tl2br w:val="nil"/>
                    <w:tr2bl w:val="nil"/>
                  </w:tcBorders>
                  <w:noWrap w:val="0"/>
                  <w:vAlign w:val="center"/>
                </w:tcPr>
                <w:p w14:paraId="74BBE266">
                  <w:pPr>
                    <w:pStyle w:val="5"/>
                    <w:bidi w:val="0"/>
                    <w:rPr>
                      <w:lang w:val="en-US" w:eastAsia="zh-CN"/>
                    </w:rPr>
                  </w:pPr>
                  <w:r>
                    <w:rPr>
                      <w:lang w:val="en-US" w:eastAsia="zh-CN"/>
                    </w:rPr>
                    <w:t>污染物</w:t>
                  </w:r>
                </w:p>
              </w:tc>
              <w:tc>
                <w:tcPr>
                  <w:tcW w:w="947" w:type="pct"/>
                  <w:tcBorders>
                    <w:tl2br w:val="nil"/>
                    <w:tr2bl w:val="nil"/>
                  </w:tcBorders>
                  <w:noWrap w:val="0"/>
                  <w:vAlign w:val="center"/>
                </w:tcPr>
                <w:p w14:paraId="5C9466AB">
                  <w:pPr>
                    <w:pStyle w:val="5"/>
                    <w:bidi w:val="0"/>
                    <w:rPr>
                      <w:lang w:val="en-US" w:eastAsia="zh-CN"/>
                    </w:rPr>
                  </w:pPr>
                  <w:r>
                    <w:rPr>
                      <w:lang w:val="en-US" w:eastAsia="zh-CN"/>
                    </w:rPr>
                    <w:t>主要成分</w:t>
                  </w:r>
                </w:p>
              </w:tc>
              <w:tc>
                <w:tcPr>
                  <w:tcW w:w="2159" w:type="pct"/>
                  <w:tcBorders>
                    <w:tl2br w:val="nil"/>
                    <w:tr2bl w:val="nil"/>
                  </w:tcBorders>
                  <w:noWrap w:val="0"/>
                  <w:vAlign w:val="center"/>
                </w:tcPr>
                <w:p w14:paraId="069BE7AB">
                  <w:pPr>
                    <w:pStyle w:val="5"/>
                    <w:bidi w:val="0"/>
                    <w:rPr>
                      <w:lang w:val="en-US" w:eastAsia="zh-CN"/>
                    </w:rPr>
                  </w:pPr>
                  <w:r>
                    <w:rPr>
                      <w:lang w:val="en-US" w:eastAsia="zh-CN"/>
                    </w:rPr>
                    <w:t>处理措施及去向</w:t>
                  </w:r>
                </w:p>
              </w:tc>
            </w:tr>
            <w:tr w14:paraId="6526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trPr>
              <w:tc>
                <w:tcPr>
                  <w:tcW w:w="438" w:type="pct"/>
                  <w:vMerge w:val="restart"/>
                  <w:tcBorders>
                    <w:tl2br w:val="nil"/>
                    <w:tr2bl w:val="nil"/>
                  </w:tcBorders>
                  <w:noWrap w:val="0"/>
                  <w:vAlign w:val="center"/>
                </w:tcPr>
                <w:p w14:paraId="2BA7C05A">
                  <w:pPr>
                    <w:pStyle w:val="5"/>
                    <w:bidi w:val="0"/>
                    <w:rPr>
                      <w:lang w:val="en-US" w:eastAsia="zh-CN"/>
                    </w:rPr>
                  </w:pPr>
                  <w:r>
                    <w:rPr>
                      <w:lang w:val="en-US" w:eastAsia="zh-CN"/>
                    </w:rPr>
                    <w:t>废气</w:t>
                  </w:r>
                </w:p>
              </w:tc>
              <w:tc>
                <w:tcPr>
                  <w:tcW w:w="861" w:type="pct"/>
                  <w:tcBorders>
                    <w:tl2br w:val="nil"/>
                    <w:tr2bl w:val="nil"/>
                  </w:tcBorders>
                  <w:shd w:val="clear" w:color="auto" w:fill="auto"/>
                  <w:noWrap w:val="0"/>
                  <w:vAlign w:val="center"/>
                </w:tcPr>
                <w:p w14:paraId="0791E634">
                  <w:pPr>
                    <w:pStyle w:val="5"/>
                    <w:bidi w:val="0"/>
                    <w:rPr>
                      <w:lang w:val="en-US" w:eastAsia="zh-CN"/>
                    </w:rPr>
                  </w:pPr>
                  <w:r>
                    <w:rPr>
                      <w:lang w:val="en-US" w:eastAsia="zh-CN"/>
                    </w:rPr>
                    <w:t>物料装车</w:t>
                  </w:r>
                </w:p>
              </w:tc>
              <w:tc>
                <w:tcPr>
                  <w:tcW w:w="593" w:type="pct"/>
                  <w:tcBorders>
                    <w:tl2br w:val="nil"/>
                    <w:tr2bl w:val="nil"/>
                  </w:tcBorders>
                  <w:noWrap w:val="0"/>
                  <w:vAlign w:val="center"/>
                </w:tcPr>
                <w:p w14:paraId="419A9CBA">
                  <w:pPr>
                    <w:pStyle w:val="5"/>
                    <w:bidi w:val="0"/>
                    <w:rPr>
                      <w:lang w:val="en-US" w:eastAsia="zh-CN"/>
                    </w:rPr>
                  </w:pPr>
                  <w:r>
                    <w:rPr>
                      <w:rFonts w:hint="eastAsia"/>
                      <w:lang w:val="en-US" w:eastAsia="zh-CN"/>
                    </w:rPr>
                    <w:t>碳五烷烃</w:t>
                  </w:r>
                </w:p>
              </w:tc>
              <w:tc>
                <w:tcPr>
                  <w:tcW w:w="947" w:type="pct"/>
                  <w:tcBorders>
                    <w:tl2br w:val="nil"/>
                    <w:tr2bl w:val="nil"/>
                  </w:tcBorders>
                  <w:noWrap w:val="0"/>
                  <w:vAlign w:val="center"/>
                </w:tcPr>
                <w:p w14:paraId="2B080FDF">
                  <w:pPr>
                    <w:pStyle w:val="5"/>
                    <w:bidi w:val="0"/>
                    <w:rPr>
                      <w:lang w:val="en-US" w:eastAsia="zh-CN"/>
                    </w:rPr>
                  </w:pPr>
                  <w:r>
                    <w:rPr>
                      <w:lang w:val="en-US" w:eastAsia="zh-CN"/>
                    </w:rPr>
                    <w:t>非甲烷总烃</w:t>
                  </w:r>
                  <w:r>
                    <w:rPr>
                      <w:rFonts w:hint="eastAsia"/>
                      <w:lang w:val="en-US" w:eastAsia="zh-CN"/>
                    </w:rPr>
                    <w:t>、苯</w:t>
                  </w:r>
                </w:p>
              </w:tc>
              <w:tc>
                <w:tcPr>
                  <w:tcW w:w="2159" w:type="pct"/>
                  <w:tcBorders>
                    <w:tl2br w:val="nil"/>
                    <w:tr2bl w:val="nil"/>
                  </w:tcBorders>
                  <w:noWrap w:val="0"/>
                  <w:vAlign w:val="center"/>
                </w:tcPr>
                <w:p w14:paraId="6828891E">
                  <w:pPr>
                    <w:pStyle w:val="5"/>
                    <w:bidi w:val="0"/>
                    <w:rPr>
                      <w:lang w:val="en-US" w:eastAsia="zh-CN"/>
                    </w:rPr>
                  </w:pPr>
                  <w:r>
                    <w:rPr>
                      <w:lang w:val="en-US" w:eastAsia="zh-CN"/>
                    </w:rPr>
                    <w:t>经现有油气回收装置（冷凝+活性炭吸附）处理后，通过一根15m高排气筒（DA003）排放</w:t>
                  </w:r>
                </w:p>
              </w:tc>
            </w:tr>
            <w:tr w14:paraId="11AF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438" w:type="pct"/>
                  <w:vMerge w:val="continue"/>
                  <w:tcBorders>
                    <w:tl2br w:val="nil"/>
                    <w:tr2bl w:val="nil"/>
                  </w:tcBorders>
                  <w:noWrap w:val="0"/>
                  <w:vAlign w:val="center"/>
                </w:tcPr>
                <w:p w14:paraId="24C9667A">
                  <w:pPr>
                    <w:pStyle w:val="5"/>
                    <w:bidi w:val="0"/>
                    <w:rPr>
                      <w:lang w:val="en-US" w:eastAsia="zh-CN"/>
                    </w:rPr>
                  </w:pPr>
                </w:p>
              </w:tc>
              <w:tc>
                <w:tcPr>
                  <w:tcW w:w="861" w:type="pct"/>
                  <w:tcBorders>
                    <w:tl2br w:val="nil"/>
                    <w:tr2bl w:val="nil"/>
                  </w:tcBorders>
                  <w:shd w:val="clear" w:color="auto" w:fill="auto"/>
                  <w:noWrap w:val="0"/>
                  <w:vAlign w:val="center"/>
                </w:tcPr>
                <w:p w14:paraId="6DB7503E">
                  <w:pPr>
                    <w:pStyle w:val="5"/>
                    <w:bidi w:val="0"/>
                    <w:rPr>
                      <w:lang w:val="en-US" w:eastAsia="zh-CN"/>
                    </w:rPr>
                  </w:pPr>
                  <w:r>
                    <w:rPr>
                      <w:lang w:val="en-US" w:eastAsia="zh-CN"/>
                    </w:rPr>
                    <w:t>物料卸车</w:t>
                  </w:r>
                </w:p>
              </w:tc>
              <w:tc>
                <w:tcPr>
                  <w:tcW w:w="593" w:type="pct"/>
                  <w:tcBorders>
                    <w:tl2br w:val="nil"/>
                    <w:tr2bl w:val="nil"/>
                  </w:tcBorders>
                  <w:shd w:val="clear" w:color="auto" w:fill="auto"/>
                  <w:noWrap w:val="0"/>
                  <w:vAlign w:val="center"/>
                </w:tcPr>
                <w:p w14:paraId="78A39DAB">
                  <w:pPr>
                    <w:pStyle w:val="5"/>
                    <w:bidi w:val="0"/>
                    <w:rPr>
                      <w:lang w:val="en-US" w:eastAsia="zh-CN"/>
                    </w:rPr>
                  </w:pPr>
                  <w:r>
                    <w:rPr>
                      <w:rFonts w:hint="eastAsia"/>
                      <w:lang w:val="en-US" w:eastAsia="zh-CN"/>
                    </w:rPr>
                    <w:t>1#轻烃</w:t>
                  </w:r>
                </w:p>
              </w:tc>
              <w:tc>
                <w:tcPr>
                  <w:tcW w:w="947" w:type="pct"/>
                  <w:tcBorders>
                    <w:tl2br w:val="nil"/>
                    <w:tr2bl w:val="nil"/>
                  </w:tcBorders>
                  <w:shd w:val="clear" w:color="auto" w:fill="auto"/>
                  <w:noWrap w:val="0"/>
                  <w:vAlign w:val="center"/>
                </w:tcPr>
                <w:p w14:paraId="141E4072">
                  <w:pPr>
                    <w:pStyle w:val="5"/>
                    <w:bidi w:val="0"/>
                    <w:rPr>
                      <w:lang w:val="en-US" w:eastAsia="zh-CN"/>
                    </w:rPr>
                  </w:pPr>
                  <w:r>
                    <w:rPr>
                      <w:lang w:val="en-US" w:eastAsia="zh-CN"/>
                    </w:rPr>
                    <w:t>非甲烷总烃</w:t>
                  </w:r>
                  <w:r>
                    <w:rPr>
                      <w:rFonts w:hint="eastAsia"/>
                      <w:lang w:val="en-US" w:eastAsia="zh-CN"/>
                    </w:rPr>
                    <w:t>、苯</w:t>
                  </w:r>
                  <w:r>
                    <w:rPr>
                      <w:lang w:val="en-US" w:eastAsia="zh-CN"/>
                    </w:rPr>
                    <w:t>、</w:t>
                  </w:r>
                  <w:r>
                    <w:rPr>
                      <w:rFonts w:hint="eastAsia"/>
                      <w:lang w:val="en-US" w:eastAsia="zh-CN"/>
                    </w:rPr>
                    <w:t>甲苯</w:t>
                  </w:r>
                </w:p>
              </w:tc>
              <w:tc>
                <w:tcPr>
                  <w:tcW w:w="2159" w:type="pct"/>
                  <w:tcBorders>
                    <w:tl2br w:val="nil"/>
                    <w:tr2bl w:val="nil"/>
                  </w:tcBorders>
                  <w:noWrap w:val="0"/>
                  <w:vAlign w:val="center"/>
                </w:tcPr>
                <w:p w14:paraId="014A2CA1">
                  <w:pPr>
                    <w:pStyle w:val="5"/>
                    <w:bidi w:val="0"/>
                    <w:rPr>
                      <w:lang w:val="en-US" w:eastAsia="zh-CN"/>
                    </w:rPr>
                  </w:pPr>
                  <w:r>
                    <w:rPr>
                      <w:lang w:val="en-US" w:eastAsia="zh-CN"/>
                    </w:rPr>
                    <w:t>经气体回收机组回收后进入导热油炉燃烧净化后，经1根</w:t>
                  </w:r>
                  <w:r>
                    <w:rPr>
                      <w:rFonts w:hint="eastAsia"/>
                      <w:lang w:val="en-US" w:eastAsia="zh-CN"/>
                    </w:rPr>
                    <w:t>20</w:t>
                  </w:r>
                  <w:r>
                    <w:rPr>
                      <w:lang w:val="en-US" w:eastAsia="zh-CN"/>
                    </w:rPr>
                    <w:t>m高排气筒（DA002）排放</w:t>
                  </w:r>
                </w:p>
              </w:tc>
            </w:tr>
            <w:tr w14:paraId="294C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438" w:type="pct"/>
                  <w:tcBorders>
                    <w:tl2br w:val="nil"/>
                    <w:tr2bl w:val="nil"/>
                  </w:tcBorders>
                  <w:noWrap w:val="0"/>
                  <w:vAlign w:val="center"/>
                </w:tcPr>
                <w:p w14:paraId="1CA5A401">
                  <w:pPr>
                    <w:pStyle w:val="5"/>
                    <w:bidi w:val="0"/>
                    <w:rPr>
                      <w:lang w:val="en-US" w:eastAsia="zh-CN"/>
                    </w:rPr>
                  </w:pPr>
                  <w:r>
                    <w:rPr>
                      <w:lang w:val="en-US" w:eastAsia="zh-CN"/>
                    </w:rPr>
                    <w:t>噪声</w:t>
                  </w:r>
                </w:p>
              </w:tc>
              <w:tc>
                <w:tcPr>
                  <w:tcW w:w="861" w:type="pct"/>
                  <w:tcBorders>
                    <w:tl2br w:val="nil"/>
                    <w:tr2bl w:val="nil"/>
                  </w:tcBorders>
                  <w:noWrap w:val="0"/>
                  <w:vAlign w:val="center"/>
                </w:tcPr>
                <w:p w14:paraId="26276626">
                  <w:pPr>
                    <w:pStyle w:val="5"/>
                    <w:bidi w:val="0"/>
                    <w:rPr>
                      <w:lang w:val="en-US" w:eastAsia="zh-CN"/>
                    </w:rPr>
                  </w:pPr>
                  <w:r>
                    <w:rPr>
                      <w:lang w:val="en-US" w:eastAsia="zh-CN"/>
                    </w:rPr>
                    <w:t>管道混合器、泵类</w:t>
                  </w:r>
                </w:p>
              </w:tc>
              <w:tc>
                <w:tcPr>
                  <w:tcW w:w="593" w:type="pct"/>
                  <w:tcBorders>
                    <w:tl2br w:val="nil"/>
                    <w:tr2bl w:val="nil"/>
                  </w:tcBorders>
                  <w:noWrap w:val="0"/>
                  <w:vAlign w:val="center"/>
                </w:tcPr>
                <w:p w14:paraId="3CF7C21E">
                  <w:pPr>
                    <w:pStyle w:val="5"/>
                    <w:bidi w:val="0"/>
                    <w:rPr>
                      <w:lang w:val="en-US" w:eastAsia="zh-CN"/>
                    </w:rPr>
                  </w:pPr>
                  <w:r>
                    <w:rPr>
                      <w:lang w:val="en-US" w:eastAsia="zh-CN"/>
                    </w:rPr>
                    <w:t>噪声</w:t>
                  </w:r>
                </w:p>
              </w:tc>
              <w:tc>
                <w:tcPr>
                  <w:tcW w:w="947" w:type="pct"/>
                  <w:tcBorders>
                    <w:tl2br w:val="nil"/>
                    <w:tr2bl w:val="nil"/>
                  </w:tcBorders>
                  <w:noWrap w:val="0"/>
                  <w:vAlign w:val="center"/>
                </w:tcPr>
                <w:p w14:paraId="33246C9C">
                  <w:pPr>
                    <w:pStyle w:val="5"/>
                    <w:bidi w:val="0"/>
                    <w:rPr>
                      <w:lang w:val="en-US" w:eastAsia="zh-CN"/>
                    </w:rPr>
                  </w:pPr>
                  <w:r>
                    <w:rPr>
                      <w:lang w:val="en-US" w:eastAsia="zh-CN"/>
                    </w:rPr>
                    <w:t>Leq</w:t>
                  </w:r>
                  <w:r>
                    <w:rPr>
                      <w:rFonts w:hint="eastAsia"/>
                      <w:lang w:val="en-US" w:eastAsia="zh-CN"/>
                    </w:rPr>
                    <w:t>(</w:t>
                  </w:r>
                  <w:r>
                    <w:rPr>
                      <w:lang w:val="en-US" w:eastAsia="zh-CN"/>
                    </w:rPr>
                    <w:t>A</w:t>
                  </w:r>
                  <w:r>
                    <w:rPr>
                      <w:rFonts w:hint="eastAsia"/>
                      <w:lang w:val="en-US" w:eastAsia="zh-CN"/>
                    </w:rPr>
                    <w:t>)</w:t>
                  </w:r>
                </w:p>
              </w:tc>
              <w:tc>
                <w:tcPr>
                  <w:tcW w:w="2159" w:type="pct"/>
                  <w:tcBorders>
                    <w:tl2br w:val="nil"/>
                    <w:tr2bl w:val="nil"/>
                  </w:tcBorders>
                  <w:noWrap w:val="0"/>
                  <w:vAlign w:val="center"/>
                </w:tcPr>
                <w:p w14:paraId="05C0F6EC">
                  <w:pPr>
                    <w:pStyle w:val="5"/>
                    <w:bidi w:val="0"/>
                    <w:rPr>
                      <w:lang w:val="en-US" w:eastAsia="zh-CN"/>
                    </w:rPr>
                  </w:pPr>
                  <w:r>
                    <w:rPr>
                      <w:lang w:val="en-US" w:eastAsia="zh-CN"/>
                    </w:rPr>
                    <w:t>选用低噪设备、减震、隔声</w:t>
                  </w:r>
                </w:p>
              </w:tc>
            </w:tr>
          </w:tbl>
          <w:p w14:paraId="0351BFC1">
            <w:pPr>
              <w:widowControl w:val="0"/>
              <w:spacing w:before="100" w:beforeAutospacing="1" w:after="100" w:afterAutospacing="1" w:line="360" w:lineRule="auto"/>
              <w:jc w:val="left"/>
              <w:outlineLvl w:val="2"/>
              <w:rPr>
                <w:rFonts w:eastAsia="宋体"/>
                <w:b/>
                <w:bCs/>
                <w:lang w:val="en-US" w:eastAsia="zh-CN" w:bidi="ar"/>
              </w:rPr>
            </w:pPr>
          </w:p>
        </w:tc>
      </w:tr>
      <w:tr w14:paraId="34497B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66" w:hRule="atLeast"/>
          <w:jc w:val="center"/>
        </w:trPr>
        <w:tc>
          <w:tcPr>
            <w:tcW w:w="434" w:type="dxa"/>
            <w:noWrap w:val="0"/>
            <w:vAlign w:val="center"/>
          </w:tcPr>
          <w:p w14:paraId="13B3C74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firstLine="0" w:firstLineChars="0"/>
              <w:jc w:val="center"/>
              <w:textAlignment w:val="auto"/>
              <w:rPr>
                <w:rFonts w:eastAsia="宋体"/>
                <w:lang w:val="en-US" w:eastAsia="zh-CN" w:bidi="ar-SA"/>
              </w:rPr>
            </w:pPr>
            <w:r>
              <w:rPr>
                <w:rFonts w:eastAsia="宋体"/>
                <w:sz w:val="21"/>
                <w:szCs w:val="21"/>
                <w:lang w:val="en-US" w:eastAsia="zh-CN" w:bidi="ar-SA"/>
              </w:rPr>
              <w:t>与项目有关的原有环境污染问题</w:t>
            </w:r>
          </w:p>
        </w:tc>
        <w:tc>
          <w:tcPr>
            <w:tcW w:w="8626" w:type="dxa"/>
            <w:noWrap w:val="0"/>
            <w:vAlign w:val="top"/>
          </w:tcPr>
          <w:p w14:paraId="583F2515">
            <w:pPr>
              <w:pStyle w:val="2"/>
              <w:bidi w:val="0"/>
              <w:rPr>
                <w:rFonts w:hint="default"/>
                <w:lang w:val="en-US" w:eastAsia="zh-CN"/>
              </w:rPr>
            </w:pPr>
            <w:r>
              <w:rPr>
                <w:rFonts w:hint="default"/>
                <w:lang w:val="en-US" w:eastAsia="zh-CN"/>
              </w:rPr>
              <w:t>1 现有工程概况</w:t>
            </w:r>
          </w:p>
          <w:p w14:paraId="3103556F">
            <w:pPr>
              <w:bidi w:val="0"/>
              <w:rPr>
                <w:rFonts w:hint="default"/>
                <w:lang w:val="en-US" w:eastAsia="zh-CN"/>
              </w:rPr>
            </w:pPr>
            <w:r>
              <w:rPr>
                <w:rFonts w:hint="default"/>
                <w:lang w:val="en-US" w:eastAsia="zh-CN"/>
              </w:rPr>
              <w:t>巴州海祥石油化工有限公司成立于2016年4月18日，法定代表人为谭洋，注册资本为2000万元人民币，统一社会信用代码为91652822MA775YA181，地址位于新疆巴音郭楞蒙古自治州轮台县工业路008号，所属行业为有机化学原料制造。</w:t>
            </w:r>
          </w:p>
          <w:p w14:paraId="5A9C23BE">
            <w:pPr>
              <w:pStyle w:val="2"/>
              <w:bidi w:val="0"/>
              <w:rPr>
                <w:rFonts w:hint="default"/>
                <w:lang w:val="en-US" w:eastAsia="zh-CN"/>
              </w:rPr>
            </w:pPr>
            <w:r>
              <w:rPr>
                <w:rFonts w:hint="default"/>
                <w:lang w:val="en-US" w:eastAsia="zh-CN"/>
              </w:rPr>
              <w:t>2 现有工程履行手续情况</w:t>
            </w:r>
          </w:p>
          <w:p w14:paraId="306F965E">
            <w:pPr>
              <w:pStyle w:val="2"/>
              <w:bidi w:val="0"/>
              <w:rPr>
                <w:rFonts w:hint="default"/>
                <w:lang w:val="en-US" w:eastAsia="zh-CN"/>
              </w:rPr>
            </w:pPr>
            <w:r>
              <w:rPr>
                <w:rFonts w:hint="default"/>
                <w:lang w:val="en-US" w:eastAsia="zh-CN"/>
              </w:rPr>
              <w:t>2.1 环境影响评价</w:t>
            </w:r>
            <w:r>
              <w:rPr>
                <w:rFonts w:hint="eastAsia"/>
                <w:lang w:val="en-US" w:eastAsia="zh-CN"/>
              </w:rPr>
              <w:t>及验收手续情况</w:t>
            </w:r>
          </w:p>
          <w:p w14:paraId="1F141ADA">
            <w:pPr>
              <w:bidi w:val="0"/>
              <w:rPr>
                <w:rFonts w:hint="default"/>
                <w:lang w:val="en-US" w:eastAsia="zh-CN"/>
              </w:rPr>
            </w:pPr>
            <w:r>
              <w:rPr>
                <w:lang w:val="en-US" w:eastAsia="zh-CN"/>
              </w:rPr>
              <w:t>201</w:t>
            </w:r>
            <w:r>
              <w:rPr>
                <w:rFonts w:hint="eastAsia"/>
                <w:lang w:val="en-US" w:eastAsia="zh-CN"/>
              </w:rPr>
              <w:t>6</w:t>
            </w:r>
            <w:r>
              <w:rPr>
                <w:lang w:val="en-US" w:eastAsia="zh-CN"/>
              </w:rPr>
              <w:t>年</w:t>
            </w:r>
            <w:r>
              <w:rPr>
                <w:rFonts w:hint="eastAsia"/>
                <w:lang w:val="en-US" w:eastAsia="zh-CN"/>
              </w:rPr>
              <w:t>12</w:t>
            </w:r>
            <w:r>
              <w:rPr>
                <w:lang w:val="en-US" w:eastAsia="zh-CN"/>
              </w:rPr>
              <w:t>月巴州海祥石油化工有限公司</w:t>
            </w:r>
            <w:r>
              <w:rPr>
                <w:rFonts w:hint="eastAsia"/>
                <w:lang w:val="en-US" w:eastAsia="zh-CN"/>
              </w:rPr>
              <w:t>委托北京欣国环环境技术发展有限公司编制《巴州海祥石油化工有限公司10万吨/年精粗苯项目环境影响报告书》，于2017年8月24日取得</w:t>
            </w:r>
            <w:r>
              <w:rPr>
                <w:lang w:val="en-US" w:eastAsia="zh-CN"/>
              </w:rPr>
              <w:t>原新疆维吾尔自治区环境保护厅出具</w:t>
            </w:r>
            <w:r>
              <w:rPr>
                <w:rFonts w:hint="eastAsia"/>
                <w:lang w:val="en-US" w:eastAsia="zh-CN"/>
              </w:rPr>
              <w:t>的《关于巴州海祥石油化工有限公司10万吨/年精粗苯项目环境影响报告书的批复》（新环函〔2017〕1314号）。项目实行分期建设，一期工程为原料预处理单元；二期工程包含异构化单元、粗苯精制单元及甲醇制氢单元。其中一期工程已于 2020 年 11 月 19 日取得原巴音郭楞蒙古自治州生态环境局出具的建设项目竣工环境保护验收备案登记卡，备案编号：第 2020177 号。二期工程至今未开工建设。</w:t>
            </w:r>
          </w:p>
          <w:p w14:paraId="0EC24E7D">
            <w:pPr>
              <w:bidi w:val="0"/>
              <w:rPr>
                <w:lang w:val="en-US" w:eastAsia="zh-CN"/>
              </w:rPr>
            </w:pPr>
            <w:r>
              <w:rPr>
                <w:rFonts w:hint="eastAsia"/>
                <w:lang w:val="en-US" w:eastAsia="zh-CN"/>
              </w:rPr>
              <w:t>2023年8月巴州海祥石油化工有限公司委托新疆立磐环保科技有限公司编制《巴州海祥石油化工有限公司轻烃精制综合利用技改项目环境影响报告表》，</w:t>
            </w:r>
            <w:r>
              <w:rPr>
                <w:lang w:val="en-US" w:eastAsia="zh-CN"/>
              </w:rPr>
              <w:t>于2023年11月16日取得新疆巴音郭楞蒙古自治州生态环境局出具的《关于巴州海祥石油化工有限公司轻烃精制综合利用技改项目环境影响报告表的批复》（巴环评价函〔2023〕265号），</w:t>
            </w:r>
            <w:r>
              <w:rPr>
                <w:rFonts w:hint="eastAsia"/>
                <w:lang w:val="en-US" w:eastAsia="zh-CN"/>
              </w:rPr>
              <w:t>本项目实行分期建设，一期工程建设一套液环压缩机、导热油炉上加装低氮燃烧器、一套塔底再沸器、塔顶回流罐、塔顶采出泵及改造部分管线，二期工程包含1栋机修厂房、1栋危废库、1栋丙类库、1栋备品备件库，1栋门卫室、1栋值班室），其中一期工程已于</w:t>
            </w:r>
            <w:r>
              <w:rPr>
                <w:lang w:val="en-US" w:eastAsia="zh-CN"/>
              </w:rPr>
              <w:t>2025年7月完成自主验收，</w:t>
            </w:r>
            <w:r>
              <w:rPr>
                <w:rFonts w:hint="eastAsia"/>
                <w:lang w:val="en-US" w:eastAsia="zh-CN"/>
              </w:rPr>
              <w:t>二期工程至今未开工建设。</w:t>
            </w:r>
          </w:p>
          <w:p w14:paraId="5445D72C">
            <w:pPr>
              <w:bidi w:val="0"/>
              <w:rPr>
                <w:lang w:val="en-US" w:eastAsia="zh-CN"/>
              </w:rPr>
            </w:pPr>
            <w:r>
              <w:rPr>
                <w:rFonts w:hint="eastAsia"/>
                <w:lang w:val="en-US" w:eastAsia="zh-CN"/>
              </w:rPr>
              <w:t>2025年11月巴州海祥石油化工有限公司委托新疆山河志远环境监理有限公司编制</w:t>
            </w:r>
            <w:r>
              <w:rPr>
                <w:lang w:val="en-US" w:eastAsia="zh-CN"/>
              </w:rPr>
              <w:t>《巴州海祥石油化工有限公司轻烃精制综合利用产品衍生项目环境影响报告表》，</w:t>
            </w:r>
            <w:r>
              <w:rPr>
                <w:rFonts w:hint="eastAsia"/>
                <w:lang w:val="en-US" w:eastAsia="zh-CN"/>
              </w:rPr>
              <w:t>2025年12月8日取得《关于巴州海祥石油化工有限公司轻烃精制综合利用产品衍生项目环境影响报告表的批复》（巴环评价函〔2025〕306号）</w:t>
            </w:r>
            <w:r>
              <w:rPr>
                <w:lang w:val="en-US" w:eastAsia="zh-CN"/>
              </w:rPr>
              <w:t>。</w:t>
            </w:r>
            <w:r>
              <w:rPr>
                <w:rFonts w:hint="eastAsia"/>
                <w:lang w:val="en-US" w:eastAsia="zh-CN"/>
              </w:rPr>
              <w:t>该项目建设正在开展竣工环保验收工作。</w:t>
            </w:r>
          </w:p>
          <w:p w14:paraId="2A03F473">
            <w:pPr>
              <w:pStyle w:val="2"/>
              <w:bidi w:val="0"/>
              <w:rPr>
                <w:rFonts w:hint="default"/>
                <w:lang w:val="en-US" w:eastAsia="zh-CN"/>
              </w:rPr>
            </w:pPr>
            <w:r>
              <w:rPr>
                <w:rFonts w:hint="default"/>
                <w:lang w:val="en-US" w:eastAsia="zh-CN"/>
              </w:rPr>
              <w:t>2.2 排污许可证</w:t>
            </w:r>
          </w:p>
          <w:p w14:paraId="2DA1197C">
            <w:pPr>
              <w:bidi w:val="0"/>
              <w:rPr>
                <w:rFonts w:hint="eastAsia" w:eastAsia="宋体"/>
                <w:kern w:val="2"/>
                <w:lang w:val="en-US" w:eastAsia="zh-CN" w:bidi="ar-SA"/>
              </w:rPr>
            </w:pPr>
            <w:r>
              <w:rPr>
                <w:rFonts w:eastAsia="宋体"/>
                <w:kern w:val="2"/>
                <w:lang w:val="en-US" w:eastAsia="zh-CN" w:bidi="ar-SA"/>
              </w:rPr>
              <w:fldChar w:fldCharType="begin"/>
            </w:r>
            <w:r>
              <w:rPr>
                <w:rFonts w:eastAsia="宋体"/>
                <w:kern w:val="2"/>
                <w:lang w:val="en-US" w:eastAsia="zh-CN" w:bidi="ar-SA"/>
              </w:rPr>
              <w:instrText xml:space="preserve"> = 1 \* GB3 \* MERGEFORMAT </w:instrText>
            </w:r>
            <w:r>
              <w:rPr>
                <w:rFonts w:eastAsia="宋体"/>
                <w:kern w:val="2"/>
                <w:lang w:val="en-US" w:eastAsia="zh-CN" w:bidi="ar-SA"/>
              </w:rPr>
              <w:fldChar w:fldCharType="separate"/>
            </w:r>
            <w:r>
              <w:rPr>
                <w:rFonts w:eastAsia="宋体"/>
                <w:kern w:val="2"/>
                <w:lang w:val="en-US" w:eastAsia="zh-CN" w:bidi="ar-SA"/>
              </w:rPr>
              <w:t>①</w:t>
            </w:r>
            <w:r>
              <w:rPr>
                <w:rFonts w:eastAsia="宋体"/>
                <w:kern w:val="2"/>
                <w:lang w:val="en-US" w:eastAsia="zh-CN" w:bidi="ar-SA"/>
              </w:rPr>
              <w:fldChar w:fldCharType="end"/>
            </w:r>
            <w:r>
              <w:rPr>
                <w:rFonts w:hint="eastAsia" w:eastAsia="宋体"/>
                <w:kern w:val="2"/>
                <w:lang w:val="en-US" w:eastAsia="zh-CN" w:bidi="ar-SA"/>
              </w:rPr>
              <w:t>排污许可申请情况</w:t>
            </w:r>
          </w:p>
          <w:p w14:paraId="3D787F04">
            <w:pPr>
              <w:bidi w:val="0"/>
              <w:rPr>
                <w:rFonts w:hint="eastAsia"/>
                <w:lang w:val="en-US" w:eastAsia="zh-CN"/>
              </w:rPr>
            </w:pPr>
            <w:r>
              <w:rPr>
                <w:rFonts w:hint="eastAsia"/>
                <w:lang w:val="en-US" w:eastAsia="zh-CN"/>
              </w:rPr>
              <w:t>2020</w:t>
            </w:r>
            <w:r>
              <w:rPr>
                <w:lang w:val="en-US" w:eastAsia="zh-CN"/>
              </w:rPr>
              <w:t>年</w:t>
            </w:r>
            <w:r>
              <w:rPr>
                <w:rFonts w:hint="eastAsia"/>
                <w:lang w:val="en-US" w:eastAsia="zh-CN"/>
              </w:rPr>
              <w:t>4</w:t>
            </w:r>
            <w:r>
              <w:rPr>
                <w:lang w:val="en-US" w:eastAsia="zh-CN"/>
              </w:rPr>
              <w:t>月，巴州海祥石油化工有限公司首次申领排污许可证，排污许可证编号为91652822MA775YA181001P，2021年</w:t>
            </w:r>
            <w:r>
              <w:rPr>
                <w:rFonts w:hint="eastAsia"/>
                <w:lang w:val="en-US" w:eastAsia="zh-CN"/>
              </w:rPr>
              <w:t>11</w:t>
            </w:r>
            <w:r>
              <w:rPr>
                <w:lang w:val="en-US" w:eastAsia="zh-CN"/>
              </w:rPr>
              <w:t>月变更，202</w:t>
            </w:r>
            <w:r>
              <w:rPr>
                <w:rFonts w:hint="eastAsia"/>
                <w:lang w:val="en-US" w:eastAsia="zh-CN"/>
              </w:rPr>
              <w:t>3</w:t>
            </w:r>
            <w:r>
              <w:rPr>
                <w:lang w:val="en-US" w:eastAsia="zh-CN"/>
              </w:rPr>
              <w:t>年</w:t>
            </w:r>
            <w:r>
              <w:rPr>
                <w:rFonts w:hint="eastAsia"/>
                <w:lang w:val="en-US" w:eastAsia="zh-CN"/>
              </w:rPr>
              <w:t>7</w:t>
            </w:r>
            <w:r>
              <w:rPr>
                <w:lang w:val="en-US" w:eastAsia="zh-CN"/>
              </w:rPr>
              <w:t>月延续，延续后排污许可证有效期限：202</w:t>
            </w:r>
            <w:r>
              <w:rPr>
                <w:rFonts w:hint="eastAsia"/>
                <w:lang w:val="en-US" w:eastAsia="zh-CN"/>
              </w:rPr>
              <w:t>3</w:t>
            </w:r>
            <w:r>
              <w:rPr>
                <w:lang w:val="en-US" w:eastAsia="zh-CN"/>
              </w:rPr>
              <w:t>年</w:t>
            </w:r>
            <w:r>
              <w:rPr>
                <w:rFonts w:hint="eastAsia"/>
                <w:lang w:val="en-US" w:eastAsia="zh-CN"/>
              </w:rPr>
              <w:t>4</w:t>
            </w:r>
            <w:r>
              <w:rPr>
                <w:lang w:val="en-US" w:eastAsia="zh-CN"/>
              </w:rPr>
              <w:t>月</w:t>
            </w:r>
            <w:r>
              <w:rPr>
                <w:rFonts w:hint="eastAsia"/>
                <w:lang w:val="en-US" w:eastAsia="zh-CN"/>
              </w:rPr>
              <w:t>14</w:t>
            </w:r>
            <w:r>
              <w:rPr>
                <w:lang w:val="en-US" w:eastAsia="zh-CN"/>
              </w:rPr>
              <w:t>日至202</w:t>
            </w:r>
            <w:r>
              <w:rPr>
                <w:rFonts w:hint="eastAsia"/>
                <w:lang w:val="en-US" w:eastAsia="zh-CN"/>
              </w:rPr>
              <w:t>8</w:t>
            </w:r>
            <w:r>
              <w:rPr>
                <w:lang w:val="en-US" w:eastAsia="zh-CN"/>
              </w:rPr>
              <w:t>年</w:t>
            </w:r>
            <w:r>
              <w:rPr>
                <w:rFonts w:hint="eastAsia"/>
                <w:lang w:val="en-US" w:eastAsia="zh-CN"/>
              </w:rPr>
              <w:t>4</w:t>
            </w:r>
            <w:r>
              <w:rPr>
                <w:lang w:val="en-US" w:eastAsia="zh-CN"/>
              </w:rPr>
              <w:t>月</w:t>
            </w:r>
            <w:r>
              <w:rPr>
                <w:rFonts w:hint="eastAsia"/>
                <w:lang w:val="en-US" w:eastAsia="zh-CN"/>
              </w:rPr>
              <w:t>13</w:t>
            </w:r>
            <w:r>
              <w:rPr>
                <w:lang w:val="en-US" w:eastAsia="zh-CN"/>
              </w:rPr>
              <w:t>日</w:t>
            </w:r>
            <w:r>
              <w:rPr>
                <w:rFonts w:hint="eastAsia"/>
                <w:lang w:val="en-US" w:eastAsia="zh-CN"/>
              </w:rPr>
              <w:t>，2023年9月和2024年10月分别进行了变更。</w:t>
            </w:r>
          </w:p>
          <w:p w14:paraId="7FFE5114">
            <w:pPr>
              <w:bidi w:val="0"/>
              <w:rPr>
                <w:rFonts w:hint="default"/>
                <w:lang w:val="en-US" w:eastAsia="zh-CN"/>
              </w:rPr>
            </w:pPr>
            <w:r>
              <w:rPr>
                <w:rFonts w:hint="eastAsia"/>
                <w:lang w:val="en-US" w:eastAsia="zh-CN"/>
              </w:rPr>
              <w:t>巴州海祥石油化工有限公司已完成《巴州海祥石油化工有限公司轻烃精制综合利用产品衍生项目》建设，现阶段该项目竣工环境保护验收工作正在组织开展。企业现有排污许可证载明的VOCS有组织和无组织污染物许可排放量已无法匹配当前实际生产工况，需开展排污许可变更。根据《关于巴州海祥石油化工有限公司轻烃精制综合利用产品衍生项目环境影响报告表的批复》（巴环评价函〔2025〕306 号），企业VOC</w:t>
            </w:r>
            <w:r>
              <w:rPr>
                <w:rFonts w:hint="eastAsia"/>
                <w:vertAlign w:val="subscript"/>
                <w:lang w:val="en-US" w:eastAsia="zh-CN"/>
              </w:rPr>
              <w:t>S</w:t>
            </w:r>
            <w:r>
              <w:rPr>
                <w:rFonts w:hint="eastAsia"/>
                <w:lang w:val="en-US" w:eastAsia="zh-CN"/>
              </w:rPr>
              <w:t>有组织总量为1.016t/a，故本项目许可排放量参照根据《关于巴州海祥石油化工有限公司轻烃精制综合利用产品衍生项目环境影响报告表的批复》（巴环评价函〔2025〕306 号）中表述的许可排放量。企业已同步启动全厂排污许可证变更申报工作。</w:t>
            </w:r>
          </w:p>
          <w:p w14:paraId="03551F56">
            <w:pPr>
              <w:bidi w:val="0"/>
              <w:rPr>
                <w:lang w:val="en-US" w:eastAsia="zh-CN"/>
              </w:rPr>
            </w:pPr>
            <w:r>
              <w:rPr>
                <w:lang w:val="en-US" w:eastAsia="zh-CN"/>
              </w:rPr>
              <w:fldChar w:fldCharType="begin"/>
            </w:r>
            <w:r>
              <w:rPr>
                <w:lang w:val="en-US" w:eastAsia="zh-CN"/>
              </w:rPr>
              <w:instrText xml:space="preserve"> = 2 \* GB3 \* MERGEFORMAT </w:instrText>
            </w:r>
            <w:r>
              <w:rPr>
                <w:lang w:val="en-US" w:eastAsia="zh-CN"/>
              </w:rPr>
              <w:fldChar w:fldCharType="separate"/>
            </w:r>
            <w:r>
              <w:rPr>
                <w:lang w:val="en-US" w:eastAsia="zh-CN"/>
              </w:rPr>
              <w:t>②</w:t>
            </w:r>
            <w:r>
              <w:rPr>
                <w:lang w:val="en-US" w:eastAsia="zh-CN"/>
              </w:rPr>
              <w:fldChar w:fldCharType="end"/>
            </w:r>
            <w:r>
              <w:rPr>
                <w:lang w:val="en-US" w:eastAsia="zh-CN"/>
              </w:rPr>
              <w:t>企业生产运行情况</w:t>
            </w:r>
          </w:p>
          <w:p w14:paraId="3DDDE655">
            <w:pPr>
              <w:bidi w:val="0"/>
              <w:rPr>
                <w:lang w:val="en-US" w:eastAsia="zh-CN"/>
              </w:rPr>
            </w:pPr>
            <w:r>
              <w:rPr>
                <w:lang w:val="en-US" w:eastAsia="zh-CN"/>
              </w:rPr>
              <w:t>根据《巴州海祥石油化工有限公司202</w:t>
            </w:r>
            <w:r>
              <w:rPr>
                <w:rFonts w:hint="eastAsia"/>
                <w:lang w:val="en-US" w:eastAsia="zh-CN"/>
              </w:rPr>
              <w:t>5</w:t>
            </w:r>
            <w:r>
              <w:rPr>
                <w:lang w:val="en-US" w:eastAsia="zh-CN"/>
              </w:rPr>
              <w:t>年度排污许可执行报告（年报）》及现场调查，</w:t>
            </w:r>
            <w:r>
              <w:rPr>
                <w:rFonts w:hint="eastAsia"/>
                <w:lang w:val="en-US" w:eastAsia="zh-CN"/>
              </w:rPr>
              <w:t>2025年</w:t>
            </w:r>
            <w:r>
              <w:rPr>
                <w:lang w:val="en-US" w:eastAsia="zh-CN"/>
              </w:rPr>
              <w:t>正常生产。</w:t>
            </w:r>
          </w:p>
          <w:p w14:paraId="56E1190A">
            <w:pPr>
              <w:bidi w:val="0"/>
              <w:rPr>
                <w:lang w:val="en-US" w:eastAsia="zh-CN"/>
              </w:rPr>
            </w:pPr>
            <w:r>
              <w:rPr>
                <w:lang w:val="en-US" w:eastAsia="zh-CN"/>
              </w:rPr>
              <w:t>根据202</w:t>
            </w:r>
            <w:r>
              <w:rPr>
                <w:rFonts w:hint="eastAsia"/>
                <w:lang w:val="en-US" w:eastAsia="zh-CN"/>
              </w:rPr>
              <w:t>5</w:t>
            </w:r>
            <w:r>
              <w:rPr>
                <w:lang w:val="en-US" w:eastAsia="zh-CN"/>
              </w:rPr>
              <w:t>年排污许可执行年报，正常运行期间污染物治理设施均正常运行，无异常运转记录。</w:t>
            </w:r>
          </w:p>
          <w:p w14:paraId="4CE6A66F">
            <w:pPr>
              <w:bidi w:val="0"/>
              <w:rPr>
                <w:lang w:val="en-US" w:eastAsia="zh-CN"/>
              </w:rPr>
            </w:pPr>
            <w:r>
              <w:rPr>
                <w:lang w:val="en-US" w:eastAsia="zh-CN"/>
              </w:rPr>
              <w:fldChar w:fldCharType="begin"/>
            </w:r>
            <w:r>
              <w:rPr>
                <w:lang w:val="en-US" w:eastAsia="zh-CN"/>
              </w:rPr>
              <w:instrText xml:space="preserve"> = 3 \* GB3 \* MERGEFORMAT </w:instrText>
            </w:r>
            <w:r>
              <w:rPr>
                <w:lang w:val="en-US" w:eastAsia="zh-CN"/>
              </w:rPr>
              <w:fldChar w:fldCharType="separate"/>
            </w:r>
            <w:r>
              <w:rPr>
                <w:lang w:val="en-US" w:eastAsia="zh-CN"/>
              </w:rPr>
              <w:t>③</w:t>
            </w:r>
            <w:r>
              <w:rPr>
                <w:lang w:val="en-US" w:eastAsia="zh-CN"/>
              </w:rPr>
              <w:fldChar w:fldCharType="end"/>
            </w:r>
            <w:r>
              <w:rPr>
                <w:lang w:val="en-US" w:eastAsia="zh-CN"/>
              </w:rPr>
              <w:t>污染物排放达标情况</w:t>
            </w:r>
          </w:p>
          <w:p w14:paraId="7578F64D">
            <w:pPr>
              <w:bidi w:val="0"/>
              <w:rPr>
                <w:lang w:val="en-US" w:eastAsia="zh-CN"/>
              </w:rPr>
            </w:pPr>
            <w:r>
              <w:rPr>
                <w:lang w:val="en-US" w:eastAsia="zh-CN"/>
              </w:rPr>
              <w:t>根据202</w:t>
            </w:r>
            <w:r>
              <w:rPr>
                <w:rFonts w:hint="eastAsia"/>
                <w:lang w:val="en-US" w:eastAsia="zh-CN"/>
              </w:rPr>
              <w:t>5</w:t>
            </w:r>
            <w:r>
              <w:rPr>
                <w:lang w:val="en-US" w:eastAsia="zh-CN"/>
              </w:rPr>
              <w:t>年排污许可执行年报，无废气和废水超标排放情况发生。</w:t>
            </w:r>
          </w:p>
          <w:p w14:paraId="7797BBF3">
            <w:pPr>
              <w:bidi w:val="0"/>
              <w:rPr>
                <w:lang w:val="en-US" w:eastAsia="zh-CN"/>
              </w:rPr>
            </w:pPr>
            <w:r>
              <w:rPr>
                <w:rFonts w:hint="eastAsia"/>
                <w:lang w:val="en-US" w:eastAsia="zh-CN"/>
              </w:rPr>
              <w:t>④</w:t>
            </w:r>
            <w:r>
              <w:rPr>
                <w:lang w:val="en-US" w:eastAsia="zh-CN"/>
              </w:rPr>
              <w:t>台账统计情况</w:t>
            </w:r>
          </w:p>
          <w:p w14:paraId="5B5F83E1">
            <w:pPr>
              <w:bidi w:val="0"/>
              <w:rPr>
                <w:lang w:val="en-US" w:eastAsia="zh-CN"/>
              </w:rPr>
            </w:pPr>
            <w:r>
              <w:rPr>
                <w:lang w:val="en-US" w:eastAsia="zh-CN"/>
              </w:rPr>
              <w:t>根据202</w:t>
            </w:r>
            <w:r>
              <w:rPr>
                <w:rFonts w:hint="eastAsia"/>
                <w:lang w:val="en-US" w:eastAsia="zh-CN"/>
              </w:rPr>
              <w:t>5</w:t>
            </w:r>
            <w:r>
              <w:rPr>
                <w:lang w:val="en-US" w:eastAsia="zh-CN"/>
              </w:rPr>
              <w:t>年排污许可执行年报台账管理情况表和现场调查，202</w:t>
            </w:r>
            <w:r>
              <w:rPr>
                <w:rFonts w:hint="eastAsia"/>
                <w:lang w:val="en-US" w:eastAsia="zh-CN"/>
              </w:rPr>
              <w:t>5</w:t>
            </w:r>
            <w:r>
              <w:rPr>
                <w:lang w:val="en-US" w:eastAsia="zh-CN"/>
              </w:rPr>
              <w:t>年度企业台账统计基本完整。</w:t>
            </w:r>
          </w:p>
          <w:p w14:paraId="738DD5F9">
            <w:pPr>
              <w:bidi w:val="0"/>
              <w:rPr>
                <w:lang w:val="en-US" w:eastAsia="zh-CN"/>
              </w:rPr>
            </w:pPr>
            <w:r>
              <w:rPr>
                <w:rFonts w:hint="eastAsia"/>
                <w:lang w:val="en-US" w:eastAsia="zh-CN"/>
              </w:rPr>
              <w:t>⑤</w:t>
            </w:r>
            <w:r>
              <w:rPr>
                <w:lang w:val="en-US" w:eastAsia="zh-CN"/>
              </w:rPr>
              <w:t>信息公开情况</w:t>
            </w:r>
          </w:p>
          <w:p w14:paraId="6123BE88">
            <w:pPr>
              <w:bidi w:val="0"/>
              <w:rPr>
                <w:lang w:val="en-US" w:eastAsia="zh-CN"/>
              </w:rPr>
            </w:pPr>
            <w:r>
              <w:rPr>
                <w:lang w:val="en-US" w:eastAsia="zh-CN"/>
              </w:rPr>
              <w:t>公开方式、时间节点和公开内容规定内容均符合排污许可证规定相关要求。</w:t>
            </w:r>
          </w:p>
          <w:p w14:paraId="65C85C8C">
            <w:pPr>
              <w:bidi w:val="0"/>
              <w:rPr>
                <w:lang w:val="en-US" w:eastAsia="zh-CN"/>
              </w:rPr>
            </w:pPr>
            <w:r>
              <w:rPr>
                <w:lang w:val="en-US" w:eastAsia="zh-CN"/>
              </w:rPr>
              <w:t>（3）应急预案备案情况</w:t>
            </w:r>
          </w:p>
          <w:p w14:paraId="7F100894">
            <w:pPr>
              <w:bidi w:val="0"/>
              <w:rPr>
                <w:lang w:val="en-US" w:eastAsia="zh-CN"/>
              </w:rPr>
            </w:pPr>
            <w:r>
              <w:rPr>
                <w:lang w:val="en-US" w:eastAsia="zh-CN"/>
              </w:rPr>
              <w:t>巴州海祥石油化工有限公司为防止突发事故可能造成的环境危害，编制了突发环境事件应急预案并于</w:t>
            </w:r>
            <w:r>
              <w:rPr>
                <w:rFonts w:hint="eastAsia"/>
                <w:lang w:val="en-US" w:eastAsia="zh-CN"/>
              </w:rPr>
              <w:t>2026年8月21日</w:t>
            </w:r>
            <w:r>
              <w:rPr>
                <w:lang w:val="en-US" w:eastAsia="zh-CN"/>
              </w:rPr>
              <w:t>完成修订并备案，备案编号</w:t>
            </w:r>
            <w:r>
              <w:rPr>
                <w:rFonts w:hint="eastAsia"/>
                <w:lang w:val="en-US" w:eastAsia="zh-CN"/>
              </w:rPr>
              <w:t>652800-2026-8-M</w:t>
            </w:r>
            <w:r>
              <w:rPr>
                <w:lang w:val="en-US" w:eastAsia="zh-CN"/>
              </w:rPr>
              <w:t>。</w:t>
            </w:r>
          </w:p>
          <w:p w14:paraId="61652B18">
            <w:pPr>
              <w:pStyle w:val="2"/>
              <w:bidi w:val="0"/>
              <w:rPr>
                <w:lang w:val="en-US" w:eastAsia="zh-CN"/>
              </w:rPr>
            </w:pPr>
            <w:r>
              <w:rPr>
                <w:rFonts w:hint="eastAsia"/>
                <w:lang w:val="en-US" w:eastAsia="zh-CN"/>
              </w:rPr>
              <w:t xml:space="preserve">3 </w:t>
            </w:r>
            <w:r>
              <w:rPr>
                <w:lang w:val="en-US" w:eastAsia="zh-CN"/>
              </w:rPr>
              <w:t>现有项目工艺流程及产污环节</w:t>
            </w:r>
          </w:p>
          <w:p w14:paraId="2631CE03">
            <w:pPr>
              <w:bidi w:val="0"/>
              <w:rPr>
                <w:lang w:val="en-US" w:eastAsia="zh-CN"/>
              </w:rPr>
            </w:pPr>
            <w:r>
              <w:rPr>
                <w:lang w:val="en-US" w:eastAsia="zh-CN"/>
              </w:rPr>
              <w:t>现有工程装置包括混烃预处理单元</w:t>
            </w:r>
            <w:r>
              <w:rPr>
                <w:rFonts w:hint="eastAsia"/>
                <w:lang w:val="en-US" w:eastAsia="zh-CN"/>
              </w:rPr>
              <w:t>和调油生产单元</w:t>
            </w:r>
            <w:r>
              <w:rPr>
                <w:lang w:val="en-US" w:eastAsia="zh-CN"/>
              </w:rPr>
              <w:t>。</w:t>
            </w:r>
          </w:p>
          <w:p w14:paraId="23A4703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firstLine="480" w:firstLineChars="200"/>
              <w:jc w:val="left"/>
              <w:textAlignment w:val="auto"/>
              <w:rPr>
                <w:rFonts w:eastAsia="宋体"/>
                <w:kern w:val="2"/>
                <w:lang w:val="en-US" w:eastAsia="zh-CN" w:bidi="ar-SA"/>
              </w:rPr>
            </w:pPr>
            <w:r>
              <w:rPr>
                <w:rFonts w:eastAsia="宋体"/>
                <w:kern w:val="2"/>
                <w:lang w:val="en-US" w:eastAsia="zh-CN" w:bidi="ar-SA"/>
              </w:rPr>
              <w:t>（1）工艺流程</w:t>
            </w:r>
          </w:p>
          <w:p w14:paraId="4E1308F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firstLine="480" w:firstLineChars="200"/>
              <w:jc w:val="left"/>
              <w:textAlignment w:val="auto"/>
              <w:rPr>
                <w:rFonts w:eastAsia="宋体"/>
                <w:kern w:val="2"/>
                <w:lang w:val="en-US" w:eastAsia="zh-CN" w:bidi="ar-SA"/>
              </w:rPr>
            </w:pPr>
            <w:r>
              <w:rPr>
                <w:rFonts w:hint="eastAsia"/>
                <w:kern w:val="2"/>
                <w:lang w:val="en-US" w:eastAsia="zh-CN" w:bidi="ar-SA"/>
              </w:rPr>
              <w:t>①</w:t>
            </w:r>
            <w:r>
              <w:rPr>
                <w:rFonts w:eastAsia="宋体"/>
                <w:kern w:val="2"/>
                <w:lang w:val="en-US" w:eastAsia="zh-CN" w:bidi="ar-SA"/>
              </w:rPr>
              <w:t>轻烃预处理单元</w:t>
            </w:r>
          </w:p>
          <w:p w14:paraId="11E9289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firstLine="480" w:firstLineChars="200"/>
              <w:jc w:val="left"/>
              <w:textAlignment w:val="auto"/>
              <w:rPr>
                <w:rFonts w:eastAsia="宋体"/>
                <w:kern w:val="2"/>
                <w:lang w:val="en-US" w:eastAsia="zh-CN" w:bidi="ar-SA"/>
              </w:rPr>
            </w:pPr>
            <w:r>
              <w:rPr>
                <w:rFonts w:hint="default"/>
                <w:b w:val="0"/>
                <w:bCs w:val="0"/>
                <w:color w:val="auto"/>
                <w:sz w:val="24"/>
                <w:szCs w:val="24"/>
                <w:highlight w:val="none"/>
                <w:lang w:val="en-US" w:eastAsia="zh-CN"/>
              </w:rPr>
              <w:drawing>
                <wp:anchor distT="0" distB="0" distL="114300" distR="114300" simplePos="0" relativeHeight="251665408" behindDoc="0" locked="0" layoutInCell="1" allowOverlap="1">
                  <wp:simplePos x="0" y="0"/>
                  <wp:positionH relativeFrom="column">
                    <wp:posOffset>778510</wp:posOffset>
                  </wp:positionH>
                  <wp:positionV relativeFrom="paragraph">
                    <wp:posOffset>356870</wp:posOffset>
                  </wp:positionV>
                  <wp:extent cx="3819525" cy="4119880"/>
                  <wp:effectExtent l="0" t="0" r="9525" b="13970"/>
                  <wp:wrapTopAndBottom/>
                  <wp:docPr id="134" name="图片 134" descr="175798682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1757986820074"/>
                          <pic:cNvPicPr>
                            <a:picLocks noChangeAspect="1"/>
                          </pic:cNvPicPr>
                        </pic:nvPicPr>
                        <pic:blipFill>
                          <a:blip r:embed="rId19"/>
                          <a:stretch>
                            <a:fillRect/>
                          </a:stretch>
                        </pic:blipFill>
                        <pic:spPr>
                          <a:xfrm>
                            <a:off x="0" y="0"/>
                            <a:ext cx="3819525" cy="4119880"/>
                          </a:xfrm>
                          <a:prstGeom prst="rect">
                            <a:avLst/>
                          </a:prstGeom>
                        </pic:spPr>
                      </pic:pic>
                    </a:graphicData>
                  </a:graphic>
                </wp:anchor>
              </w:drawing>
            </w:r>
            <w:r>
              <w:rPr>
                <w:rFonts w:eastAsia="宋体"/>
                <w:kern w:val="2"/>
                <w:lang w:val="en-US" w:eastAsia="zh-CN" w:bidi="ar-SA"/>
              </w:rPr>
              <w:t>生产工艺流程及产污环节详见图2-</w:t>
            </w:r>
            <w:r>
              <w:rPr>
                <w:rFonts w:hint="eastAsia"/>
                <w:kern w:val="2"/>
                <w:lang w:val="en-US" w:eastAsia="zh-CN" w:bidi="ar-SA"/>
              </w:rPr>
              <w:t>3</w:t>
            </w:r>
            <w:r>
              <w:rPr>
                <w:rFonts w:eastAsia="宋体"/>
                <w:kern w:val="2"/>
                <w:lang w:val="en-US" w:eastAsia="zh-CN" w:bidi="ar-SA"/>
              </w:rPr>
              <w:t>。</w:t>
            </w:r>
          </w:p>
          <w:p w14:paraId="6127EB4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eastAsia="宋体"/>
                <w:b/>
                <w:bCs/>
                <w:kern w:val="2"/>
                <w:lang w:val="en-US" w:eastAsia="zh-CN" w:bidi="ar-SA"/>
              </w:rPr>
            </w:pPr>
            <w:r>
              <w:rPr>
                <w:rFonts w:eastAsia="宋体"/>
                <w:b/>
                <w:bCs/>
                <w:kern w:val="2"/>
                <w:lang w:val="en-US" w:eastAsia="zh-CN" w:bidi="ar-SA"/>
              </w:rPr>
              <w:t>图2-</w:t>
            </w:r>
            <w:r>
              <w:rPr>
                <w:rFonts w:hint="eastAsia"/>
                <w:b/>
                <w:bCs/>
                <w:kern w:val="2"/>
                <w:lang w:val="en-US" w:eastAsia="zh-CN" w:bidi="ar-SA"/>
              </w:rPr>
              <w:t>3</w:t>
            </w:r>
            <w:r>
              <w:rPr>
                <w:rFonts w:eastAsia="宋体"/>
                <w:b/>
                <w:bCs/>
                <w:kern w:val="2"/>
                <w:lang w:val="en-US" w:eastAsia="zh-CN" w:bidi="ar-SA"/>
              </w:rPr>
              <w:t xml:space="preserve">  轻烃预处理单元生产工艺流程及产污环节图</w:t>
            </w:r>
          </w:p>
          <w:p w14:paraId="3100DCC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firstLine="480" w:firstLineChars="200"/>
              <w:jc w:val="left"/>
              <w:textAlignment w:val="auto"/>
              <w:rPr>
                <w:rFonts w:eastAsia="宋体"/>
                <w:kern w:val="2"/>
                <w:lang w:val="en-US" w:eastAsia="zh-CN" w:bidi="ar-SA"/>
              </w:rPr>
            </w:pPr>
            <w:r>
              <w:rPr>
                <w:rFonts w:eastAsia="宋体"/>
                <w:kern w:val="2"/>
                <w:lang w:val="en-US" w:eastAsia="zh-CN" w:bidi="ar-SA"/>
              </w:rPr>
              <w:t>工艺简述：</w:t>
            </w:r>
          </w:p>
          <w:p w14:paraId="72BFBDD6">
            <w:pPr>
              <w:bidi w:val="0"/>
              <w:rPr>
                <w:lang w:val="en-US" w:eastAsia="zh-CN"/>
              </w:rPr>
            </w:pPr>
            <w:r>
              <w:rPr>
                <w:lang w:val="en-US" w:eastAsia="zh-CN"/>
              </w:rPr>
              <w:t>原料轻烃自界区进入原料缓冲罐（V1101），经原料进料泵（P1101ab）提升至原料预热器一（E1101）、原料预热器二（E1102）分别与碳六分离塔顶气、碳四分离塔底料换热后进入碳四分离塔（T1101），碳四分离塔塔顶气相经碳四塔顶冷凝器（E1103ab）冷凝后进入碳四塔回流罐（V1102），回流罐液相经碳四分离塔回流泵（P1102ab）升压后一部分回流至碳四分离塔塔顶，另一部分作为液化石油气产品送至罐区。碳四分离塔塔底物料C5+经原料预热器二（E1102）换热后自压至脱戊烷塔（T2101）。</w:t>
            </w:r>
          </w:p>
          <w:p w14:paraId="3D03E966">
            <w:pPr>
              <w:bidi w:val="0"/>
              <w:rPr>
                <w:lang w:val="en-US" w:eastAsia="zh-CN"/>
              </w:rPr>
            </w:pPr>
            <w:r>
              <w:rPr>
                <w:lang w:val="en-US" w:eastAsia="zh-CN"/>
              </w:rPr>
              <w:t>脱戊烷塔（T2101）塔顶气相经脱戊烷塔顶空冷器（AC2101）和脱戊烷塔顶冷凝器（E2108ab）冷凝后进入脱戊烷塔顶回流罐（V2102），罐底液体经脱戊烷塔回流泵（P2102ab）升压后一部分回流至塔顶，另一部分作为碳五烷烃产品送至罐区。脱戊烷塔塔底 C6+经脱戊烷塔底泵（P2103ab）升压送至脱己烷塔（T1102）。</w:t>
            </w:r>
          </w:p>
          <w:p w14:paraId="23DBEBDA">
            <w:pPr>
              <w:bidi w:val="0"/>
              <w:rPr>
                <w:lang w:val="en-US" w:eastAsia="zh-CN"/>
              </w:rPr>
            </w:pPr>
            <w:r>
              <w:rPr>
                <w:lang w:val="en-US" w:eastAsia="zh-CN"/>
              </w:rPr>
              <w:t>脱己烷塔（T1102）塔顶气相经脱己烷塔顶空冷器（AC1101）和脱己烷塔顶冷凝器（E1105）冷凝后进入脱己烷塔顶回流罐（V1103），罐底液体经脱己烷塔回流泵（P1103ab）升压一部分回流至塔顶，另一部分作为己烷异构体产品送至罐区。脱己烷塔塔底苯及 C7+料经脱己烷分离塔底泵（P1104ab）升压送至碳六分离塔（T1103）。</w:t>
            </w:r>
          </w:p>
          <w:p w14:paraId="2EB82DE4">
            <w:pPr>
              <w:bidi w:val="0"/>
              <w:rPr>
                <w:lang w:val="en-US" w:eastAsia="zh-CN"/>
              </w:rPr>
            </w:pPr>
            <w:r>
              <w:rPr>
                <w:lang w:val="en-US" w:eastAsia="zh-CN"/>
              </w:rPr>
              <w:t>碳六分离塔（T1103）塔顶气相经原料预热器一（E1101）和碳六分离塔顶冷凝器（E1108）冷凝后进入碳六分离塔回流罐（V1104），罐底液体经碳六分离塔回流泵（P1105ab）升压一部分回流至塔顶，另一部分工业碳六作为产品送至罐区。碳六分离塔塔底料C7+经碳六分离塔底泵（P1106ab）升压送至碳七分离塔（T1104）。</w:t>
            </w:r>
          </w:p>
          <w:p w14:paraId="09FDB8F0">
            <w:pPr>
              <w:bidi w:val="0"/>
              <w:rPr>
                <w:lang w:val="en-US" w:eastAsia="zh-CN"/>
              </w:rPr>
            </w:pPr>
            <w:r>
              <w:rPr>
                <w:lang w:val="en-US" w:eastAsia="zh-CN"/>
              </w:rPr>
              <w:t>碳七分离塔（T1104）塔顶气相经碳七分离塔顶料-热水换热器（E1112）和碳七分离塔顶冷凝器（E1110）冷凝后进入碳七分离塔回流罐（V1105），罐底液体经碳七分离塔回流泵（P1107ab）升压一部分回流至塔顶，一部分工业碳七作为产品送至罐区。碳七分离塔塔底 C8+料经碳七分离塔底泵（P1108ab）升压送至碳八料分离塔（T2104）。</w:t>
            </w:r>
          </w:p>
          <w:p w14:paraId="1DF82F33">
            <w:pPr>
              <w:bidi w:val="0"/>
              <w:rPr>
                <w:lang w:val="en-US" w:eastAsia="zh-CN"/>
              </w:rPr>
            </w:pPr>
            <w:r>
              <w:rPr>
                <w:lang w:val="en-US" w:eastAsia="zh-CN"/>
              </w:rPr>
              <w:t>碳八料分离塔（T2104）塔顶气相经碳八料分离塔顶冷凝器（E1107ab）冷凝后进入碳八料分离塔顶回流罐（V01），罐底液体经碳八料分离塔顶采出泵（P-01AB）升压后作为碳八料产品送至罐区。碳八料分离塔塔底料经碳八料分离塔底泵（P2106ab）升压至循环重烃-原料换热器（E2103ab）和碳八料分离塔底冷却器（E2112）冷却后作为循环重烃送至罐区。</w:t>
            </w:r>
          </w:p>
          <w:p w14:paraId="493789AE">
            <w:pPr>
              <w:bidi w:val="0"/>
              <w:rPr>
                <w:lang w:val="en-US" w:eastAsia="zh-CN"/>
              </w:rPr>
            </w:pPr>
            <w:r>
              <w:rPr>
                <w:lang w:val="en-US" w:eastAsia="zh-CN"/>
              </w:rPr>
              <w:t>产污节点：轻烃预处理单元生产工艺中主要产污环节包括物料装卸排放的挥发性有机物、原料和产品储罐“大小呼吸”废气，主要污染因子为非甲烷总烃；导热油炉燃烧天然气废气，主要污染因子为颗粒物、二氧化硫、氮氧化物。分离塔、导热油炉、机泵等设备运行噪声。</w:t>
            </w:r>
          </w:p>
          <w:p w14:paraId="48C976E6">
            <w:pPr>
              <w:bidi w:val="0"/>
              <w:rPr>
                <w:rFonts w:hint="eastAsia"/>
                <w:lang w:val="en-US" w:eastAsia="zh-CN"/>
              </w:rPr>
            </w:pPr>
            <w:r>
              <w:rPr>
                <w:rFonts w:hint="eastAsia"/>
                <w:lang w:val="en-US" w:eastAsia="zh-CN"/>
              </w:rPr>
              <w:t>②调油生产单元</w:t>
            </w:r>
          </w:p>
          <w:p w14:paraId="06A9671B">
            <w:pPr>
              <w:bidi w:val="0"/>
              <w:rPr>
                <w:rFonts w:hint="default"/>
                <w:lang w:val="en-US" w:eastAsia="zh-CN"/>
              </w:rPr>
            </w:pPr>
            <w:r>
              <w:rPr>
                <w:rFonts w:hint="default"/>
                <w:lang w:val="en-US" w:eastAsia="zh-CN"/>
              </w:rPr>
              <w:t>生产工艺流程及产污环节详见图2-</w:t>
            </w:r>
            <w:r>
              <w:rPr>
                <w:rFonts w:hint="eastAsia"/>
                <w:lang w:val="en-US" w:eastAsia="zh-CN"/>
              </w:rPr>
              <w:t>4</w:t>
            </w:r>
            <w:r>
              <w:rPr>
                <w:rFonts w:hint="default"/>
                <w:lang w:val="en-US" w:eastAsia="zh-CN"/>
              </w:rPr>
              <w:t>。</w:t>
            </w:r>
          </w:p>
          <w:p w14:paraId="0BB4C0F9">
            <w:pPr>
              <w:pStyle w:val="5"/>
              <w:bidi w:val="0"/>
              <w:rPr>
                <w:rFonts w:hint="default"/>
                <w:lang w:val="en-US" w:eastAsia="zh-CN"/>
              </w:rPr>
            </w:pPr>
            <w:r>
              <w:rPr>
                <w:rFonts w:hint="default"/>
                <w:lang w:val="en-US" w:eastAsia="zh-CN"/>
              </w:rPr>
              <w:pict>
                <v:shape id="_x0000_s1027" o:spid="_x0000_s1027" o:spt="75" type="#_x0000_t75" style="position:absolute;left:0pt;margin-left:-3.35pt;margin-top:2.8pt;height:166.75pt;width:426pt;mso-wrap-distance-bottom:0pt;mso-wrap-distance-top:0pt;z-index:251666432;mso-width-relative:page;mso-height-relative:page;" o:ole="t" filled="f" o:preferrelative="t" stroked="f" coordsize="21600,21600">
                  <v:path/>
                  <v:fill on="f" focussize="0,0"/>
                  <v:stroke on="f"/>
                  <v:imagedata r:id="rId21" o:title=""/>
                  <o:lock v:ext="edit" aspectratio="f"/>
                  <w10:wrap type="topAndBottom"/>
                </v:shape>
                <o:OLEObject Type="Embed" ProgID="Visio.Drawing.15" ShapeID="_x0000_s1027" DrawAspect="Content" ObjectID="_1468075726" r:id="rId20">
                  <o:LockedField>false</o:LockedField>
                </o:OLEObject>
              </w:pict>
            </w:r>
            <w:r>
              <w:rPr>
                <w:rFonts w:hint="eastAsia"/>
                <w:lang w:val="en-US" w:eastAsia="zh-CN"/>
              </w:rPr>
              <w:t>（G：废气；N：噪声）</w:t>
            </w:r>
          </w:p>
          <w:p w14:paraId="60100094">
            <w:pPr>
              <w:pStyle w:val="4"/>
              <w:bidi w:val="0"/>
              <w:rPr>
                <w:rFonts w:hint="default"/>
                <w:lang w:val="en-US" w:eastAsia="zh-CN"/>
              </w:rPr>
            </w:pPr>
            <w:r>
              <w:rPr>
                <w:rFonts w:hint="default"/>
                <w:lang w:val="en-US" w:eastAsia="zh-CN"/>
              </w:rPr>
              <w:t>图2-</w:t>
            </w:r>
            <w:r>
              <w:rPr>
                <w:rFonts w:hint="eastAsia"/>
                <w:lang w:val="en-US" w:eastAsia="zh-CN"/>
              </w:rPr>
              <w:t>4</w:t>
            </w:r>
            <w:r>
              <w:rPr>
                <w:rFonts w:hint="default"/>
                <w:lang w:val="en-US" w:eastAsia="zh-CN"/>
              </w:rPr>
              <w:t xml:space="preserve">  </w:t>
            </w:r>
            <w:r>
              <w:rPr>
                <w:rFonts w:hint="eastAsia"/>
                <w:lang w:val="en-US" w:eastAsia="zh-CN"/>
              </w:rPr>
              <w:t>调油生产</w:t>
            </w:r>
            <w:r>
              <w:rPr>
                <w:rFonts w:hint="default"/>
                <w:lang w:val="en-US" w:eastAsia="zh-CN"/>
              </w:rPr>
              <w:t>单元工艺流程及产污环节图</w:t>
            </w:r>
          </w:p>
          <w:p w14:paraId="7F7B158C">
            <w:pPr>
              <w:bidi w:val="0"/>
              <w:rPr>
                <w:rFonts w:hint="default"/>
                <w:lang w:val="en-US" w:eastAsia="zh-CN"/>
              </w:rPr>
            </w:pPr>
            <w:r>
              <w:rPr>
                <w:rFonts w:hint="default"/>
                <w:lang w:val="en-US" w:eastAsia="zh-CN"/>
              </w:rPr>
              <w:t>轻烃预处理单元生产的碳五烷烃、己烷异构体、工业碳七与碳八料原轻烃产品（工业碳七与碳八料不满足需求时外购）与外购添加剂（MTBE、二甲苯、三甲苯）及宁煤汽油通过管道混合器进行一定比例混合后进入相应92#汽油储罐和95#汽油储罐，92#汽油储罐和95#汽油储罐底部各安装一个旋转喷射器，目的是弥补管道混合器可能出现的不足，确保汽油达到相关产品质量标准。定期对92#汽油储罐和95#汽油储罐进行质量检测，若无法达到产品质量标准时，将92#汽油储罐和95#汽油储罐的油通过汽油调合泵再次泵至管道混合器进行调配混合，以确保汽油达到相关产品质量标准。</w:t>
            </w:r>
          </w:p>
          <w:p w14:paraId="6D76C534">
            <w:pPr>
              <w:bidi w:val="0"/>
              <w:rPr>
                <w:lang w:val="en-US" w:eastAsia="zh-CN"/>
              </w:rPr>
            </w:pPr>
            <w:r>
              <w:rPr>
                <w:lang w:val="en-US" w:eastAsia="zh-CN"/>
              </w:rPr>
              <w:t>（</w:t>
            </w:r>
            <w:r>
              <w:rPr>
                <w:rFonts w:hint="eastAsia"/>
                <w:lang w:val="en-US" w:eastAsia="zh-CN"/>
              </w:rPr>
              <w:t>2</w:t>
            </w:r>
            <w:r>
              <w:rPr>
                <w:lang w:val="en-US" w:eastAsia="zh-CN"/>
              </w:rPr>
              <w:t>）产污环节</w:t>
            </w:r>
          </w:p>
          <w:p w14:paraId="4749A443">
            <w:pPr>
              <w:pStyle w:val="4"/>
              <w:bidi w:val="0"/>
              <w:rPr>
                <w:lang w:val="en-US" w:eastAsia="zh-CN"/>
              </w:rPr>
            </w:pPr>
            <w:r>
              <w:rPr>
                <w:lang w:val="en-US" w:eastAsia="zh-CN"/>
              </w:rPr>
              <w:t>表2-</w:t>
            </w:r>
            <w:r>
              <w:rPr>
                <w:rFonts w:hint="eastAsia"/>
                <w:lang w:val="en-US" w:eastAsia="zh-CN"/>
              </w:rPr>
              <w:t>8</w:t>
            </w:r>
            <w:r>
              <w:rPr>
                <w:lang w:val="en-US" w:eastAsia="zh-CN"/>
              </w:rPr>
              <w:t xml:space="preserve">  现有工程主要产污工序及污染物对照一览表</w:t>
            </w:r>
          </w:p>
          <w:tbl>
            <w:tblPr>
              <w:tblStyle w:val="20"/>
              <w:tblW w:w="4998"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41"/>
              <w:gridCol w:w="2115"/>
              <w:gridCol w:w="2359"/>
              <w:gridCol w:w="3382"/>
            </w:tblGrid>
            <w:tr w14:paraId="48997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tcBorders>
                    <w:tl2br w:val="nil"/>
                    <w:tr2bl w:val="nil"/>
                  </w:tcBorders>
                  <w:noWrap w:val="0"/>
                  <w:vAlign w:val="center"/>
                </w:tcPr>
                <w:p w14:paraId="1BA08573">
                  <w:pPr>
                    <w:pStyle w:val="5"/>
                    <w:bidi w:val="0"/>
                    <w:rPr>
                      <w:lang w:val="en-US" w:eastAsia="zh-CN"/>
                    </w:rPr>
                  </w:pPr>
                  <w:r>
                    <w:rPr>
                      <w:lang w:val="en-US" w:eastAsia="zh-CN"/>
                    </w:rPr>
                    <w:t>项目</w:t>
                  </w:r>
                </w:p>
              </w:tc>
              <w:tc>
                <w:tcPr>
                  <w:tcW w:w="1259" w:type="pct"/>
                  <w:tcBorders>
                    <w:tl2br w:val="nil"/>
                    <w:tr2bl w:val="nil"/>
                  </w:tcBorders>
                  <w:noWrap w:val="0"/>
                  <w:vAlign w:val="center"/>
                </w:tcPr>
                <w:p w14:paraId="073A30DE">
                  <w:pPr>
                    <w:pStyle w:val="5"/>
                    <w:bidi w:val="0"/>
                    <w:rPr>
                      <w:lang w:val="en-US" w:eastAsia="zh-CN"/>
                    </w:rPr>
                  </w:pPr>
                  <w:r>
                    <w:rPr>
                      <w:lang w:val="en-US" w:eastAsia="zh-CN"/>
                    </w:rPr>
                    <w:t>产污工序</w:t>
                  </w:r>
                </w:p>
              </w:tc>
              <w:tc>
                <w:tcPr>
                  <w:tcW w:w="1404" w:type="pct"/>
                  <w:tcBorders>
                    <w:tl2br w:val="nil"/>
                    <w:tr2bl w:val="nil"/>
                  </w:tcBorders>
                  <w:noWrap w:val="0"/>
                  <w:vAlign w:val="center"/>
                </w:tcPr>
                <w:p w14:paraId="0D76D64F">
                  <w:pPr>
                    <w:pStyle w:val="5"/>
                    <w:bidi w:val="0"/>
                    <w:rPr>
                      <w:lang w:val="en-US" w:eastAsia="zh-CN"/>
                    </w:rPr>
                  </w:pPr>
                  <w:r>
                    <w:rPr>
                      <w:lang w:val="en-US" w:eastAsia="zh-CN"/>
                    </w:rPr>
                    <w:t>污染物</w:t>
                  </w:r>
                </w:p>
              </w:tc>
              <w:tc>
                <w:tcPr>
                  <w:tcW w:w="2013" w:type="pct"/>
                  <w:tcBorders>
                    <w:tl2br w:val="nil"/>
                    <w:tr2bl w:val="nil"/>
                  </w:tcBorders>
                  <w:noWrap w:val="0"/>
                  <w:vAlign w:val="center"/>
                </w:tcPr>
                <w:p w14:paraId="032FAB1A">
                  <w:pPr>
                    <w:pStyle w:val="5"/>
                    <w:bidi w:val="0"/>
                    <w:rPr>
                      <w:lang w:val="en-US" w:eastAsia="zh-CN"/>
                    </w:rPr>
                  </w:pPr>
                  <w:r>
                    <w:rPr>
                      <w:lang w:val="en-US" w:eastAsia="zh-CN"/>
                    </w:rPr>
                    <w:t>处理措施及去向</w:t>
                  </w:r>
                </w:p>
              </w:tc>
            </w:tr>
            <w:tr w14:paraId="27DA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restart"/>
                  <w:tcBorders>
                    <w:tl2br w:val="nil"/>
                    <w:tr2bl w:val="nil"/>
                  </w:tcBorders>
                  <w:noWrap w:val="0"/>
                  <w:vAlign w:val="center"/>
                </w:tcPr>
                <w:p w14:paraId="6432E133">
                  <w:pPr>
                    <w:pStyle w:val="5"/>
                    <w:bidi w:val="0"/>
                    <w:rPr>
                      <w:lang w:val="en-US" w:eastAsia="zh-CN"/>
                    </w:rPr>
                  </w:pPr>
                  <w:r>
                    <w:rPr>
                      <w:lang w:val="en-US" w:eastAsia="zh-CN"/>
                    </w:rPr>
                    <w:t>废水</w:t>
                  </w:r>
                </w:p>
              </w:tc>
              <w:tc>
                <w:tcPr>
                  <w:tcW w:w="1259" w:type="pct"/>
                  <w:tcBorders>
                    <w:tl2br w:val="nil"/>
                    <w:tr2bl w:val="nil"/>
                  </w:tcBorders>
                  <w:noWrap w:val="0"/>
                  <w:vAlign w:val="center"/>
                </w:tcPr>
                <w:p w14:paraId="510D5705">
                  <w:pPr>
                    <w:pStyle w:val="5"/>
                    <w:bidi w:val="0"/>
                    <w:rPr>
                      <w:lang w:val="en-US" w:eastAsia="zh-CN"/>
                    </w:rPr>
                  </w:pPr>
                  <w:r>
                    <w:rPr>
                      <w:lang w:val="en-US" w:eastAsia="zh-CN"/>
                    </w:rPr>
                    <w:t>液化石油气脱水</w:t>
                  </w:r>
                </w:p>
              </w:tc>
              <w:tc>
                <w:tcPr>
                  <w:tcW w:w="1404" w:type="pct"/>
                  <w:vMerge w:val="restart"/>
                  <w:tcBorders>
                    <w:tl2br w:val="nil"/>
                    <w:tr2bl w:val="nil"/>
                  </w:tcBorders>
                  <w:shd w:val="clear" w:color="auto" w:fill="auto"/>
                  <w:noWrap w:val="0"/>
                  <w:vAlign w:val="center"/>
                </w:tcPr>
                <w:p w14:paraId="2ABF7D8D">
                  <w:pPr>
                    <w:pStyle w:val="5"/>
                    <w:bidi w:val="0"/>
                    <w:rPr>
                      <w:lang w:val="en-US" w:eastAsia="zh-CN"/>
                    </w:rPr>
                  </w:pPr>
                  <w:r>
                    <w:rPr>
                      <w:lang w:val="en-US" w:eastAsia="zh-CN"/>
                    </w:rPr>
                    <w:t>石油类、COD、BOD、氨氮、SS</w:t>
                  </w:r>
                </w:p>
              </w:tc>
              <w:tc>
                <w:tcPr>
                  <w:tcW w:w="2013" w:type="pct"/>
                  <w:vMerge w:val="restart"/>
                  <w:tcBorders>
                    <w:tl2br w:val="nil"/>
                    <w:tr2bl w:val="nil"/>
                  </w:tcBorders>
                  <w:shd w:val="clear" w:color="auto" w:fill="auto"/>
                  <w:noWrap w:val="0"/>
                  <w:vAlign w:val="center"/>
                </w:tcPr>
                <w:p w14:paraId="2F076FDF">
                  <w:pPr>
                    <w:pStyle w:val="5"/>
                    <w:bidi w:val="0"/>
                    <w:rPr>
                      <w:lang w:val="en-US" w:eastAsia="zh-CN"/>
                    </w:rPr>
                  </w:pPr>
                  <w:r>
                    <w:rPr>
                      <w:lang w:val="en-US" w:eastAsia="zh-CN"/>
                    </w:rPr>
                    <w:t>收集后排至污水池，经污水处理站（隔油+气浮）处理后排至园区污水处理厂</w:t>
                  </w:r>
                </w:p>
              </w:tc>
            </w:tr>
            <w:tr w14:paraId="37C7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45519F35">
                  <w:pPr>
                    <w:pStyle w:val="5"/>
                    <w:bidi w:val="0"/>
                    <w:rPr>
                      <w:lang w:val="en-US" w:eastAsia="zh-CN"/>
                    </w:rPr>
                  </w:pPr>
                </w:p>
              </w:tc>
              <w:tc>
                <w:tcPr>
                  <w:tcW w:w="1259" w:type="pct"/>
                  <w:tcBorders>
                    <w:tl2br w:val="nil"/>
                    <w:tr2bl w:val="nil"/>
                  </w:tcBorders>
                  <w:noWrap w:val="0"/>
                  <w:vAlign w:val="center"/>
                </w:tcPr>
                <w:p w14:paraId="04136904">
                  <w:pPr>
                    <w:pStyle w:val="5"/>
                    <w:bidi w:val="0"/>
                    <w:rPr>
                      <w:lang w:val="en-US" w:eastAsia="zh-CN"/>
                    </w:rPr>
                  </w:pPr>
                  <w:r>
                    <w:rPr>
                      <w:lang w:val="en-US" w:eastAsia="zh-CN"/>
                    </w:rPr>
                    <w:t>设备和地面冲洗废水</w:t>
                  </w:r>
                </w:p>
              </w:tc>
              <w:tc>
                <w:tcPr>
                  <w:tcW w:w="1404" w:type="pct"/>
                  <w:vMerge w:val="continue"/>
                  <w:tcBorders>
                    <w:tl2br w:val="nil"/>
                    <w:tr2bl w:val="nil"/>
                  </w:tcBorders>
                  <w:noWrap w:val="0"/>
                  <w:vAlign w:val="center"/>
                </w:tcPr>
                <w:p w14:paraId="4487B655">
                  <w:pPr>
                    <w:pStyle w:val="5"/>
                    <w:bidi w:val="0"/>
                    <w:rPr>
                      <w:lang w:val="en-US" w:eastAsia="zh-CN"/>
                    </w:rPr>
                  </w:pPr>
                </w:p>
              </w:tc>
              <w:tc>
                <w:tcPr>
                  <w:tcW w:w="2013" w:type="pct"/>
                  <w:vMerge w:val="continue"/>
                  <w:tcBorders>
                    <w:tl2br w:val="nil"/>
                    <w:tr2bl w:val="nil"/>
                  </w:tcBorders>
                  <w:noWrap w:val="0"/>
                  <w:vAlign w:val="center"/>
                </w:tcPr>
                <w:p w14:paraId="21EBCFFE">
                  <w:pPr>
                    <w:pStyle w:val="5"/>
                    <w:bidi w:val="0"/>
                    <w:rPr>
                      <w:lang w:val="en-US" w:eastAsia="zh-CN"/>
                    </w:rPr>
                  </w:pPr>
                </w:p>
              </w:tc>
            </w:tr>
            <w:tr w14:paraId="07A4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4DDF75A2">
                  <w:pPr>
                    <w:pStyle w:val="5"/>
                    <w:bidi w:val="0"/>
                    <w:rPr>
                      <w:lang w:val="en-US" w:eastAsia="zh-CN"/>
                    </w:rPr>
                  </w:pPr>
                </w:p>
              </w:tc>
              <w:tc>
                <w:tcPr>
                  <w:tcW w:w="1259" w:type="pct"/>
                  <w:tcBorders>
                    <w:tl2br w:val="nil"/>
                    <w:tr2bl w:val="nil"/>
                  </w:tcBorders>
                  <w:noWrap w:val="0"/>
                  <w:vAlign w:val="center"/>
                </w:tcPr>
                <w:p w14:paraId="1AFFCAFD">
                  <w:pPr>
                    <w:pStyle w:val="5"/>
                    <w:bidi w:val="0"/>
                    <w:rPr>
                      <w:lang w:val="en-US" w:eastAsia="zh-CN"/>
                    </w:rPr>
                  </w:pPr>
                  <w:r>
                    <w:rPr>
                      <w:lang w:val="en-US" w:eastAsia="zh-CN"/>
                    </w:rPr>
                    <w:t>实验室排水</w:t>
                  </w:r>
                </w:p>
              </w:tc>
              <w:tc>
                <w:tcPr>
                  <w:tcW w:w="1404" w:type="pct"/>
                  <w:vMerge w:val="continue"/>
                  <w:tcBorders>
                    <w:tl2br w:val="nil"/>
                    <w:tr2bl w:val="nil"/>
                  </w:tcBorders>
                  <w:noWrap w:val="0"/>
                  <w:vAlign w:val="center"/>
                </w:tcPr>
                <w:p w14:paraId="3E26B58E">
                  <w:pPr>
                    <w:pStyle w:val="5"/>
                    <w:bidi w:val="0"/>
                    <w:rPr>
                      <w:lang w:val="en-US" w:eastAsia="zh-CN"/>
                    </w:rPr>
                  </w:pPr>
                </w:p>
              </w:tc>
              <w:tc>
                <w:tcPr>
                  <w:tcW w:w="2013" w:type="pct"/>
                  <w:vMerge w:val="continue"/>
                  <w:tcBorders>
                    <w:tl2br w:val="nil"/>
                    <w:tr2bl w:val="nil"/>
                  </w:tcBorders>
                  <w:noWrap w:val="0"/>
                  <w:vAlign w:val="center"/>
                </w:tcPr>
                <w:p w14:paraId="2514D6E0">
                  <w:pPr>
                    <w:pStyle w:val="5"/>
                    <w:bidi w:val="0"/>
                    <w:rPr>
                      <w:lang w:val="en-US" w:eastAsia="zh-CN"/>
                    </w:rPr>
                  </w:pPr>
                </w:p>
              </w:tc>
            </w:tr>
            <w:tr w14:paraId="5469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3E5B204F">
                  <w:pPr>
                    <w:pStyle w:val="5"/>
                    <w:bidi w:val="0"/>
                    <w:rPr>
                      <w:lang w:val="en-US" w:eastAsia="zh-CN"/>
                    </w:rPr>
                  </w:pPr>
                </w:p>
              </w:tc>
              <w:tc>
                <w:tcPr>
                  <w:tcW w:w="1259" w:type="pct"/>
                  <w:tcBorders>
                    <w:tl2br w:val="nil"/>
                    <w:tr2bl w:val="nil"/>
                  </w:tcBorders>
                  <w:noWrap w:val="0"/>
                  <w:vAlign w:val="center"/>
                </w:tcPr>
                <w:p w14:paraId="173692C8">
                  <w:pPr>
                    <w:pStyle w:val="5"/>
                    <w:bidi w:val="0"/>
                    <w:rPr>
                      <w:lang w:val="en-US" w:eastAsia="zh-CN"/>
                    </w:rPr>
                  </w:pPr>
                  <w:r>
                    <w:rPr>
                      <w:lang w:val="en-US" w:eastAsia="zh-CN"/>
                    </w:rPr>
                    <w:t>循环水系统排水</w:t>
                  </w:r>
                </w:p>
              </w:tc>
              <w:tc>
                <w:tcPr>
                  <w:tcW w:w="1404" w:type="pct"/>
                  <w:tcBorders>
                    <w:tl2br w:val="nil"/>
                    <w:tr2bl w:val="nil"/>
                  </w:tcBorders>
                  <w:noWrap w:val="0"/>
                  <w:vAlign w:val="center"/>
                </w:tcPr>
                <w:p w14:paraId="25A91951">
                  <w:pPr>
                    <w:pStyle w:val="5"/>
                    <w:bidi w:val="0"/>
                    <w:rPr>
                      <w:lang w:val="en-US" w:eastAsia="zh-CN"/>
                    </w:rPr>
                  </w:pPr>
                  <w:r>
                    <w:rPr>
                      <w:lang w:val="en-US" w:eastAsia="zh-CN"/>
                    </w:rPr>
                    <w:t>SS、全盐量</w:t>
                  </w:r>
                </w:p>
              </w:tc>
              <w:tc>
                <w:tcPr>
                  <w:tcW w:w="2013" w:type="pct"/>
                  <w:vMerge w:val="restart"/>
                  <w:tcBorders>
                    <w:tl2br w:val="nil"/>
                    <w:tr2bl w:val="nil"/>
                  </w:tcBorders>
                  <w:noWrap w:val="0"/>
                  <w:vAlign w:val="center"/>
                </w:tcPr>
                <w:p w14:paraId="72B65706">
                  <w:pPr>
                    <w:pStyle w:val="5"/>
                    <w:bidi w:val="0"/>
                    <w:rPr>
                      <w:lang w:val="en-US" w:eastAsia="zh-CN"/>
                    </w:rPr>
                  </w:pPr>
                  <w:r>
                    <w:rPr>
                      <w:lang w:val="en-US" w:eastAsia="zh-CN"/>
                    </w:rPr>
                    <w:t>经缓存池收集后分批泵提至现有污水收集池合并生产污水统一经污水处理站处理</w:t>
                  </w:r>
                </w:p>
              </w:tc>
            </w:tr>
            <w:tr w14:paraId="006C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72857C40">
                  <w:pPr>
                    <w:pStyle w:val="5"/>
                    <w:bidi w:val="0"/>
                    <w:rPr>
                      <w:lang w:val="en-US" w:eastAsia="zh-CN"/>
                    </w:rPr>
                  </w:pPr>
                </w:p>
              </w:tc>
              <w:tc>
                <w:tcPr>
                  <w:tcW w:w="1259" w:type="pct"/>
                  <w:tcBorders>
                    <w:tl2br w:val="nil"/>
                    <w:tr2bl w:val="nil"/>
                  </w:tcBorders>
                  <w:noWrap w:val="0"/>
                  <w:vAlign w:val="center"/>
                </w:tcPr>
                <w:p w14:paraId="20FADCB2">
                  <w:pPr>
                    <w:pStyle w:val="5"/>
                    <w:bidi w:val="0"/>
                    <w:rPr>
                      <w:lang w:val="en-US" w:eastAsia="zh-CN"/>
                    </w:rPr>
                  </w:pPr>
                  <w:r>
                    <w:rPr>
                      <w:lang w:val="en-US" w:eastAsia="zh-CN"/>
                    </w:rPr>
                    <w:t>软水系统排水</w:t>
                  </w:r>
                </w:p>
              </w:tc>
              <w:tc>
                <w:tcPr>
                  <w:tcW w:w="1404" w:type="pct"/>
                  <w:tcBorders>
                    <w:tl2br w:val="nil"/>
                    <w:tr2bl w:val="nil"/>
                  </w:tcBorders>
                  <w:noWrap w:val="0"/>
                  <w:vAlign w:val="center"/>
                </w:tcPr>
                <w:p w14:paraId="2A693DF5">
                  <w:pPr>
                    <w:pStyle w:val="5"/>
                    <w:bidi w:val="0"/>
                    <w:rPr>
                      <w:lang w:val="en-US" w:eastAsia="zh-CN"/>
                    </w:rPr>
                  </w:pPr>
                  <w:r>
                    <w:rPr>
                      <w:lang w:val="en-US" w:eastAsia="zh-CN"/>
                    </w:rPr>
                    <w:t>COD、氨氮、SS</w:t>
                  </w:r>
                </w:p>
              </w:tc>
              <w:tc>
                <w:tcPr>
                  <w:tcW w:w="2013" w:type="pct"/>
                  <w:vMerge w:val="continue"/>
                  <w:tcBorders>
                    <w:tl2br w:val="nil"/>
                    <w:tr2bl w:val="nil"/>
                  </w:tcBorders>
                  <w:noWrap w:val="0"/>
                  <w:vAlign w:val="center"/>
                </w:tcPr>
                <w:p w14:paraId="4E4DE4A2">
                  <w:pPr>
                    <w:pStyle w:val="5"/>
                    <w:bidi w:val="0"/>
                    <w:rPr>
                      <w:lang w:val="en-US" w:eastAsia="zh-CN"/>
                    </w:rPr>
                  </w:pPr>
                </w:p>
              </w:tc>
            </w:tr>
            <w:tr w14:paraId="11E0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114AD013">
                  <w:pPr>
                    <w:pStyle w:val="5"/>
                    <w:bidi w:val="0"/>
                    <w:rPr>
                      <w:lang w:val="en-US" w:eastAsia="zh-CN"/>
                    </w:rPr>
                  </w:pPr>
                </w:p>
              </w:tc>
              <w:tc>
                <w:tcPr>
                  <w:tcW w:w="1259" w:type="pct"/>
                  <w:tcBorders>
                    <w:tl2br w:val="nil"/>
                    <w:tr2bl w:val="nil"/>
                  </w:tcBorders>
                  <w:noWrap w:val="0"/>
                  <w:vAlign w:val="center"/>
                </w:tcPr>
                <w:p w14:paraId="161E3A1D">
                  <w:pPr>
                    <w:pStyle w:val="5"/>
                    <w:bidi w:val="0"/>
                    <w:rPr>
                      <w:lang w:val="en-US" w:eastAsia="zh-CN"/>
                    </w:rPr>
                  </w:pPr>
                  <w:r>
                    <w:rPr>
                      <w:lang w:val="en-US" w:eastAsia="zh-CN"/>
                    </w:rPr>
                    <w:t>生活污水</w:t>
                  </w:r>
                </w:p>
              </w:tc>
              <w:tc>
                <w:tcPr>
                  <w:tcW w:w="1404" w:type="pct"/>
                  <w:tcBorders>
                    <w:tl2br w:val="nil"/>
                    <w:tr2bl w:val="nil"/>
                  </w:tcBorders>
                  <w:noWrap w:val="0"/>
                  <w:vAlign w:val="center"/>
                </w:tcPr>
                <w:p w14:paraId="330849D0">
                  <w:pPr>
                    <w:pStyle w:val="5"/>
                    <w:bidi w:val="0"/>
                    <w:rPr>
                      <w:lang w:val="en-US" w:eastAsia="zh-CN"/>
                    </w:rPr>
                  </w:pPr>
                  <w:r>
                    <w:rPr>
                      <w:lang w:val="en-US" w:eastAsia="zh-CN"/>
                    </w:rPr>
                    <w:t>COD、BOD、SS、氨氮、动植物油</w:t>
                  </w:r>
                </w:p>
              </w:tc>
              <w:tc>
                <w:tcPr>
                  <w:tcW w:w="2013" w:type="pct"/>
                  <w:tcBorders>
                    <w:tl2br w:val="nil"/>
                    <w:tr2bl w:val="nil"/>
                  </w:tcBorders>
                  <w:noWrap w:val="0"/>
                  <w:vAlign w:val="center"/>
                </w:tcPr>
                <w:p w14:paraId="2C5DBD10">
                  <w:pPr>
                    <w:pStyle w:val="5"/>
                    <w:bidi w:val="0"/>
                    <w:rPr>
                      <w:lang w:val="en-US" w:eastAsia="zh-CN"/>
                    </w:rPr>
                  </w:pPr>
                  <w:r>
                    <w:rPr>
                      <w:lang w:val="en-US" w:eastAsia="zh-CN"/>
                    </w:rPr>
                    <w:t>化粪池预处理后排至园区污水处理厂</w:t>
                  </w:r>
                </w:p>
              </w:tc>
            </w:tr>
            <w:tr w14:paraId="1833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restart"/>
                  <w:tcBorders>
                    <w:tl2br w:val="nil"/>
                    <w:tr2bl w:val="nil"/>
                  </w:tcBorders>
                  <w:noWrap w:val="0"/>
                  <w:vAlign w:val="center"/>
                </w:tcPr>
                <w:p w14:paraId="2D855069">
                  <w:pPr>
                    <w:pStyle w:val="5"/>
                    <w:bidi w:val="0"/>
                    <w:rPr>
                      <w:lang w:val="en-US" w:eastAsia="zh-CN"/>
                    </w:rPr>
                  </w:pPr>
                  <w:r>
                    <w:rPr>
                      <w:lang w:val="en-US" w:eastAsia="zh-CN"/>
                    </w:rPr>
                    <w:t>废气</w:t>
                  </w:r>
                </w:p>
              </w:tc>
              <w:tc>
                <w:tcPr>
                  <w:tcW w:w="1259" w:type="pct"/>
                  <w:tcBorders>
                    <w:tl2br w:val="nil"/>
                    <w:tr2bl w:val="nil"/>
                  </w:tcBorders>
                  <w:shd w:val="clear" w:color="auto" w:fill="auto"/>
                  <w:noWrap w:val="0"/>
                  <w:vAlign w:val="center"/>
                </w:tcPr>
                <w:p w14:paraId="4405E809">
                  <w:pPr>
                    <w:pStyle w:val="5"/>
                    <w:bidi w:val="0"/>
                    <w:rPr>
                      <w:lang w:val="en-US" w:eastAsia="zh-CN"/>
                    </w:rPr>
                  </w:pPr>
                  <w:r>
                    <w:rPr>
                      <w:lang w:val="en-US" w:eastAsia="zh-CN"/>
                    </w:rPr>
                    <w:t>导热油炉废气</w:t>
                  </w:r>
                </w:p>
              </w:tc>
              <w:tc>
                <w:tcPr>
                  <w:tcW w:w="1404" w:type="pct"/>
                  <w:tcBorders>
                    <w:tl2br w:val="nil"/>
                    <w:tr2bl w:val="nil"/>
                  </w:tcBorders>
                  <w:shd w:val="clear" w:color="auto" w:fill="auto"/>
                  <w:noWrap w:val="0"/>
                  <w:vAlign w:val="center"/>
                </w:tcPr>
                <w:p w14:paraId="71D69B03">
                  <w:pPr>
                    <w:pStyle w:val="5"/>
                    <w:bidi w:val="0"/>
                    <w:rPr>
                      <w:lang w:val="en-US" w:eastAsia="zh-CN"/>
                    </w:rPr>
                  </w:pPr>
                  <w:r>
                    <w:rPr>
                      <w:lang w:val="en-US" w:eastAsia="zh-CN"/>
                    </w:rPr>
                    <w:t>二氧化硫、氮氧化物、颗粒物</w:t>
                  </w:r>
                </w:p>
              </w:tc>
              <w:tc>
                <w:tcPr>
                  <w:tcW w:w="2013" w:type="pct"/>
                  <w:tcBorders>
                    <w:tl2br w:val="nil"/>
                    <w:tr2bl w:val="nil"/>
                  </w:tcBorders>
                  <w:shd w:val="clear" w:color="auto" w:fill="auto"/>
                  <w:noWrap w:val="0"/>
                  <w:vAlign w:val="center"/>
                </w:tcPr>
                <w:p w14:paraId="1C97BC3D">
                  <w:pPr>
                    <w:pStyle w:val="5"/>
                    <w:bidi w:val="0"/>
                    <w:rPr>
                      <w:lang w:val="en-US" w:eastAsia="zh-CN"/>
                    </w:rPr>
                  </w:pPr>
                  <w:r>
                    <w:rPr>
                      <w:lang w:val="en-US" w:eastAsia="zh-CN"/>
                    </w:rPr>
                    <w:t>采用低氮燃烧器+烟气再循环技术处理后通过一根</w:t>
                  </w:r>
                  <w:r>
                    <w:rPr>
                      <w:rFonts w:hint="eastAsia"/>
                      <w:lang w:val="en-US" w:eastAsia="zh-CN"/>
                    </w:rPr>
                    <w:t>20</w:t>
                  </w:r>
                  <w:r>
                    <w:rPr>
                      <w:lang w:val="en-US" w:eastAsia="zh-CN"/>
                    </w:rPr>
                    <w:t>m高排气筒（DA002）排放</w:t>
                  </w:r>
                </w:p>
              </w:tc>
            </w:tr>
            <w:tr w14:paraId="73F8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247D3B53">
                  <w:pPr>
                    <w:pStyle w:val="5"/>
                    <w:bidi w:val="0"/>
                    <w:rPr>
                      <w:lang w:val="en-US" w:eastAsia="zh-CN"/>
                    </w:rPr>
                  </w:pPr>
                </w:p>
              </w:tc>
              <w:tc>
                <w:tcPr>
                  <w:tcW w:w="1259" w:type="pct"/>
                  <w:tcBorders>
                    <w:tl2br w:val="nil"/>
                    <w:tr2bl w:val="nil"/>
                  </w:tcBorders>
                  <w:noWrap w:val="0"/>
                  <w:vAlign w:val="center"/>
                </w:tcPr>
                <w:p w14:paraId="490742C0">
                  <w:pPr>
                    <w:pStyle w:val="5"/>
                    <w:bidi w:val="0"/>
                    <w:rPr>
                      <w:lang w:val="en-US" w:eastAsia="zh-CN"/>
                    </w:rPr>
                  </w:pPr>
                  <w:r>
                    <w:rPr>
                      <w:lang w:val="en-US" w:eastAsia="zh-CN"/>
                    </w:rPr>
                    <w:t>罐区和装车废气</w:t>
                  </w:r>
                </w:p>
              </w:tc>
              <w:tc>
                <w:tcPr>
                  <w:tcW w:w="1404" w:type="pct"/>
                  <w:tcBorders>
                    <w:tl2br w:val="nil"/>
                    <w:tr2bl w:val="nil"/>
                  </w:tcBorders>
                  <w:noWrap w:val="0"/>
                  <w:vAlign w:val="center"/>
                </w:tcPr>
                <w:p w14:paraId="280722BF">
                  <w:pPr>
                    <w:pStyle w:val="5"/>
                    <w:bidi w:val="0"/>
                    <w:rPr>
                      <w:lang w:val="en-US" w:eastAsia="zh-CN"/>
                    </w:rPr>
                  </w:pPr>
                  <w:r>
                    <w:rPr>
                      <w:lang w:val="en-US" w:eastAsia="zh-CN"/>
                    </w:rPr>
                    <w:t>非甲烷总烃</w:t>
                  </w:r>
                </w:p>
              </w:tc>
              <w:tc>
                <w:tcPr>
                  <w:tcW w:w="2013" w:type="pct"/>
                  <w:tcBorders>
                    <w:tl2br w:val="nil"/>
                    <w:tr2bl w:val="nil"/>
                  </w:tcBorders>
                  <w:noWrap w:val="0"/>
                  <w:vAlign w:val="center"/>
                </w:tcPr>
                <w:p w14:paraId="44A5AFBA">
                  <w:pPr>
                    <w:pStyle w:val="5"/>
                    <w:bidi w:val="0"/>
                    <w:rPr>
                      <w:lang w:val="en-US" w:eastAsia="zh-CN"/>
                    </w:rPr>
                  </w:pPr>
                  <w:r>
                    <w:rPr>
                      <w:lang w:val="en-US" w:eastAsia="zh-CN"/>
                    </w:rPr>
                    <w:t>经油气回收装置（冷凝+活性炭吸附）处理后，通过一根15m高排气筒（DA003）排放</w:t>
                  </w:r>
                </w:p>
              </w:tc>
            </w:tr>
            <w:tr w14:paraId="3476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16E54766">
                  <w:pPr>
                    <w:pStyle w:val="5"/>
                    <w:bidi w:val="0"/>
                    <w:rPr>
                      <w:lang w:val="en-US" w:eastAsia="zh-CN"/>
                    </w:rPr>
                  </w:pPr>
                </w:p>
              </w:tc>
              <w:tc>
                <w:tcPr>
                  <w:tcW w:w="1259" w:type="pct"/>
                  <w:tcBorders>
                    <w:tl2br w:val="nil"/>
                    <w:tr2bl w:val="nil"/>
                  </w:tcBorders>
                  <w:noWrap w:val="0"/>
                  <w:vAlign w:val="center"/>
                </w:tcPr>
                <w:p w14:paraId="67AB182B">
                  <w:pPr>
                    <w:pStyle w:val="5"/>
                    <w:bidi w:val="0"/>
                    <w:rPr>
                      <w:lang w:val="en-US" w:eastAsia="zh-CN"/>
                    </w:rPr>
                  </w:pPr>
                  <w:r>
                    <w:rPr>
                      <w:lang w:val="en-US" w:eastAsia="zh-CN"/>
                    </w:rPr>
                    <w:t>卸车废气</w:t>
                  </w:r>
                </w:p>
              </w:tc>
              <w:tc>
                <w:tcPr>
                  <w:tcW w:w="1404" w:type="pct"/>
                  <w:tcBorders>
                    <w:tl2br w:val="nil"/>
                    <w:tr2bl w:val="nil"/>
                  </w:tcBorders>
                  <w:noWrap w:val="0"/>
                  <w:vAlign w:val="center"/>
                </w:tcPr>
                <w:p w14:paraId="616A7C5B">
                  <w:pPr>
                    <w:pStyle w:val="5"/>
                    <w:bidi w:val="0"/>
                    <w:rPr>
                      <w:lang w:val="en-US" w:eastAsia="zh-CN"/>
                    </w:rPr>
                  </w:pPr>
                  <w:r>
                    <w:rPr>
                      <w:lang w:val="en-US" w:eastAsia="zh-CN"/>
                    </w:rPr>
                    <w:t>非甲烷总烃</w:t>
                  </w:r>
                </w:p>
              </w:tc>
              <w:tc>
                <w:tcPr>
                  <w:tcW w:w="2013" w:type="pct"/>
                  <w:tcBorders>
                    <w:tl2br w:val="nil"/>
                    <w:tr2bl w:val="nil"/>
                  </w:tcBorders>
                  <w:noWrap w:val="0"/>
                  <w:vAlign w:val="center"/>
                </w:tcPr>
                <w:p w14:paraId="54C84908">
                  <w:pPr>
                    <w:pStyle w:val="5"/>
                    <w:bidi w:val="0"/>
                    <w:rPr>
                      <w:lang w:val="en-US" w:eastAsia="zh-CN"/>
                    </w:rPr>
                  </w:pPr>
                  <w:r>
                    <w:rPr>
                      <w:lang w:val="en-US" w:eastAsia="zh-CN"/>
                    </w:rPr>
                    <w:t>送至导热油炉燃烧后通过一根</w:t>
                  </w:r>
                  <w:r>
                    <w:rPr>
                      <w:rFonts w:hint="eastAsia"/>
                      <w:lang w:val="en-US" w:eastAsia="zh-CN"/>
                    </w:rPr>
                    <w:t>20</w:t>
                  </w:r>
                  <w:r>
                    <w:rPr>
                      <w:lang w:val="en-US" w:eastAsia="zh-CN"/>
                    </w:rPr>
                    <w:t>m高排气筒（DA002）排放</w:t>
                  </w:r>
                </w:p>
              </w:tc>
            </w:tr>
            <w:tr w14:paraId="2E362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tcBorders>
                    <w:tl2br w:val="nil"/>
                    <w:tr2bl w:val="nil"/>
                  </w:tcBorders>
                  <w:noWrap w:val="0"/>
                  <w:vAlign w:val="center"/>
                </w:tcPr>
                <w:p w14:paraId="42CA4952">
                  <w:pPr>
                    <w:pStyle w:val="5"/>
                    <w:bidi w:val="0"/>
                    <w:rPr>
                      <w:lang w:val="en-US" w:eastAsia="zh-CN"/>
                    </w:rPr>
                  </w:pPr>
                  <w:r>
                    <w:rPr>
                      <w:lang w:val="en-US" w:eastAsia="zh-CN"/>
                    </w:rPr>
                    <w:t>噪声</w:t>
                  </w:r>
                </w:p>
              </w:tc>
              <w:tc>
                <w:tcPr>
                  <w:tcW w:w="1259" w:type="pct"/>
                  <w:tcBorders>
                    <w:tl2br w:val="nil"/>
                    <w:tr2bl w:val="nil"/>
                  </w:tcBorders>
                  <w:noWrap w:val="0"/>
                  <w:vAlign w:val="center"/>
                </w:tcPr>
                <w:p w14:paraId="1C954B33">
                  <w:pPr>
                    <w:pStyle w:val="5"/>
                    <w:bidi w:val="0"/>
                    <w:rPr>
                      <w:lang w:val="en-US" w:eastAsia="zh-CN"/>
                    </w:rPr>
                  </w:pPr>
                  <w:r>
                    <w:rPr>
                      <w:lang w:val="en-US" w:eastAsia="zh-CN"/>
                    </w:rPr>
                    <w:t>空冷器、冷却器、分离器、压缩机和各类机泵等</w:t>
                  </w:r>
                </w:p>
              </w:tc>
              <w:tc>
                <w:tcPr>
                  <w:tcW w:w="1404" w:type="pct"/>
                  <w:tcBorders>
                    <w:tl2br w:val="nil"/>
                    <w:tr2bl w:val="nil"/>
                  </w:tcBorders>
                  <w:noWrap w:val="0"/>
                  <w:vAlign w:val="center"/>
                </w:tcPr>
                <w:p w14:paraId="61A29127">
                  <w:pPr>
                    <w:pStyle w:val="5"/>
                    <w:bidi w:val="0"/>
                    <w:rPr>
                      <w:lang w:val="en-US" w:eastAsia="zh-CN"/>
                    </w:rPr>
                  </w:pPr>
                  <w:r>
                    <w:rPr>
                      <w:lang w:val="en-US" w:eastAsia="zh-CN"/>
                    </w:rPr>
                    <w:t>噪声</w:t>
                  </w:r>
                </w:p>
              </w:tc>
              <w:tc>
                <w:tcPr>
                  <w:tcW w:w="2013" w:type="pct"/>
                  <w:tcBorders>
                    <w:tl2br w:val="nil"/>
                    <w:tr2bl w:val="nil"/>
                  </w:tcBorders>
                  <w:noWrap w:val="0"/>
                  <w:vAlign w:val="center"/>
                </w:tcPr>
                <w:p w14:paraId="18DA957A">
                  <w:pPr>
                    <w:pStyle w:val="5"/>
                    <w:bidi w:val="0"/>
                    <w:rPr>
                      <w:lang w:val="en-US" w:eastAsia="zh-CN"/>
                    </w:rPr>
                  </w:pPr>
                  <w:r>
                    <w:rPr>
                      <w:lang w:val="en-US" w:eastAsia="zh-CN"/>
                    </w:rPr>
                    <w:t>低噪声设备、基座减振</w:t>
                  </w:r>
                </w:p>
              </w:tc>
            </w:tr>
            <w:tr w14:paraId="6675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restart"/>
                  <w:tcBorders>
                    <w:tl2br w:val="nil"/>
                    <w:tr2bl w:val="nil"/>
                  </w:tcBorders>
                  <w:noWrap w:val="0"/>
                  <w:vAlign w:val="center"/>
                </w:tcPr>
                <w:p w14:paraId="31F099D5">
                  <w:pPr>
                    <w:pStyle w:val="5"/>
                    <w:bidi w:val="0"/>
                    <w:rPr>
                      <w:lang w:val="en-US" w:eastAsia="zh-CN"/>
                    </w:rPr>
                  </w:pPr>
                  <w:r>
                    <w:rPr>
                      <w:lang w:val="en-US" w:eastAsia="zh-CN"/>
                    </w:rPr>
                    <w:t>固体废物</w:t>
                  </w:r>
                </w:p>
              </w:tc>
              <w:tc>
                <w:tcPr>
                  <w:tcW w:w="1259" w:type="pct"/>
                  <w:tcBorders>
                    <w:tl2br w:val="nil"/>
                    <w:tr2bl w:val="nil"/>
                  </w:tcBorders>
                  <w:noWrap w:val="0"/>
                  <w:vAlign w:val="center"/>
                </w:tcPr>
                <w:p w14:paraId="3F811DF9">
                  <w:pPr>
                    <w:pStyle w:val="5"/>
                    <w:bidi w:val="0"/>
                    <w:rPr>
                      <w:lang w:val="en-US" w:eastAsia="zh-CN"/>
                    </w:rPr>
                  </w:pPr>
                  <w:r>
                    <w:rPr>
                      <w:lang w:val="en-US" w:eastAsia="zh-CN"/>
                    </w:rPr>
                    <w:t>软水制备系统</w:t>
                  </w:r>
                </w:p>
              </w:tc>
              <w:tc>
                <w:tcPr>
                  <w:tcW w:w="1404" w:type="pct"/>
                  <w:tcBorders>
                    <w:tl2br w:val="nil"/>
                    <w:tr2bl w:val="nil"/>
                  </w:tcBorders>
                  <w:noWrap w:val="0"/>
                  <w:vAlign w:val="center"/>
                </w:tcPr>
                <w:p w14:paraId="79509B93">
                  <w:pPr>
                    <w:pStyle w:val="5"/>
                    <w:bidi w:val="0"/>
                    <w:rPr>
                      <w:lang w:val="en-US" w:eastAsia="zh-CN"/>
                    </w:rPr>
                  </w:pPr>
                  <w:r>
                    <w:rPr>
                      <w:lang w:val="en-US" w:eastAsia="zh-CN"/>
                    </w:rPr>
                    <w:t>废离子交换树脂</w:t>
                  </w:r>
                </w:p>
              </w:tc>
              <w:tc>
                <w:tcPr>
                  <w:tcW w:w="2013" w:type="pct"/>
                  <w:tcBorders>
                    <w:tl2br w:val="nil"/>
                    <w:tr2bl w:val="nil"/>
                  </w:tcBorders>
                  <w:noWrap w:val="0"/>
                  <w:vAlign w:val="center"/>
                </w:tcPr>
                <w:p w14:paraId="4DCB9AB9">
                  <w:pPr>
                    <w:pStyle w:val="5"/>
                    <w:bidi w:val="0"/>
                    <w:rPr>
                      <w:lang w:val="en-US" w:eastAsia="zh-CN"/>
                    </w:rPr>
                  </w:pPr>
                  <w:r>
                    <w:rPr>
                      <w:lang w:val="en-US" w:eastAsia="zh-CN"/>
                    </w:rPr>
                    <w:t>由厂家更换并回收再利用</w:t>
                  </w:r>
                </w:p>
              </w:tc>
            </w:tr>
            <w:tr w14:paraId="6C8D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168156FD">
                  <w:pPr>
                    <w:pStyle w:val="5"/>
                    <w:bidi w:val="0"/>
                    <w:rPr>
                      <w:lang w:val="en-US" w:eastAsia="zh-CN"/>
                    </w:rPr>
                  </w:pPr>
                </w:p>
              </w:tc>
              <w:tc>
                <w:tcPr>
                  <w:tcW w:w="1259" w:type="pct"/>
                  <w:tcBorders>
                    <w:tl2br w:val="nil"/>
                    <w:tr2bl w:val="nil"/>
                  </w:tcBorders>
                  <w:noWrap w:val="0"/>
                  <w:vAlign w:val="center"/>
                </w:tcPr>
                <w:p w14:paraId="153E152F">
                  <w:pPr>
                    <w:pStyle w:val="5"/>
                    <w:bidi w:val="0"/>
                    <w:rPr>
                      <w:lang w:val="en-US" w:eastAsia="zh-CN"/>
                    </w:rPr>
                  </w:pPr>
                  <w:r>
                    <w:rPr>
                      <w:lang w:val="en-US" w:eastAsia="zh-CN"/>
                    </w:rPr>
                    <w:t>空压站</w:t>
                  </w:r>
                </w:p>
              </w:tc>
              <w:tc>
                <w:tcPr>
                  <w:tcW w:w="1404" w:type="pct"/>
                  <w:tcBorders>
                    <w:tl2br w:val="nil"/>
                    <w:tr2bl w:val="nil"/>
                  </w:tcBorders>
                  <w:noWrap w:val="0"/>
                  <w:vAlign w:val="center"/>
                </w:tcPr>
                <w:p w14:paraId="38B48D5E">
                  <w:pPr>
                    <w:pStyle w:val="5"/>
                    <w:bidi w:val="0"/>
                    <w:rPr>
                      <w:lang w:val="en-US" w:eastAsia="zh-CN"/>
                    </w:rPr>
                  </w:pPr>
                  <w:r>
                    <w:rPr>
                      <w:lang w:val="en-US" w:eastAsia="zh-CN"/>
                    </w:rPr>
                    <w:t>废分子筛</w:t>
                  </w:r>
                </w:p>
              </w:tc>
              <w:tc>
                <w:tcPr>
                  <w:tcW w:w="2013" w:type="pct"/>
                  <w:tcBorders>
                    <w:tl2br w:val="nil"/>
                    <w:tr2bl w:val="nil"/>
                  </w:tcBorders>
                  <w:noWrap w:val="0"/>
                  <w:vAlign w:val="center"/>
                </w:tcPr>
                <w:p w14:paraId="20E586A5">
                  <w:pPr>
                    <w:pStyle w:val="5"/>
                    <w:bidi w:val="0"/>
                    <w:rPr>
                      <w:lang w:val="en-US" w:eastAsia="zh-CN"/>
                    </w:rPr>
                  </w:pPr>
                  <w:r>
                    <w:rPr>
                      <w:lang w:val="en-US" w:eastAsia="zh-CN"/>
                    </w:rPr>
                    <w:t>由厂家定期更换并回收处置</w:t>
                  </w:r>
                </w:p>
              </w:tc>
            </w:tr>
            <w:tr w14:paraId="3739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trPr>
              <w:tc>
                <w:tcPr>
                  <w:tcW w:w="322" w:type="pct"/>
                  <w:vMerge w:val="continue"/>
                  <w:tcBorders>
                    <w:tl2br w:val="nil"/>
                    <w:tr2bl w:val="nil"/>
                  </w:tcBorders>
                  <w:noWrap w:val="0"/>
                  <w:vAlign w:val="center"/>
                </w:tcPr>
                <w:p w14:paraId="0BD84120">
                  <w:pPr>
                    <w:pStyle w:val="5"/>
                    <w:bidi w:val="0"/>
                    <w:rPr>
                      <w:lang w:val="en-US" w:eastAsia="zh-CN"/>
                    </w:rPr>
                  </w:pPr>
                </w:p>
              </w:tc>
              <w:tc>
                <w:tcPr>
                  <w:tcW w:w="1259" w:type="pct"/>
                  <w:tcBorders>
                    <w:tl2br w:val="nil"/>
                    <w:tr2bl w:val="nil"/>
                  </w:tcBorders>
                  <w:noWrap w:val="0"/>
                  <w:vAlign w:val="center"/>
                </w:tcPr>
                <w:p w14:paraId="31A232BD">
                  <w:pPr>
                    <w:pStyle w:val="5"/>
                    <w:bidi w:val="0"/>
                    <w:rPr>
                      <w:lang w:val="en-US" w:eastAsia="zh-CN"/>
                    </w:rPr>
                  </w:pPr>
                  <w:r>
                    <w:rPr>
                      <w:lang w:val="en-US" w:eastAsia="zh-CN"/>
                    </w:rPr>
                    <w:t>油气回收装置</w:t>
                  </w:r>
                </w:p>
              </w:tc>
              <w:tc>
                <w:tcPr>
                  <w:tcW w:w="1404" w:type="pct"/>
                  <w:tcBorders>
                    <w:tl2br w:val="nil"/>
                    <w:tr2bl w:val="nil"/>
                  </w:tcBorders>
                  <w:noWrap w:val="0"/>
                  <w:vAlign w:val="center"/>
                </w:tcPr>
                <w:p w14:paraId="7C21909F">
                  <w:pPr>
                    <w:pStyle w:val="5"/>
                    <w:bidi w:val="0"/>
                    <w:rPr>
                      <w:lang w:val="en-US" w:eastAsia="zh-CN"/>
                    </w:rPr>
                  </w:pPr>
                  <w:r>
                    <w:rPr>
                      <w:lang w:val="en-US" w:eastAsia="zh-CN"/>
                    </w:rPr>
                    <w:t>废活性炭</w:t>
                  </w:r>
                </w:p>
              </w:tc>
              <w:tc>
                <w:tcPr>
                  <w:tcW w:w="2013" w:type="pct"/>
                  <w:vMerge w:val="restart"/>
                  <w:tcBorders>
                    <w:tl2br w:val="nil"/>
                    <w:tr2bl w:val="nil"/>
                  </w:tcBorders>
                  <w:noWrap w:val="0"/>
                  <w:vAlign w:val="center"/>
                </w:tcPr>
                <w:p w14:paraId="0480C255">
                  <w:pPr>
                    <w:pStyle w:val="5"/>
                    <w:bidi w:val="0"/>
                    <w:rPr>
                      <w:lang w:val="en-US" w:eastAsia="zh-CN"/>
                    </w:rPr>
                  </w:pPr>
                  <w:r>
                    <w:rPr>
                      <w:lang w:val="en-US" w:eastAsia="zh-CN"/>
                    </w:rPr>
                    <w:t>由专用危废贮存点暂存，定期交由有资质单位处置</w:t>
                  </w:r>
                </w:p>
              </w:tc>
            </w:tr>
            <w:tr w14:paraId="100A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58FF98A4">
                  <w:pPr>
                    <w:pStyle w:val="5"/>
                    <w:bidi w:val="0"/>
                    <w:rPr>
                      <w:lang w:val="en-US" w:eastAsia="zh-CN"/>
                    </w:rPr>
                  </w:pPr>
                </w:p>
              </w:tc>
              <w:tc>
                <w:tcPr>
                  <w:tcW w:w="1259" w:type="pct"/>
                  <w:tcBorders>
                    <w:tl2br w:val="nil"/>
                    <w:tr2bl w:val="nil"/>
                  </w:tcBorders>
                  <w:noWrap w:val="0"/>
                  <w:vAlign w:val="center"/>
                </w:tcPr>
                <w:p w14:paraId="4E8A5147">
                  <w:pPr>
                    <w:pStyle w:val="5"/>
                    <w:bidi w:val="0"/>
                    <w:rPr>
                      <w:lang w:val="en-US" w:eastAsia="zh-CN"/>
                    </w:rPr>
                  </w:pPr>
                  <w:r>
                    <w:rPr>
                      <w:lang w:val="en-US" w:eastAsia="zh-CN"/>
                    </w:rPr>
                    <w:t>污水处理站气浮工序</w:t>
                  </w:r>
                </w:p>
              </w:tc>
              <w:tc>
                <w:tcPr>
                  <w:tcW w:w="1404" w:type="pct"/>
                  <w:tcBorders>
                    <w:tl2br w:val="nil"/>
                    <w:tr2bl w:val="nil"/>
                  </w:tcBorders>
                  <w:noWrap w:val="0"/>
                  <w:vAlign w:val="center"/>
                </w:tcPr>
                <w:p w14:paraId="177E2005">
                  <w:pPr>
                    <w:pStyle w:val="5"/>
                    <w:bidi w:val="0"/>
                    <w:rPr>
                      <w:lang w:val="en-US" w:eastAsia="zh-CN"/>
                    </w:rPr>
                  </w:pPr>
                  <w:r>
                    <w:rPr>
                      <w:lang w:val="en-US" w:eastAsia="zh-CN"/>
                    </w:rPr>
                    <w:t>含油浮渣</w:t>
                  </w:r>
                </w:p>
              </w:tc>
              <w:tc>
                <w:tcPr>
                  <w:tcW w:w="2013" w:type="pct"/>
                  <w:vMerge w:val="continue"/>
                  <w:tcBorders>
                    <w:tl2br w:val="nil"/>
                    <w:tr2bl w:val="nil"/>
                  </w:tcBorders>
                  <w:noWrap w:val="0"/>
                  <w:vAlign w:val="center"/>
                </w:tcPr>
                <w:p w14:paraId="52A35CBC">
                  <w:pPr>
                    <w:pStyle w:val="5"/>
                    <w:bidi w:val="0"/>
                    <w:rPr>
                      <w:lang w:val="en-US" w:eastAsia="zh-CN"/>
                    </w:rPr>
                  </w:pPr>
                </w:p>
              </w:tc>
            </w:tr>
            <w:tr w14:paraId="2237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0D6E713E">
                  <w:pPr>
                    <w:pStyle w:val="5"/>
                    <w:bidi w:val="0"/>
                    <w:rPr>
                      <w:lang w:val="en-US" w:eastAsia="zh-CN"/>
                    </w:rPr>
                  </w:pPr>
                </w:p>
              </w:tc>
              <w:tc>
                <w:tcPr>
                  <w:tcW w:w="1259" w:type="pct"/>
                  <w:tcBorders>
                    <w:tl2br w:val="nil"/>
                    <w:tr2bl w:val="nil"/>
                  </w:tcBorders>
                  <w:noWrap w:val="0"/>
                  <w:vAlign w:val="center"/>
                </w:tcPr>
                <w:p w14:paraId="214B3052">
                  <w:pPr>
                    <w:pStyle w:val="5"/>
                    <w:bidi w:val="0"/>
                    <w:rPr>
                      <w:lang w:val="en-US" w:eastAsia="zh-CN"/>
                    </w:rPr>
                  </w:pPr>
                  <w:r>
                    <w:rPr>
                      <w:lang w:val="en-US" w:eastAsia="zh-CN"/>
                    </w:rPr>
                    <w:t>导热油炉</w:t>
                  </w:r>
                </w:p>
              </w:tc>
              <w:tc>
                <w:tcPr>
                  <w:tcW w:w="1404" w:type="pct"/>
                  <w:tcBorders>
                    <w:tl2br w:val="nil"/>
                    <w:tr2bl w:val="nil"/>
                  </w:tcBorders>
                  <w:noWrap w:val="0"/>
                  <w:vAlign w:val="center"/>
                </w:tcPr>
                <w:p w14:paraId="70FB4C92">
                  <w:pPr>
                    <w:pStyle w:val="5"/>
                    <w:bidi w:val="0"/>
                    <w:rPr>
                      <w:lang w:val="en-US" w:eastAsia="zh-CN"/>
                    </w:rPr>
                  </w:pPr>
                  <w:r>
                    <w:rPr>
                      <w:lang w:val="en-US" w:eastAsia="zh-CN"/>
                    </w:rPr>
                    <w:t>废导热油</w:t>
                  </w:r>
                </w:p>
              </w:tc>
              <w:tc>
                <w:tcPr>
                  <w:tcW w:w="2013" w:type="pct"/>
                  <w:vMerge w:val="continue"/>
                  <w:tcBorders>
                    <w:tl2br w:val="nil"/>
                    <w:tr2bl w:val="nil"/>
                  </w:tcBorders>
                  <w:noWrap w:val="0"/>
                  <w:vAlign w:val="center"/>
                </w:tcPr>
                <w:p w14:paraId="44965C7C">
                  <w:pPr>
                    <w:pStyle w:val="5"/>
                    <w:bidi w:val="0"/>
                    <w:rPr>
                      <w:lang w:val="en-US" w:eastAsia="zh-CN"/>
                    </w:rPr>
                  </w:pPr>
                </w:p>
              </w:tc>
            </w:tr>
            <w:tr w14:paraId="7B37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2697DE9B">
                  <w:pPr>
                    <w:pStyle w:val="5"/>
                    <w:bidi w:val="0"/>
                    <w:rPr>
                      <w:lang w:val="en-US" w:eastAsia="zh-CN"/>
                    </w:rPr>
                  </w:pPr>
                </w:p>
              </w:tc>
              <w:tc>
                <w:tcPr>
                  <w:tcW w:w="1259" w:type="pct"/>
                  <w:tcBorders>
                    <w:tl2br w:val="nil"/>
                    <w:tr2bl w:val="nil"/>
                  </w:tcBorders>
                  <w:noWrap w:val="0"/>
                  <w:vAlign w:val="center"/>
                </w:tcPr>
                <w:p w14:paraId="79F4F5FD">
                  <w:pPr>
                    <w:pStyle w:val="5"/>
                    <w:bidi w:val="0"/>
                    <w:rPr>
                      <w:lang w:val="en-US" w:eastAsia="zh-CN"/>
                    </w:rPr>
                  </w:pPr>
                  <w:r>
                    <w:rPr>
                      <w:lang w:val="en-US" w:eastAsia="zh-CN"/>
                    </w:rPr>
                    <w:t>维修和检修</w:t>
                  </w:r>
                </w:p>
              </w:tc>
              <w:tc>
                <w:tcPr>
                  <w:tcW w:w="1404" w:type="pct"/>
                  <w:tcBorders>
                    <w:tl2br w:val="nil"/>
                    <w:tr2bl w:val="nil"/>
                  </w:tcBorders>
                  <w:noWrap w:val="0"/>
                  <w:vAlign w:val="center"/>
                </w:tcPr>
                <w:p w14:paraId="346D3794">
                  <w:pPr>
                    <w:pStyle w:val="5"/>
                    <w:bidi w:val="0"/>
                    <w:rPr>
                      <w:lang w:val="en-US" w:eastAsia="zh-CN"/>
                    </w:rPr>
                  </w:pPr>
                  <w:r>
                    <w:rPr>
                      <w:lang w:val="en-US" w:eastAsia="zh-CN"/>
                    </w:rPr>
                    <w:t>废润滑油</w:t>
                  </w:r>
                  <w:r>
                    <w:rPr>
                      <w:rFonts w:hint="eastAsia"/>
                      <w:lang w:val="en-US" w:eastAsia="zh-CN"/>
                    </w:rPr>
                    <w:t>及废润滑油桶</w:t>
                  </w:r>
                </w:p>
              </w:tc>
              <w:tc>
                <w:tcPr>
                  <w:tcW w:w="2013" w:type="pct"/>
                  <w:vMerge w:val="continue"/>
                  <w:tcBorders>
                    <w:tl2br w:val="nil"/>
                    <w:tr2bl w:val="nil"/>
                  </w:tcBorders>
                  <w:noWrap w:val="0"/>
                  <w:vAlign w:val="center"/>
                </w:tcPr>
                <w:p w14:paraId="31287972">
                  <w:pPr>
                    <w:pStyle w:val="5"/>
                    <w:bidi w:val="0"/>
                    <w:rPr>
                      <w:lang w:val="en-US" w:eastAsia="zh-CN"/>
                    </w:rPr>
                  </w:pPr>
                </w:p>
              </w:tc>
            </w:tr>
            <w:tr w14:paraId="2E8C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22" w:type="pct"/>
                  <w:vMerge w:val="continue"/>
                  <w:tcBorders>
                    <w:tl2br w:val="nil"/>
                    <w:tr2bl w:val="nil"/>
                  </w:tcBorders>
                  <w:noWrap w:val="0"/>
                  <w:vAlign w:val="center"/>
                </w:tcPr>
                <w:p w14:paraId="038FF44B">
                  <w:pPr>
                    <w:pStyle w:val="5"/>
                    <w:bidi w:val="0"/>
                    <w:rPr>
                      <w:lang w:val="en-US" w:eastAsia="zh-CN"/>
                    </w:rPr>
                  </w:pPr>
                </w:p>
              </w:tc>
              <w:tc>
                <w:tcPr>
                  <w:tcW w:w="1259" w:type="pct"/>
                  <w:tcBorders>
                    <w:tl2br w:val="nil"/>
                    <w:tr2bl w:val="nil"/>
                  </w:tcBorders>
                  <w:noWrap w:val="0"/>
                  <w:vAlign w:val="center"/>
                </w:tcPr>
                <w:p w14:paraId="1EBC5B07">
                  <w:pPr>
                    <w:pStyle w:val="5"/>
                    <w:bidi w:val="0"/>
                    <w:rPr>
                      <w:lang w:val="en-US" w:eastAsia="zh-CN"/>
                    </w:rPr>
                  </w:pPr>
                  <w:r>
                    <w:rPr>
                      <w:lang w:val="en-US" w:eastAsia="zh-CN"/>
                    </w:rPr>
                    <w:t>办公生活</w:t>
                  </w:r>
                </w:p>
              </w:tc>
              <w:tc>
                <w:tcPr>
                  <w:tcW w:w="1404" w:type="pct"/>
                  <w:tcBorders>
                    <w:tl2br w:val="nil"/>
                    <w:tr2bl w:val="nil"/>
                  </w:tcBorders>
                  <w:noWrap w:val="0"/>
                  <w:vAlign w:val="center"/>
                </w:tcPr>
                <w:p w14:paraId="212644E1">
                  <w:pPr>
                    <w:pStyle w:val="5"/>
                    <w:bidi w:val="0"/>
                    <w:rPr>
                      <w:lang w:val="en-US" w:eastAsia="zh-CN"/>
                    </w:rPr>
                  </w:pPr>
                  <w:r>
                    <w:rPr>
                      <w:lang w:val="en-US" w:eastAsia="zh-CN"/>
                    </w:rPr>
                    <w:t>生活垃圾</w:t>
                  </w:r>
                </w:p>
              </w:tc>
              <w:tc>
                <w:tcPr>
                  <w:tcW w:w="2013" w:type="pct"/>
                  <w:tcBorders>
                    <w:tl2br w:val="nil"/>
                    <w:tr2bl w:val="nil"/>
                  </w:tcBorders>
                  <w:noWrap w:val="0"/>
                  <w:vAlign w:val="center"/>
                </w:tcPr>
                <w:p w14:paraId="519651F8">
                  <w:pPr>
                    <w:pStyle w:val="5"/>
                    <w:bidi w:val="0"/>
                    <w:rPr>
                      <w:lang w:val="en-US" w:eastAsia="zh-CN"/>
                    </w:rPr>
                  </w:pPr>
                  <w:r>
                    <w:rPr>
                      <w:lang w:val="en-US" w:eastAsia="zh-CN"/>
                    </w:rPr>
                    <w:t>由环卫部门统一清运至园区生活垃圾填埋场卫生处置</w:t>
                  </w:r>
                </w:p>
              </w:tc>
            </w:tr>
          </w:tbl>
          <w:p w14:paraId="67AC8045">
            <w:pPr>
              <w:pStyle w:val="2"/>
              <w:bidi w:val="0"/>
              <w:rPr>
                <w:lang w:val="en-US" w:eastAsia="zh-CN"/>
              </w:rPr>
            </w:pPr>
            <w:r>
              <w:rPr>
                <w:rFonts w:hint="eastAsia"/>
                <w:lang w:val="en-US" w:eastAsia="zh-CN"/>
              </w:rPr>
              <w:t xml:space="preserve">4 </w:t>
            </w:r>
            <w:r>
              <w:rPr>
                <w:lang w:val="en-US" w:eastAsia="zh-CN"/>
              </w:rPr>
              <w:t>污染物排放及治理情况</w:t>
            </w:r>
          </w:p>
          <w:p w14:paraId="06C30150">
            <w:pPr>
              <w:bidi w:val="0"/>
              <w:rPr>
                <w:rFonts w:hint="eastAsia"/>
                <w:lang w:val="en-US" w:eastAsia="zh-CN"/>
              </w:rPr>
            </w:pPr>
            <w:r>
              <w:rPr>
                <w:rFonts w:hint="eastAsia"/>
                <w:lang w:val="en-US" w:eastAsia="zh-CN"/>
              </w:rPr>
              <w:t>根据厂区例行监测报告、《关于巴州海祥石油化工有限公司轻烃精制综合利用产品衍生项目环境影响报告表的批复》（巴环评价函〔2025〕306号）和《巴州海祥石油化工有限公司轻烃精制综合利用产品衍生项目竣工环境保护验收监测报告》，对企业现有工程污染物排放情况进行核算，详见下表2-9。</w:t>
            </w:r>
          </w:p>
          <w:p w14:paraId="4BE278EA">
            <w:pPr>
              <w:bidi w:val="0"/>
              <w:rPr>
                <w:rFonts w:hint="default"/>
                <w:vertAlign w:val="baseline"/>
                <w:lang w:val="en-US" w:eastAsia="zh-CN"/>
              </w:rPr>
            </w:pPr>
            <w:r>
              <w:rPr>
                <w:rFonts w:hint="eastAsia"/>
                <w:lang w:val="en-US" w:eastAsia="zh-CN"/>
              </w:rPr>
              <w:t>巴州海祥石油化工有限公司已完成《巴州海祥石油化工有限公司轻烃精制综合利用产品衍生项目》建设，现阶段该项目竣工环境保护验收工作正在组织开展。企业现有排污许可证载明的VOCS有组织和无组织污染物许可排放量已无法匹配当前实际生产工况，需开展排污许可变更。根据《关于巴州海祥石油化工有限公司轻烃精制综合利用产品衍生项目环境影响报告表的批复》（巴环评价函〔2025〕306 号），企业VOCS有组织总量为1.016t/a，故本项目许可排放量参照根据《关于巴州海祥石油化工有限公司轻烃精制综合利用产品衍生项目环境影响报告表的批复》（巴环评价函〔2025〕306 号）中表述的许可排放量。</w:t>
            </w:r>
          </w:p>
          <w:p w14:paraId="17BCCA55">
            <w:pPr>
              <w:pStyle w:val="4"/>
              <w:bidi w:val="0"/>
              <w:rPr>
                <w:lang w:val="en-US" w:eastAsia="zh-CN"/>
              </w:rPr>
            </w:pPr>
            <w:r>
              <w:rPr>
                <w:lang w:val="en-US" w:eastAsia="zh-CN"/>
              </w:rPr>
              <w:t>表2-</w:t>
            </w:r>
            <w:r>
              <w:rPr>
                <w:rFonts w:hint="eastAsia"/>
                <w:lang w:val="en-US" w:eastAsia="zh-CN"/>
              </w:rPr>
              <w:t>9</w:t>
            </w:r>
            <w:r>
              <w:rPr>
                <w:lang w:val="en-US" w:eastAsia="zh-CN"/>
              </w:rPr>
              <w:t xml:space="preserve">  </w:t>
            </w:r>
            <w:r>
              <w:rPr>
                <w:rFonts w:hint="eastAsia"/>
                <w:lang w:val="en-US" w:eastAsia="zh-CN"/>
              </w:rPr>
              <w:t>项目现有工程污染物排放情况一览表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3"/>
              <w:gridCol w:w="1197"/>
              <w:gridCol w:w="338"/>
              <w:gridCol w:w="1535"/>
              <w:gridCol w:w="3174"/>
            </w:tblGrid>
            <w:tr w14:paraId="5954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2" w:type="pct"/>
                  <w:noWrap w:val="0"/>
                  <w:vAlign w:val="center"/>
                </w:tcPr>
                <w:p w14:paraId="6CD9E96D">
                  <w:pPr>
                    <w:pStyle w:val="5"/>
                    <w:bidi w:val="0"/>
                    <w:rPr>
                      <w:lang w:val="en-US" w:eastAsia="zh-CN"/>
                    </w:rPr>
                  </w:pPr>
                  <w:bookmarkStart w:id="7" w:name="_Hlk85700780"/>
                  <w:r>
                    <w:rPr>
                      <w:lang w:val="en-US" w:eastAsia="zh-CN"/>
                    </w:rPr>
                    <w:t>项目</w:t>
                  </w:r>
                </w:p>
              </w:tc>
              <w:tc>
                <w:tcPr>
                  <w:tcW w:w="1828" w:type="pct"/>
                  <w:gridSpan w:val="3"/>
                  <w:noWrap w:val="0"/>
                  <w:vAlign w:val="center"/>
                </w:tcPr>
                <w:p w14:paraId="6C315302">
                  <w:pPr>
                    <w:pStyle w:val="5"/>
                    <w:bidi w:val="0"/>
                    <w:rPr>
                      <w:lang w:val="en-US" w:eastAsia="zh-CN"/>
                    </w:rPr>
                  </w:pPr>
                  <w:r>
                    <w:rPr>
                      <w:lang w:val="en-US" w:eastAsia="zh-CN"/>
                    </w:rPr>
                    <w:t>污染物</w:t>
                  </w:r>
                </w:p>
              </w:tc>
              <w:tc>
                <w:tcPr>
                  <w:tcW w:w="1889" w:type="pct"/>
                  <w:noWrap w:val="0"/>
                  <w:vAlign w:val="center"/>
                </w:tcPr>
                <w:p w14:paraId="69089AF1">
                  <w:pPr>
                    <w:pStyle w:val="5"/>
                    <w:bidi w:val="0"/>
                    <w:rPr>
                      <w:lang w:val="en-US" w:eastAsia="zh-CN"/>
                    </w:rPr>
                  </w:pPr>
                  <w:r>
                    <w:rPr>
                      <w:lang w:val="en-US" w:eastAsia="zh-CN"/>
                    </w:rPr>
                    <w:t>现有工程排放量t/a</w:t>
                  </w:r>
                </w:p>
              </w:tc>
            </w:tr>
            <w:tr w14:paraId="15C00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282" w:type="pct"/>
                  <w:vMerge w:val="restart"/>
                  <w:noWrap w:val="0"/>
                  <w:vAlign w:val="center"/>
                </w:tcPr>
                <w:p w14:paraId="6FD6915C">
                  <w:pPr>
                    <w:pStyle w:val="5"/>
                    <w:bidi w:val="0"/>
                    <w:rPr>
                      <w:lang w:val="en-US" w:eastAsia="zh-CN"/>
                    </w:rPr>
                  </w:pPr>
                  <w:r>
                    <w:rPr>
                      <w:lang w:val="en-US" w:eastAsia="zh-CN"/>
                    </w:rPr>
                    <w:t>废气</w:t>
                  </w:r>
                </w:p>
              </w:tc>
              <w:tc>
                <w:tcPr>
                  <w:tcW w:w="1828" w:type="pct"/>
                  <w:gridSpan w:val="3"/>
                  <w:noWrap w:val="0"/>
                  <w:vAlign w:val="center"/>
                </w:tcPr>
                <w:p w14:paraId="3627E3DA">
                  <w:pPr>
                    <w:pStyle w:val="5"/>
                    <w:bidi w:val="0"/>
                    <w:rPr>
                      <w:lang w:val="en-US" w:eastAsia="zh-CN"/>
                    </w:rPr>
                  </w:pPr>
                  <w:r>
                    <w:rPr>
                      <w:lang w:val="en-US" w:eastAsia="zh-CN"/>
                    </w:rPr>
                    <w:t>颗粒物</w:t>
                  </w:r>
                </w:p>
              </w:tc>
              <w:tc>
                <w:tcPr>
                  <w:tcW w:w="1889" w:type="pct"/>
                  <w:noWrap w:val="0"/>
                  <w:vAlign w:val="center"/>
                </w:tcPr>
                <w:p w14:paraId="1768531F">
                  <w:pPr>
                    <w:pStyle w:val="5"/>
                    <w:bidi w:val="0"/>
                    <w:rPr>
                      <w:rFonts w:hint="default"/>
                      <w:highlight w:val="none"/>
                      <w:lang w:val="en-US" w:eastAsia="zh-CN"/>
                    </w:rPr>
                  </w:pPr>
                  <w:r>
                    <w:rPr>
                      <w:rFonts w:hint="eastAsia"/>
                      <w:highlight w:val="none"/>
                      <w:lang w:val="en-US" w:eastAsia="zh-CN"/>
                    </w:rPr>
                    <w:t>0.968</w:t>
                  </w:r>
                </w:p>
              </w:tc>
            </w:tr>
            <w:tr w14:paraId="3FE4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2" w:type="pct"/>
                  <w:vMerge w:val="continue"/>
                  <w:noWrap w:val="0"/>
                  <w:vAlign w:val="center"/>
                </w:tcPr>
                <w:p w14:paraId="12F8CD0D">
                  <w:pPr>
                    <w:pStyle w:val="5"/>
                    <w:bidi w:val="0"/>
                    <w:rPr>
                      <w:lang w:val="en-US" w:eastAsia="zh-CN"/>
                    </w:rPr>
                  </w:pPr>
                </w:p>
              </w:tc>
              <w:tc>
                <w:tcPr>
                  <w:tcW w:w="1828" w:type="pct"/>
                  <w:gridSpan w:val="3"/>
                  <w:noWrap w:val="0"/>
                  <w:vAlign w:val="center"/>
                </w:tcPr>
                <w:p w14:paraId="55C2DAEE">
                  <w:pPr>
                    <w:pStyle w:val="5"/>
                    <w:bidi w:val="0"/>
                    <w:rPr>
                      <w:lang w:val="en-US" w:eastAsia="zh-CN"/>
                    </w:rPr>
                  </w:pPr>
                  <w:r>
                    <w:rPr>
                      <w:lang w:val="en-US" w:eastAsia="zh-CN"/>
                    </w:rPr>
                    <w:t>SO</w:t>
                  </w:r>
                  <w:r>
                    <w:rPr>
                      <w:vertAlign w:val="subscript"/>
                      <w:lang w:val="en-US" w:eastAsia="zh-CN"/>
                    </w:rPr>
                    <w:t>2</w:t>
                  </w:r>
                </w:p>
              </w:tc>
              <w:tc>
                <w:tcPr>
                  <w:tcW w:w="1889" w:type="pct"/>
                  <w:noWrap w:val="0"/>
                  <w:vAlign w:val="center"/>
                </w:tcPr>
                <w:p w14:paraId="067D015E">
                  <w:pPr>
                    <w:pStyle w:val="5"/>
                    <w:bidi w:val="0"/>
                    <w:rPr>
                      <w:rFonts w:hint="default"/>
                      <w:highlight w:val="none"/>
                      <w:lang w:val="en-US" w:eastAsia="zh-CN"/>
                    </w:rPr>
                  </w:pPr>
                  <w:r>
                    <w:rPr>
                      <w:rFonts w:hint="eastAsia"/>
                      <w:highlight w:val="none"/>
                      <w:lang w:val="en-US" w:eastAsia="zh-CN"/>
                    </w:rPr>
                    <w:t>0.386</w:t>
                  </w:r>
                </w:p>
              </w:tc>
            </w:tr>
            <w:tr w14:paraId="577C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2" w:type="pct"/>
                  <w:vMerge w:val="continue"/>
                  <w:noWrap w:val="0"/>
                  <w:vAlign w:val="center"/>
                </w:tcPr>
                <w:p w14:paraId="62792820">
                  <w:pPr>
                    <w:pStyle w:val="5"/>
                    <w:bidi w:val="0"/>
                    <w:rPr>
                      <w:lang w:val="en-US" w:eastAsia="zh-CN"/>
                    </w:rPr>
                  </w:pPr>
                </w:p>
              </w:tc>
              <w:tc>
                <w:tcPr>
                  <w:tcW w:w="1828" w:type="pct"/>
                  <w:gridSpan w:val="3"/>
                  <w:noWrap w:val="0"/>
                  <w:vAlign w:val="center"/>
                </w:tcPr>
                <w:p w14:paraId="4F7F8AB8">
                  <w:pPr>
                    <w:pStyle w:val="5"/>
                    <w:bidi w:val="0"/>
                    <w:rPr>
                      <w:lang w:val="en-US" w:eastAsia="zh-CN"/>
                    </w:rPr>
                  </w:pPr>
                  <w:r>
                    <w:rPr>
                      <w:lang w:val="en-US" w:eastAsia="zh-CN"/>
                    </w:rPr>
                    <w:t>NO</w:t>
                  </w:r>
                  <w:r>
                    <w:rPr>
                      <w:vertAlign w:val="subscript"/>
                      <w:lang w:val="en-US" w:eastAsia="zh-CN"/>
                    </w:rPr>
                    <w:t>X</w:t>
                  </w:r>
                </w:p>
              </w:tc>
              <w:tc>
                <w:tcPr>
                  <w:tcW w:w="1889" w:type="pct"/>
                  <w:noWrap w:val="0"/>
                  <w:vAlign w:val="center"/>
                </w:tcPr>
                <w:p w14:paraId="372645E5">
                  <w:pPr>
                    <w:pStyle w:val="5"/>
                    <w:bidi w:val="0"/>
                    <w:rPr>
                      <w:rFonts w:hint="default"/>
                      <w:highlight w:val="none"/>
                      <w:lang w:val="en-US" w:eastAsia="zh-CN"/>
                    </w:rPr>
                  </w:pPr>
                  <w:r>
                    <w:rPr>
                      <w:rFonts w:hint="eastAsia"/>
                      <w:highlight w:val="none"/>
                      <w:lang w:val="en-US" w:eastAsia="zh-CN"/>
                    </w:rPr>
                    <w:t>4.89</w:t>
                  </w:r>
                </w:p>
              </w:tc>
            </w:tr>
            <w:tr w14:paraId="016E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2" w:type="pct"/>
                  <w:vMerge w:val="continue"/>
                  <w:noWrap w:val="0"/>
                  <w:vAlign w:val="center"/>
                </w:tcPr>
                <w:p w14:paraId="76C0118B">
                  <w:pPr>
                    <w:pStyle w:val="5"/>
                    <w:bidi w:val="0"/>
                    <w:rPr>
                      <w:lang w:val="en-US" w:eastAsia="zh-CN"/>
                    </w:rPr>
                  </w:pPr>
                </w:p>
              </w:tc>
              <w:tc>
                <w:tcPr>
                  <w:tcW w:w="914" w:type="pct"/>
                  <w:gridSpan w:val="2"/>
                  <w:vMerge w:val="restart"/>
                  <w:noWrap w:val="0"/>
                  <w:vAlign w:val="center"/>
                </w:tcPr>
                <w:p w14:paraId="000133E9">
                  <w:pPr>
                    <w:pStyle w:val="5"/>
                    <w:bidi w:val="0"/>
                    <w:rPr>
                      <w:lang w:val="en-US" w:eastAsia="zh-CN"/>
                    </w:rPr>
                  </w:pPr>
                  <w:r>
                    <w:rPr>
                      <w:lang w:val="en-US" w:eastAsia="zh-CN"/>
                    </w:rPr>
                    <w:t>VOC</w:t>
                  </w:r>
                  <w:r>
                    <w:rPr>
                      <w:vertAlign w:val="subscript"/>
                      <w:lang w:val="en-US" w:eastAsia="zh-CN"/>
                    </w:rPr>
                    <w:t>S</w:t>
                  </w:r>
                </w:p>
              </w:tc>
              <w:tc>
                <w:tcPr>
                  <w:tcW w:w="914" w:type="pct"/>
                  <w:noWrap w:val="0"/>
                  <w:vAlign w:val="center"/>
                </w:tcPr>
                <w:p w14:paraId="18FD5F83">
                  <w:pPr>
                    <w:pStyle w:val="5"/>
                    <w:bidi w:val="0"/>
                    <w:rPr>
                      <w:rFonts w:hint="default"/>
                      <w:lang w:val="en-US" w:eastAsia="zh-CN"/>
                    </w:rPr>
                  </w:pPr>
                  <w:r>
                    <w:rPr>
                      <w:rFonts w:hint="eastAsia"/>
                      <w:lang w:val="en-US" w:eastAsia="zh-CN"/>
                    </w:rPr>
                    <w:t>有组织</w:t>
                  </w:r>
                </w:p>
              </w:tc>
              <w:tc>
                <w:tcPr>
                  <w:tcW w:w="1889" w:type="pct"/>
                  <w:noWrap w:val="0"/>
                  <w:vAlign w:val="center"/>
                </w:tcPr>
                <w:p w14:paraId="4DD9C064">
                  <w:pPr>
                    <w:pStyle w:val="5"/>
                    <w:bidi w:val="0"/>
                    <w:rPr>
                      <w:rFonts w:hint="default"/>
                      <w:highlight w:val="none"/>
                      <w:lang w:val="en-US" w:eastAsia="zh-CN"/>
                    </w:rPr>
                  </w:pPr>
                  <w:r>
                    <w:rPr>
                      <w:rFonts w:hint="eastAsia"/>
                      <w:highlight w:val="none"/>
                      <w:lang w:val="en-US" w:eastAsia="zh-CN"/>
                    </w:rPr>
                    <w:t>0.225</w:t>
                  </w:r>
                </w:p>
              </w:tc>
            </w:tr>
            <w:tr w14:paraId="1116F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2" w:type="pct"/>
                  <w:vMerge w:val="continue"/>
                  <w:noWrap w:val="0"/>
                  <w:vAlign w:val="center"/>
                </w:tcPr>
                <w:p w14:paraId="31CC36E9">
                  <w:pPr>
                    <w:pStyle w:val="5"/>
                    <w:bidi w:val="0"/>
                    <w:rPr>
                      <w:lang w:val="en-US" w:eastAsia="zh-CN"/>
                    </w:rPr>
                  </w:pPr>
                </w:p>
              </w:tc>
              <w:tc>
                <w:tcPr>
                  <w:tcW w:w="914" w:type="pct"/>
                  <w:gridSpan w:val="2"/>
                  <w:vMerge w:val="continue"/>
                  <w:noWrap w:val="0"/>
                  <w:vAlign w:val="center"/>
                </w:tcPr>
                <w:p w14:paraId="0FD7A846">
                  <w:pPr>
                    <w:pStyle w:val="5"/>
                    <w:bidi w:val="0"/>
                    <w:rPr>
                      <w:lang w:val="en-US" w:eastAsia="zh-CN"/>
                    </w:rPr>
                  </w:pPr>
                </w:p>
              </w:tc>
              <w:tc>
                <w:tcPr>
                  <w:tcW w:w="914" w:type="pct"/>
                  <w:noWrap w:val="0"/>
                  <w:vAlign w:val="center"/>
                </w:tcPr>
                <w:p w14:paraId="617094EF">
                  <w:pPr>
                    <w:pStyle w:val="5"/>
                    <w:bidi w:val="0"/>
                    <w:rPr>
                      <w:rFonts w:hint="default"/>
                      <w:lang w:val="en-US" w:eastAsia="zh-CN"/>
                    </w:rPr>
                  </w:pPr>
                  <w:r>
                    <w:rPr>
                      <w:rFonts w:hint="eastAsia"/>
                      <w:lang w:val="en-US" w:eastAsia="zh-CN"/>
                    </w:rPr>
                    <w:t>无组织</w:t>
                  </w:r>
                </w:p>
              </w:tc>
              <w:tc>
                <w:tcPr>
                  <w:tcW w:w="1889" w:type="pct"/>
                  <w:noWrap w:val="0"/>
                  <w:vAlign w:val="center"/>
                </w:tcPr>
                <w:p w14:paraId="52077ABF">
                  <w:pPr>
                    <w:pStyle w:val="5"/>
                    <w:bidi w:val="0"/>
                    <w:rPr>
                      <w:rFonts w:hint="default"/>
                      <w:highlight w:val="none"/>
                      <w:lang w:val="en-US" w:eastAsia="zh-CN"/>
                    </w:rPr>
                  </w:pPr>
                  <w:r>
                    <w:rPr>
                      <w:rFonts w:hint="eastAsia"/>
                      <w:highlight w:val="none"/>
                      <w:lang w:val="en-US" w:eastAsia="zh-CN"/>
                    </w:rPr>
                    <w:t>6.6498</w:t>
                  </w:r>
                </w:p>
              </w:tc>
            </w:tr>
            <w:tr w14:paraId="7F9B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2" w:type="pct"/>
                  <w:vMerge w:val="restart"/>
                  <w:noWrap w:val="0"/>
                  <w:vAlign w:val="center"/>
                </w:tcPr>
                <w:p w14:paraId="60B8DFE9">
                  <w:pPr>
                    <w:pStyle w:val="5"/>
                    <w:bidi w:val="0"/>
                    <w:rPr>
                      <w:lang w:val="en-US" w:eastAsia="zh-CN"/>
                    </w:rPr>
                  </w:pPr>
                  <w:r>
                    <w:rPr>
                      <w:lang w:val="en-US" w:eastAsia="zh-CN"/>
                    </w:rPr>
                    <w:t>废水</w:t>
                  </w:r>
                </w:p>
              </w:tc>
              <w:tc>
                <w:tcPr>
                  <w:tcW w:w="1828" w:type="pct"/>
                  <w:gridSpan w:val="3"/>
                  <w:noWrap w:val="0"/>
                  <w:vAlign w:val="center"/>
                </w:tcPr>
                <w:p w14:paraId="12020609">
                  <w:pPr>
                    <w:pStyle w:val="5"/>
                    <w:bidi w:val="0"/>
                    <w:rPr>
                      <w:lang w:val="en-US" w:eastAsia="zh-CN"/>
                    </w:rPr>
                  </w:pPr>
                  <w:r>
                    <w:rPr>
                      <w:lang w:val="en-US" w:eastAsia="zh-CN"/>
                    </w:rPr>
                    <w:t>废水量</w:t>
                  </w:r>
                </w:p>
              </w:tc>
              <w:tc>
                <w:tcPr>
                  <w:tcW w:w="1889" w:type="pct"/>
                  <w:noWrap w:val="0"/>
                  <w:vAlign w:val="center"/>
                </w:tcPr>
                <w:p w14:paraId="3A6E0B79">
                  <w:pPr>
                    <w:pStyle w:val="5"/>
                    <w:bidi w:val="0"/>
                    <w:rPr>
                      <w:lang w:val="en-US" w:eastAsia="zh-CN"/>
                    </w:rPr>
                  </w:pPr>
                  <w:r>
                    <w:rPr>
                      <w:lang w:val="en-US" w:eastAsia="zh-CN"/>
                    </w:rPr>
                    <w:t>37548.2m</w:t>
                  </w:r>
                  <w:r>
                    <w:rPr>
                      <w:vertAlign w:val="superscript"/>
                      <w:lang w:val="en-US" w:eastAsia="zh-CN"/>
                    </w:rPr>
                    <w:t>3</w:t>
                  </w:r>
                  <w:r>
                    <w:rPr>
                      <w:lang w:val="en-US" w:eastAsia="zh-CN"/>
                    </w:rPr>
                    <w:t>/a</w:t>
                  </w:r>
                </w:p>
              </w:tc>
            </w:tr>
            <w:tr w14:paraId="3CC1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2" w:type="pct"/>
                  <w:vMerge w:val="continue"/>
                  <w:noWrap w:val="0"/>
                  <w:vAlign w:val="center"/>
                </w:tcPr>
                <w:p w14:paraId="33640C54">
                  <w:pPr>
                    <w:pStyle w:val="5"/>
                    <w:bidi w:val="0"/>
                    <w:rPr>
                      <w:lang w:val="en-US" w:eastAsia="zh-CN"/>
                    </w:rPr>
                  </w:pPr>
                </w:p>
              </w:tc>
              <w:tc>
                <w:tcPr>
                  <w:tcW w:w="1828" w:type="pct"/>
                  <w:gridSpan w:val="3"/>
                  <w:noWrap w:val="0"/>
                  <w:vAlign w:val="center"/>
                </w:tcPr>
                <w:p w14:paraId="4D0A1F0E">
                  <w:pPr>
                    <w:pStyle w:val="5"/>
                    <w:bidi w:val="0"/>
                    <w:rPr>
                      <w:lang w:val="en-US" w:eastAsia="zh-CN"/>
                    </w:rPr>
                  </w:pPr>
                  <w:r>
                    <w:rPr>
                      <w:lang w:val="en-US" w:eastAsia="zh-CN"/>
                    </w:rPr>
                    <w:t>COD</w:t>
                  </w:r>
                </w:p>
              </w:tc>
              <w:tc>
                <w:tcPr>
                  <w:tcW w:w="1889" w:type="pct"/>
                  <w:noWrap w:val="0"/>
                  <w:vAlign w:val="center"/>
                </w:tcPr>
                <w:p w14:paraId="66DBFA8C">
                  <w:pPr>
                    <w:pStyle w:val="5"/>
                    <w:bidi w:val="0"/>
                    <w:rPr>
                      <w:lang w:val="en-US" w:eastAsia="zh-CN"/>
                    </w:rPr>
                  </w:pPr>
                  <w:r>
                    <w:rPr>
                      <w:rFonts w:hint="eastAsia"/>
                      <w:lang w:val="en-US" w:eastAsia="zh-CN"/>
                    </w:rPr>
                    <w:t>1.2941</w:t>
                  </w:r>
                </w:p>
              </w:tc>
            </w:tr>
            <w:tr w14:paraId="7499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2" w:type="pct"/>
                  <w:vMerge w:val="continue"/>
                  <w:noWrap w:val="0"/>
                  <w:vAlign w:val="center"/>
                </w:tcPr>
                <w:p w14:paraId="41B43BEC">
                  <w:pPr>
                    <w:pStyle w:val="5"/>
                    <w:bidi w:val="0"/>
                    <w:rPr>
                      <w:lang w:val="en-US" w:eastAsia="zh-CN"/>
                    </w:rPr>
                  </w:pPr>
                </w:p>
              </w:tc>
              <w:tc>
                <w:tcPr>
                  <w:tcW w:w="1828" w:type="pct"/>
                  <w:gridSpan w:val="3"/>
                  <w:noWrap w:val="0"/>
                  <w:vAlign w:val="center"/>
                </w:tcPr>
                <w:p w14:paraId="347B4A85">
                  <w:pPr>
                    <w:pStyle w:val="5"/>
                    <w:bidi w:val="0"/>
                    <w:rPr>
                      <w:lang w:val="en-US" w:eastAsia="zh-CN"/>
                    </w:rPr>
                  </w:pPr>
                  <w:r>
                    <w:rPr>
                      <w:lang w:val="en-US" w:eastAsia="zh-CN"/>
                    </w:rPr>
                    <w:t>氨氮</w:t>
                  </w:r>
                </w:p>
              </w:tc>
              <w:tc>
                <w:tcPr>
                  <w:tcW w:w="1889" w:type="pct"/>
                  <w:noWrap w:val="0"/>
                  <w:vAlign w:val="center"/>
                </w:tcPr>
                <w:p w14:paraId="51AFB500">
                  <w:pPr>
                    <w:pStyle w:val="5"/>
                    <w:bidi w:val="0"/>
                    <w:rPr>
                      <w:lang w:val="en-US" w:eastAsia="zh-CN"/>
                    </w:rPr>
                  </w:pPr>
                  <w:r>
                    <w:rPr>
                      <w:rFonts w:hint="eastAsia"/>
                      <w:lang w:val="en-US" w:eastAsia="zh-CN"/>
                    </w:rPr>
                    <w:t>0.1248</w:t>
                  </w:r>
                </w:p>
              </w:tc>
            </w:tr>
            <w:tr w14:paraId="42916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2" w:type="pct"/>
                  <w:vMerge w:val="restart"/>
                  <w:noWrap w:val="0"/>
                  <w:vAlign w:val="center"/>
                </w:tcPr>
                <w:p w14:paraId="09FFF023">
                  <w:pPr>
                    <w:pStyle w:val="5"/>
                    <w:bidi w:val="0"/>
                    <w:rPr>
                      <w:lang w:val="en-US" w:eastAsia="zh-CN"/>
                    </w:rPr>
                  </w:pPr>
                  <w:r>
                    <w:rPr>
                      <w:lang w:val="en-US" w:eastAsia="zh-CN"/>
                    </w:rPr>
                    <w:t>固体废物</w:t>
                  </w:r>
                </w:p>
                <w:p w14:paraId="003DCC50">
                  <w:pPr>
                    <w:pStyle w:val="5"/>
                    <w:bidi w:val="0"/>
                    <w:rPr>
                      <w:lang w:val="en-US" w:eastAsia="zh-CN"/>
                    </w:rPr>
                  </w:pPr>
                  <w:r>
                    <w:rPr>
                      <w:lang w:val="en-US" w:eastAsia="zh-CN"/>
                    </w:rPr>
                    <w:t>（产生量）</w:t>
                  </w:r>
                </w:p>
              </w:tc>
              <w:tc>
                <w:tcPr>
                  <w:tcW w:w="712" w:type="pct"/>
                  <w:vMerge w:val="restart"/>
                  <w:noWrap w:val="0"/>
                  <w:vAlign w:val="center"/>
                </w:tcPr>
                <w:p w14:paraId="4B3F9864">
                  <w:pPr>
                    <w:pStyle w:val="5"/>
                    <w:bidi w:val="0"/>
                    <w:rPr>
                      <w:lang w:val="en-US" w:eastAsia="zh-CN"/>
                    </w:rPr>
                  </w:pPr>
                  <w:r>
                    <w:rPr>
                      <w:lang w:val="en-US" w:eastAsia="zh-CN"/>
                    </w:rPr>
                    <w:t>一般固废</w:t>
                  </w:r>
                </w:p>
              </w:tc>
              <w:tc>
                <w:tcPr>
                  <w:tcW w:w="1115" w:type="pct"/>
                  <w:gridSpan w:val="2"/>
                  <w:shd w:val="clear" w:color="auto" w:fill="auto"/>
                  <w:noWrap w:val="0"/>
                  <w:vAlign w:val="center"/>
                </w:tcPr>
                <w:p w14:paraId="78BD49D5">
                  <w:pPr>
                    <w:pStyle w:val="5"/>
                    <w:bidi w:val="0"/>
                    <w:rPr>
                      <w:lang w:val="en-US" w:eastAsia="zh-CN"/>
                    </w:rPr>
                  </w:pPr>
                  <w:r>
                    <w:rPr>
                      <w:lang w:val="en-US" w:eastAsia="zh-CN"/>
                    </w:rPr>
                    <w:t>废离子交换树脂</w:t>
                  </w:r>
                </w:p>
              </w:tc>
              <w:tc>
                <w:tcPr>
                  <w:tcW w:w="1889" w:type="pct"/>
                  <w:shd w:val="clear" w:color="auto" w:fill="auto"/>
                  <w:noWrap w:val="0"/>
                  <w:vAlign w:val="center"/>
                </w:tcPr>
                <w:p w14:paraId="2173747F">
                  <w:pPr>
                    <w:pStyle w:val="5"/>
                    <w:bidi w:val="0"/>
                    <w:rPr>
                      <w:lang w:val="en-US" w:eastAsia="zh-CN"/>
                    </w:rPr>
                  </w:pPr>
                  <w:r>
                    <w:rPr>
                      <w:lang w:val="en-US" w:eastAsia="zh-CN"/>
                    </w:rPr>
                    <w:t>0.2</w:t>
                  </w:r>
                </w:p>
              </w:tc>
            </w:tr>
            <w:tr w14:paraId="2400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1282" w:type="pct"/>
                  <w:vMerge w:val="continue"/>
                  <w:noWrap w:val="0"/>
                  <w:vAlign w:val="center"/>
                </w:tcPr>
                <w:p w14:paraId="3E47DF77">
                  <w:pPr>
                    <w:pStyle w:val="5"/>
                    <w:bidi w:val="0"/>
                    <w:rPr>
                      <w:lang w:val="en-US" w:eastAsia="zh-CN"/>
                    </w:rPr>
                  </w:pPr>
                </w:p>
              </w:tc>
              <w:tc>
                <w:tcPr>
                  <w:tcW w:w="712" w:type="pct"/>
                  <w:vMerge w:val="continue"/>
                  <w:noWrap w:val="0"/>
                  <w:vAlign w:val="center"/>
                </w:tcPr>
                <w:p w14:paraId="46F2E02E">
                  <w:pPr>
                    <w:pStyle w:val="5"/>
                    <w:bidi w:val="0"/>
                    <w:rPr>
                      <w:lang w:val="en-US" w:eastAsia="zh-CN"/>
                    </w:rPr>
                  </w:pPr>
                </w:p>
              </w:tc>
              <w:tc>
                <w:tcPr>
                  <w:tcW w:w="1115" w:type="pct"/>
                  <w:gridSpan w:val="2"/>
                  <w:shd w:val="clear" w:color="auto" w:fill="auto"/>
                  <w:noWrap w:val="0"/>
                  <w:vAlign w:val="center"/>
                </w:tcPr>
                <w:p w14:paraId="26AD11E7">
                  <w:pPr>
                    <w:pStyle w:val="5"/>
                    <w:bidi w:val="0"/>
                    <w:rPr>
                      <w:lang w:val="en-US" w:eastAsia="zh-CN"/>
                    </w:rPr>
                  </w:pPr>
                  <w:r>
                    <w:rPr>
                      <w:lang w:val="en-US" w:eastAsia="zh-CN"/>
                    </w:rPr>
                    <w:t>废分子筛</w:t>
                  </w:r>
                </w:p>
              </w:tc>
              <w:tc>
                <w:tcPr>
                  <w:tcW w:w="1889" w:type="pct"/>
                  <w:shd w:val="clear" w:color="auto" w:fill="auto"/>
                  <w:noWrap w:val="0"/>
                  <w:vAlign w:val="center"/>
                </w:tcPr>
                <w:p w14:paraId="195C1F98">
                  <w:pPr>
                    <w:pStyle w:val="5"/>
                    <w:bidi w:val="0"/>
                    <w:rPr>
                      <w:lang w:val="en-US" w:eastAsia="zh-CN"/>
                    </w:rPr>
                  </w:pPr>
                  <w:r>
                    <w:rPr>
                      <w:lang w:val="en-US" w:eastAsia="zh-CN"/>
                    </w:rPr>
                    <w:t>2.0</w:t>
                  </w:r>
                </w:p>
              </w:tc>
            </w:tr>
            <w:tr w14:paraId="2731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282" w:type="pct"/>
                  <w:vMerge w:val="continue"/>
                  <w:noWrap w:val="0"/>
                  <w:vAlign w:val="center"/>
                </w:tcPr>
                <w:p w14:paraId="769AA3CE">
                  <w:pPr>
                    <w:pStyle w:val="5"/>
                    <w:bidi w:val="0"/>
                    <w:rPr>
                      <w:lang w:val="en-US" w:eastAsia="zh-CN"/>
                    </w:rPr>
                  </w:pPr>
                </w:p>
              </w:tc>
              <w:tc>
                <w:tcPr>
                  <w:tcW w:w="712" w:type="pct"/>
                  <w:vMerge w:val="restart"/>
                  <w:noWrap w:val="0"/>
                  <w:vAlign w:val="center"/>
                </w:tcPr>
                <w:p w14:paraId="09F4275B">
                  <w:pPr>
                    <w:pStyle w:val="5"/>
                    <w:bidi w:val="0"/>
                    <w:rPr>
                      <w:lang w:val="en-US" w:eastAsia="zh-CN"/>
                    </w:rPr>
                  </w:pPr>
                  <w:r>
                    <w:rPr>
                      <w:lang w:val="en-US" w:eastAsia="zh-CN"/>
                    </w:rPr>
                    <w:t>危险废物</w:t>
                  </w:r>
                </w:p>
              </w:tc>
              <w:tc>
                <w:tcPr>
                  <w:tcW w:w="1115" w:type="pct"/>
                  <w:gridSpan w:val="2"/>
                  <w:shd w:val="clear" w:color="auto" w:fill="auto"/>
                  <w:noWrap w:val="0"/>
                  <w:vAlign w:val="center"/>
                </w:tcPr>
                <w:p w14:paraId="3ADD085D">
                  <w:pPr>
                    <w:pStyle w:val="5"/>
                    <w:bidi w:val="0"/>
                    <w:rPr>
                      <w:lang w:val="en-US" w:eastAsia="zh-CN"/>
                    </w:rPr>
                  </w:pPr>
                  <w:r>
                    <w:rPr>
                      <w:lang w:val="en-US" w:eastAsia="zh-CN"/>
                    </w:rPr>
                    <w:t>废活性炭</w:t>
                  </w:r>
                </w:p>
              </w:tc>
              <w:tc>
                <w:tcPr>
                  <w:tcW w:w="1889" w:type="pct"/>
                  <w:shd w:val="clear" w:color="auto" w:fill="auto"/>
                  <w:noWrap w:val="0"/>
                  <w:vAlign w:val="center"/>
                </w:tcPr>
                <w:p w14:paraId="6426CE9D">
                  <w:pPr>
                    <w:pStyle w:val="5"/>
                    <w:bidi w:val="0"/>
                    <w:rPr>
                      <w:lang w:val="en-US" w:eastAsia="zh-CN"/>
                    </w:rPr>
                  </w:pPr>
                  <w:r>
                    <w:rPr>
                      <w:lang w:val="en-US" w:eastAsia="zh-CN"/>
                    </w:rPr>
                    <w:t>2t/次</w:t>
                  </w:r>
                </w:p>
              </w:tc>
            </w:tr>
            <w:tr w14:paraId="70BC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282" w:type="pct"/>
                  <w:vMerge w:val="continue"/>
                  <w:noWrap w:val="0"/>
                  <w:vAlign w:val="center"/>
                </w:tcPr>
                <w:p w14:paraId="5B8CB811">
                  <w:pPr>
                    <w:pStyle w:val="5"/>
                    <w:bidi w:val="0"/>
                    <w:rPr>
                      <w:lang w:val="en-US" w:eastAsia="zh-CN"/>
                    </w:rPr>
                  </w:pPr>
                </w:p>
              </w:tc>
              <w:tc>
                <w:tcPr>
                  <w:tcW w:w="712" w:type="pct"/>
                  <w:vMerge w:val="continue"/>
                  <w:noWrap w:val="0"/>
                  <w:vAlign w:val="center"/>
                </w:tcPr>
                <w:p w14:paraId="21718855">
                  <w:pPr>
                    <w:pStyle w:val="5"/>
                    <w:bidi w:val="0"/>
                    <w:rPr>
                      <w:lang w:val="en-US" w:eastAsia="zh-CN"/>
                    </w:rPr>
                  </w:pPr>
                </w:p>
              </w:tc>
              <w:tc>
                <w:tcPr>
                  <w:tcW w:w="1115" w:type="pct"/>
                  <w:gridSpan w:val="2"/>
                  <w:shd w:val="clear" w:color="auto" w:fill="auto"/>
                  <w:noWrap w:val="0"/>
                  <w:vAlign w:val="center"/>
                </w:tcPr>
                <w:p w14:paraId="39B3DF27">
                  <w:pPr>
                    <w:pStyle w:val="5"/>
                    <w:bidi w:val="0"/>
                    <w:rPr>
                      <w:lang w:val="en-US" w:eastAsia="zh-CN"/>
                    </w:rPr>
                  </w:pPr>
                  <w:r>
                    <w:rPr>
                      <w:lang w:val="en-US" w:eastAsia="zh-CN"/>
                    </w:rPr>
                    <w:t>含油浮渣</w:t>
                  </w:r>
                </w:p>
              </w:tc>
              <w:tc>
                <w:tcPr>
                  <w:tcW w:w="1889" w:type="pct"/>
                  <w:shd w:val="clear" w:color="auto" w:fill="auto"/>
                  <w:noWrap w:val="0"/>
                  <w:vAlign w:val="center"/>
                </w:tcPr>
                <w:p w14:paraId="1596FC03">
                  <w:pPr>
                    <w:pStyle w:val="5"/>
                    <w:bidi w:val="0"/>
                    <w:rPr>
                      <w:lang w:val="en-US" w:eastAsia="zh-CN"/>
                    </w:rPr>
                  </w:pPr>
                  <w:r>
                    <w:rPr>
                      <w:lang w:val="en-US" w:eastAsia="zh-CN"/>
                    </w:rPr>
                    <w:t>2.5</w:t>
                  </w:r>
                </w:p>
              </w:tc>
            </w:tr>
            <w:tr w14:paraId="09F1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282" w:type="pct"/>
                  <w:vMerge w:val="continue"/>
                  <w:noWrap w:val="0"/>
                  <w:vAlign w:val="center"/>
                </w:tcPr>
                <w:p w14:paraId="50BC1267">
                  <w:pPr>
                    <w:pStyle w:val="5"/>
                    <w:bidi w:val="0"/>
                    <w:rPr>
                      <w:lang w:val="en-US" w:eastAsia="zh-CN"/>
                    </w:rPr>
                  </w:pPr>
                </w:p>
              </w:tc>
              <w:tc>
                <w:tcPr>
                  <w:tcW w:w="712" w:type="pct"/>
                  <w:vMerge w:val="continue"/>
                  <w:noWrap w:val="0"/>
                  <w:vAlign w:val="center"/>
                </w:tcPr>
                <w:p w14:paraId="30BA1FCC">
                  <w:pPr>
                    <w:pStyle w:val="5"/>
                    <w:bidi w:val="0"/>
                    <w:rPr>
                      <w:lang w:val="en-US" w:eastAsia="zh-CN"/>
                    </w:rPr>
                  </w:pPr>
                </w:p>
              </w:tc>
              <w:tc>
                <w:tcPr>
                  <w:tcW w:w="1115" w:type="pct"/>
                  <w:gridSpan w:val="2"/>
                  <w:shd w:val="clear" w:color="auto" w:fill="auto"/>
                  <w:noWrap w:val="0"/>
                  <w:vAlign w:val="center"/>
                </w:tcPr>
                <w:p w14:paraId="79C2D2FE">
                  <w:pPr>
                    <w:pStyle w:val="5"/>
                    <w:bidi w:val="0"/>
                    <w:rPr>
                      <w:lang w:val="en-US" w:eastAsia="zh-CN"/>
                    </w:rPr>
                  </w:pPr>
                  <w:r>
                    <w:rPr>
                      <w:lang w:val="en-US" w:eastAsia="zh-CN"/>
                    </w:rPr>
                    <w:t>废试剂瓶/纸</w:t>
                  </w:r>
                </w:p>
              </w:tc>
              <w:tc>
                <w:tcPr>
                  <w:tcW w:w="1889" w:type="pct"/>
                  <w:shd w:val="clear" w:color="auto" w:fill="auto"/>
                  <w:noWrap w:val="0"/>
                  <w:vAlign w:val="center"/>
                </w:tcPr>
                <w:p w14:paraId="2007B5D0">
                  <w:pPr>
                    <w:pStyle w:val="5"/>
                    <w:bidi w:val="0"/>
                    <w:rPr>
                      <w:lang w:val="en-US" w:eastAsia="zh-CN"/>
                    </w:rPr>
                  </w:pPr>
                  <w:r>
                    <w:rPr>
                      <w:lang w:val="en-US" w:eastAsia="zh-CN"/>
                    </w:rPr>
                    <w:t>0.14</w:t>
                  </w:r>
                </w:p>
              </w:tc>
            </w:tr>
            <w:tr w14:paraId="5272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282" w:type="pct"/>
                  <w:vMerge w:val="continue"/>
                  <w:noWrap w:val="0"/>
                  <w:vAlign w:val="center"/>
                </w:tcPr>
                <w:p w14:paraId="23E31223">
                  <w:pPr>
                    <w:pStyle w:val="5"/>
                    <w:bidi w:val="0"/>
                    <w:rPr>
                      <w:lang w:val="en-US" w:eastAsia="zh-CN"/>
                    </w:rPr>
                  </w:pPr>
                </w:p>
              </w:tc>
              <w:tc>
                <w:tcPr>
                  <w:tcW w:w="712" w:type="pct"/>
                  <w:vMerge w:val="continue"/>
                  <w:noWrap w:val="0"/>
                  <w:vAlign w:val="center"/>
                </w:tcPr>
                <w:p w14:paraId="5FEFBE8E">
                  <w:pPr>
                    <w:pStyle w:val="5"/>
                    <w:bidi w:val="0"/>
                    <w:rPr>
                      <w:lang w:val="en-US" w:eastAsia="zh-CN"/>
                    </w:rPr>
                  </w:pPr>
                </w:p>
              </w:tc>
              <w:tc>
                <w:tcPr>
                  <w:tcW w:w="1115" w:type="pct"/>
                  <w:gridSpan w:val="2"/>
                  <w:shd w:val="clear" w:color="auto" w:fill="auto"/>
                  <w:noWrap w:val="0"/>
                  <w:vAlign w:val="center"/>
                </w:tcPr>
                <w:p w14:paraId="1F3BB5D2">
                  <w:pPr>
                    <w:pStyle w:val="5"/>
                    <w:bidi w:val="0"/>
                    <w:rPr>
                      <w:lang w:val="en-US" w:eastAsia="zh-CN"/>
                    </w:rPr>
                  </w:pPr>
                  <w:r>
                    <w:rPr>
                      <w:lang w:val="en-US" w:eastAsia="zh-CN"/>
                    </w:rPr>
                    <w:t>废导热油</w:t>
                  </w:r>
                </w:p>
              </w:tc>
              <w:tc>
                <w:tcPr>
                  <w:tcW w:w="1889" w:type="pct"/>
                  <w:shd w:val="clear" w:color="auto" w:fill="auto"/>
                  <w:noWrap w:val="0"/>
                  <w:vAlign w:val="center"/>
                </w:tcPr>
                <w:p w14:paraId="0962632B">
                  <w:pPr>
                    <w:pStyle w:val="5"/>
                    <w:bidi w:val="0"/>
                    <w:rPr>
                      <w:lang w:val="en-US" w:eastAsia="zh-CN"/>
                    </w:rPr>
                  </w:pPr>
                  <w:r>
                    <w:rPr>
                      <w:lang w:val="en-US" w:eastAsia="zh-CN"/>
                    </w:rPr>
                    <w:t>89t/次</w:t>
                  </w:r>
                </w:p>
              </w:tc>
            </w:tr>
            <w:tr w14:paraId="035A1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1282" w:type="pct"/>
                  <w:vMerge w:val="continue"/>
                  <w:noWrap w:val="0"/>
                  <w:vAlign w:val="center"/>
                </w:tcPr>
                <w:p w14:paraId="20B8C6A7">
                  <w:pPr>
                    <w:pStyle w:val="5"/>
                    <w:bidi w:val="0"/>
                    <w:rPr>
                      <w:lang w:val="en-US" w:eastAsia="zh-CN"/>
                    </w:rPr>
                  </w:pPr>
                </w:p>
              </w:tc>
              <w:tc>
                <w:tcPr>
                  <w:tcW w:w="712" w:type="pct"/>
                  <w:vMerge w:val="continue"/>
                  <w:noWrap w:val="0"/>
                  <w:vAlign w:val="center"/>
                </w:tcPr>
                <w:p w14:paraId="15C4B6A7">
                  <w:pPr>
                    <w:pStyle w:val="5"/>
                    <w:bidi w:val="0"/>
                    <w:rPr>
                      <w:lang w:val="en-US" w:eastAsia="zh-CN"/>
                    </w:rPr>
                  </w:pPr>
                </w:p>
              </w:tc>
              <w:tc>
                <w:tcPr>
                  <w:tcW w:w="1115" w:type="pct"/>
                  <w:gridSpan w:val="2"/>
                  <w:shd w:val="clear" w:color="auto" w:fill="auto"/>
                  <w:noWrap w:val="0"/>
                  <w:vAlign w:val="center"/>
                </w:tcPr>
                <w:p w14:paraId="330066C4">
                  <w:pPr>
                    <w:pStyle w:val="5"/>
                    <w:bidi w:val="0"/>
                    <w:rPr>
                      <w:lang w:val="en-US" w:eastAsia="zh-CN"/>
                    </w:rPr>
                  </w:pPr>
                  <w:r>
                    <w:rPr>
                      <w:lang w:val="en-US" w:eastAsia="zh-CN"/>
                    </w:rPr>
                    <w:t>废润滑油</w:t>
                  </w:r>
                </w:p>
              </w:tc>
              <w:tc>
                <w:tcPr>
                  <w:tcW w:w="1889" w:type="pct"/>
                  <w:shd w:val="clear" w:color="auto" w:fill="auto"/>
                  <w:noWrap w:val="0"/>
                  <w:vAlign w:val="center"/>
                </w:tcPr>
                <w:p w14:paraId="35BAAA3C">
                  <w:pPr>
                    <w:pStyle w:val="5"/>
                    <w:bidi w:val="0"/>
                    <w:rPr>
                      <w:lang w:val="en-US" w:eastAsia="zh-CN"/>
                    </w:rPr>
                  </w:pPr>
                  <w:r>
                    <w:rPr>
                      <w:lang w:val="en-US" w:eastAsia="zh-CN"/>
                    </w:rPr>
                    <w:t>0.2</w:t>
                  </w:r>
                </w:p>
              </w:tc>
            </w:tr>
            <w:tr w14:paraId="36E3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14:paraId="5DCBABA4">
                  <w:pPr>
                    <w:pStyle w:val="5"/>
                    <w:bidi w:val="0"/>
                    <w:rPr>
                      <w:lang w:val="en-US" w:eastAsia="zh-CN"/>
                    </w:rPr>
                  </w:pPr>
                  <w:r>
                    <w:rPr>
                      <w:lang w:val="en-US" w:eastAsia="zh-CN"/>
                    </w:rPr>
                    <w:t>注：废气排放量根据</w:t>
                  </w:r>
                  <w:r>
                    <w:rPr>
                      <w:rFonts w:hint="eastAsia"/>
                      <w:lang w:val="en-US" w:eastAsia="zh-CN"/>
                    </w:rPr>
                    <w:t>例行</w:t>
                  </w:r>
                  <w:r>
                    <w:rPr>
                      <w:lang w:val="en-US" w:eastAsia="zh-CN"/>
                    </w:rPr>
                    <w:t>监测结果</w:t>
                  </w:r>
                  <w:r>
                    <w:rPr>
                      <w:rFonts w:hint="eastAsia"/>
                      <w:lang w:val="en-US" w:eastAsia="zh-CN"/>
                    </w:rPr>
                    <w:t>和验收监测结果</w:t>
                  </w:r>
                  <w:r>
                    <w:rPr>
                      <w:lang w:val="en-US" w:eastAsia="zh-CN"/>
                    </w:rPr>
                    <w:t>核算。</w:t>
                  </w:r>
                </w:p>
              </w:tc>
            </w:tr>
            <w:bookmarkEnd w:id="7"/>
          </w:tbl>
          <w:p w14:paraId="27551ED5">
            <w:pPr>
              <w:pStyle w:val="2"/>
              <w:bidi w:val="0"/>
              <w:rPr>
                <w:lang w:val="en-US" w:eastAsia="zh-CN"/>
              </w:rPr>
            </w:pPr>
            <w:r>
              <w:rPr>
                <w:rFonts w:hint="eastAsia"/>
                <w:lang w:val="en-US" w:eastAsia="zh-CN"/>
              </w:rPr>
              <w:t xml:space="preserve">5 </w:t>
            </w:r>
            <w:r>
              <w:rPr>
                <w:lang w:val="en-US" w:eastAsia="zh-CN"/>
              </w:rPr>
              <w:t>现有工程存在的问题</w:t>
            </w:r>
            <w:r>
              <w:rPr>
                <w:rFonts w:hint="eastAsia"/>
                <w:lang w:val="en-US" w:eastAsia="zh-CN"/>
              </w:rPr>
              <w:t>及整改措施</w:t>
            </w:r>
          </w:p>
          <w:p w14:paraId="5505FAC3">
            <w:pPr>
              <w:bidi w:val="0"/>
              <w:rPr>
                <w:rFonts w:hint="eastAsia"/>
                <w:lang w:val="en-US" w:eastAsia="zh-CN"/>
              </w:rPr>
            </w:pPr>
            <w:r>
              <w:rPr>
                <w:rFonts w:hint="eastAsia"/>
                <w:lang w:val="en-US" w:eastAsia="zh-CN"/>
              </w:rPr>
              <w:t>存在问题：</w:t>
            </w:r>
          </w:p>
          <w:p w14:paraId="5CF58B6E">
            <w:pPr>
              <w:bidi w:val="0"/>
              <w:rPr>
                <w:rFonts w:hint="eastAsia"/>
                <w:lang w:val="en-US" w:eastAsia="zh-CN"/>
              </w:rPr>
            </w:pPr>
            <w:r>
              <w:rPr>
                <w:rFonts w:hint="eastAsia"/>
                <w:lang w:val="en-US" w:eastAsia="zh-CN"/>
              </w:rPr>
              <w:t>（1）危废贮存点标识标牌未按规范设置；</w:t>
            </w:r>
          </w:p>
          <w:p w14:paraId="3FA9638B">
            <w:pPr>
              <w:bidi w:val="0"/>
              <w:rPr>
                <w:rFonts w:hint="eastAsia"/>
                <w:lang w:val="en-US" w:eastAsia="zh-CN"/>
              </w:rPr>
            </w:pPr>
            <w:r>
              <w:rPr>
                <w:rFonts w:hint="eastAsia"/>
                <w:lang w:val="en-US" w:eastAsia="zh-CN"/>
              </w:rPr>
              <w:t>（2）污染物排放口未设置标识标牌；</w:t>
            </w:r>
          </w:p>
          <w:p w14:paraId="47F727BD">
            <w:pPr>
              <w:bidi w:val="0"/>
              <w:rPr>
                <w:lang w:val="en-US" w:eastAsia="zh-CN"/>
              </w:rPr>
            </w:pPr>
            <w:r>
              <w:rPr>
                <w:rFonts w:hint="eastAsia"/>
                <w:lang w:val="en-US" w:eastAsia="zh-CN"/>
              </w:rPr>
              <w:t>（3）环保设施运行参数采用人工台账记录，未设置数字化记录装置。</w:t>
            </w:r>
          </w:p>
          <w:p w14:paraId="7AB6BDA6">
            <w:pPr>
              <w:bidi w:val="0"/>
              <w:rPr>
                <w:rFonts w:hint="eastAsia"/>
                <w:lang w:val="en-US" w:eastAsia="zh-CN"/>
              </w:rPr>
            </w:pPr>
            <w:r>
              <w:rPr>
                <w:rFonts w:hint="eastAsia"/>
                <w:lang w:val="en-US" w:eastAsia="zh-CN"/>
              </w:rPr>
              <w:t>整改措施：</w:t>
            </w:r>
          </w:p>
          <w:p w14:paraId="4D569C7B">
            <w:pPr>
              <w:bidi w:val="0"/>
              <w:rPr>
                <w:rFonts w:hint="default"/>
                <w:lang w:val="en-US" w:eastAsia="zh-CN"/>
              </w:rPr>
            </w:pPr>
            <w:r>
              <w:rPr>
                <w:rFonts w:hint="default"/>
                <w:lang w:val="en-US" w:eastAsia="zh-CN"/>
              </w:rPr>
              <w:t>（1）危废</w:t>
            </w:r>
            <w:r>
              <w:rPr>
                <w:rFonts w:hint="eastAsia"/>
                <w:lang w:val="en-US" w:eastAsia="zh-CN"/>
              </w:rPr>
              <w:t>贮存点</w:t>
            </w:r>
            <w:r>
              <w:rPr>
                <w:rFonts w:hint="default"/>
                <w:lang w:val="en-US" w:eastAsia="zh-CN"/>
              </w:rPr>
              <w:t>严格按照规范要求完善危废标识标牌，做到分区清晰、标识完整规范；</w:t>
            </w:r>
          </w:p>
          <w:p w14:paraId="295C4BE5">
            <w:pPr>
              <w:bidi w:val="0"/>
              <w:rPr>
                <w:rFonts w:hint="default"/>
                <w:lang w:val="en-US" w:eastAsia="zh-CN"/>
              </w:rPr>
            </w:pPr>
            <w:r>
              <w:rPr>
                <w:rFonts w:hint="default"/>
                <w:lang w:val="en-US" w:eastAsia="zh-CN"/>
              </w:rPr>
              <w:t>（2）</w:t>
            </w:r>
            <w:r>
              <w:rPr>
                <w:rFonts w:hint="eastAsia"/>
                <w:lang w:val="en-US" w:eastAsia="zh-CN"/>
              </w:rPr>
              <w:t>厂区</w:t>
            </w:r>
            <w:r>
              <w:rPr>
                <w:rFonts w:hint="default"/>
                <w:lang w:val="en-US" w:eastAsia="zh-CN"/>
              </w:rPr>
              <w:t>各污染物排放口按照排污口规范化要求，统一设置标准化排放口标识标牌；</w:t>
            </w:r>
          </w:p>
          <w:p w14:paraId="17AC1345">
            <w:pPr>
              <w:bidi w:val="0"/>
              <w:rPr>
                <w:rFonts w:hint="default"/>
                <w:lang w:val="en-US" w:eastAsia="zh-CN"/>
              </w:rPr>
            </w:pPr>
            <w:r>
              <w:rPr>
                <w:rFonts w:hint="default"/>
                <w:lang w:val="en-US" w:eastAsia="zh-CN"/>
              </w:rPr>
              <w:t>（3）</w:t>
            </w:r>
            <w:r>
              <w:rPr>
                <w:rFonts w:hint="eastAsia"/>
                <w:lang w:val="en-US" w:eastAsia="zh-CN"/>
              </w:rPr>
              <w:t>厂区</w:t>
            </w:r>
            <w:r>
              <w:rPr>
                <w:rFonts w:hint="default"/>
                <w:lang w:val="en-US" w:eastAsia="zh-CN"/>
              </w:rPr>
              <w:t>环保设施配套完善运行记录管理，落实设施运行参数记录，强化环保设施运行过程管控。</w:t>
            </w:r>
          </w:p>
          <w:p w14:paraId="511CB787">
            <w:pPr>
              <w:bidi w:val="0"/>
              <w:rPr>
                <w:rFonts w:hint="default"/>
                <w:lang w:val="en-US" w:eastAsia="zh-CN"/>
              </w:rPr>
            </w:pPr>
          </w:p>
          <w:p w14:paraId="6A5B66F8">
            <w:pPr>
              <w:bidi w:val="0"/>
              <w:rPr>
                <w:rFonts w:hint="default"/>
                <w:lang w:val="en-US" w:eastAsia="zh-CN"/>
              </w:rPr>
            </w:pPr>
          </w:p>
          <w:p w14:paraId="4726E51B">
            <w:pPr>
              <w:bidi w:val="0"/>
              <w:rPr>
                <w:rFonts w:hint="default"/>
                <w:lang w:val="en-US" w:eastAsia="zh-CN"/>
              </w:rPr>
            </w:pPr>
          </w:p>
          <w:p w14:paraId="49F0EDD3">
            <w:pPr>
              <w:bidi w:val="0"/>
              <w:rPr>
                <w:rFonts w:hint="default"/>
                <w:lang w:val="en-US" w:eastAsia="zh-CN"/>
              </w:rPr>
            </w:pPr>
          </w:p>
          <w:p w14:paraId="6D032174">
            <w:pPr>
              <w:bidi w:val="0"/>
              <w:rPr>
                <w:rFonts w:hint="default"/>
                <w:lang w:val="en-US" w:eastAsia="zh-CN"/>
              </w:rPr>
            </w:pPr>
          </w:p>
          <w:p w14:paraId="3A69F583">
            <w:pPr>
              <w:bidi w:val="0"/>
              <w:rPr>
                <w:rFonts w:hint="default"/>
                <w:lang w:val="en-US" w:eastAsia="zh-CN"/>
              </w:rPr>
            </w:pPr>
          </w:p>
          <w:p w14:paraId="5B1417A6">
            <w:pPr>
              <w:bidi w:val="0"/>
              <w:rPr>
                <w:rFonts w:hint="default"/>
                <w:lang w:val="en-US" w:eastAsia="zh-CN"/>
              </w:rPr>
            </w:pPr>
          </w:p>
          <w:p w14:paraId="4EE6DDCF">
            <w:pPr>
              <w:bidi w:val="0"/>
              <w:ind w:left="0" w:leftChars="0" w:firstLine="0" w:firstLineChars="0"/>
              <w:rPr>
                <w:rFonts w:hint="default"/>
                <w:lang w:val="en-US" w:eastAsia="zh-CN"/>
              </w:rPr>
            </w:pPr>
          </w:p>
        </w:tc>
      </w:tr>
    </w:tbl>
    <w:p w14:paraId="24725122">
      <w:pPr>
        <w:widowControl/>
        <w:spacing w:before="100" w:beforeAutospacing="1" w:after="100" w:afterAutospacing="1"/>
        <w:jc w:val="center"/>
        <w:rPr>
          <w:rFonts w:eastAsia="黑体"/>
          <w:snapToGrid w:val="0"/>
          <w:sz w:val="36"/>
          <w:szCs w:val="36"/>
          <w:lang w:val="en-US" w:eastAsia="zh-CN" w:bidi="ar-SA"/>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FBA3D79">
      <w:pPr>
        <w:widowControl/>
        <w:spacing w:before="100" w:beforeAutospacing="1" w:after="100" w:afterAutospacing="1"/>
        <w:jc w:val="center"/>
        <w:outlineLvl w:val="0"/>
        <w:rPr>
          <w:rFonts w:eastAsia="黑体"/>
          <w:snapToGrid w:val="0"/>
          <w:sz w:val="30"/>
          <w:szCs w:val="30"/>
          <w:lang w:val="en-US" w:eastAsia="zh-CN" w:bidi="ar-SA"/>
        </w:rPr>
      </w:pPr>
      <w:bookmarkStart w:id="8" w:name="_Toc20563"/>
      <w:bookmarkStart w:id="9" w:name="_Toc14674"/>
      <w:bookmarkStart w:id="10" w:name="_Toc5483"/>
      <w:r>
        <w:rPr>
          <w:rFonts w:eastAsia="黑体"/>
          <w:snapToGrid w:val="0"/>
          <w:sz w:val="30"/>
          <w:szCs w:val="30"/>
          <w:lang w:val="en-US" w:eastAsia="zh-CN" w:bidi="ar-SA"/>
        </w:rPr>
        <w:t>三、区域环境质量现状、环境保护目标及评价标准</w:t>
      </w:r>
      <w:bookmarkEnd w:id="8"/>
      <w:bookmarkEnd w:id="9"/>
      <w:bookmarkEnd w:id="10"/>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4"/>
        <w:gridCol w:w="8287"/>
      </w:tblGrid>
      <w:tr w14:paraId="591FDC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4" w:hRule="atLeast"/>
          <w:jc w:val="center"/>
        </w:trPr>
        <w:tc>
          <w:tcPr>
            <w:tcW w:w="774" w:type="dxa"/>
            <w:noWrap w:val="0"/>
            <w:vAlign w:val="center"/>
          </w:tcPr>
          <w:p w14:paraId="5D4E3D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lang w:val="en-US" w:eastAsia="zh-CN" w:bidi="ar-SA"/>
              </w:rPr>
            </w:pPr>
            <w:r>
              <w:rPr>
                <w:rFonts w:eastAsia="宋体"/>
                <w:lang w:val="en-US" w:eastAsia="zh-CN" w:bidi="ar-SA"/>
              </w:rPr>
              <w:t>区域</w:t>
            </w:r>
          </w:p>
          <w:p w14:paraId="5D2C3D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lang w:val="en-US" w:eastAsia="zh-CN" w:bidi="ar-SA"/>
              </w:rPr>
            </w:pPr>
            <w:r>
              <w:rPr>
                <w:rFonts w:eastAsia="宋体"/>
                <w:lang w:val="en-US" w:eastAsia="zh-CN" w:bidi="ar-SA"/>
              </w:rPr>
              <w:t>环境</w:t>
            </w:r>
          </w:p>
          <w:p w14:paraId="2D6ED5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lang w:val="en-US" w:eastAsia="zh-CN" w:bidi="ar-SA"/>
              </w:rPr>
            </w:pPr>
            <w:r>
              <w:rPr>
                <w:rFonts w:eastAsia="宋体"/>
                <w:lang w:val="en-US" w:eastAsia="zh-CN" w:bidi="ar-SA"/>
              </w:rPr>
              <w:t>质量</w:t>
            </w:r>
          </w:p>
          <w:p w14:paraId="764494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lang w:val="en-US" w:eastAsia="zh-CN" w:bidi="ar-SA"/>
              </w:rPr>
            </w:pPr>
            <w:r>
              <w:rPr>
                <w:rFonts w:eastAsia="宋体"/>
                <w:lang w:val="en-US" w:eastAsia="zh-CN" w:bidi="ar-SA"/>
              </w:rPr>
              <w:t>现状</w:t>
            </w:r>
          </w:p>
        </w:tc>
        <w:tc>
          <w:tcPr>
            <w:tcW w:w="8287" w:type="dxa"/>
            <w:noWrap w:val="0"/>
            <w:vAlign w:val="center"/>
          </w:tcPr>
          <w:p w14:paraId="515EA573">
            <w:pPr>
              <w:pStyle w:val="2"/>
              <w:bidi w:val="0"/>
            </w:pPr>
            <w:r>
              <w:t>1</w:t>
            </w:r>
            <w:r>
              <w:rPr>
                <w:rFonts w:hint="eastAsia"/>
                <w:lang w:val="en-US" w:eastAsia="zh-CN"/>
              </w:rPr>
              <w:t xml:space="preserve"> </w:t>
            </w:r>
            <w:r>
              <w:t>大气环境质量现状</w:t>
            </w:r>
          </w:p>
          <w:p w14:paraId="2FD57864">
            <w:pPr>
              <w:bidi w:val="0"/>
              <w:rPr>
                <w:rFonts w:hint="default"/>
                <w:lang w:val="en-US" w:eastAsia="zh-CN"/>
              </w:rPr>
            </w:pPr>
            <w:r>
              <w:rPr>
                <w:rFonts w:hint="default"/>
                <w:lang w:val="en-US" w:eastAsia="zh-CN"/>
              </w:rPr>
              <w:t>根据《建设项目环境影响报告表编制技术指南（污染影响类）（试行）》，对于基本污染物环境质量现状数据，项目所在区域达标判定优先采用国家或地方生态环境主管部门公开发布的评价基准年环境质量公告或环境质量报告中的数据或结论。</w:t>
            </w:r>
          </w:p>
          <w:p w14:paraId="02232456">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本工程建设地点位于新疆巴音郭楞蒙古自治州轮台县轮台工业园区拉依苏石油化工区巴州海祥石油化工有限公司厂区内，本次评价选用</w:t>
            </w:r>
            <w:r>
              <w:rPr>
                <w:rFonts w:hint="eastAsia" w:ascii="Times New Roman" w:hAnsi="Times New Roman" w:cs="Times New Roman"/>
                <w:lang w:val="en-US" w:eastAsia="zh-CN"/>
              </w:rPr>
              <w:t>轮台县</w:t>
            </w:r>
            <w:r>
              <w:rPr>
                <w:rFonts w:hint="default" w:ascii="Times New Roman" w:hAnsi="Times New Roman" w:cs="Times New Roman"/>
                <w:lang w:val="en-US" w:eastAsia="zh-CN"/>
              </w:rPr>
              <w:t>2024年全年例行监测点的监测数据，作为环境空气现状评价基本污染物SO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、NO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、PM</w:t>
            </w:r>
            <w:r>
              <w:rPr>
                <w:rFonts w:hint="default" w:ascii="Times New Roman" w:hAnsi="Times New Roman" w:cs="Times New Roman"/>
                <w:vertAlign w:val="subscript"/>
                <w:lang w:val="en-US" w:eastAsia="zh-CN"/>
              </w:rPr>
              <w:t>10</w:t>
            </w:r>
            <w:r>
              <w:rPr>
                <w:rFonts w:hint="default" w:ascii="Times New Roman" w:hAnsi="Times New Roman" w:cs="Times New Roman"/>
                <w:lang w:val="en-US" w:eastAsia="zh-CN"/>
              </w:rPr>
              <w:t>、PM</w:t>
            </w:r>
            <w:r>
              <w:rPr>
                <w:rFonts w:hint="default" w:ascii="Times New Roman" w:hAnsi="Times New Roman" w:cs="Times New Roman"/>
                <w:vertAlign w:val="subscript"/>
                <w:lang w:val="en-US" w:eastAsia="zh-CN"/>
              </w:rPr>
              <w:t>2.5</w:t>
            </w:r>
            <w:r>
              <w:rPr>
                <w:rFonts w:hint="default" w:ascii="Times New Roman" w:hAnsi="Times New Roman" w:cs="Times New Roman"/>
                <w:lang w:val="en-US" w:eastAsia="zh-CN"/>
              </w:rPr>
              <w:t>、CO和O</w:t>
            </w:r>
            <w:r>
              <w:rPr>
                <w:rFonts w:hint="default" w:ascii="Times New Roman" w:hAnsi="Times New Roman" w:cs="Times New Roman"/>
                <w:vertAlign w:val="subscript"/>
                <w:lang w:val="en-US" w:eastAsia="zh-CN"/>
              </w:rPr>
              <w:t>3</w:t>
            </w:r>
            <w:r>
              <w:rPr>
                <w:rFonts w:hint="default" w:ascii="Times New Roman" w:hAnsi="Times New Roman" w:cs="Times New Roman"/>
                <w:lang w:val="en-US" w:eastAsia="zh-CN"/>
              </w:rPr>
              <w:t>的数据来源。</w:t>
            </w:r>
          </w:p>
          <w:p w14:paraId="72180646">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（1）监测项目、监测时间</w:t>
            </w:r>
          </w:p>
          <w:p w14:paraId="74A67686">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监测项目：基本污染物SO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、NO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、PM</w:t>
            </w:r>
            <w:r>
              <w:rPr>
                <w:rFonts w:hint="default" w:ascii="Times New Roman" w:hAnsi="Times New Roman" w:cs="Times New Roman"/>
                <w:vertAlign w:val="subscript"/>
                <w:lang w:val="en-US" w:eastAsia="zh-CN"/>
              </w:rPr>
              <w:t>10</w:t>
            </w:r>
            <w:r>
              <w:rPr>
                <w:rFonts w:hint="default" w:ascii="Times New Roman" w:hAnsi="Times New Roman" w:cs="Times New Roman"/>
                <w:lang w:val="en-US" w:eastAsia="zh-CN"/>
              </w:rPr>
              <w:t>、PM</w:t>
            </w:r>
            <w:r>
              <w:rPr>
                <w:rFonts w:hint="default" w:ascii="Times New Roman" w:hAnsi="Times New Roman" w:cs="Times New Roman"/>
                <w:vertAlign w:val="subscript"/>
                <w:lang w:val="en-US" w:eastAsia="zh-CN"/>
              </w:rPr>
              <w:t>2.5</w:t>
            </w:r>
            <w:r>
              <w:rPr>
                <w:rFonts w:hint="default" w:ascii="Times New Roman" w:hAnsi="Times New Roman" w:cs="Times New Roman"/>
                <w:lang w:val="en-US" w:eastAsia="zh-CN"/>
              </w:rPr>
              <w:t>、CO和O</w:t>
            </w:r>
            <w:r>
              <w:rPr>
                <w:rFonts w:hint="default" w:ascii="Times New Roman" w:hAnsi="Times New Roman" w:cs="Times New Roman"/>
                <w:vertAlign w:val="subscript"/>
                <w:lang w:val="en-US" w:eastAsia="zh-CN"/>
              </w:rPr>
              <w:t>3</w:t>
            </w:r>
            <w:r>
              <w:rPr>
                <w:rFonts w:hint="default" w:ascii="Times New Roman" w:hAnsi="Times New Roman" w:cs="Times New Roman"/>
                <w:lang w:val="en-US" w:eastAsia="zh-CN"/>
              </w:rPr>
              <w:t>；</w:t>
            </w:r>
          </w:p>
          <w:p w14:paraId="034A617E">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监测时间：基本污染物SO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、NO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、PM</w:t>
            </w:r>
            <w:r>
              <w:rPr>
                <w:rFonts w:hint="default" w:ascii="Times New Roman" w:hAnsi="Times New Roman" w:cs="Times New Roman"/>
                <w:vertAlign w:val="subscript"/>
                <w:lang w:val="en-US" w:eastAsia="zh-CN"/>
              </w:rPr>
              <w:t>10</w:t>
            </w:r>
            <w:r>
              <w:rPr>
                <w:rFonts w:hint="default" w:ascii="Times New Roman" w:hAnsi="Times New Roman" w:cs="Times New Roman"/>
                <w:lang w:val="en-US" w:eastAsia="zh-CN"/>
              </w:rPr>
              <w:t>、PM</w:t>
            </w:r>
            <w:r>
              <w:rPr>
                <w:rFonts w:hint="default" w:ascii="Times New Roman" w:hAnsi="Times New Roman" w:cs="Times New Roman"/>
                <w:vertAlign w:val="subscript"/>
                <w:lang w:val="en-US" w:eastAsia="zh-CN"/>
              </w:rPr>
              <w:t>2.5</w:t>
            </w:r>
            <w:r>
              <w:rPr>
                <w:rFonts w:hint="default" w:ascii="Times New Roman" w:hAnsi="Times New Roman" w:cs="Times New Roman"/>
                <w:lang w:val="en-US" w:eastAsia="zh-CN"/>
              </w:rPr>
              <w:t>、CO和O</w:t>
            </w:r>
            <w:r>
              <w:rPr>
                <w:rFonts w:hint="default" w:ascii="Times New Roman" w:hAnsi="Times New Roman" w:cs="Times New Roman"/>
                <w:vertAlign w:val="subscript"/>
                <w:lang w:val="en-US" w:eastAsia="zh-CN"/>
              </w:rPr>
              <w:t>3</w:t>
            </w:r>
            <w:r>
              <w:rPr>
                <w:rFonts w:hint="default" w:ascii="Times New Roman" w:hAnsi="Times New Roman" w:cs="Times New Roman"/>
                <w:lang w:val="en-US" w:eastAsia="zh-CN"/>
              </w:rPr>
              <w:t>的监测时间为2024年连续1年监测数据。</w:t>
            </w:r>
          </w:p>
          <w:p w14:paraId="3EED01CC">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（2）评价标准</w:t>
            </w:r>
          </w:p>
          <w:p w14:paraId="4EC61409">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根据《环境空气质量标准》（GB3095-2026）规定：本标准自实施之日起至2030年12月31日止，环境空气污染物基本项目实施过渡阶段浓度限值</w:t>
            </w:r>
            <w:r>
              <w:rPr>
                <w:rFonts w:hint="eastAsia" w:cs="Times New Roman"/>
                <w:lang w:val="en-US" w:eastAsia="zh-CN"/>
              </w:rPr>
              <w:t>，本项目所在区域为二类区执行二级浓度标准。故本</w:t>
            </w:r>
            <w:r>
              <w:rPr>
                <w:rFonts w:hint="default" w:ascii="Times New Roman" w:hAnsi="Times New Roman" w:cs="Times New Roman"/>
                <w:lang w:val="en-US" w:eastAsia="zh-CN"/>
              </w:rPr>
              <w:t>次评价基本污染物SO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、NO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、PM</w:t>
            </w:r>
            <w:r>
              <w:rPr>
                <w:rFonts w:hint="default" w:ascii="Times New Roman" w:hAnsi="Times New Roman" w:cs="Times New Roman"/>
                <w:vertAlign w:val="subscript"/>
                <w:lang w:val="en-US" w:eastAsia="zh-CN"/>
              </w:rPr>
              <w:t>10</w:t>
            </w:r>
            <w:r>
              <w:rPr>
                <w:rFonts w:hint="default" w:ascii="Times New Roman" w:hAnsi="Times New Roman" w:cs="Times New Roman"/>
                <w:lang w:val="en-US" w:eastAsia="zh-CN"/>
              </w:rPr>
              <w:t>、PM</w:t>
            </w:r>
            <w:r>
              <w:rPr>
                <w:rFonts w:hint="default" w:ascii="Times New Roman" w:hAnsi="Times New Roman" w:cs="Times New Roman"/>
                <w:vertAlign w:val="subscript"/>
                <w:lang w:val="en-US" w:eastAsia="zh-CN"/>
              </w:rPr>
              <w:t>2.5</w:t>
            </w:r>
            <w:r>
              <w:rPr>
                <w:rFonts w:hint="default" w:ascii="Times New Roman" w:hAnsi="Times New Roman" w:cs="Times New Roman"/>
                <w:lang w:val="en-US" w:eastAsia="zh-CN"/>
              </w:rPr>
              <w:t>、CO和O</w:t>
            </w:r>
            <w:r>
              <w:rPr>
                <w:rFonts w:hint="default" w:ascii="Times New Roman" w:hAnsi="Times New Roman" w:cs="Times New Roman"/>
                <w:vertAlign w:val="subscript"/>
                <w:lang w:val="en-US" w:eastAsia="zh-CN"/>
              </w:rPr>
              <w:t>3</w:t>
            </w:r>
            <w:r>
              <w:rPr>
                <w:rFonts w:hint="default" w:ascii="Times New Roman" w:hAnsi="Times New Roman" w:cs="Times New Roman"/>
                <w:lang w:val="en-US" w:eastAsia="zh-CN"/>
              </w:rPr>
              <w:t>执行《环境空气质量标准》</w:t>
            </w:r>
            <w:r>
              <w:rPr>
                <w:rFonts w:hint="eastAsia" w:cs="Times New Roman"/>
                <w:lang w:val="en-US" w:eastAsia="zh-CN"/>
              </w:rPr>
              <w:t>（GB3095-2026）</w:t>
            </w:r>
            <w:r>
              <w:rPr>
                <w:rFonts w:hint="default" w:ascii="Times New Roman" w:hAnsi="Times New Roman" w:cs="Times New Roman"/>
                <w:lang w:val="en-US" w:eastAsia="zh-CN"/>
              </w:rPr>
              <w:t>过渡阶段</w:t>
            </w:r>
            <w:r>
              <w:rPr>
                <w:rFonts w:hint="eastAsia" w:cs="Times New Roman"/>
                <w:lang w:val="en-US" w:eastAsia="zh-CN"/>
              </w:rPr>
              <w:t>的</w:t>
            </w:r>
            <w:r>
              <w:rPr>
                <w:rFonts w:hint="default" w:ascii="Times New Roman" w:hAnsi="Times New Roman" w:cs="Times New Roman"/>
                <w:lang w:val="en-US" w:eastAsia="zh-CN"/>
              </w:rPr>
              <w:t>二级标准。</w:t>
            </w:r>
          </w:p>
          <w:p w14:paraId="2B343104">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（3）评价方法</w:t>
            </w:r>
          </w:p>
          <w:p w14:paraId="3D1D6B23">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按照《环境空气质量评价技术规范（试行）》（HJ663-2013）中各评价项目的年度评价指标进行判定。年评价指标中的年均浓度和相应百分位数24h平均或8h平均质量浓度满足《环境空气质量标准》</w:t>
            </w:r>
            <w:r>
              <w:rPr>
                <w:rFonts w:hint="eastAsia" w:cs="Times New Roman"/>
                <w:lang w:val="en-US" w:eastAsia="zh-CN"/>
              </w:rPr>
              <w:t>（GB3095-2026）</w:t>
            </w:r>
            <w:r>
              <w:rPr>
                <w:rFonts w:hint="default" w:ascii="Times New Roman" w:hAnsi="Times New Roman" w:cs="Times New Roman"/>
                <w:lang w:val="en-US" w:eastAsia="zh-CN"/>
              </w:rPr>
              <w:t>过渡阶段的二级标准要求的即为达标。对于超标的污染物，计算其超标倍数和超标率。</w:t>
            </w:r>
          </w:p>
          <w:p w14:paraId="669D5739">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（4）空气质量达标区的判定</w:t>
            </w:r>
          </w:p>
          <w:p w14:paraId="0E39FEDB">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r>
              <w:rPr>
                <w:rFonts w:hint="default" w:ascii="Times New Roman" w:hAnsi="Times New Roman" w:cs="Times New Roman"/>
                <w:lang w:val="en-US" w:eastAsia="zh-CN"/>
              </w:rPr>
              <w:t>环境空气质量现状评价结果见表3-1。</w:t>
            </w:r>
          </w:p>
          <w:p w14:paraId="6DCA3FA3">
            <w:pPr>
              <w:pStyle w:val="4"/>
              <w:bidi w:val="0"/>
              <w:rPr>
                <w:b/>
                <w:bCs/>
                <w:color w:val="auto"/>
                <w:sz w:val="24"/>
                <w:highlight w:val="none"/>
                <w:vertAlign w:val="superscript"/>
              </w:rPr>
            </w:pPr>
            <w:r>
              <w:rPr>
                <w:b/>
                <w:bCs/>
                <w:color w:val="auto"/>
                <w:sz w:val="24"/>
                <w:highlight w:val="none"/>
              </w:rPr>
              <w:t>表3-1   环境空气质量现状监测统计数据    单位：μg/m</w:t>
            </w:r>
            <w:r>
              <w:rPr>
                <w:b/>
                <w:bCs/>
                <w:color w:val="auto"/>
                <w:sz w:val="24"/>
                <w:highlight w:val="none"/>
                <w:vertAlign w:val="superscript"/>
              </w:rPr>
              <w:t>3</w:t>
            </w:r>
          </w:p>
          <w:tbl>
            <w:tblPr>
              <w:tblStyle w:val="20"/>
              <w:tblW w:w="4995"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1923"/>
              <w:gridCol w:w="1099"/>
              <w:gridCol w:w="1389"/>
              <w:gridCol w:w="1017"/>
              <w:gridCol w:w="1296"/>
            </w:tblGrid>
            <w:tr w14:paraId="429B8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pct"/>
                  <w:tcBorders>
                    <w:tl2br w:val="nil"/>
                    <w:tr2bl w:val="nil"/>
                  </w:tcBorders>
                  <w:noWrap w:val="0"/>
                  <w:vAlign w:val="center"/>
                </w:tcPr>
                <w:p w14:paraId="4488F99D">
                  <w:pPr>
                    <w:pStyle w:val="5"/>
                    <w:bidi w:val="0"/>
                  </w:pPr>
                  <w:r>
                    <w:rPr>
                      <w:rFonts w:hint="eastAsia"/>
                    </w:rPr>
                    <w:t>污染物</w:t>
                  </w:r>
                </w:p>
              </w:tc>
              <w:tc>
                <w:tcPr>
                  <w:tcW w:w="1193" w:type="pct"/>
                  <w:tcBorders>
                    <w:tl2br w:val="nil"/>
                    <w:tr2bl w:val="nil"/>
                  </w:tcBorders>
                  <w:noWrap w:val="0"/>
                  <w:vAlign w:val="center"/>
                </w:tcPr>
                <w:p w14:paraId="77B1E199">
                  <w:pPr>
                    <w:pStyle w:val="5"/>
                    <w:bidi w:val="0"/>
                  </w:pPr>
                  <w:r>
                    <w:rPr>
                      <w:rFonts w:hint="eastAsia"/>
                    </w:rPr>
                    <w:t>评价项目</w:t>
                  </w:r>
                </w:p>
              </w:tc>
              <w:tc>
                <w:tcPr>
                  <w:tcW w:w="682" w:type="pct"/>
                  <w:tcBorders>
                    <w:tl2br w:val="nil"/>
                    <w:tr2bl w:val="nil"/>
                  </w:tcBorders>
                  <w:noWrap w:val="0"/>
                  <w:vAlign w:val="center"/>
                </w:tcPr>
                <w:p w14:paraId="141E02C9">
                  <w:pPr>
                    <w:pStyle w:val="5"/>
                    <w:bidi w:val="0"/>
                  </w:pPr>
                  <w:r>
                    <w:t>浓度（μ</w:t>
                  </w:r>
                  <w:r>
                    <w:rPr>
                      <w:rFonts w:hint="eastAsia"/>
                      <w:lang w:val="en-US" w:eastAsia="zh-CN"/>
                    </w:rPr>
                    <w:t>g</w:t>
                  </w:r>
                  <w:r>
                    <w:t>/m</w:t>
                  </w:r>
                  <w:r>
                    <w:rPr>
                      <w:vertAlign w:val="superscript"/>
                    </w:rPr>
                    <w:t>3</w:t>
                  </w:r>
                  <w:r>
                    <w:t>）</w:t>
                  </w:r>
                </w:p>
              </w:tc>
              <w:tc>
                <w:tcPr>
                  <w:tcW w:w="862" w:type="pct"/>
                  <w:tcBorders>
                    <w:tl2br w:val="nil"/>
                    <w:tr2bl w:val="nil"/>
                  </w:tcBorders>
                  <w:noWrap w:val="0"/>
                  <w:vAlign w:val="center"/>
                </w:tcPr>
                <w:p w14:paraId="01C3D202">
                  <w:pPr>
                    <w:pStyle w:val="5"/>
                    <w:bidi w:val="0"/>
                  </w:pPr>
                  <w:r>
                    <w:rPr>
                      <w:rFonts w:hint="eastAsia"/>
                    </w:rPr>
                    <w:t>标准（二级）</w:t>
                  </w:r>
                  <w:r>
                    <w:t>（μ</w:t>
                  </w:r>
                  <w:r>
                    <w:rPr>
                      <w:rFonts w:hint="eastAsia"/>
                      <w:lang w:val="en-US" w:eastAsia="zh-CN"/>
                    </w:rPr>
                    <w:t>g</w:t>
                  </w:r>
                  <w:r>
                    <w:t>/m</w:t>
                  </w:r>
                  <w:r>
                    <w:rPr>
                      <w:vertAlign w:val="superscript"/>
                    </w:rPr>
                    <w:t>3</w:t>
                  </w:r>
                  <w:r>
                    <w:t>）</w:t>
                  </w:r>
                </w:p>
              </w:tc>
              <w:tc>
                <w:tcPr>
                  <w:tcW w:w="631" w:type="pct"/>
                  <w:tcBorders>
                    <w:tl2br w:val="nil"/>
                    <w:tr2bl w:val="nil"/>
                  </w:tcBorders>
                  <w:noWrap w:val="0"/>
                  <w:vAlign w:val="center"/>
                </w:tcPr>
                <w:p w14:paraId="75B52BCB">
                  <w:pPr>
                    <w:pStyle w:val="5"/>
                    <w:bidi w:val="0"/>
                    <w:rPr>
                      <w:rFonts w:hint="default"/>
                      <w:lang w:val="en-US" w:eastAsia="zh-CN"/>
                    </w:rPr>
                  </w:pPr>
                  <w:r>
                    <w:rPr>
                      <w:rFonts w:hint="eastAsia"/>
                      <w:lang w:eastAsia="zh-CN"/>
                    </w:rPr>
                    <w:t>占标率</w:t>
                  </w:r>
                  <w:r>
                    <w:rPr>
                      <w:rFonts w:hint="eastAsia"/>
                      <w:lang w:val="en-US" w:eastAsia="zh-CN"/>
                    </w:rPr>
                    <w:t>%</w:t>
                  </w:r>
                </w:p>
              </w:tc>
              <w:tc>
                <w:tcPr>
                  <w:tcW w:w="804" w:type="pct"/>
                  <w:tcBorders>
                    <w:tl2br w:val="nil"/>
                    <w:tr2bl w:val="nil"/>
                  </w:tcBorders>
                  <w:noWrap w:val="0"/>
                  <w:vAlign w:val="center"/>
                </w:tcPr>
                <w:p w14:paraId="1B94879C">
                  <w:pPr>
                    <w:pStyle w:val="5"/>
                    <w:bidi w:val="0"/>
                    <w:rPr>
                      <w:rFonts w:hint="eastAsia"/>
                      <w:lang w:eastAsia="zh-CN"/>
                    </w:rPr>
                  </w:pPr>
                  <w:r>
                    <w:rPr>
                      <w:rFonts w:hint="eastAsia"/>
                      <w:lang w:eastAsia="zh-CN"/>
                    </w:rPr>
                    <w:t>达标情况</w:t>
                  </w:r>
                </w:p>
              </w:tc>
            </w:tr>
            <w:tr w14:paraId="7AB9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pct"/>
                  <w:vMerge w:val="restart"/>
                  <w:tcBorders>
                    <w:tl2br w:val="nil"/>
                    <w:tr2bl w:val="nil"/>
                  </w:tcBorders>
                  <w:noWrap w:val="0"/>
                  <w:vAlign w:val="center"/>
                </w:tcPr>
                <w:p w14:paraId="1F4EDD06">
                  <w:pPr>
                    <w:pStyle w:val="5"/>
                    <w:bidi w:val="0"/>
                  </w:pPr>
                  <w:r>
                    <w:rPr>
                      <w:rFonts w:hint="eastAsia"/>
                    </w:rPr>
                    <w:t>SO</w:t>
                  </w:r>
                  <w:r>
                    <w:rPr>
                      <w:rFonts w:hint="eastAsia"/>
                      <w:vertAlign w:val="subscript"/>
                    </w:rPr>
                    <w:t>2</w:t>
                  </w:r>
                </w:p>
              </w:tc>
              <w:tc>
                <w:tcPr>
                  <w:tcW w:w="1193" w:type="pct"/>
                  <w:tcBorders>
                    <w:tl2br w:val="nil"/>
                    <w:tr2bl w:val="nil"/>
                  </w:tcBorders>
                  <w:noWrap w:val="0"/>
                  <w:vAlign w:val="center"/>
                </w:tcPr>
                <w:p w14:paraId="06BC531D">
                  <w:pPr>
                    <w:pStyle w:val="5"/>
                    <w:bidi w:val="0"/>
                    <w:rPr>
                      <w:rFonts w:hint="default"/>
                      <w:lang w:val="en-US" w:eastAsia="zh-CN"/>
                    </w:rPr>
                  </w:pPr>
                  <w:r>
                    <w:rPr>
                      <w:rFonts w:hint="default"/>
                      <w:lang w:val="en-US" w:eastAsia="zh-CN"/>
                    </w:rPr>
                    <w:t>年平均</w:t>
                  </w:r>
                </w:p>
              </w:tc>
              <w:tc>
                <w:tcPr>
                  <w:tcW w:w="682" w:type="pct"/>
                  <w:tcBorders>
                    <w:tl2br w:val="nil"/>
                    <w:tr2bl w:val="nil"/>
                  </w:tcBorders>
                  <w:noWrap w:val="0"/>
                  <w:vAlign w:val="center"/>
                </w:tcPr>
                <w:p w14:paraId="0D08A026">
                  <w:pPr>
                    <w:pStyle w:val="5"/>
                    <w:bidi w:val="0"/>
                    <w:rPr>
                      <w:rFonts w:hint="default"/>
                      <w:lang w:val="en-US" w:eastAsia="zh-CN"/>
                    </w:rPr>
                  </w:pPr>
                  <w:r>
                    <w:rPr>
                      <w:rFonts w:hint="eastAsia"/>
                      <w:lang w:val="en-US" w:eastAsia="zh-CN"/>
                    </w:rPr>
                    <w:t>5</w:t>
                  </w:r>
                </w:p>
              </w:tc>
              <w:tc>
                <w:tcPr>
                  <w:tcW w:w="862" w:type="pct"/>
                  <w:tcBorders>
                    <w:tl2br w:val="nil"/>
                    <w:tr2bl w:val="nil"/>
                  </w:tcBorders>
                  <w:noWrap w:val="0"/>
                  <w:vAlign w:val="center"/>
                </w:tcPr>
                <w:p w14:paraId="70DF4873">
                  <w:pPr>
                    <w:pStyle w:val="5"/>
                    <w:bidi w:val="0"/>
                  </w:pPr>
                  <w:r>
                    <w:rPr>
                      <w:rFonts w:hint="eastAsia"/>
                      <w:lang w:val="en-US" w:eastAsia="zh-CN"/>
                    </w:rPr>
                    <w:t>60</w:t>
                  </w:r>
                </w:p>
              </w:tc>
              <w:tc>
                <w:tcPr>
                  <w:tcW w:w="631" w:type="pct"/>
                  <w:tcBorders>
                    <w:tl2br w:val="nil"/>
                    <w:tr2bl w:val="nil"/>
                  </w:tcBorders>
                  <w:noWrap w:val="0"/>
                  <w:vAlign w:val="center"/>
                </w:tcPr>
                <w:p w14:paraId="500121DB">
                  <w:pPr>
                    <w:pStyle w:val="5"/>
                    <w:bidi w:val="0"/>
                    <w:rPr>
                      <w:rFonts w:hint="default"/>
                      <w:lang w:val="en-US" w:eastAsia="zh-CN"/>
                    </w:rPr>
                  </w:pPr>
                  <w:r>
                    <w:rPr>
                      <w:rFonts w:hint="eastAsia"/>
                      <w:lang w:val="en-US" w:eastAsia="zh-CN"/>
                    </w:rPr>
                    <w:t>8</w:t>
                  </w:r>
                </w:p>
              </w:tc>
              <w:tc>
                <w:tcPr>
                  <w:tcW w:w="804" w:type="pct"/>
                  <w:tcBorders>
                    <w:tl2br w:val="nil"/>
                    <w:tr2bl w:val="nil"/>
                  </w:tcBorders>
                  <w:noWrap w:val="0"/>
                  <w:vAlign w:val="center"/>
                </w:tcPr>
                <w:p w14:paraId="2CA0CEFA">
                  <w:pPr>
                    <w:pStyle w:val="5"/>
                    <w:bidi w:val="0"/>
                    <w:rPr>
                      <w:rFonts w:hint="eastAsia"/>
                      <w:lang w:eastAsia="zh-CN"/>
                    </w:rPr>
                  </w:pPr>
                  <w:r>
                    <w:rPr>
                      <w:rFonts w:hint="default"/>
                      <w:lang w:eastAsia="zh-CN"/>
                    </w:rPr>
                    <w:t>达标</w:t>
                  </w:r>
                </w:p>
              </w:tc>
            </w:tr>
            <w:tr w14:paraId="74C4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pct"/>
                  <w:vMerge w:val="continue"/>
                  <w:tcBorders>
                    <w:tl2br w:val="nil"/>
                    <w:tr2bl w:val="nil"/>
                  </w:tcBorders>
                  <w:noWrap w:val="0"/>
                  <w:vAlign w:val="center"/>
                </w:tcPr>
                <w:p w14:paraId="75E7DF7E">
                  <w:pPr>
                    <w:pStyle w:val="5"/>
                    <w:bidi w:val="0"/>
                  </w:pPr>
                </w:p>
              </w:tc>
              <w:tc>
                <w:tcPr>
                  <w:tcW w:w="1193" w:type="pct"/>
                  <w:tcBorders>
                    <w:tl2br w:val="nil"/>
                    <w:tr2bl w:val="nil"/>
                  </w:tcBorders>
                  <w:noWrap w:val="0"/>
                  <w:vAlign w:val="center"/>
                </w:tcPr>
                <w:p w14:paraId="445D3E16">
                  <w:pPr>
                    <w:pStyle w:val="5"/>
                    <w:bidi w:val="0"/>
                    <w:rPr>
                      <w:rFonts w:hint="default"/>
                      <w:lang w:val="en-US" w:eastAsia="zh-CN"/>
                    </w:rPr>
                  </w:pPr>
                  <w:r>
                    <w:rPr>
                      <w:rFonts w:hint="eastAsia"/>
                      <w:lang w:val="en-US" w:eastAsia="zh-CN"/>
                    </w:rPr>
                    <w:t>日均值</w:t>
                  </w:r>
                </w:p>
              </w:tc>
              <w:tc>
                <w:tcPr>
                  <w:tcW w:w="682" w:type="pct"/>
                  <w:tcBorders>
                    <w:tl2br w:val="nil"/>
                    <w:tr2bl w:val="nil"/>
                  </w:tcBorders>
                  <w:noWrap w:val="0"/>
                  <w:vAlign w:val="center"/>
                </w:tcPr>
                <w:p w14:paraId="2D7C00F4">
                  <w:pPr>
                    <w:pStyle w:val="5"/>
                    <w:bidi w:val="0"/>
                    <w:rPr>
                      <w:rFonts w:hint="default"/>
                      <w:lang w:val="en-US" w:eastAsia="zh-CN"/>
                    </w:rPr>
                  </w:pPr>
                  <w:r>
                    <w:rPr>
                      <w:rFonts w:hint="eastAsia"/>
                      <w:lang w:val="en-US" w:eastAsia="zh-CN"/>
                    </w:rPr>
                    <w:t>10</w:t>
                  </w:r>
                </w:p>
              </w:tc>
              <w:tc>
                <w:tcPr>
                  <w:tcW w:w="862" w:type="pct"/>
                  <w:tcBorders>
                    <w:tl2br w:val="nil"/>
                    <w:tr2bl w:val="nil"/>
                  </w:tcBorders>
                  <w:noWrap w:val="0"/>
                  <w:vAlign w:val="center"/>
                </w:tcPr>
                <w:p w14:paraId="247F21A2">
                  <w:pPr>
                    <w:pStyle w:val="5"/>
                    <w:bidi w:val="0"/>
                  </w:pPr>
                  <w:r>
                    <w:rPr>
                      <w:rFonts w:hint="eastAsia"/>
                      <w:lang w:val="en-US" w:eastAsia="zh-CN"/>
                    </w:rPr>
                    <w:t>1</w:t>
                  </w:r>
                  <w:r>
                    <w:rPr>
                      <w:rFonts w:hint="default"/>
                      <w:lang w:val="en-US" w:eastAsia="zh-CN"/>
                    </w:rPr>
                    <w:t>50</w:t>
                  </w:r>
                </w:p>
              </w:tc>
              <w:tc>
                <w:tcPr>
                  <w:tcW w:w="631" w:type="pct"/>
                  <w:tcBorders>
                    <w:tl2br w:val="nil"/>
                    <w:tr2bl w:val="nil"/>
                  </w:tcBorders>
                  <w:noWrap w:val="0"/>
                  <w:vAlign w:val="center"/>
                </w:tcPr>
                <w:p w14:paraId="3BC3365A">
                  <w:pPr>
                    <w:pStyle w:val="5"/>
                    <w:bidi w:val="0"/>
                    <w:rPr>
                      <w:rFonts w:hint="default"/>
                      <w:lang w:val="en-US" w:eastAsia="zh-CN"/>
                    </w:rPr>
                  </w:pPr>
                  <w:r>
                    <w:rPr>
                      <w:rFonts w:hint="eastAsia"/>
                      <w:lang w:val="en-US" w:eastAsia="zh-CN"/>
                    </w:rPr>
                    <w:t>7</w:t>
                  </w:r>
                </w:p>
              </w:tc>
              <w:tc>
                <w:tcPr>
                  <w:tcW w:w="804" w:type="pct"/>
                  <w:tcBorders>
                    <w:tl2br w:val="nil"/>
                    <w:tr2bl w:val="nil"/>
                  </w:tcBorders>
                  <w:noWrap w:val="0"/>
                  <w:vAlign w:val="center"/>
                </w:tcPr>
                <w:p w14:paraId="070CF735">
                  <w:pPr>
                    <w:pStyle w:val="5"/>
                    <w:bidi w:val="0"/>
                    <w:rPr>
                      <w:rFonts w:hint="eastAsia"/>
                    </w:rPr>
                  </w:pPr>
                  <w:r>
                    <w:rPr>
                      <w:rFonts w:hint="default"/>
                      <w:lang w:eastAsia="zh-CN"/>
                    </w:rPr>
                    <w:t>达标</w:t>
                  </w:r>
                </w:p>
              </w:tc>
            </w:tr>
            <w:tr w14:paraId="252A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pct"/>
                  <w:vMerge w:val="restart"/>
                  <w:tcBorders>
                    <w:tl2br w:val="nil"/>
                    <w:tr2bl w:val="nil"/>
                  </w:tcBorders>
                  <w:noWrap w:val="0"/>
                  <w:vAlign w:val="center"/>
                </w:tcPr>
                <w:p w14:paraId="119D2DF5">
                  <w:pPr>
                    <w:pStyle w:val="5"/>
                    <w:bidi w:val="0"/>
                  </w:pPr>
                  <w:r>
                    <w:rPr>
                      <w:rFonts w:hint="eastAsia"/>
                    </w:rPr>
                    <w:t>NO</w:t>
                  </w:r>
                  <w:r>
                    <w:rPr>
                      <w:rFonts w:hint="eastAsia"/>
                      <w:vertAlign w:val="subscript"/>
                    </w:rPr>
                    <w:t>2</w:t>
                  </w:r>
                </w:p>
              </w:tc>
              <w:tc>
                <w:tcPr>
                  <w:tcW w:w="1193" w:type="pct"/>
                  <w:tcBorders>
                    <w:tl2br w:val="nil"/>
                    <w:tr2bl w:val="nil"/>
                  </w:tcBorders>
                  <w:noWrap w:val="0"/>
                  <w:vAlign w:val="center"/>
                </w:tcPr>
                <w:p w14:paraId="21389E94">
                  <w:pPr>
                    <w:pStyle w:val="5"/>
                    <w:bidi w:val="0"/>
                    <w:rPr>
                      <w:rFonts w:hint="default"/>
                      <w:lang w:val="en-US" w:eastAsia="zh-CN"/>
                    </w:rPr>
                  </w:pPr>
                  <w:r>
                    <w:rPr>
                      <w:rFonts w:hint="default"/>
                      <w:lang w:val="en-US" w:eastAsia="zh-CN"/>
                    </w:rPr>
                    <w:t>年平均</w:t>
                  </w:r>
                </w:p>
              </w:tc>
              <w:tc>
                <w:tcPr>
                  <w:tcW w:w="682" w:type="pct"/>
                  <w:tcBorders>
                    <w:tl2br w:val="nil"/>
                    <w:tr2bl w:val="nil"/>
                  </w:tcBorders>
                  <w:noWrap w:val="0"/>
                  <w:vAlign w:val="center"/>
                </w:tcPr>
                <w:p w14:paraId="5BA47F80">
                  <w:pPr>
                    <w:pStyle w:val="5"/>
                    <w:bidi w:val="0"/>
                    <w:rPr>
                      <w:rFonts w:hint="default"/>
                      <w:lang w:val="en-US" w:eastAsia="zh-CN"/>
                    </w:rPr>
                  </w:pPr>
                  <w:r>
                    <w:rPr>
                      <w:rFonts w:hint="eastAsia"/>
                      <w:lang w:val="en-US" w:eastAsia="zh-CN"/>
                    </w:rPr>
                    <w:t>19</w:t>
                  </w:r>
                </w:p>
              </w:tc>
              <w:tc>
                <w:tcPr>
                  <w:tcW w:w="862" w:type="pct"/>
                  <w:tcBorders>
                    <w:tl2br w:val="nil"/>
                    <w:tr2bl w:val="nil"/>
                  </w:tcBorders>
                  <w:noWrap w:val="0"/>
                  <w:vAlign w:val="center"/>
                </w:tcPr>
                <w:p w14:paraId="09A1C415">
                  <w:pPr>
                    <w:pStyle w:val="5"/>
                    <w:bidi w:val="0"/>
                  </w:pPr>
                  <w:r>
                    <w:rPr>
                      <w:rFonts w:hint="eastAsia"/>
                      <w:lang w:val="en-US" w:eastAsia="zh-CN"/>
                    </w:rPr>
                    <w:t>40</w:t>
                  </w:r>
                </w:p>
              </w:tc>
              <w:tc>
                <w:tcPr>
                  <w:tcW w:w="631" w:type="pct"/>
                  <w:tcBorders>
                    <w:tl2br w:val="nil"/>
                    <w:tr2bl w:val="nil"/>
                  </w:tcBorders>
                  <w:noWrap w:val="0"/>
                  <w:vAlign w:val="center"/>
                </w:tcPr>
                <w:p w14:paraId="2B6ABF17">
                  <w:pPr>
                    <w:pStyle w:val="5"/>
                    <w:bidi w:val="0"/>
                    <w:rPr>
                      <w:rFonts w:hint="default"/>
                      <w:lang w:val="en-US" w:eastAsia="zh-CN"/>
                    </w:rPr>
                  </w:pPr>
                  <w:r>
                    <w:rPr>
                      <w:rFonts w:hint="eastAsia"/>
                      <w:lang w:val="en-US" w:eastAsia="zh-CN"/>
                    </w:rPr>
                    <w:t>48</w:t>
                  </w:r>
                </w:p>
              </w:tc>
              <w:tc>
                <w:tcPr>
                  <w:tcW w:w="804" w:type="pct"/>
                  <w:tcBorders>
                    <w:tl2br w:val="nil"/>
                    <w:tr2bl w:val="nil"/>
                  </w:tcBorders>
                  <w:noWrap w:val="0"/>
                  <w:vAlign w:val="center"/>
                </w:tcPr>
                <w:p w14:paraId="1945D1B3">
                  <w:pPr>
                    <w:pStyle w:val="5"/>
                    <w:bidi w:val="0"/>
                    <w:rPr>
                      <w:rFonts w:hint="eastAsia"/>
                    </w:rPr>
                  </w:pPr>
                  <w:r>
                    <w:rPr>
                      <w:rFonts w:hint="default"/>
                      <w:lang w:eastAsia="zh-CN"/>
                    </w:rPr>
                    <w:t>达标</w:t>
                  </w:r>
                </w:p>
              </w:tc>
            </w:tr>
            <w:tr w14:paraId="33C1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pct"/>
                  <w:vMerge w:val="continue"/>
                  <w:tcBorders>
                    <w:tl2br w:val="nil"/>
                    <w:tr2bl w:val="nil"/>
                  </w:tcBorders>
                  <w:noWrap w:val="0"/>
                  <w:vAlign w:val="center"/>
                </w:tcPr>
                <w:p w14:paraId="7F187520">
                  <w:pPr>
                    <w:pStyle w:val="5"/>
                    <w:bidi w:val="0"/>
                  </w:pPr>
                </w:p>
              </w:tc>
              <w:tc>
                <w:tcPr>
                  <w:tcW w:w="1193" w:type="pct"/>
                  <w:tcBorders>
                    <w:tl2br w:val="nil"/>
                    <w:tr2bl w:val="nil"/>
                  </w:tcBorders>
                  <w:noWrap w:val="0"/>
                  <w:vAlign w:val="center"/>
                </w:tcPr>
                <w:p w14:paraId="187D181B">
                  <w:pPr>
                    <w:pStyle w:val="5"/>
                    <w:bidi w:val="0"/>
                    <w:rPr>
                      <w:rFonts w:hint="default"/>
                      <w:lang w:val="en-US" w:eastAsia="zh-CN"/>
                    </w:rPr>
                  </w:pPr>
                  <w:r>
                    <w:rPr>
                      <w:rFonts w:hint="eastAsia"/>
                      <w:lang w:val="en-US" w:eastAsia="zh-CN"/>
                    </w:rPr>
                    <w:t>日均值</w:t>
                  </w:r>
                </w:p>
              </w:tc>
              <w:tc>
                <w:tcPr>
                  <w:tcW w:w="682" w:type="pct"/>
                  <w:tcBorders>
                    <w:tl2br w:val="nil"/>
                    <w:tr2bl w:val="nil"/>
                  </w:tcBorders>
                  <w:noWrap w:val="0"/>
                  <w:vAlign w:val="center"/>
                </w:tcPr>
                <w:p w14:paraId="6814038B">
                  <w:pPr>
                    <w:pStyle w:val="5"/>
                    <w:bidi w:val="0"/>
                    <w:rPr>
                      <w:rFonts w:hint="default"/>
                      <w:lang w:val="en-US" w:eastAsia="zh-CN"/>
                    </w:rPr>
                  </w:pPr>
                  <w:r>
                    <w:rPr>
                      <w:rFonts w:hint="eastAsia"/>
                      <w:lang w:val="en-US" w:eastAsia="zh-CN"/>
                    </w:rPr>
                    <w:t>43</w:t>
                  </w:r>
                </w:p>
              </w:tc>
              <w:tc>
                <w:tcPr>
                  <w:tcW w:w="862" w:type="pct"/>
                  <w:tcBorders>
                    <w:tl2br w:val="nil"/>
                    <w:tr2bl w:val="nil"/>
                  </w:tcBorders>
                  <w:noWrap w:val="0"/>
                  <w:vAlign w:val="center"/>
                </w:tcPr>
                <w:p w14:paraId="1C8F7F3F">
                  <w:pPr>
                    <w:pStyle w:val="5"/>
                    <w:bidi w:val="0"/>
                  </w:pPr>
                  <w:r>
                    <w:rPr>
                      <w:rFonts w:hint="eastAsia"/>
                      <w:lang w:val="en-US" w:eastAsia="zh-CN"/>
                    </w:rPr>
                    <w:t>80</w:t>
                  </w:r>
                </w:p>
              </w:tc>
              <w:tc>
                <w:tcPr>
                  <w:tcW w:w="631" w:type="pct"/>
                  <w:tcBorders>
                    <w:tl2br w:val="nil"/>
                    <w:tr2bl w:val="nil"/>
                  </w:tcBorders>
                  <w:noWrap w:val="0"/>
                  <w:vAlign w:val="center"/>
                </w:tcPr>
                <w:p w14:paraId="4C85FC2A">
                  <w:pPr>
                    <w:pStyle w:val="5"/>
                    <w:bidi w:val="0"/>
                    <w:rPr>
                      <w:rFonts w:hint="default"/>
                      <w:lang w:val="en-US" w:eastAsia="zh-CN"/>
                    </w:rPr>
                  </w:pPr>
                  <w:r>
                    <w:rPr>
                      <w:rFonts w:hint="eastAsia"/>
                      <w:lang w:val="en-US" w:eastAsia="zh-CN"/>
                    </w:rPr>
                    <w:t>54</w:t>
                  </w:r>
                </w:p>
              </w:tc>
              <w:tc>
                <w:tcPr>
                  <w:tcW w:w="804" w:type="pct"/>
                  <w:tcBorders>
                    <w:tl2br w:val="nil"/>
                    <w:tr2bl w:val="nil"/>
                  </w:tcBorders>
                  <w:noWrap w:val="0"/>
                  <w:vAlign w:val="center"/>
                </w:tcPr>
                <w:p w14:paraId="0DA5327B">
                  <w:pPr>
                    <w:pStyle w:val="5"/>
                    <w:bidi w:val="0"/>
                    <w:rPr>
                      <w:rFonts w:hint="eastAsia"/>
                    </w:rPr>
                  </w:pPr>
                  <w:r>
                    <w:rPr>
                      <w:rFonts w:hint="default"/>
                      <w:lang w:eastAsia="zh-CN"/>
                    </w:rPr>
                    <w:t>达标</w:t>
                  </w:r>
                </w:p>
              </w:tc>
            </w:tr>
            <w:tr w14:paraId="642C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pct"/>
                  <w:tcBorders>
                    <w:tl2br w:val="nil"/>
                    <w:tr2bl w:val="nil"/>
                  </w:tcBorders>
                  <w:noWrap w:val="0"/>
                  <w:vAlign w:val="center"/>
                </w:tcPr>
                <w:p w14:paraId="5BE31AD6">
                  <w:pPr>
                    <w:pStyle w:val="5"/>
                    <w:bidi w:val="0"/>
                  </w:pPr>
                  <w:r>
                    <w:rPr>
                      <w:rFonts w:hint="eastAsia"/>
                    </w:rPr>
                    <w:t>CO（mg/m</w:t>
                  </w:r>
                  <w:r>
                    <w:rPr>
                      <w:rFonts w:hint="eastAsia"/>
                      <w:vertAlign w:val="superscript"/>
                    </w:rPr>
                    <w:t>3</w:t>
                  </w:r>
                  <w:r>
                    <w:rPr>
                      <w:rFonts w:hint="eastAsia"/>
                    </w:rPr>
                    <w:t>）</w:t>
                  </w:r>
                </w:p>
              </w:tc>
              <w:tc>
                <w:tcPr>
                  <w:tcW w:w="1193" w:type="pct"/>
                  <w:tcBorders>
                    <w:tl2br w:val="nil"/>
                    <w:tr2bl w:val="nil"/>
                  </w:tcBorders>
                  <w:noWrap w:val="0"/>
                  <w:vAlign w:val="center"/>
                </w:tcPr>
                <w:p w14:paraId="35AC60D8">
                  <w:pPr>
                    <w:pStyle w:val="5"/>
                    <w:bidi w:val="0"/>
                    <w:rPr>
                      <w:rFonts w:hint="default"/>
                      <w:lang w:val="en-US" w:eastAsia="zh-CN"/>
                    </w:rPr>
                  </w:pPr>
                  <w:r>
                    <w:rPr>
                      <w:rFonts w:hint="default"/>
                      <w:lang w:val="en-US" w:eastAsia="zh-CN"/>
                    </w:rPr>
                    <w:t>日均值</w:t>
                  </w:r>
                </w:p>
              </w:tc>
              <w:tc>
                <w:tcPr>
                  <w:tcW w:w="682" w:type="pct"/>
                  <w:tcBorders>
                    <w:tl2br w:val="nil"/>
                    <w:tr2bl w:val="nil"/>
                  </w:tcBorders>
                  <w:noWrap w:val="0"/>
                  <w:vAlign w:val="center"/>
                </w:tcPr>
                <w:p w14:paraId="417B03EA">
                  <w:pPr>
                    <w:pStyle w:val="5"/>
                    <w:bidi w:val="0"/>
                    <w:rPr>
                      <w:rFonts w:hint="default"/>
                      <w:lang w:val="en-US" w:eastAsia="zh-CN"/>
                    </w:rPr>
                  </w:pPr>
                  <w:r>
                    <w:rPr>
                      <w:rFonts w:hint="eastAsia"/>
                      <w:lang w:val="en-US" w:eastAsia="zh-CN"/>
                    </w:rPr>
                    <w:t>1.8</w:t>
                  </w:r>
                </w:p>
              </w:tc>
              <w:tc>
                <w:tcPr>
                  <w:tcW w:w="862" w:type="pct"/>
                  <w:tcBorders>
                    <w:tl2br w:val="nil"/>
                    <w:tr2bl w:val="nil"/>
                  </w:tcBorders>
                  <w:noWrap w:val="0"/>
                  <w:vAlign w:val="center"/>
                </w:tcPr>
                <w:p w14:paraId="005A3E03">
                  <w:pPr>
                    <w:pStyle w:val="5"/>
                    <w:bidi w:val="0"/>
                  </w:pPr>
                  <w:r>
                    <w:rPr>
                      <w:rFonts w:hint="default"/>
                      <w:lang w:val="en-US" w:eastAsia="zh-CN"/>
                    </w:rPr>
                    <w:t>4</w:t>
                  </w:r>
                </w:p>
              </w:tc>
              <w:tc>
                <w:tcPr>
                  <w:tcW w:w="631" w:type="pct"/>
                  <w:tcBorders>
                    <w:tl2br w:val="nil"/>
                    <w:tr2bl w:val="nil"/>
                  </w:tcBorders>
                  <w:noWrap w:val="0"/>
                  <w:vAlign w:val="center"/>
                </w:tcPr>
                <w:p w14:paraId="5F8845EE">
                  <w:pPr>
                    <w:pStyle w:val="5"/>
                    <w:bidi w:val="0"/>
                    <w:rPr>
                      <w:rFonts w:hint="default"/>
                      <w:lang w:val="en-US" w:eastAsia="zh-CN"/>
                    </w:rPr>
                  </w:pPr>
                  <w:r>
                    <w:rPr>
                      <w:rFonts w:hint="eastAsia"/>
                      <w:lang w:val="en-US" w:eastAsia="zh-CN"/>
                    </w:rPr>
                    <w:t>45</w:t>
                  </w:r>
                </w:p>
              </w:tc>
              <w:tc>
                <w:tcPr>
                  <w:tcW w:w="804" w:type="pct"/>
                  <w:tcBorders>
                    <w:tl2br w:val="nil"/>
                    <w:tr2bl w:val="nil"/>
                  </w:tcBorders>
                  <w:noWrap w:val="0"/>
                  <w:vAlign w:val="center"/>
                </w:tcPr>
                <w:p w14:paraId="3D8E0670">
                  <w:pPr>
                    <w:pStyle w:val="5"/>
                    <w:bidi w:val="0"/>
                    <w:rPr>
                      <w:rFonts w:hint="eastAsia"/>
                    </w:rPr>
                  </w:pPr>
                  <w:r>
                    <w:rPr>
                      <w:rFonts w:hint="default"/>
                      <w:lang w:eastAsia="zh-CN"/>
                    </w:rPr>
                    <w:t>达标</w:t>
                  </w:r>
                </w:p>
              </w:tc>
            </w:tr>
            <w:tr w14:paraId="2063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pct"/>
                  <w:tcBorders>
                    <w:tl2br w:val="nil"/>
                    <w:tr2bl w:val="nil"/>
                  </w:tcBorders>
                  <w:noWrap w:val="0"/>
                  <w:vAlign w:val="center"/>
                </w:tcPr>
                <w:p w14:paraId="0627E2A8">
                  <w:pPr>
                    <w:pStyle w:val="5"/>
                    <w:bidi w:val="0"/>
                  </w:pPr>
                  <w:r>
                    <w:rPr>
                      <w:rFonts w:hint="eastAsia"/>
                    </w:rPr>
                    <w:t>O</w:t>
                  </w:r>
                  <w:r>
                    <w:rPr>
                      <w:rFonts w:hint="eastAsia"/>
                      <w:vertAlign w:val="subscript"/>
                    </w:rPr>
                    <w:t>3</w:t>
                  </w:r>
                </w:p>
              </w:tc>
              <w:tc>
                <w:tcPr>
                  <w:tcW w:w="1193" w:type="pct"/>
                  <w:tcBorders>
                    <w:tl2br w:val="nil"/>
                    <w:tr2bl w:val="nil"/>
                  </w:tcBorders>
                  <w:noWrap w:val="0"/>
                  <w:vAlign w:val="center"/>
                </w:tcPr>
                <w:p w14:paraId="3AF68399">
                  <w:pPr>
                    <w:pStyle w:val="5"/>
                    <w:bidi w:val="0"/>
                    <w:rPr>
                      <w:rFonts w:hint="default"/>
                      <w:lang w:val="en-US" w:eastAsia="zh-CN"/>
                    </w:rPr>
                  </w:pPr>
                  <w:r>
                    <w:rPr>
                      <w:rFonts w:hint="eastAsia"/>
                      <w:lang w:val="en-US" w:eastAsia="zh-CN"/>
                    </w:rPr>
                    <w:t>日</w:t>
                  </w:r>
                  <w:r>
                    <w:rPr>
                      <w:rFonts w:hint="default"/>
                      <w:lang w:val="en-US" w:eastAsia="zh-CN"/>
                    </w:rPr>
                    <w:t>最大8小时平均</w:t>
                  </w:r>
                </w:p>
              </w:tc>
              <w:tc>
                <w:tcPr>
                  <w:tcW w:w="682" w:type="pct"/>
                  <w:tcBorders>
                    <w:tl2br w:val="nil"/>
                    <w:tr2bl w:val="nil"/>
                  </w:tcBorders>
                  <w:noWrap w:val="0"/>
                  <w:vAlign w:val="center"/>
                </w:tcPr>
                <w:p w14:paraId="44D41CBA">
                  <w:pPr>
                    <w:pStyle w:val="5"/>
                    <w:bidi w:val="0"/>
                    <w:rPr>
                      <w:rFonts w:hint="default"/>
                      <w:lang w:val="en-US" w:eastAsia="zh-CN"/>
                    </w:rPr>
                  </w:pPr>
                  <w:r>
                    <w:rPr>
                      <w:rFonts w:hint="eastAsia"/>
                      <w:lang w:val="en-US" w:eastAsia="zh-CN"/>
                    </w:rPr>
                    <w:t>118</w:t>
                  </w:r>
                </w:p>
              </w:tc>
              <w:tc>
                <w:tcPr>
                  <w:tcW w:w="862" w:type="pct"/>
                  <w:tcBorders>
                    <w:tl2br w:val="nil"/>
                    <w:tr2bl w:val="nil"/>
                  </w:tcBorders>
                  <w:noWrap w:val="0"/>
                  <w:vAlign w:val="center"/>
                </w:tcPr>
                <w:p w14:paraId="66584336">
                  <w:pPr>
                    <w:pStyle w:val="5"/>
                    <w:bidi w:val="0"/>
                  </w:pPr>
                  <w:r>
                    <w:rPr>
                      <w:rFonts w:hint="eastAsia"/>
                      <w:lang w:val="en-US" w:eastAsia="zh-CN"/>
                    </w:rPr>
                    <w:t>160</w:t>
                  </w:r>
                </w:p>
              </w:tc>
              <w:tc>
                <w:tcPr>
                  <w:tcW w:w="631" w:type="pct"/>
                  <w:tcBorders>
                    <w:tl2br w:val="nil"/>
                    <w:tr2bl w:val="nil"/>
                  </w:tcBorders>
                  <w:noWrap w:val="0"/>
                  <w:vAlign w:val="center"/>
                </w:tcPr>
                <w:p w14:paraId="43FCF1CE">
                  <w:pPr>
                    <w:pStyle w:val="5"/>
                    <w:bidi w:val="0"/>
                    <w:rPr>
                      <w:rFonts w:hint="default"/>
                      <w:lang w:val="en-US" w:eastAsia="zh-CN"/>
                    </w:rPr>
                  </w:pPr>
                  <w:r>
                    <w:rPr>
                      <w:rFonts w:hint="eastAsia"/>
                      <w:lang w:val="en-US" w:eastAsia="zh-CN"/>
                    </w:rPr>
                    <w:t>74</w:t>
                  </w:r>
                </w:p>
              </w:tc>
              <w:tc>
                <w:tcPr>
                  <w:tcW w:w="804" w:type="pct"/>
                  <w:tcBorders>
                    <w:tl2br w:val="nil"/>
                    <w:tr2bl w:val="nil"/>
                  </w:tcBorders>
                  <w:noWrap w:val="0"/>
                  <w:vAlign w:val="center"/>
                </w:tcPr>
                <w:p w14:paraId="5F2736E0">
                  <w:pPr>
                    <w:pStyle w:val="5"/>
                    <w:bidi w:val="0"/>
                    <w:rPr>
                      <w:rFonts w:hint="eastAsia"/>
                    </w:rPr>
                  </w:pPr>
                  <w:r>
                    <w:rPr>
                      <w:rFonts w:hint="default"/>
                      <w:lang w:eastAsia="zh-CN"/>
                    </w:rPr>
                    <w:t>达标</w:t>
                  </w:r>
                </w:p>
              </w:tc>
            </w:tr>
            <w:tr w14:paraId="1B0E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825" w:type="pct"/>
                  <w:vMerge w:val="restart"/>
                  <w:tcBorders>
                    <w:tl2br w:val="nil"/>
                    <w:tr2bl w:val="nil"/>
                  </w:tcBorders>
                  <w:noWrap w:val="0"/>
                  <w:vAlign w:val="center"/>
                </w:tcPr>
                <w:p w14:paraId="44C15D0A">
                  <w:pPr>
                    <w:pStyle w:val="5"/>
                    <w:bidi w:val="0"/>
                  </w:pPr>
                  <w:r>
                    <w:rPr>
                      <w:rFonts w:hint="eastAsia"/>
                    </w:rPr>
                    <w:t>PM</w:t>
                  </w:r>
                  <w:r>
                    <w:rPr>
                      <w:rFonts w:hint="eastAsia"/>
                      <w:vertAlign w:val="subscript"/>
                    </w:rPr>
                    <w:t>10</w:t>
                  </w:r>
                </w:p>
              </w:tc>
              <w:tc>
                <w:tcPr>
                  <w:tcW w:w="1193" w:type="pct"/>
                  <w:tcBorders>
                    <w:tl2br w:val="nil"/>
                    <w:tr2bl w:val="nil"/>
                  </w:tcBorders>
                  <w:noWrap w:val="0"/>
                  <w:vAlign w:val="center"/>
                </w:tcPr>
                <w:p w14:paraId="2C412E3E">
                  <w:pPr>
                    <w:pStyle w:val="5"/>
                    <w:bidi w:val="0"/>
                    <w:rPr>
                      <w:rFonts w:hint="default"/>
                      <w:lang w:val="en-US" w:eastAsia="zh-CN"/>
                    </w:rPr>
                  </w:pPr>
                  <w:r>
                    <w:rPr>
                      <w:rFonts w:hint="default"/>
                      <w:lang w:val="en-US" w:eastAsia="zh-CN"/>
                    </w:rPr>
                    <w:t>年平均</w:t>
                  </w:r>
                </w:p>
              </w:tc>
              <w:tc>
                <w:tcPr>
                  <w:tcW w:w="682" w:type="pct"/>
                  <w:tcBorders>
                    <w:tl2br w:val="nil"/>
                    <w:tr2bl w:val="nil"/>
                  </w:tcBorders>
                  <w:noWrap w:val="0"/>
                  <w:vAlign w:val="center"/>
                </w:tcPr>
                <w:p w14:paraId="665C7936">
                  <w:pPr>
                    <w:pStyle w:val="5"/>
                    <w:bidi w:val="0"/>
                    <w:rPr>
                      <w:rFonts w:hint="default"/>
                      <w:lang w:val="en-US" w:eastAsia="zh-CN"/>
                    </w:rPr>
                  </w:pPr>
                  <w:r>
                    <w:rPr>
                      <w:rFonts w:hint="eastAsia"/>
                      <w:lang w:val="en-US" w:eastAsia="zh-CN"/>
                    </w:rPr>
                    <w:t>171</w:t>
                  </w:r>
                </w:p>
              </w:tc>
              <w:tc>
                <w:tcPr>
                  <w:tcW w:w="862" w:type="pct"/>
                  <w:tcBorders>
                    <w:tl2br w:val="nil"/>
                    <w:tr2bl w:val="nil"/>
                  </w:tcBorders>
                  <w:noWrap w:val="0"/>
                  <w:vAlign w:val="center"/>
                </w:tcPr>
                <w:p w14:paraId="4BF174EA">
                  <w:pPr>
                    <w:pStyle w:val="5"/>
                    <w:bidi w:val="0"/>
                  </w:pPr>
                  <w:r>
                    <w:rPr>
                      <w:rFonts w:hint="eastAsia"/>
                      <w:lang w:val="en-US" w:eastAsia="zh-CN"/>
                    </w:rPr>
                    <w:t>60</w:t>
                  </w:r>
                </w:p>
              </w:tc>
              <w:tc>
                <w:tcPr>
                  <w:tcW w:w="631" w:type="pct"/>
                  <w:tcBorders>
                    <w:tl2br w:val="nil"/>
                    <w:tr2bl w:val="nil"/>
                  </w:tcBorders>
                  <w:noWrap w:val="0"/>
                  <w:vAlign w:val="center"/>
                </w:tcPr>
                <w:p w14:paraId="4A515DDF">
                  <w:pPr>
                    <w:pStyle w:val="5"/>
                    <w:bidi w:val="0"/>
                    <w:rPr>
                      <w:rFonts w:hint="default"/>
                      <w:lang w:val="en-US" w:eastAsia="zh-CN"/>
                    </w:rPr>
                  </w:pPr>
                  <w:r>
                    <w:rPr>
                      <w:rFonts w:hint="eastAsia"/>
                      <w:lang w:val="en-US" w:eastAsia="zh-CN"/>
                    </w:rPr>
                    <w:t>284</w:t>
                  </w:r>
                </w:p>
              </w:tc>
              <w:tc>
                <w:tcPr>
                  <w:tcW w:w="804" w:type="pct"/>
                  <w:tcBorders>
                    <w:tl2br w:val="nil"/>
                    <w:tr2bl w:val="nil"/>
                  </w:tcBorders>
                  <w:noWrap w:val="0"/>
                  <w:vAlign w:val="center"/>
                </w:tcPr>
                <w:p w14:paraId="122E3CAE">
                  <w:pPr>
                    <w:pStyle w:val="5"/>
                    <w:bidi w:val="0"/>
                    <w:rPr>
                      <w:rFonts w:hint="eastAsia"/>
                    </w:rPr>
                  </w:pPr>
                  <w:r>
                    <w:rPr>
                      <w:rFonts w:hint="eastAsia"/>
                      <w:lang w:val="en-US" w:eastAsia="zh-CN"/>
                    </w:rPr>
                    <w:t>超标</w:t>
                  </w:r>
                </w:p>
              </w:tc>
            </w:tr>
            <w:tr w14:paraId="722D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pct"/>
                  <w:vMerge w:val="continue"/>
                  <w:tcBorders>
                    <w:tl2br w:val="nil"/>
                    <w:tr2bl w:val="nil"/>
                  </w:tcBorders>
                  <w:noWrap w:val="0"/>
                  <w:vAlign w:val="center"/>
                </w:tcPr>
                <w:p w14:paraId="1F0533B1">
                  <w:pPr>
                    <w:pStyle w:val="5"/>
                    <w:bidi w:val="0"/>
                  </w:pPr>
                </w:p>
              </w:tc>
              <w:tc>
                <w:tcPr>
                  <w:tcW w:w="1193" w:type="pct"/>
                  <w:tcBorders>
                    <w:tl2br w:val="nil"/>
                    <w:tr2bl w:val="nil"/>
                  </w:tcBorders>
                  <w:noWrap w:val="0"/>
                  <w:vAlign w:val="center"/>
                </w:tcPr>
                <w:p w14:paraId="6EADB583">
                  <w:pPr>
                    <w:pStyle w:val="5"/>
                    <w:bidi w:val="0"/>
                    <w:rPr>
                      <w:rFonts w:hint="default"/>
                      <w:lang w:val="en-US" w:eastAsia="zh-CN"/>
                    </w:rPr>
                  </w:pPr>
                  <w:r>
                    <w:rPr>
                      <w:rFonts w:hint="eastAsia"/>
                      <w:lang w:val="en-US" w:eastAsia="zh-CN"/>
                    </w:rPr>
                    <w:t>日均值</w:t>
                  </w:r>
                </w:p>
              </w:tc>
              <w:tc>
                <w:tcPr>
                  <w:tcW w:w="682" w:type="pct"/>
                  <w:tcBorders>
                    <w:tl2br w:val="nil"/>
                    <w:tr2bl w:val="nil"/>
                  </w:tcBorders>
                  <w:noWrap w:val="0"/>
                  <w:vAlign w:val="center"/>
                </w:tcPr>
                <w:p w14:paraId="7F9F6C21">
                  <w:pPr>
                    <w:pStyle w:val="5"/>
                    <w:bidi w:val="0"/>
                    <w:rPr>
                      <w:rFonts w:hint="default"/>
                      <w:lang w:val="en-US" w:eastAsia="zh-CN"/>
                    </w:rPr>
                  </w:pPr>
                  <w:r>
                    <w:rPr>
                      <w:rFonts w:hint="eastAsia"/>
                      <w:lang w:val="en-US" w:eastAsia="zh-CN"/>
                    </w:rPr>
                    <w:t>481</w:t>
                  </w:r>
                </w:p>
              </w:tc>
              <w:tc>
                <w:tcPr>
                  <w:tcW w:w="862" w:type="pct"/>
                  <w:tcBorders>
                    <w:tl2br w:val="nil"/>
                    <w:tr2bl w:val="nil"/>
                  </w:tcBorders>
                  <w:noWrap w:val="0"/>
                  <w:vAlign w:val="center"/>
                </w:tcPr>
                <w:p w14:paraId="04893837">
                  <w:pPr>
                    <w:pStyle w:val="5"/>
                    <w:bidi w:val="0"/>
                  </w:pPr>
                  <w:r>
                    <w:rPr>
                      <w:rFonts w:hint="eastAsia"/>
                      <w:lang w:val="en-US" w:eastAsia="zh-CN"/>
                    </w:rPr>
                    <w:t>120</w:t>
                  </w:r>
                </w:p>
              </w:tc>
              <w:tc>
                <w:tcPr>
                  <w:tcW w:w="631" w:type="pct"/>
                  <w:tcBorders>
                    <w:tl2br w:val="nil"/>
                    <w:tr2bl w:val="nil"/>
                  </w:tcBorders>
                  <w:noWrap w:val="0"/>
                  <w:vAlign w:val="center"/>
                </w:tcPr>
                <w:p w14:paraId="15F10752">
                  <w:pPr>
                    <w:pStyle w:val="5"/>
                    <w:bidi w:val="0"/>
                    <w:rPr>
                      <w:rFonts w:hint="default"/>
                      <w:lang w:val="en-US" w:eastAsia="zh-CN"/>
                    </w:rPr>
                  </w:pPr>
                  <w:r>
                    <w:rPr>
                      <w:rFonts w:hint="eastAsia"/>
                      <w:lang w:val="en-US" w:eastAsia="zh-CN"/>
                    </w:rPr>
                    <w:t>401</w:t>
                  </w:r>
                </w:p>
              </w:tc>
              <w:tc>
                <w:tcPr>
                  <w:tcW w:w="804" w:type="pct"/>
                  <w:tcBorders>
                    <w:tl2br w:val="nil"/>
                    <w:tr2bl w:val="nil"/>
                  </w:tcBorders>
                  <w:noWrap w:val="0"/>
                  <w:vAlign w:val="center"/>
                </w:tcPr>
                <w:p w14:paraId="08EA310B">
                  <w:pPr>
                    <w:pStyle w:val="5"/>
                    <w:bidi w:val="0"/>
                    <w:rPr>
                      <w:rFonts w:hint="eastAsia"/>
                    </w:rPr>
                  </w:pPr>
                  <w:r>
                    <w:rPr>
                      <w:rFonts w:hint="eastAsia"/>
                      <w:lang w:val="en-US" w:eastAsia="zh-CN"/>
                    </w:rPr>
                    <w:t>超标</w:t>
                  </w:r>
                </w:p>
              </w:tc>
            </w:tr>
            <w:tr w14:paraId="1B92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pct"/>
                  <w:vMerge w:val="restart"/>
                  <w:tcBorders>
                    <w:tl2br w:val="nil"/>
                    <w:tr2bl w:val="nil"/>
                  </w:tcBorders>
                  <w:noWrap w:val="0"/>
                  <w:vAlign w:val="center"/>
                </w:tcPr>
                <w:p w14:paraId="4D272AD9">
                  <w:pPr>
                    <w:pStyle w:val="5"/>
                    <w:bidi w:val="0"/>
                  </w:pPr>
                  <w:r>
                    <w:rPr>
                      <w:rFonts w:hint="eastAsia"/>
                    </w:rPr>
                    <w:t>PM</w:t>
                  </w:r>
                  <w:r>
                    <w:rPr>
                      <w:rFonts w:hint="eastAsia"/>
                      <w:vertAlign w:val="subscript"/>
                    </w:rPr>
                    <w:t>2.5</w:t>
                  </w:r>
                </w:p>
              </w:tc>
              <w:tc>
                <w:tcPr>
                  <w:tcW w:w="1193" w:type="pct"/>
                  <w:tcBorders>
                    <w:tl2br w:val="nil"/>
                    <w:tr2bl w:val="nil"/>
                  </w:tcBorders>
                  <w:noWrap w:val="0"/>
                  <w:vAlign w:val="center"/>
                </w:tcPr>
                <w:p w14:paraId="484E7E9F">
                  <w:pPr>
                    <w:pStyle w:val="5"/>
                    <w:bidi w:val="0"/>
                    <w:rPr>
                      <w:rFonts w:hint="default"/>
                      <w:lang w:val="en-US" w:eastAsia="zh-CN"/>
                    </w:rPr>
                  </w:pPr>
                  <w:r>
                    <w:rPr>
                      <w:rFonts w:hint="default"/>
                      <w:lang w:val="en-US" w:eastAsia="zh-CN"/>
                    </w:rPr>
                    <w:t>年平均</w:t>
                  </w:r>
                </w:p>
              </w:tc>
              <w:tc>
                <w:tcPr>
                  <w:tcW w:w="682" w:type="pct"/>
                  <w:tcBorders>
                    <w:tl2br w:val="nil"/>
                    <w:tr2bl w:val="nil"/>
                  </w:tcBorders>
                  <w:noWrap w:val="0"/>
                  <w:vAlign w:val="center"/>
                </w:tcPr>
                <w:p w14:paraId="4DD495F2">
                  <w:pPr>
                    <w:pStyle w:val="5"/>
                    <w:bidi w:val="0"/>
                    <w:rPr>
                      <w:rFonts w:hint="default"/>
                      <w:lang w:val="en-US" w:eastAsia="zh-CN"/>
                    </w:rPr>
                  </w:pPr>
                  <w:r>
                    <w:rPr>
                      <w:rFonts w:hint="eastAsia"/>
                      <w:lang w:val="en-US" w:eastAsia="zh-CN"/>
                    </w:rPr>
                    <w:t>52</w:t>
                  </w:r>
                </w:p>
              </w:tc>
              <w:tc>
                <w:tcPr>
                  <w:tcW w:w="862" w:type="pct"/>
                  <w:tcBorders>
                    <w:tl2br w:val="nil"/>
                    <w:tr2bl w:val="nil"/>
                  </w:tcBorders>
                  <w:noWrap w:val="0"/>
                  <w:vAlign w:val="center"/>
                </w:tcPr>
                <w:p w14:paraId="21605ED8">
                  <w:pPr>
                    <w:pStyle w:val="5"/>
                    <w:bidi w:val="0"/>
                  </w:pPr>
                  <w:r>
                    <w:rPr>
                      <w:rFonts w:hint="eastAsia"/>
                      <w:lang w:val="en-US" w:eastAsia="zh-CN"/>
                    </w:rPr>
                    <w:t>30</w:t>
                  </w:r>
                </w:p>
              </w:tc>
              <w:tc>
                <w:tcPr>
                  <w:tcW w:w="631" w:type="pct"/>
                  <w:tcBorders>
                    <w:tl2br w:val="nil"/>
                    <w:tr2bl w:val="nil"/>
                  </w:tcBorders>
                  <w:noWrap w:val="0"/>
                  <w:vAlign w:val="center"/>
                </w:tcPr>
                <w:p w14:paraId="418B73E5">
                  <w:pPr>
                    <w:pStyle w:val="5"/>
                    <w:bidi w:val="0"/>
                    <w:rPr>
                      <w:rFonts w:hint="default"/>
                      <w:lang w:val="en-US" w:eastAsia="zh-CN"/>
                    </w:rPr>
                  </w:pPr>
                  <w:r>
                    <w:rPr>
                      <w:rFonts w:hint="eastAsia"/>
                      <w:lang w:val="en-US" w:eastAsia="zh-CN"/>
                    </w:rPr>
                    <w:t>173</w:t>
                  </w:r>
                </w:p>
              </w:tc>
              <w:tc>
                <w:tcPr>
                  <w:tcW w:w="804" w:type="pct"/>
                  <w:tcBorders>
                    <w:tl2br w:val="nil"/>
                    <w:tr2bl w:val="nil"/>
                  </w:tcBorders>
                  <w:noWrap w:val="0"/>
                  <w:vAlign w:val="center"/>
                </w:tcPr>
                <w:p w14:paraId="3A26C6F9">
                  <w:pPr>
                    <w:pStyle w:val="5"/>
                    <w:bidi w:val="0"/>
                    <w:rPr>
                      <w:rFonts w:hint="eastAsia"/>
                    </w:rPr>
                  </w:pPr>
                  <w:r>
                    <w:rPr>
                      <w:rFonts w:hint="eastAsia"/>
                      <w:lang w:val="en-US" w:eastAsia="zh-CN"/>
                    </w:rPr>
                    <w:t>超标</w:t>
                  </w:r>
                </w:p>
              </w:tc>
            </w:tr>
            <w:tr w14:paraId="25F7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pct"/>
                  <w:vMerge w:val="continue"/>
                  <w:tcBorders>
                    <w:tl2br w:val="nil"/>
                    <w:tr2bl w:val="nil"/>
                  </w:tcBorders>
                  <w:noWrap w:val="0"/>
                  <w:vAlign w:val="center"/>
                </w:tcPr>
                <w:p w14:paraId="05458889">
                  <w:pPr>
                    <w:pStyle w:val="5"/>
                    <w:bidi w:val="0"/>
                  </w:pPr>
                </w:p>
              </w:tc>
              <w:tc>
                <w:tcPr>
                  <w:tcW w:w="1193" w:type="pct"/>
                  <w:tcBorders>
                    <w:tl2br w:val="nil"/>
                    <w:tr2bl w:val="nil"/>
                  </w:tcBorders>
                  <w:noWrap w:val="0"/>
                  <w:vAlign w:val="center"/>
                </w:tcPr>
                <w:p w14:paraId="78D9F4BE">
                  <w:pPr>
                    <w:pStyle w:val="5"/>
                    <w:bidi w:val="0"/>
                    <w:rPr>
                      <w:rFonts w:hint="default"/>
                      <w:lang w:val="en-US" w:eastAsia="zh-CN"/>
                    </w:rPr>
                  </w:pPr>
                  <w:r>
                    <w:rPr>
                      <w:rFonts w:hint="eastAsia"/>
                      <w:lang w:val="en-US" w:eastAsia="zh-CN"/>
                    </w:rPr>
                    <w:t>日均值</w:t>
                  </w:r>
                </w:p>
              </w:tc>
              <w:tc>
                <w:tcPr>
                  <w:tcW w:w="682" w:type="pct"/>
                  <w:tcBorders>
                    <w:tl2br w:val="nil"/>
                    <w:tr2bl w:val="nil"/>
                  </w:tcBorders>
                  <w:noWrap w:val="0"/>
                  <w:vAlign w:val="center"/>
                </w:tcPr>
                <w:p w14:paraId="72B6CEC7">
                  <w:pPr>
                    <w:pStyle w:val="5"/>
                    <w:bidi w:val="0"/>
                    <w:rPr>
                      <w:rFonts w:hint="default"/>
                      <w:lang w:val="en-US" w:eastAsia="zh-CN"/>
                    </w:rPr>
                  </w:pPr>
                  <w:r>
                    <w:rPr>
                      <w:rFonts w:hint="eastAsia"/>
                      <w:lang w:val="en-US" w:eastAsia="zh-CN"/>
                    </w:rPr>
                    <w:t>123</w:t>
                  </w:r>
                </w:p>
              </w:tc>
              <w:tc>
                <w:tcPr>
                  <w:tcW w:w="862" w:type="pct"/>
                  <w:tcBorders>
                    <w:tl2br w:val="nil"/>
                    <w:tr2bl w:val="nil"/>
                  </w:tcBorders>
                  <w:noWrap w:val="0"/>
                  <w:vAlign w:val="center"/>
                </w:tcPr>
                <w:p w14:paraId="1C8339BA">
                  <w:pPr>
                    <w:pStyle w:val="5"/>
                    <w:bidi w:val="0"/>
                  </w:pPr>
                  <w:r>
                    <w:rPr>
                      <w:rFonts w:hint="eastAsia"/>
                      <w:lang w:val="en-US" w:eastAsia="zh-CN"/>
                    </w:rPr>
                    <w:t>60</w:t>
                  </w:r>
                </w:p>
              </w:tc>
              <w:tc>
                <w:tcPr>
                  <w:tcW w:w="631" w:type="pct"/>
                  <w:tcBorders>
                    <w:tl2br w:val="nil"/>
                    <w:tr2bl w:val="nil"/>
                  </w:tcBorders>
                  <w:noWrap w:val="0"/>
                  <w:vAlign w:val="center"/>
                </w:tcPr>
                <w:p w14:paraId="1470DBCC">
                  <w:pPr>
                    <w:pStyle w:val="5"/>
                    <w:bidi w:val="0"/>
                    <w:rPr>
                      <w:rFonts w:hint="default"/>
                      <w:lang w:val="en-US" w:eastAsia="zh-CN"/>
                    </w:rPr>
                  </w:pPr>
                  <w:r>
                    <w:rPr>
                      <w:rFonts w:hint="eastAsia"/>
                      <w:lang w:val="en-US" w:eastAsia="zh-CN"/>
                    </w:rPr>
                    <w:t>205</w:t>
                  </w:r>
                </w:p>
              </w:tc>
              <w:tc>
                <w:tcPr>
                  <w:tcW w:w="804" w:type="pct"/>
                  <w:tcBorders>
                    <w:tl2br w:val="nil"/>
                    <w:tr2bl w:val="nil"/>
                  </w:tcBorders>
                  <w:noWrap w:val="0"/>
                  <w:vAlign w:val="center"/>
                </w:tcPr>
                <w:p w14:paraId="747A62A8">
                  <w:pPr>
                    <w:pStyle w:val="5"/>
                    <w:bidi w:val="0"/>
                    <w:rPr>
                      <w:rFonts w:hint="eastAsia"/>
                    </w:rPr>
                  </w:pPr>
                  <w:r>
                    <w:rPr>
                      <w:rFonts w:hint="eastAsia"/>
                      <w:lang w:val="en-US" w:eastAsia="zh-CN"/>
                    </w:rPr>
                    <w:t>超标</w:t>
                  </w:r>
                </w:p>
              </w:tc>
            </w:tr>
          </w:tbl>
          <w:p w14:paraId="0B3EFE0C">
            <w:pPr>
              <w:bidi w:val="0"/>
              <w:rPr>
                <w:color w:val="auto"/>
                <w:sz w:val="24"/>
                <w:highlight w:val="none"/>
              </w:rPr>
            </w:pPr>
            <w:r>
              <w:rPr>
                <w:color w:val="auto"/>
                <w:sz w:val="24"/>
                <w:highlight w:val="none"/>
              </w:rPr>
              <w:t>根据上表基本污染物的年评价指标的分析结果，本项目所在区域SO</w:t>
            </w:r>
            <w:r>
              <w:rPr>
                <w:color w:val="auto"/>
                <w:sz w:val="24"/>
                <w:highlight w:val="none"/>
                <w:vertAlign w:val="subscript"/>
              </w:rPr>
              <w:t>2</w:t>
            </w:r>
            <w:r>
              <w:rPr>
                <w:color w:val="auto"/>
                <w:sz w:val="24"/>
                <w:highlight w:val="none"/>
              </w:rPr>
              <w:t>、NO</w:t>
            </w:r>
            <w:r>
              <w:rPr>
                <w:color w:val="auto"/>
                <w:sz w:val="24"/>
                <w:highlight w:val="none"/>
                <w:vertAlign w:val="subscript"/>
              </w:rPr>
              <w:t>2</w:t>
            </w:r>
            <w:r>
              <w:rPr>
                <w:color w:val="auto"/>
                <w:sz w:val="24"/>
                <w:highlight w:val="none"/>
              </w:rPr>
              <w:t>、CO和O</w:t>
            </w:r>
            <w:r>
              <w:rPr>
                <w:color w:val="auto"/>
                <w:sz w:val="24"/>
                <w:highlight w:val="none"/>
                <w:vertAlign w:val="subscript"/>
              </w:rPr>
              <w:t>3</w:t>
            </w:r>
            <w:r>
              <w:rPr>
                <w:color w:val="auto"/>
                <w:sz w:val="24"/>
                <w:highlight w:val="none"/>
              </w:rPr>
              <w:t>年平均浓度满足</w:t>
            </w:r>
            <w:r>
              <w:rPr>
                <w:rFonts w:hint="default"/>
                <w:color w:val="auto"/>
                <w:sz w:val="24"/>
                <w:highlight w:val="none"/>
                <w:lang w:val="en-US" w:eastAsia="zh-CN"/>
              </w:rPr>
              <w:t>《环境空气质量标准》</w:t>
            </w:r>
            <w:r>
              <w:rPr>
                <w:rFonts w:hint="eastAsia"/>
                <w:color w:val="auto"/>
                <w:sz w:val="24"/>
                <w:highlight w:val="none"/>
                <w:lang w:val="en-US" w:eastAsia="zh-CN"/>
              </w:rPr>
              <w:t>（GB3095-2026）</w:t>
            </w:r>
            <w:r>
              <w:rPr>
                <w:rFonts w:hint="default"/>
                <w:color w:val="auto"/>
                <w:sz w:val="24"/>
                <w:highlight w:val="none"/>
                <w:lang w:val="en-US" w:eastAsia="zh-CN"/>
              </w:rPr>
              <w:t>过渡阶段</w:t>
            </w:r>
            <w:r>
              <w:rPr>
                <w:rFonts w:hint="eastAsia"/>
                <w:color w:val="auto"/>
                <w:sz w:val="24"/>
                <w:highlight w:val="none"/>
                <w:lang w:val="en-US" w:eastAsia="zh-CN"/>
              </w:rPr>
              <w:t>的</w:t>
            </w:r>
            <w:r>
              <w:rPr>
                <w:rFonts w:hint="default"/>
                <w:color w:val="auto"/>
                <w:sz w:val="24"/>
                <w:highlight w:val="none"/>
                <w:lang w:val="en-US" w:eastAsia="zh-CN"/>
              </w:rPr>
              <w:t>二级标准</w:t>
            </w:r>
            <w:r>
              <w:rPr>
                <w:color w:val="auto"/>
                <w:sz w:val="24"/>
                <w:highlight w:val="none"/>
              </w:rPr>
              <w:t>，PM</w:t>
            </w:r>
            <w:r>
              <w:rPr>
                <w:color w:val="auto"/>
                <w:sz w:val="24"/>
                <w:highlight w:val="none"/>
                <w:vertAlign w:val="subscript"/>
              </w:rPr>
              <w:t>10</w:t>
            </w:r>
            <w:r>
              <w:rPr>
                <w:color w:val="auto"/>
                <w:sz w:val="24"/>
                <w:highlight w:val="none"/>
              </w:rPr>
              <w:t>、PM</w:t>
            </w:r>
            <w:r>
              <w:rPr>
                <w:color w:val="auto"/>
                <w:sz w:val="24"/>
                <w:highlight w:val="none"/>
                <w:vertAlign w:val="subscript"/>
              </w:rPr>
              <w:t>2.5</w:t>
            </w:r>
            <w:r>
              <w:rPr>
                <w:color w:val="auto"/>
                <w:sz w:val="24"/>
                <w:highlight w:val="none"/>
              </w:rPr>
              <w:t>年平均浓度超过</w:t>
            </w:r>
            <w:r>
              <w:rPr>
                <w:rFonts w:hint="default"/>
                <w:color w:val="auto"/>
                <w:sz w:val="24"/>
                <w:highlight w:val="none"/>
                <w:lang w:val="en-US" w:eastAsia="zh-CN"/>
              </w:rPr>
              <w:t>《环境空气质量标准》</w:t>
            </w:r>
            <w:r>
              <w:rPr>
                <w:rFonts w:hint="eastAsia"/>
                <w:color w:val="auto"/>
                <w:sz w:val="24"/>
                <w:highlight w:val="none"/>
                <w:lang w:val="en-US" w:eastAsia="zh-CN"/>
              </w:rPr>
              <w:t>（GB3095-2026）</w:t>
            </w:r>
            <w:r>
              <w:rPr>
                <w:rFonts w:hint="default"/>
                <w:color w:val="auto"/>
                <w:sz w:val="24"/>
                <w:highlight w:val="none"/>
                <w:lang w:val="en-US" w:eastAsia="zh-CN"/>
              </w:rPr>
              <w:t>过渡阶段</w:t>
            </w:r>
            <w:r>
              <w:rPr>
                <w:rFonts w:hint="eastAsia"/>
                <w:color w:val="auto"/>
                <w:sz w:val="24"/>
                <w:highlight w:val="none"/>
                <w:lang w:val="en-US" w:eastAsia="zh-CN"/>
              </w:rPr>
              <w:t>的</w:t>
            </w:r>
            <w:r>
              <w:rPr>
                <w:rFonts w:hint="default"/>
                <w:color w:val="auto"/>
                <w:sz w:val="24"/>
                <w:highlight w:val="none"/>
                <w:lang w:val="en-US" w:eastAsia="zh-CN"/>
              </w:rPr>
              <w:t>二级标准</w:t>
            </w:r>
            <w:r>
              <w:rPr>
                <w:color w:val="auto"/>
                <w:sz w:val="24"/>
                <w:highlight w:val="none"/>
              </w:rPr>
              <w:t>，超标原因为项目区地处南疆，位于沙漠边缘，受沙尘天气影响，本项目所在区域为非达标区域。</w:t>
            </w:r>
          </w:p>
          <w:p w14:paraId="47E1760E">
            <w:pPr>
              <w:pStyle w:val="2"/>
              <w:bidi w:val="0"/>
              <w:rPr>
                <w:lang w:val="en-US" w:eastAsia="zh-CN"/>
              </w:rPr>
            </w:pPr>
            <w:r>
              <w:rPr>
                <w:lang w:val="en-US" w:eastAsia="zh-CN"/>
              </w:rPr>
              <w:t>2</w:t>
            </w:r>
            <w:r>
              <w:rPr>
                <w:rFonts w:hint="eastAsia"/>
                <w:lang w:val="en-US" w:eastAsia="zh-CN"/>
              </w:rPr>
              <w:t xml:space="preserve"> </w:t>
            </w:r>
            <w:r>
              <w:rPr>
                <w:lang w:val="en-US" w:eastAsia="zh-CN"/>
              </w:rPr>
              <w:t>水环境质量现状调查与评价</w:t>
            </w:r>
          </w:p>
          <w:p w14:paraId="5F56CBCD">
            <w:pPr>
              <w:bidi w:val="0"/>
              <w:rPr>
                <w:lang w:val="en-US" w:eastAsia="zh-CN"/>
              </w:rPr>
            </w:pPr>
            <w:r>
              <w:rPr>
                <w:rFonts w:hint="default"/>
                <w:lang w:val="en-US" w:eastAsia="zh-CN"/>
              </w:rPr>
              <w:t>项目所在地最近地表水体为东侧</w:t>
            </w:r>
            <w:r>
              <w:rPr>
                <w:rFonts w:hint="eastAsia"/>
                <w:lang w:val="en-US" w:eastAsia="zh-CN"/>
              </w:rPr>
              <w:t>7775</w:t>
            </w:r>
            <w:r>
              <w:rPr>
                <w:rFonts w:hint="default"/>
                <w:lang w:val="en-US" w:eastAsia="zh-CN"/>
              </w:rPr>
              <w:t>m</w:t>
            </w:r>
            <w:r>
              <w:rPr>
                <w:rFonts w:hint="eastAsia"/>
                <w:lang w:val="en-US" w:eastAsia="zh-CN"/>
              </w:rPr>
              <w:t>的阿克墩力克阿克其克厄肯</w:t>
            </w:r>
            <w:r>
              <w:rPr>
                <w:rFonts w:hint="default"/>
                <w:lang w:val="en-US" w:eastAsia="zh-CN"/>
              </w:rPr>
              <w:t>支渠，其源头为迪那河，根据巴州人民政府发布的《202</w:t>
            </w:r>
            <w:r>
              <w:rPr>
                <w:rFonts w:hint="eastAsia"/>
                <w:lang w:val="en-US" w:eastAsia="zh-CN"/>
              </w:rPr>
              <w:t>4</w:t>
            </w:r>
            <w:r>
              <w:rPr>
                <w:rFonts w:hint="default"/>
                <w:lang w:val="en-US" w:eastAsia="zh-CN"/>
              </w:rPr>
              <w:t>年巴音郭楞蒙古自治州环境状况公报》</w:t>
            </w:r>
            <w:r>
              <w:rPr>
                <w:rFonts w:hint="eastAsia"/>
                <w:lang w:val="en-US" w:eastAsia="zh-CN"/>
              </w:rPr>
              <w:t>可知：2024年迪那河水质为优，4个监测</w:t>
            </w:r>
            <w:r>
              <w:rPr>
                <w:rFonts w:hint="default"/>
                <w:lang w:val="en-US" w:eastAsia="zh-CN"/>
              </w:rPr>
              <w:t>断面中，Ⅰ~Ⅲ类水质断面占100%，与2023年相比无变化，</w:t>
            </w:r>
            <w:r>
              <w:rPr>
                <w:rFonts w:hint="eastAsia"/>
                <w:lang w:val="en-US" w:eastAsia="zh-CN"/>
              </w:rPr>
              <w:t>迪那河</w:t>
            </w:r>
            <w:r>
              <w:rPr>
                <w:rFonts w:hint="default"/>
                <w:lang w:val="en-US" w:eastAsia="zh-CN"/>
              </w:rPr>
              <w:t>水质</w:t>
            </w:r>
            <w:r>
              <w:rPr>
                <w:rFonts w:hint="eastAsia"/>
                <w:lang w:val="en-US" w:eastAsia="zh-CN"/>
              </w:rPr>
              <w:t>满足</w:t>
            </w:r>
            <w:r>
              <w:rPr>
                <w:rFonts w:hint="default"/>
                <w:lang w:val="en-US" w:eastAsia="zh-CN"/>
              </w:rPr>
              <w:t>《地表水环境质量标准》（GB3838-2002）中</w:t>
            </w:r>
            <w:r>
              <w:rPr>
                <w:rFonts w:hint="eastAsia"/>
                <w:lang w:val="en-US" w:eastAsia="zh-CN"/>
              </w:rPr>
              <w:t>II</w:t>
            </w:r>
            <w:r>
              <w:rPr>
                <w:rFonts w:hint="default"/>
                <w:lang w:val="en-US" w:eastAsia="zh-CN"/>
              </w:rPr>
              <w:t>类标准限值要求。</w:t>
            </w:r>
          </w:p>
          <w:p w14:paraId="56671769">
            <w:pPr>
              <w:pStyle w:val="2"/>
              <w:bidi w:val="0"/>
              <w:rPr>
                <w:lang w:val="en-US" w:eastAsia="zh-CN"/>
              </w:rPr>
            </w:pPr>
            <w:r>
              <w:rPr>
                <w:rFonts w:hint="eastAsia"/>
                <w:lang w:val="en-US" w:eastAsia="zh-CN"/>
              </w:rPr>
              <w:t xml:space="preserve">3 </w:t>
            </w:r>
            <w:r>
              <w:rPr>
                <w:lang w:val="en-US" w:eastAsia="zh-CN"/>
              </w:rPr>
              <w:t>声环境质量现状</w:t>
            </w:r>
          </w:p>
          <w:p w14:paraId="5910DEB1">
            <w:pPr>
              <w:bidi w:val="0"/>
              <w:rPr>
                <w:lang w:val="en-US" w:eastAsia="zh-CN"/>
              </w:rPr>
            </w:pPr>
            <w:r>
              <w:rPr>
                <w:lang w:val="en-US" w:eastAsia="zh-CN"/>
              </w:rPr>
              <w:t>根据《建设项目环境影响报告表编制技术指南》（污染影响类）（试行），本项目厂界外周边50米范围内不存在声环境保护目标，不需要监测声环境质量现状并评价达标情况。</w:t>
            </w:r>
          </w:p>
          <w:p w14:paraId="72400E59">
            <w:pPr>
              <w:pStyle w:val="2"/>
              <w:bidi w:val="0"/>
              <w:rPr>
                <w:rFonts w:hint="eastAsia"/>
                <w:lang w:val="en-US" w:eastAsia="zh-CN"/>
              </w:rPr>
            </w:pPr>
            <w:r>
              <w:rPr>
                <w:rFonts w:hint="eastAsia"/>
                <w:lang w:val="en-US" w:eastAsia="zh-CN"/>
              </w:rPr>
              <w:t>4 生态环境质量现状</w:t>
            </w:r>
          </w:p>
          <w:p w14:paraId="157D9DDB">
            <w:pPr>
              <w:bidi w:val="0"/>
              <w:rPr>
                <w:rFonts w:hint="eastAsia"/>
                <w:lang w:val="en-US" w:eastAsia="zh-CN"/>
              </w:rPr>
            </w:pPr>
            <w:r>
              <w:rPr>
                <w:rFonts w:hint="eastAsia"/>
                <w:lang w:val="en-US" w:eastAsia="zh-CN"/>
              </w:rPr>
              <w:t>根据《建设项目环境影响报告表编制技术指南（污染影响类）（试行）》，产业园区外建设项目新增用地且用地范围内含有生态环境保护目标时，应进行生态现状调查。本项目位于新疆维吾尔自治区巴音郭楞蒙古自治州轮台工业园拉依苏化工区内，用地范围内不含有生态环境保护目标，因此无需进行生态现状调查。</w:t>
            </w:r>
          </w:p>
          <w:p w14:paraId="06CD88F8">
            <w:pPr>
              <w:pStyle w:val="2"/>
              <w:bidi w:val="0"/>
              <w:rPr>
                <w:rFonts w:hint="eastAsia"/>
                <w:lang w:val="en-US" w:eastAsia="zh-CN"/>
              </w:rPr>
            </w:pPr>
            <w:r>
              <w:rPr>
                <w:rFonts w:hint="eastAsia"/>
                <w:lang w:val="en-US" w:eastAsia="zh-CN"/>
              </w:rPr>
              <w:t>5 地下水环境质量现状</w:t>
            </w:r>
          </w:p>
          <w:p w14:paraId="2C75C4CD">
            <w:pPr>
              <w:bidi w:val="0"/>
              <w:rPr>
                <w:lang w:val="en-US" w:eastAsia="zh-CN"/>
              </w:rPr>
            </w:pPr>
            <w:r>
              <w:rPr>
                <w:lang w:val="en-US" w:eastAsia="zh-CN"/>
              </w:rPr>
              <w:t>依据《建设项目环境影响报告表编制技术指南（污染影响类）（试行）》：地下水环境原则上不开展环境质量现状调查。为了解项目所在区域地下水环境质量现状，本次评价引用巴州海祥石油化工有限公司例行监测中地下水监测点数据，监测时间为</w:t>
            </w:r>
            <w:r>
              <w:rPr>
                <w:rFonts w:hint="eastAsia"/>
                <w:lang w:val="en-US" w:eastAsia="zh-CN"/>
              </w:rPr>
              <w:t>2026年7月6日</w:t>
            </w:r>
            <w:r>
              <w:rPr>
                <w:lang w:val="en-US" w:eastAsia="zh-CN"/>
              </w:rPr>
              <w:t>，监测单位为新疆中测测试有限责任公司，引用数据具有代表性和时效性。</w:t>
            </w:r>
          </w:p>
          <w:p w14:paraId="72C27657">
            <w:pPr>
              <w:keepNext w:val="0"/>
              <w:keepLines w:val="0"/>
              <w:pageBreakBefore w:val="0"/>
              <w:kinsoku/>
              <w:wordWrap/>
              <w:overflowPunct/>
              <w:topLinePunct w:val="0"/>
              <w:autoSpaceDE/>
              <w:autoSpaceDN/>
              <w:bidi w:val="0"/>
              <w:spacing w:line="520" w:lineRule="exact"/>
              <w:ind w:firstLine="480" w:firstLineChars="200"/>
              <w:rPr>
                <w:lang w:val="en-US" w:eastAsia="zh-CN"/>
              </w:rPr>
            </w:pPr>
            <w:r>
              <w:rPr>
                <w:lang w:val="en-US" w:eastAsia="zh-CN"/>
              </w:rPr>
              <w:t>（</w:t>
            </w:r>
            <w:r>
              <w:rPr>
                <w:rFonts w:hint="eastAsia"/>
                <w:lang w:val="en-US" w:eastAsia="zh-CN"/>
              </w:rPr>
              <w:t>1</w:t>
            </w:r>
            <w:r>
              <w:rPr>
                <w:lang w:val="en-US" w:eastAsia="zh-CN"/>
              </w:rPr>
              <w:t>）监测项目及分析方法</w:t>
            </w:r>
          </w:p>
          <w:p w14:paraId="54670052">
            <w:pPr>
              <w:keepNext w:val="0"/>
              <w:keepLines w:val="0"/>
              <w:pageBreakBefore w:val="0"/>
              <w:kinsoku/>
              <w:wordWrap/>
              <w:overflowPunct/>
              <w:topLinePunct w:val="0"/>
              <w:autoSpaceDE/>
              <w:autoSpaceDN/>
              <w:bidi w:val="0"/>
              <w:spacing w:line="520" w:lineRule="exact"/>
              <w:ind w:firstLine="480" w:firstLineChars="200"/>
              <w:rPr>
                <w:lang w:val="en-US" w:eastAsia="zh-CN"/>
              </w:rPr>
            </w:pPr>
            <w:r>
              <w:rPr>
                <w:lang w:val="en-US" w:eastAsia="zh-CN"/>
              </w:rPr>
              <w:t>监测项目：pH、耗氧量、BOD</w:t>
            </w:r>
            <w:r>
              <w:rPr>
                <w:vertAlign w:val="subscript"/>
                <w:lang w:val="en-US" w:eastAsia="zh-CN"/>
              </w:rPr>
              <w:t>5</w:t>
            </w:r>
            <w:r>
              <w:rPr>
                <w:lang w:val="en-US" w:eastAsia="zh-CN"/>
              </w:rPr>
              <w:t>、硫化物、总铬、氟化物、氨氮、挥发酚、六价铬、总磷、汞、砷、镍、铜、锌、铅、镉、矾、石油类、可吸附有机卤素（AOX）、总有机碳、苯、甲苯、乙苯、二甲苯，共计2</w:t>
            </w:r>
            <w:r>
              <w:rPr>
                <w:rFonts w:hint="eastAsia"/>
                <w:lang w:val="en-US" w:eastAsia="zh-CN"/>
              </w:rPr>
              <w:t>5</w:t>
            </w:r>
            <w:r>
              <w:rPr>
                <w:lang w:val="en-US" w:eastAsia="zh-CN"/>
              </w:rPr>
              <w:t>项。</w:t>
            </w:r>
          </w:p>
          <w:p w14:paraId="305DABC9">
            <w:pPr>
              <w:keepNext w:val="0"/>
              <w:keepLines w:val="0"/>
              <w:pageBreakBefore w:val="0"/>
              <w:kinsoku/>
              <w:wordWrap/>
              <w:overflowPunct/>
              <w:topLinePunct w:val="0"/>
              <w:autoSpaceDE/>
              <w:autoSpaceDN/>
              <w:bidi w:val="0"/>
              <w:spacing w:line="520" w:lineRule="exact"/>
              <w:ind w:firstLine="480" w:firstLineChars="200"/>
              <w:rPr>
                <w:lang w:val="en-US" w:eastAsia="zh-CN"/>
              </w:rPr>
            </w:pPr>
            <w:r>
              <w:rPr>
                <w:lang w:val="en-US" w:eastAsia="zh-CN"/>
              </w:rPr>
              <w:t>分析方法：依照国家环保局《环境水质监测质量保证手册》与《水和废水监测分析方法》的规定进行。</w:t>
            </w:r>
          </w:p>
          <w:p w14:paraId="6F162B2A">
            <w:pPr>
              <w:keepNext w:val="0"/>
              <w:keepLines w:val="0"/>
              <w:pageBreakBefore w:val="0"/>
              <w:kinsoku/>
              <w:wordWrap/>
              <w:overflowPunct/>
              <w:topLinePunct w:val="0"/>
              <w:autoSpaceDE/>
              <w:autoSpaceDN/>
              <w:bidi w:val="0"/>
              <w:spacing w:line="520" w:lineRule="exact"/>
              <w:ind w:firstLine="480" w:firstLineChars="200"/>
              <w:rPr>
                <w:lang w:val="en-US" w:eastAsia="zh-CN"/>
              </w:rPr>
            </w:pPr>
            <w:r>
              <w:rPr>
                <w:lang w:val="en-US" w:eastAsia="zh-CN"/>
              </w:rPr>
              <w:t>（</w:t>
            </w:r>
            <w:r>
              <w:rPr>
                <w:rFonts w:hint="eastAsia"/>
                <w:lang w:val="en-US" w:eastAsia="zh-CN"/>
              </w:rPr>
              <w:t>2</w:t>
            </w:r>
            <w:r>
              <w:rPr>
                <w:lang w:val="en-US" w:eastAsia="zh-CN"/>
              </w:rPr>
              <w:t>）评价标准及评价方法评价标准：采用《地下水质量标准》（GB/T14848-2017）中Ⅲ类标准。</w:t>
            </w:r>
          </w:p>
          <w:p w14:paraId="7803C746">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评价方法：采用单因子污染指数法对监测结果进行评价，评价公式：</w:t>
            </w:r>
          </w:p>
          <w:p w14:paraId="2CBC64EF">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center"/>
              <w:textAlignment w:val="baseline"/>
              <w:rPr>
                <w:rFonts w:eastAsia="宋体"/>
                <w:snapToGrid w:val="0"/>
                <w:kern w:val="2"/>
                <w:lang w:val="en-US" w:eastAsia="zh-CN" w:bidi="ar-SA"/>
              </w:rPr>
            </w:pPr>
            <w:r>
              <w:rPr>
                <w:rFonts w:eastAsia="宋体"/>
                <w:snapToGrid w:val="0"/>
                <w:kern w:val="2"/>
                <w:lang w:val="en-US" w:eastAsia="zh-CN" w:bidi="ar-SA"/>
              </w:rPr>
              <w:t>Si=Ci/C</w:t>
            </w:r>
            <w:r>
              <w:rPr>
                <w:rFonts w:eastAsia="宋体"/>
                <w:snapToGrid w:val="0"/>
                <w:kern w:val="2"/>
                <w:vertAlign w:val="subscript"/>
                <w:lang w:val="en-US" w:eastAsia="zh-CN" w:bidi="ar-SA"/>
              </w:rPr>
              <w:t>Oi</w:t>
            </w:r>
          </w:p>
          <w:p w14:paraId="1CB661C0">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式中：</w:t>
            </w:r>
          </w:p>
          <w:p w14:paraId="2FE8026E">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 xml:space="preserve">Si——单项标准指数（无量纲）； </w:t>
            </w:r>
          </w:p>
          <w:p w14:paraId="54A3E533">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C</w:t>
            </w:r>
            <w:r>
              <w:rPr>
                <w:rFonts w:eastAsia="宋体"/>
                <w:snapToGrid w:val="0"/>
                <w:kern w:val="2"/>
                <w:vertAlign w:val="subscript"/>
                <w:lang w:val="en-US" w:eastAsia="zh-CN" w:bidi="ar-SA"/>
              </w:rPr>
              <w:t>i</w:t>
            </w:r>
            <w:r>
              <w:rPr>
                <w:rFonts w:eastAsia="宋体"/>
                <w:snapToGrid w:val="0"/>
                <w:kern w:val="2"/>
                <w:lang w:val="en-US" w:eastAsia="zh-CN" w:bidi="ar-SA"/>
              </w:rPr>
              <w:t xml:space="preserve">——第i种污染实测浓度值（mg/L）； </w:t>
            </w:r>
          </w:p>
          <w:p w14:paraId="5807315C">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C</w:t>
            </w:r>
            <w:r>
              <w:rPr>
                <w:rFonts w:eastAsia="宋体"/>
                <w:snapToGrid w:val="0"/>
                <w:kern w:val="2"/>
                <w:vertAlign w:val="subscript"/>
                <w:lang w:val="en-US" w:eastAsia="zh-CN" w:bidi="ar-SA"/>
              </w:rPr>
              <w:t>Oi</w:t>
            </w:r>
            <w:r>
              <w:rPr>
                <w:rFonts w:eastAsia="宋体"/>
                <w:snapToGrid w:val="0"/>
                <w:kern w:val="2"/>
                <w:lang w:val="en-US" w:eastAsia="zh-CN" w:bidi="ar-SA"/>
              </w:rPr>
              <w:t xml:space="preserve">——第i种污染物评价标准值（mg/L）。 </w:t>
            </w:r>
          </w:p>
          <w:p w14:paraId="58B072FB">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hint="default" w:ascii="Times New Roman" w:hAnsi="Times New Roman" w:eastAsia="宋体" w:cs="Times New Roman"/>
                <w:color w:val="auto"/>
                <w:kern w:val="2"/>
                <w:sz w:val="24"/>
                <w:szCs w:val="24"/>
                <w:highlight w:val="none"/>
                <w:lang w:val="en-US" w:eastAsia="zh-CN" w:bidi="ar-SA"/>
              </w:rPr>
              <w:drawing>
                <wp:anchor distT="0" distB="0" distL="114300" distR="114300" simplePos="0" relativeHeight="251666432" behindDoc="0" locked="0" layoutInCell="1" allowOverlap="1">
                  <wp:simplePos x="0" y="0"/>
                  <wp:positionH relativeFrom="column">
                    <wp:posOffset>1219200</wp:posOffset>
                  </wp:positionH>
                  <wp:positionV relativeFrom="paragraph">
                    <wp:posOffset>384810</wp:posOffset>
                  </wp:positionV>
                  <wp:extent cx="2958465" cy="571500"/>
                  <wp:effectExtent l="0" t="0" r="13335" b="0"/>
                  <wp:wrapTopAndBottom/>
                  <wp:docPr id="35" name="图片 35" descr="1759044544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759044544892"/>
                          <pic:cNvPicPr>
                            <a:picLocks noChangeAspect="1"/>
                          </pic:cNvPicPr>
                        </pic:nvPicPr>
                        <pic:blipFill>
                          <a:blip r:embed="rId22"/>
                          <a:stretch>
                            <a:fillRect/>
                          </a:stretch>
                        </pic:blipFill>
                        <pic:spPr>
                          <a:xfrm>
                            <a:off x="0" y="0"/>
                            <a:ext cx="2958465" cy="571500"/>
                          </a:xfrm>
                          <a:prstGeom prst="rect">
                            <a:avLst/>
                          </a:prstGeom>
                        </pic:spPr>
                      </pic:pic>
                    </a:graphicData>
                  </a:graphic>
                </wp:anchor>
              </w:drawing>
            </w:r>
            <w:r>
              <w:rPr>
                <w:rFonts w:eastAsia="宋体"/>
                <w:snapToGrid w:val="0"/>
                <w:kern w:val="2"/>
                <w:lang w:val="en-US" w:eastAsia="zh-CN" w:bidi="ar-SA"/>
              </w:rPr>
              <w:t>pH的标准指数为：</w:t>
            </w:r>
          </w:p>
          <w:p w14:paraId="7879CCF4">
            <w:pPr>
              <w:bidi w:val="0"/>
              <w:rPr>
                <w:rFonts w:eastAsia="宋体"/>
                <w:snapToGrid w:val="0"/>
                <w:kern w:val="2"/>
                <w:lang w:val="en-US" w:eastAsia="zh-CN" w:bidi="ar-SA"/>
              </w:rPr>
            </w:pPr>
            <w:r>
              <w:rPr>
                <w:rFonts w:hint="default" w:ascii="Times New Roman" w:hAnsi="Times New Roman" w:eastAsia="宋体" w:cs="Times New Roman"/>
                <w:color w:val="auto"/>
                <w:kern w:val="2"/>
                <w:sz w:val="24"/>
                <w:szCs w:val="24"/>
                <w:highlight w:val="none"/>
                <w:lang w:val="en-US" w:eastAsia="zh-CN" w:bidi="ar-SA"/>
              </w:rPr>
              <w:drawing>
                <wp:anchor distT="0" distB="0" distL="114300" distR="114300" simplePos="0" relativeHeight="251667456" behindDoc="0" locked="0" layoutInCell="1" allowOverlap="1">
                  <wp:simplePos x="0" y="0"/>
                  <wp:positionH relativeFrom="column">
                    <wp:posOffset>1276350</wp:posOffset>
                  </wp:positionH>
                  <wp:positionV relativeFrom="paragraph">
                    <wp:posOffset>954405</wp:posOffset>
                  </wp:positionV>
                  <wp:extent cx="2935605" cy="480060"/>
                  <wp:effectExtent l="0" t="0" r="17145" b="15240"/>
                  <wp:wrapTopAndBottom/>
                  <wp:docPr id="36" name="图片 36" descr="175904456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759044564533"/>
                          <pic:cNvPicPr>
                            <a:picLocks noChangeAspect="1"/>
                          </pic:cNvPicPr>
                        </pic:nvPicPr>
                        <pic:blipFill>
                          <a:blip r:embed="rId23"/>
                          <a:stretch>
                            <a:fillRect/>
                          </a:stretch>
                        </pic:blipFill>
                        <pic:spPr>
                          <a:xfrm>
                            <a:off x="0" y="0"/>
                            <a:ext cx="2935605" cy="480060"/>
                          </a:xfrm>
                          <a:prstGeom prst="rect">
                            <a:avLst/>
                          </a:prstGeom>
                        </pic:spPr>
                      </pic:pic>
                    </a:graphicData>
                  </a:graphic>
                </wp:anchor>
              </w:drawing>
            </w:r>
            <w:r>
              <w:rPr>
                <w:rFonts w:eastAsia="宋体"/>
                <w:snapToGrid w:val="0"/>
                <w:kern w:val="2"/>
                <w:lang w:val="en-US" w:eastAsia="zh-CN" w:bidi="ar-SA"/>
              </w:rPr>
              <w:t>式中：SpH，j——pH的污染指数；</w:t>
            </w:r>
          </w:p>
          <w:p w14:paraId="02AB5443">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pHj——j点实测pH值；</w:t>
            </w:r>
          </w:p>
          <w:p w14:paraId="14038DCE">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pH</w:t>
            </w:r>
            <w:r>
              <w:rPr>
                <w:rFonts w:eastAsia="宋体"/>
                <w:snapToGrid w:val="0"/>
                <w:kern w:val="2"/>
                <w:vertAlign w:val="subscript"/>
                <w:lang w:val="en-US" w:eastAsia="zh-CN" w:bidi="ar-SA"/>
              </w:rPr>
              <w:t>sd</w:t>
            </w:r>
            <w:r>
              <w:rPr>
                <w:rFonts w:eastAsia="宋体"/>
                <w:snapToGrid w:val="0"/>
                <w:kern w:val="2"/>
                <w:lang w:val="en-US" w:eastAsia="zh-CN" w:bidi="ar-SA"/>
              </w:rPr>
              <w:t>——标准pH下限值（6.5）；</w:t>
            </w:r>
          </w:p>
          <w:p w14:paraId="525293EC">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pH</w:t>
            </w:r>
            <w:r>
              <w:rPr>
                <w:rFonts w:eastAsia="宋体"/>
                <w:snapToGrid w:val="0"/>
                <w:kern w:val="2"/>
                <w:vertAlign w:val="subscript"/>
                <w:lang w:val="en-US" w:eastAsia="zh-CN" w:bidi="ar-SA"/>
              </w:rPr>
              <w:t>su</w:t>
            </w:r>
            <w:r>
              <w:rPr>
                <w:rFonts w:eastAsia="宋体"/>
                <w:snapToGrid w:val="0"/>
                <w:kern w:val="2"/>
                <w:lang w:val="en-US" w:eastAsia="zh-CN" w:bidi="ar-SA"/>
              </w:rPr>
              <w:t>——标准pH上限值（8.5）。</w:t>
            </w:r>
          </w:p>
          <w:p w14:paraId="69D990B7">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w:t>
            </w:r>
            <w:r>
              <w:rPr>
                <w:rFonts w:hint="eastAsia"/>
                <w:snapToGrid w:val="0"/>
                <w:kern w:val="2"/>
                <w:lang w:val="en-US" w:eastAsia="zh-CN" w:bidi="ar-SA"/>
              </w:rPr>
              <w:t>3</w:t>
            </w:r>
            <w:r>
              <w:rPr>
                <w:rFonts w:eastAsia="宋体"/>
                <w:snapToGrid w:val="0"/>
                <w:kern w:val="2"/>
                <w:lang w:val="en-US" w:eastAsia="zh-CN" w:bidi="ar-SA"/>
              </w:rPr>
              <w:t>）评价标准及评价方法</w:t>
            </w:r>
          </w:p>
          <w:p w14:paraId="3751CD06">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地下水监测及评价统计结果见表3-2。</w:t>
            </w:r>
          </w:p>
          <w:p w14:paraId="63316851">
            <w:pPr>
              <w:pStyle w:val="4"/>
              <w:bidi w:val="0"/>
              <w:rPr>
                <w:lang w:val="en-US" w:eastAsia="zh-CN"/>
              </w:rPr>
            </w:pPr>
            <w:r>
              <w:rPr>
                <w:lang w:val="en-US" w:eastAsia="zh-CN"/>
              </w:rPr>
              <w:t>表3-2  地下水水质监测结果</w:t>
            </w:r>
          </w:p>
          <w:tbl>
            <w:tblPr>
              <w:tblStyle w:val="20"/>
              <w:tblW w:w="5000"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
              <w:gridCol w:w="271"/>
              <w:gridCol w:w="796"/>
              <w:gridCol w:w="743"/>
              <w:gridCol w:w="878"/>
              <w:gridCol w:w="1204"/>
              <w:gridCol w:w="1240"/>
              <w:gridCol w:w="1145"/>
              <w:gridCol w:w="1355"/>
            </w:tblGrid>
            <w:tr w14:paraId="780E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vMerge w:val="restart"/>
                  <w:vAlign w:val="center"/>
                </w:tcPr>
                <w:p w14:paraId="1C8A5225">
                  <w:pPr>
                    <w:pStyle w:val="5"/>
                    <w:bidi w:val="0"/>
                    <w:rPr>
                      <w:lang w:val="en-US" w:eastAsia="zh-CN"/>
                    </w:rPr>
                  </w:pPr>
                  <w:r>
                    <w:rPr>
                      <w:lang w:val="en-US" w:eastAsia="zh-CN"/>
                    </w:rPr>
                    <w:t>序号</w:t>
                  </w:r>
                </w:p>
              </w:tc>
              <w:tc>
                <w:tcPr>
                  <w:tcW w:w="661" w:type="pct"/>
                  <w:gridSpan w:val="2"/>
                  <w:vMerge w:val="restart"/>
                  <w:vAlign w:val="center"/>
                </w:tcPr>
                <w:p w14:paraId="5979E57C">
                  <w:pPr>
                    <w:pStyle w:val="5"/>
                    <w:bidi w:val="0"/>
                    <w:rPr>
                      <w:lang w:val="en-US" w:eastAsia="zh-CN"/>
                    </w:rPr>
                  </w:pPr>
                  <w:r>
                    <w:rPr>
                      <w:lang w:val="en-US" w:eastAsia="zh-CN"/>
                    </w:rPr>
                    <w:t>监测项目</w:t>
                  </w:r>
                </w:p>
              </w:tc>
              <w:tc>
                <w:tcPr>
                  <w:tcW w:w="460" w:type="pct"/>
                  <w:vMerge w:val="restart"/>
                  <w:vAlign w:val="center"/>
                </w:tcPr>
                <w:p w14:paraId="6BE5FF09">
                  <w:pPr>
                    <w:pStyle w:val="5"/>
                    <w:bidi w:val="0"/>
                    <w:rPr>
                      <w:lang w:val="en-US" w:eastAsia="zh-CN"/>
                    </w:rPr>
                  </w:pPr>
                  <w:r>
                    <w:rPr>
                      <w:lang w:val="en-US" w:eastAsia="zh-CN"/>
                    </w:rPr>
                    <w:t>单位</w:t>
                  </w:r>
                </w:p>
              </w:tc>
              <w:tc>
                <w:tcPr>
                  <w:tcW w:w="544" w:type="pct"/>
                  <w:vMerge w:val="restart"/>
                  <w:vAlign w:val="center"/>
                </w:tcPr>
                <w:p w14:paraId="233BE9A1">
                  <w:pPr>
                    <w:pStyle w:val="5"/>
                    <w:bidi w:val="0"/>
                    <w:rPr>
                      <w:lang w:val="en-US" w:eastAsia="zh-CN"/>
                    </w:rPr>
                  </w:pPr>
                  <w:r>
                    <w:rPr>
                      <w:lang w:val="en-US" w:eastAsia="zh-CN"/>
                    </w:rPr>
                    <w:t>标准值</w:t>
                  </w:r>
                </w:p>
              </w:tc>
              <w:tc>
                <w:tcPr>
                  <w:tcW w:w="1515" w:type="pct"/>
                  <w:gridSpan w:val="2"/>
                  <w:vAlign w:val="center"/>
                </w:tcPr>
                <w:p w14:paraId="6EB74619">
                  <w:pPr>
                    <w:pStyle w:val="5"/>
                    <w:bidi w:val="0"/>
                    <w:rPr>
                      <w:lang w:val="en-US" w:eastAsia="zh-CN"/>
                    </w:rPr>
                  </w:pPr>
                  <w:r>
                    <w:rPr>
                      <w:lang w:val="en-US" w:eastAsia="zh-CN"/>
                    </w:rPr>
                    <w:t>地下水水质监测结果</w:t>
                  </w:r>
                </w:p>
              </w:tc>
              <w:tc>
                <w:tcPr>
                  <w:tcW w:w="1550" w:type="pct"/>
                  <w:gridSpan w:val="2"/>
                  <w:vAlign w:val="center"/>
                </w:tcPr>
                <w:p w14:paraId="3FE0FEDD">
                  <w:pPr>
                    <w:pStyle w:val="5"/>
                    <w:bidi w:val="0"/>
                    <w:rPr>
                      <w:lang w:val="en-US" w:eastAsia="zh-CN"/>
                    </w:rPr>
                  </w:pPr>
                  <w:r>
                    <w:rPr>
                      <w:lang w:val="en-US" w:eastAsia="zh-CN"/>
                    </w:rPr>
                    <w:t>标准指数Si</w:t>
                  </w:r>
                </w:p>
              </w:tc>
            </w:tr>
            <w:tr w14:paraId="4E2B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vMerge w:val="continue"/>
                  <w:vAlign w:val="center"/>
                </w:tcPr>
                <w:p w14:paraId="46EDA7CF">
                  <w:pPr>
                    <w:pStyle w:val="5"/>
                    <w:bidi w:val="0"/>
                    <w:rPr>
                      <w:lang w:val="en-US" w:eastAsia="zh-CN"/>
                    </w:rPr>
                  </w:pPr>
                </w:p>
              </w:tc>
              <w:tc>
                <w:tcPr>
                  <w:tcW w:w="661" w:type="pct"/>
                  <w:gridSpan w:val="2"/>
                  <w:vMerge w:val="continue"/>
                  <w:vAlign w:val="center"/>
                </w:tcPr>
                <w:p w14:paraId="067FCFFC">
                  <w:pPr>
                    <w:pStyle w:val="5"/>
                    <w:bidi w:val="0"/>
                    <w:rPr>
                      <w:lang w:val="en-US" w:eastAsia="zh-CN"/>
                    </w:rPr>
                  </w:pPr>
                </w:p>
              </w:tc>
              <w:tc>
                <w:tcPr>
                  <w:tcW w:w="460" w:type="pct"/>
                  <w:vMerge w:val="continue"/>
                  <w:vAlign w:val="center"/>
                </w:tcPr>
                <w:p w14:paraId="073EB979">
                  <w:pPr>
                    <w:pStyle w:val="5"/>
                    <w:bidi w:val="0"/>
                    <w:rPr>
                      <w:lang w:val="en-US" w:eastAsia="zh-CN"/>
                    </w:rPr>
                  </w:pPr>
                </w:p>
              </w:tc>
              <w:tc>
                <w:tcPr>
                  <w:tcW w:w="544" w:type="pct"/>
                  <w:vMerge w:val="continue"/>
                  <w:vAlign w:val="center"/>
                </w:tcPr>
                <w:p w14:paraId="07C53912">
                  <w:pPr>
                    <w:pStyle w:val="5"/>
                    <w:bidi w:val="0"/>
                    <w:rPr>
                      <w:lang w:val="en-US" w:eastAsia="zh-CN"/>
                    </w:rPr>
                  </w:pPr>
                </w:p>
              </w:tc>
              <w:tc>
                <w:tcPr>
                  <w:tcW w:w="746" w:type="pct"/>
                  <w:vAlign w:val="center"/>
                </w:tcPr>
                <w:p w14:paraId="0FC4E25F">
                  <w:pPr>
                    <w:pStyle w:val="5"/>
                    <w:bidi w:val="0"/>
                    <w:rPr>
                      <w:lang w:val="en-US" w:eastAsia="zh-CN"/>
                    </w:rPr>
                  </w:pPr>
                  <w:r>
                    <w:rPr>
                      <w:lang w:val="en-US" w:eastAsia="zh-CN"/>
                    </w:rPr>
                    <w:t>GW25060249-02-01厂界东监测井</w:t>
                  </w:r>
                </w:p>
              </w:tc>
              <w:tc>
                <w:tcPr>
                  <w:tcW w:w="769" w:type="pct"/>
                  <w:vAlign w:val="center"/>
                </w:tcPr>
                <w:p w14:paraId="3F6179C2">
                  <w:pPr>
                    <w:pStyle w:val="5"/>
                    <w:bidi w:val="0"/>
                    <w:rPr>
                      <w:lang w:val="en-US" w:eastAsia="zh-CN"/>
                    </w:rPr>
                  </w:pPr>
                  <w:r>
                    <w:rPr>
                      <w:lang w:val="en-US" w:eastAsia="zh-CN"/>
                    </w:rPr>
                    <w:t>GW25060249-02-01厂界西监测井</w:t>
                  </w:r>
                </w:p>
              </w:tc>
              <w:tc>
                <w:tcPr>
                  <w:tcW w:w="710" w:type="pct"/>
                  <w:shd w:val="clear" w:color="auto" w:fill="auto"/>
                  <w:vAlign w:val="center"/>
                </w:tcPr>
                <w:p w14:paraId="4E4634AB">
                  <w:pPr>
                    <w:pStyle w:val="5"/>
                    <w:bidi w:val="0"/>
                    <w:rPr>
                      <w:lang w:val="en-US" w:eastAsia="zh-CN"/>
                    </w:rPr>
                  </w:pPr>
                  <w:r>
                    <w:rPr>
                      <w:lang w:val="en-US" w:eastAsia="zh-CN"/>
                    </w:rPr>
                    <w:t>GW25060249-02-01厂界东监测井</w:t>
                  </w:r>
                </w:p>
              </w:tc>
              <w:tc>
                <w:tcPr>
                  <w:tcW w:w="840" w:type="pct"/>
                  <w:shd w:val="clear" w:color="auto" w:fill="auto"/>
                  <w:vAlign w:val="center"/>
                </w:tcPr>
                <w:p w14:paraId="5D22BBFA">
                  <w:pPr>
                    <w:pStyle w:val="5"/>
                    <w:bidi w:val="0"/>
                    <w:rPr>
                      <w:lang w:val="en-US" w:eastAsia="zh-CN"/>
                    </w:rPr>
                  </w:pPr>
                  <w:r>
                    <w:rPr>
                      <w:lang w:val="en-US" w:eastAsia="zh-CN"/>
                    </w:rPr>
                    <w:t>GW25060249-02-01厂界西监测井</w:t>
                  </w:r>
                </w:p>
              </w:tc>
            </w:tr>
            <w:tr w14:paraId="535C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6" w:type="pct"/>
                  <w:shd w:val="clear" w:color="auto" w:fill="auto"/>
                  <w:vAlign w:val="center"/>
                </w:tcPr>
                <w:p w14:paraId="64F646DD">
                  <w:pPr>
                    <w:pStyle w:val="5"/>
                    <w:bidi w:val="0"/>
                    <w:rPr>
                      <w:lang w:val="en-US" w:eastAsia="zh-CN"/>
                    </w:rPr>
                  </w:pPr>
                  <w:r>
                    <w:rPr>
                      <w:lang w:val="en-US" w:eastAsia="en-US"/>
                    </w:rPr>
                    <w:t>1</w:t>
                  </w:r>
                </w:p>
              </w:tc>
              <w:tc>
                <w:tcPr>
                  <w:tcW w:w="661" w:type="pct"/>
                  <w:gridSpan w:val="2"/>
                  <w:shd w:val="clear" w:color="auto" w:fill="auto"/>
                  <w:vAlign w:val="center"/>
                </w:tcPr>
                <w:p w14:paraId="16F6DEA4">
                  <w:pPr>
                    <w:pStyle w:val="5"/>
                    <w:bidi w:val="0"/>
                    <w:rPr>
                      <w:lang w:val="en-US" w:eastAsia="zh-CN"/>
                    </w:rPr>
                  </w:pPr>
                  <w:r>
                    <w:rPr>
                      <w:lang w:val="en-US" w:eastAsia="en-US"/>
                    </w:rPr>
                    <w:t>pH</w:t>
                  </w:r>
                </w:p>
              </w:tc>
              <w:tc>
                <w:tcPr>
                  <w:tcW w:w="460" w:type="pct"/>
                  <w:shd w:val="clear" w:color="auto" w:fill="auto"/>
                  <w:vAlign w:val="center"/>
                </w:tcPr>
                <w:p w14:paraId="51B0595F">
                  <w:pPr>
                    <w:pStyle w:val="5"/>
                    <w:bidi w:val="0"/>
                    <w:rPr>
                      <w:lang w:val="en-US" w:eastAsia="zh-CN"/>
                    </w:rPr>
                  </w:pPr>
                  <w:r>
                    <w:rPr>
                      <w:lang w:val="en-US" w:eastAsia="en-US"/>
                    </w:rPr>
                    <w:t>无量纲</w:t>
                  </w:r>
                </w:p>
              </w:tc>
              <w:tc>
                <w:tcPr>
                  <w:tcW w:w="544" w:type="pct"/>
                  <w:shd w:val="clear" w:color="auto" w:fill="auto"/>
                  <w:vAlign w:val="center"/>
                </w:tcPr>
                <w:p w14:paraId="29CC6F46">
                  <w:pPr>
                    <w:pStyle w:val="5"/>
                    <w:bidi w:val="0"/>
                    <w:rPr>
                      <w:lang w:val="en-US" w:eastAsia="zh-CN"/>
                    </w:rPr>
                  </w:pPr>
                  <w:r>
                    <w:rPr>
                      <w:lang w:val="en-US" w:eastAsia="en-US"/>
                    </w:rPr>
                    <w:t>6.5-8.5</w:t>
                  </w:r>
                </w:p>
              </w:tc>
              <w:tc>
                <w:tcPr>
                  <w:tcW w:w="746" w:type="pct"/>
                  <w:shd w:val="clear" w:color="auto" w:fill="auto"/>
                  <w:vAlign w:val="center"/>
                </w:tcPr>
                <w:p w14:paraId="324A7F61">
                  <w:pPr>
                    <w:pStyle w:val="5"/>
                    <w:bidi w:val="0"/>
                    <w:rPr>
                      <w:rFonts w:hint="default"/>
                      <w:lang w:val="en-US" w:eastAsia="zh-CN"/>
                    </w:rPr>
                  </w:pPr>
                  <w:r>
                    <w:rPr>
                      <w:rFonts w:hint="default"/>
                      <w:lang w:val="en-US" w:eastAsia="zh-CN"/>
                    </w:rPr>
                    <w:t>7.1</w:t>
                  </w:r>
                </w:p>
              </w:tc>
              <w:tc>
                <w:tcPr>
                  <w:tcW w:w="769" w:type="pct"/>
                  <w:shd w:val="clear" w:color="auto" w:fill="auto"/>
                  <w:vAlign w:val="center"/>
                </w:tcPr>
                <w:p w14:paraId="18EDF32F">
                  <w:pPr>
                    <w:pStyle w:val="5"/>
                    <w:bidi w:val="0"/>
                    <w:rPr>
                      <w:rFonts w:hint="eastAsia"/>
                      <w:lang w:val="en-US" w:eastAsia="zh-CN"/>
                    </w:rPr>
                  </w:pPr>
                  <w:r>
                    <w:rPr>
                      <w:rFonts w:hint="default"/>
                      <w:lang w:val="en-US" w:eastAsia="zh-CN"/>
                    </w:rPr>
                    <w:t>7.3</w:t>
                  </w:r>
                </w:p>
              </w:tc>
              <w:tc>
                <w:tcPr>
                  <w:tcW w:w="710" w:type="pct"/>
                  <w:vAlign w:val="center"/>
                </w:tcPr>
                <w:p w14:paraId="2BA245A1">
                  <w:pPr>
                    <w:pStyle w:val="5"/>
                    <w:bidi w:val="0"/>
                    <w:rPr>
                      <w:rFonts w:hint="default"/>
                      <w:lang w:val="en-US" w:eastAsia="zh-CN"/>
                    </w:rPr>
                  </w:pPr>
                  <w:r>
                    <w:rPr>
                      <w:lang w:val="en-US" w:eastAsia="zh-CN"/>
                    </w:rPr>
                    <w:t>0.</w:t>
                  </w:r>
                  <w:r>
                    <w:rPr>
                      <w:rFonts w:hint="eastAsia"/>
                      <w:lang w:val="en-US" w:eastAsia="zh-CN"/>
                    </w:rPr>
                    <w:t>067</w:t>
                  </w:r>
                </w:p>
              </w:tc>
              <w:tc>
                <w:tcPr>
                  <w:tcW w:w="840" w:type="pct"/>
                  <w:vAlign w:val="center"/>
                </w:tcPr>
                <w:p w14:paraId="0FA6B327">
                  <w:pPr>
                    <w:pStyle w:val="5"/>
                    <w:bidi w:val="0"/>
                    <w:rPr>
                      <w:rFonts w:hint="default"/>
                      <w:lang w:val="en-US" w:eastAsia="zh-CN"/>
                    </w:rPr>
                  </w:pPr>
                  <w:r>
                    <w:rPr>
                      <w:rFonts w:hint="eastAsia"/>
                      <w:lang w:val="en-US" w:eastAsia="zh-CN"/>
                    </w:rPr>
                    <w:t>0.2</w:t>
                  </w:r>
                </w:p>
              </w:tc>
            </w:tr>
            <w:tr w14:paraId="195A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60EA7FEA">
                  <w:pPr>
                    <w:pStyle w:val="5"/>
                    <w:bidi w:val="0"/>
                    <w:rPr>
                      <w:lang w:val="en-US" w:eastAsia="zh-CN"/>
                    </w:rPr>
                  </w:pPr>
                  <w:r>
                    <w:rPr>
                      <w:lang w:val="en-US" w:eastAsia="en-US"/>
                    </w:rPr>
                    <w:t>2</w:t>
                  </w:r>
                </w:p>
              </w:tc>
              <w:tc>
                <w:tcPr>
                  <w:tcW w:w="661" w:type="pct"/>
                  <w:gridSpan w:val="2"/>
                  <w:shd w:val="clear" w:color="auto" w:fill="auto"/>
                  <w:vAlign w:val="center"/>
                </w:tcPr>
                <w:p w14:paraId="7AA352B7">
                  <w:pPr>
                    <w:pStyle w:val="5"/>
                    <w:bidi w:val="0"/>
                    <w:rPr>
                      <w:lang w:val="en-US" w:eastAsia="zh-CN"/>
                    </w:rPr>
                  </w:pPr>
                  <w:r>
                    <w:rPr>
                      <w:lang w:val="en-US" w:eastAsia="en-US"/>
                    </w:rPr>
                    <w:t>耗氧量</w:t>
                  </w:r>
                </w:p>
              </w:tc>
              <w:tc>
                <w:tcPr>
                  <w:tcW w:w="460" w:type="pct"/>
                  <w:shd w:val="clear" w:color="auto" w:fill="auto"/>
                  <w:vAlign w:val="center"/>
                </w:tcPr>
                <w:p w14:paraId="73F0F38C">
                  <w:pPr>
                    <w:pStyle w:val="5"/>
                    <w:bidi w:val="0"/>
                    <w:rPr>
                      <w:lang w:val="en-US" w:eastAsia="zh-CN"/>
                    </w:rPr>
                  </w:pPr>
                  <w:r>
                    <w:rPr>
                      <w:lang w:val="en-US" w:eastAsia="en-US"/>
                    </w:rPr>
                    <w:t>mg/L</w:t>
                  </w:r>
                </w:p>
              </w:tc>
              <w:tc>
                <w:tcPr>
                  <w:tcW w:w="544" w:type="pct"/>
                  <w:shd w:val="clear" w:color="auto" w:fill="auto"/>
                  <w:vAlign w:val="center"/>
                </w:tcPr>
                <w:p w14:paraId="2861C9FB">
                  <w:pPr>
                    <w:pStyle w:val="5"/>
                    <w:bidi w:val="0"/>
                    <w:rPr>
                      <w:lang w:val="en-US" w:eastAsia="zh-CN"/>
                    </w:rPr>
                  </w:pPr>
                  <w:r>
                    <w:rPr>
                      <w:lang w:val="en-US" w:eastAsia="en-US"/>
                    </w:rPr>
                    <w:t>3.0</w:t>
                  </w:r>
                </w:p>
              </w:tc>
              <w:tc>
                <w:tcPr>
                  <w:tcW w:w="746" w:type="pct"/>
                  <w:shd w:val="clear" w:color="auto" w:fill="auto"/>
                  <w:vAlign w:val="center"/>
                </w:tcPr>
                <w:p w14:paraId="765467E1">
                  <w:pPr>
                    <w:pStyle w:val="5"/>
                    <w:bidi w:val="0"/>
                    <w:rPr>
                      <w:rFonts w:hint="default"/>
                      <w:lang w:val="en-US" w:eastAsia="zh-CN"/>
                    </w:rPr>
                  </w:pPr>
                  <w:r>
                    <w:rPr>
                      <w:rFonts w:hint="default"/>
                      <w:lang w:val="en-US" w:eastAsia="zh-CN"/>
                    </w:rPr>
                    <w:t>1.8</w:t>
                  </w:r>
                </w:p>
              </w:tc>
              <w:tc>
                <w:tcPr>
                  <w:tcW w:w="769" w:type="pct"/>
                  <w:shd w:val="clear" w:color="auto" w:fill="auto"/>
                  <w:vAlign w:val="center"/>
                </w:tcPr>
                <w:p w14:paraId="6A0D825E">
                  <w:pPr>
                    <w:pStyle w:val="5"/>
                    <w:bidi w:val="0"/>
                    <w:rPr>
                      <w:rFonts w:hint="default"/>
                      <w:lang w:val="en-US" w:eastAsia="zh-CN"/>
                    </w:rPr>
                  </w:pPr>
                  <w:r>
                    <w:rPr>
                      <w:rFonts w:hint="default"/>
                      <w:lang w:val="en-US" w:eastAsia="zh-CN"/>
                    </w:rPr>
                    <w:t>1.4</w:t>
                  </w:r>
                </w:p>
              </w:tc>
              <w:tc>
                <w:tcPr>
                  <w:tcW w:w="710" w:type="pct"/>
                  <w:vAlign w:val="center"/>
                </w:tcPr>
                <w:p w14:paraId="3D3345A8">
                  <w:pPr>
                    <w:pStyle w:val="5"/>
                    <w:bidi w:val="0"/>
                    <w:rPr>
                      <w:lang w:val="en-US" w:eastAsia="zh-CN"/>
                    </w:rPr>
                  </w:pPr>
                  <w:r>
                    <w:rPr>
                      <w:rFonts w:hint="default"/>
                      <w:lang w:val="en-US" w:eastAsia="zh-CN"/>
                    </w:rPr>
                    <w:t>0.6</w:t>
                  </w:r>
                </w:p>
              </w:tc>
              <w:tc>
                <w:tcPr>
                  <w:tcW w:w="840" w:type="pct"/>
                  <w:vAlign w:val="center"/>
                </w:tcPr>
                <w:p w14:paraId="576AB8F8">
                  <w:pPr>
                    <w:pStyle w:val="5"/>
                    <w:bidi w:val="0"/>
                    <w:rPr>
                      <w:rFonts w:hint="default"/>
                      <w:lang w:val="en-US" w:eastAsia="zh-CN"/>
                    </w:rPr>
                  </w:pPr>
                  <w:r>
                    <w:rPr>
                      <w:rFonts w:hint="eastAsia"/>
                      <w:lang w:val="en-US" w:eastAsia="zh-CN"/>
                    </w:rPr>
                    <w:t>0.47</w:t>
                  </w:r>
                </w:p>
              </w:tc>
            </w:tr>
            <w:tr w14:paraId="0F56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27FA909D">
                  <w:pPr>
                    <w:pStyle w:val="5"/>
                    <w:bidi w:val="0"/>
                    <w:rPr>
                      <w:lang w:val="en-US" w:eastAsia="zh-CN"/>
                    </w:rPr>
                  </w:pPr>
                  <w:r>
                    <w:rPr>
                      <w:lang w:val="en-US" w:eastAsia="en-US"/>
                    </w:rPr>
                    <w:t>3</w:t>
                  </w:r>
                </w:p>
              </w:tc>
              <w:tc>
                <w:tcPr>
                  <w:tcW w:w="661" w:type="pct"/>
                  <w:gridSpan w:val="2"/>
                  <w:shd w:val="clear" w:color="auto" w:fill="auto"/>
                  <w:vAlign w:val="center"/>
                </w:tcPr>
                <w:p w14:paraId="343D2CD6">
                  <w:pPr>
                    <w:pStyle w:val="5"/>
                    <w:bidi w:val="0"/>
                    <w:rPr>
                      <w:lang w:val="en-US" w:eastAsia="zh-CN"/>
                    </w:rPr>
                  </w:pPr>
                  <w:r>
                    <w:rPr>
                      <w:lang w:val="en-US" w:eastAsia="en-US"/>
                    </w:rPr>
                    <w:t>BOD</w:t>
                  </w:r>
                  <w:r>
                    <w:rPr>
                      <w:vertAlign w:val="subscript"/>
                      <w:lang w:val="en-US" w:eastAsia="en-US"/>
                    </w:rPr>
                    <w:t>5</w:t>
                  </w:r>
                </w:p>
              </w:tc>
              <w:tc>
                <w:tcPr>
                  <w:tcW w:w="460" w:type="pct"/>
                  <w:shd w:val="clear" w:color="auto" w:fill="auto"/>
                  <w:vAlign w:val="center"/>
                </w:tcPr>
                <w:p w14:paraId="06A3B41D">
                  <w:pPr>
                    <w:pStyle w:val="5"/>
                    <w:bidi w:val="0"/>
                    <w:rPr>
                      <w:lang w:val="en-US" w:eastAsia="zh-CN"/>
                    </w:rPr>
                  </w:pPr>
                  <w:r>
                    <w:rPr>
                      <w:lang w:val="en-US" w:eastAsia="en-US"/>
                    </w:rPr>
                    <w:t>mg/L</w:t>
                  </w:r>
                </w:p>
              </w:tc>
              <w:tc>
                <w:tcPr>
                  <w:tcW w:w="544" w:type="pct"/>
                  <w:shd w:val="clear" w:color="auto" w:fill="auto"/>
                  <w:vAlign w:val="center"/>
                </w:tcPr>
                <w:p w14:paraId="7D6DB216">
                  <w:pPr>
                    <w:pStyle w:val="5"/>
                    <w:bidi w:val="0"/>
                    <w:rPr>
                      <w:lang w:val="en-US" w:eastAsia="zh-CN"/>
                    </w:rPr>
                  </w:pPr>
                  <w:r>
                    <w:rPr>
                      <w:lang w:val="en-US" w:eastAsia="zh-CN"/>
                    </w:rPr>
                    <w:t>/</w:t>
                  </w:r>
                </w:p>
              </w:tc>
              <w:tc>
                <w:tcPr>
                  <w:tcW w:w="746" w:type="pct"/>
                  <w:shd w:val="clear" w:color="auto" w:fill="auto"/>
                  <w:vAlign w:val="center"/>
                </w:tcPr>
                <w:p w14:paraId="7807C49F">
                  <w:pPr>
                    <w:pStyle w:val="5"/>
                    <w:bidi w:val="0"/>
                    <w:rPr>
                      <w:lang w:val="en-US" w:eastAsia="zh-CN"/>
                    </w:rPr>
                  </w:pPr>
                  <w:r>
                    <w:rPr>
                      <w:rFonts w:hint="default"/>
                      <w:lang w:val="en-US" w:eastAsia="zh-CN"/>
                    </w:rPr>
                    <w:t>0.8</w:t>
                  </w:r>
                </w:p>
              </w:tc>
              <w:tc>
                <w:tcPr>
                  <w:tcW w:w="769" w:type="pct"/>
                  <w:shd w:val="clear" w:color="auto" w:fill="auto"/>
                  <w:vAlign w:val="center"/>
                </w:tcPr>
                <w:p w14:paraId="3CC384E9">
                  <w:pPr>
                    <w:pStyle w:val="5"/>
                    <w:bidi w:val="0"/>
                    <w:rPr>
                      <w:lang w:val="en-US" w:eastAsia="zh-CN"/>
                    </w:rPr>
                  </w:pPr>
                  <w:r>
                    <w:rPr>
                      <w:rFonts w:hint="default"/>
                      <w:lang w:val="en-US" w:eastAsia="zh-CN"/>
                    </w:rPr>
                    <w:t>ND</w:t>
                  </w:r>
                </w:p>
              </w:tc>
              <w:tc>
                <w:tcPr>
                  <w:tcW w:w="710" w:type="pct"/>
                  <w:vAlign w:val="center"/>
                </w:tcPr>
                <w:p w14:paraId="2F0FE50A">
                  <w:pPr>
                    <w:pStyle w:val="5"/>
                    <w:bidi w:val="0"/>
                    <w:rPr>
                      <w:lang w:val="en-US" w:eastAsia="zh-CN"/>
                    </w:rPr>
                  </w:pPr>
                  <w:r>
                    <w:rPr>
                      <w:lang w:val="en-US" w:eastAsia="zh-CN"/>
                    </w:rPr>
                    <w:t>/</w:t>
                  </w:r>
                </w:p>
              </w:tc>
              <w:tc>
                <w:tcPr>
                  <w:tcW w:w="840" w:type="pct"/>
                  <w:vAlign w:val="center"/>
                </w:tcPr>
                <w:p w14:paraId="1B87FDDC">
                  <w:pPr>
                    <w:pStyle w:val="5"/>
                    <w:bidi w:val="0"/>
                    <w:rPr>
                      <w:lang w:val="en-US" w:eastAsia="zh-CN"/>
                    </w:rPr>
                  </w:pPr>
                  <w:r>
                    <w:rPr>
                      <w:lang w:val="en-US" w:eastAsia="zh-CN"/>
                    </w:rPr>
                    <w:t>/</w:t>
                  </w:r>
                </w:p>
              </w:tc>
            </w:tr>
            <w:tr w14:paraId="1D89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4B1DD54D">
                  <w:pPr>
                    <w:pStyle w:val="5"/>
                    <w:bidi w:val="0"/>
                    <w:rPr>
                      <w:lang w:val="en-US" w:eastAsia="zh-CN"/>
                    </w:rPr>
                  </w:pPr>
                  <w:r>
                    <w:rPr>
                      <w:lang w:val="en-US" w:eastAsia="en-US"/>
                    </w:rPr>
                    <w:t>4</w:t>
                  </w:r>
                </w:p>
              </w:tc>
              <w:tc>
                <w:tcPr>
                  <w:tcW w:w="661" w:type="pct"/>
                  <w:gridSpan w:val="2"/>
                  <w:shd w:val="clear" w:color="auto" w:fill="auto"/>
                  <w:vAlign w:val="center"/>
                </w:tcPr>
                <w:p w14:paraId="3C85F867">
                  <w:pPr>
                    <w:pStyle w:val="5"/>
                    <w:bidi w:val="0"/>
                    <w:rPr>
                      <w:lang w:val="en-US" w:eastAsia="zh-CN"/>
                    </w:rPr>
                  </w:pPr>
                  <w:r>
                    <w:rPr>
                      <w:lang w:val="en-US" w:eastAsia="en-US"/>
                    </w:rPr>
                    <w:t>硫化物</w:t>
                  </w:r>
                </w:p>
              </w:tc>
              <w:tc>
                <w:tcPr>
                  <w:tcW w:w="460" w:type="pct"/>
                  <w:shd w:val="clear" w:color="auto" w:fill="auto"/>
                  <w:vAlign w:val="center"/>
                </w:tcPr>
                <w:p w14:paraId="4F44B96E">
                  <w:pPr>
                    <w:pStyle w:val="5"/>
                    <w:bidi w:val="0"/>
                    <w:rPr>
                      <w:lang w:val="en-US" w:eastAsia="zh-CN"/>
                    </w:rPr>
                  </w:pPr>
                  <w:r>
                    <w:rPr>
                      <w:lang w:val="en-US" w:eastAsia="en-US"/>
                    </w:rPr>
                    <w:t>mg/L</w:t>
                  </w:r>
                </w:p>
              </w:tc>
              <w:tc>
                <w:tcPr>
                  <w:tcW w:w="544" w:type="pct"/>
                  <w:shd w:val="clear" w:color="auto" w:fill="auto"/>
                  <w:vAlign w:val="center"/>
                </w:tcPr>
                <w:p w14:paraId="5C6B5B65">
                  <w:pPr>
                    <w:pStyle w:val="5"/>
                    <w:bidi w:val="0"/>
                    <w:rPr>
                      <w:lang w:val="en-US" w:eastAsia="zh-CN"/>
                    </w:rPr>
                  </w:pPr>
                  <w:r>
                    <w:rPr>
                      <w:lang w:val="en-US" w:eastAsia="en-US"/>
                    </w:rPr>
                    <w:t>0.02</w:t>
                  </w:r>
                </w:p>
              </w:tc>
              <w:tc>
                <w:tcPr>
                  <w:tcW w:w="746" w:type="pct"/>
                  <w:shd w:val="clear" w:color="auto" w:fill="auto"/>
                  <w:vAlign w:val="center"/>
                </w:tcPr>
                <w:p w14:paraId="10B3F23D">
                  <w:pPr>
                    <w:pStyle w:val="5"/>
                    <w:bidi w:val="0"/>
                    <w:rPr>
                      <w:lang w:val="en-US" w:eastAsia="zh-CN"/>
                    </w:rPr>
                  </w:pPr>
                  <w:r>
                    <w:rPr>
                      <w:rFonts w:hint="eastAsia"/>
                      <w:lang w:val="en-US" w:eastAsia="zh-CN"/>
                    </w:rPr>
                    <w:t>ND</w:t>
                  </w:r>
                </w:p>
              </w:tc>
              <w:tc>
                <w:tcPr>
                  <w:tcW w:w="769" w:type="pct"/>
                  <w:shd w:val="clear" w:color="auto" w:fill="auto"/>
                  <w:vAlign w:val="center"/>
                </w:tcPr>
                <w:p w14:paraId="5BCE109F">
                  <w:pPr>
                    <w:pStyle w:val="5"/>
                    <w:bidi w:val="0"/>
                    <w:rPr>
                      <w:lang w:val="en-US" w:eastAsia="zh-CN"/>
                    </w:rPr>
                  </w:pPr>
                  <w:r>
                    <w:rPr>
                      <w:rFonts w:hint="eastAsia"/>
                      <w:lang w:val="en-US" w:eastAsia="zh-CN"/>
                    </w:rPr>
                    <w:t>ND</w:t>
                  </w:r>
                </w:p>
              </w:tc>
              <w:tc>
                <w:tcPr>
                  <w:tcW w:w="710" w:type="pct"/>
                  <w:vAlign w:val="center"/>
                </w:tcPr>
                <w:p w14:paraId="18F8E3F7">
                  <w:pPr>
                    <w:pStyle w:val="5"/>
                    <w:bidi w:val="0"/>
                    <w:rPr>
                      <w:lang w:val="en-US" w:eastAsia="zh-CN"/>
                    </w:rPr>
                  </w:pPr>
                  <w:r>
                    <w:rPr>
                      <w:lang w:val="en-US" w:eastAsia="zh-CN"/>
                    </w:rPr>
                    <w:t>/</w:t>
                  </w:r>
                </w:p>
              </w:tc>
              <w:tc>
                <w:tcPr>
                  <w:tcW w:w="840" w:type="pct"/>
                  <w:vAlign w:val="center"/>
                </w:tcPr>
                <w:p w14:paraId="34C44D14">
                  <w:pPr>
                    <w:pStyle w:val="5"/>
                    <w:bidi w:val="0"/>
                    <w:rPr>
                      <w:lang w:val="en-US" w:eastAsia="zh-CN"/>
                    </w:rPr>
                  </w:pPr>
                  <w:r>
                    <w:rPr>
                      <w:lang w:val="en-US" w:eastAsia="zh-CN"/>
                    </w:rPr>
                    <w:t>/</w:t>
                  </w:r>
                </w:p>
              </w:tc>
            </w:tr>
            <w:tr w14:paraId="46B6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5BB8B17B">
                  <w:pPr>
                    <w:pStyle w:val="5"/>
                    <w:bidi w:val="0"/>
                    <w:rPr>
                      <w:lang w:val="en-US" w:eastAsia="zh-CN"/>
                    </w:rPr>
                  </w:pPr>
                  <w:r>
                    <w:rPr>
                      <w:lang w:val="en-US" w:eastAsia="en-US"/>
                    </w:rPr>
                    <w:t>5</w:t>
                  </w:r>
                </w:p>
              </w:tc>
              <w:tc>
                <w:tcPr>
                  <w:tcW w:w="661" w:type="pct"/>
                  <w:gridSpan w:val="2"/>
                  <w:shd w:val="clear" w:color="auto" w:fill="auto"/>
                  <w:vAlign w:val="center"/>
                </w:tcPr>
                <w:p w14:paraId="3625693B">
                  <w:pPr>
                    <w:pStyle w:val="5"/>
                    <w:bidi w:val="0"/>
                    <w:rPr>
                      <w:lang w:val="en-US" w:eastAsia="zh-CN"/>
                    </w:rPr>
                  </w:pPr>
                  <w:r>
                    <w:rPr>
                      <w:lang w:val="en-US" w:eastAsia="en-US"/>
                    </w:rPr>
                    <w:t>总铬</w:t>
                  </w:r>
                </w:p>
              </w:tc>
              <w:tc>
                <w:tcPr>
                  <w:tcW w:w="460" w:type="pct"/>
                  <w:shd w:val="clear" w:color="auto" w:fill="auto"/>
                  <w:vAlign w:val="center"/>
                </w:tcPr>
                <w:p w14:paraId="51C0DABB">
                  <w:pPr>
                    <w:pStyle w:val="5"/>
                    <w:bidi w:val="0"/>
                    <w:rPr>
                      <w:lang w:val="en-US" w:eastAsia="zh-CN"/>
                    </w:rPr>
                  </w:pPr>
                  <w:r>
                    <w:rPr>
                      <w:lang w:val="en-US" w:eastAsia="en-US"/>
                    </w:rPr>
                    <w:t>mg/L</w:t>
                  </w:r>
                </w:p>
              </w:tc>
              <w:tc>
                <w:tcPr>
                  <w:tcW w:w="544" w:type="pct"/>
                  <w:shd w:val="clear" w:color="auto" w:fill="auto"/>
                  <w:vAlign w:val="center"/>
                </w:tcPr>
                <w:p w14:paraId="620350D7">
                  <w:pPr>
                    <w:pStyle w:val="5"/>
                    <w:bidi w:val="0"/>
                    <w:rPr>
                      <w:lang w:val="en-US" w:eastAsia="zh-CN"/>
                    </w:rPr>
                  </w:pPr>
                  <w:r>
                    <w:rPr>
                      <w:lang w:val="en-US" w:eastAsia="zh-CN"/>
                    </w:rPr>
                    <w:t>/</w:t>
                  </w:r>
                </w:p>
              </w:tc>
              <w:tc>
                <w:tcPr>
                  <w:tcW w:w="746" w:type="pct"/>
                  <w:shd w:val="clear" w:color="auto" w:fill="auto"/>
                  <w:vAlign w:val="center"/>
                </w:tcPr>
                <w:p w14:paraId="54E1406F">
                  <w:pPr>
                    <w:pStyle w:val="5"/>
                    <w:bidi w:val="0"/>
                    <w:rPr>
                      <w:lang w:val="en-US" w:eastAsia="zh-CN"/>
                    </w:rPr>
                  </w:pPr>
                  <w:r>
                    <w:rPr>
                      <w:rFonts w:hint="default"/>
                      <w:lang w:val="en-US" w:eastAsia="zh-CN"/>
                    </w:rPr>
                    <w:t>0.128</w:t>
                  </w:r>
                </w:p>
              </w:tc>
              <w:tc>
                <w:tcPr>
                  <w:tcW w:w="769" w:type="pct"/>
                  <w:shd w:val="clear" w:color="auto" w:fill="auto"/>
                  <w:vAlign w:val="center"/>
                </w:tcPr>
                <w:p w14:paraId="05DD7831">
                  <w:pPr>
                    <w:pStyle w:val="5"/>
                    <w:bidi w:val="0"/>
                    <w:rPr>
                      <w:lang w:val="en-US" w:eastAsia="zh-CN"/>
                    </w:rPr>
                  </w:pPr>
                  <w:r>
                    <w:rPr>
                      <w:rFonts w:hint="default"/>
                      <w:lang w:val="en-US" w:eastAsia="zh-CN"/>
                    </w:rPr>
                    <w:t>0.146</w:t>
                  </w:r>
                </w:p>
              </w:tc>
              <w:tc>
                <w:tcPr>
                  <w:tcW w:w="710" w:type="pct"/>
                  <w:vAlign w:val="center"/>
                </w:tcPr>
                <w:p w14:paraId="003A46CC">
                  <w:pPr>
                    <w:pStyle w:val="5"/>
                    <w:bidi w:val="0"/>
                    <w:rPr>
                      <w:lang w:val="en-US" w:eastAsia="zh-CN"/>
                    </w:rPr>
                  </w:pPr>
                  <w:r>
                    <w:rPr>
                      <w:lang w:val="en-US" w:eastAsia="zh-CN"/>
                    </w:rPr>
                    <w:t>/</w:t>
                  </w:r>
                </w:p>
              </w:tc>
              <w:tc>
                <w:tcPr>
                  <w:tcW w:w="840" w:type="pct"/>
                  <w:vAlign w:val="center"/>
                </w:tcPr>
                <w:p w14:paraId="6A8BE70C">
                  <w:pPr>
                    <w:pStyle w:val="5"/>
                    <w:bidi w:val="0"/>
                    <w:rPr>
                      <w:lang w:val="en-US" w:eastAsia="zh-CN"/>
                    </w:rPr>
                  </w:pPr>
                  <w:r>
                    <w:rPr>
                      <w:lang w:val="en-US" w:eastAsia="zh-CN"/>
                    </w:rPr>
                    <w:t>/</w:t>
                  </w:r>
                </w:p>
              </w:tc>
            </w:tr>
            <w:tr w14:paraId="65D9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3C7ACB17">
                  <w:pPr>
                    <w:pStyle w:val="5"/>
                    <w:bidi w:val="0"/>
                    <w:rPr>
                      <w:lang w:val="en-US" w:eastAsia="zh-CN"/>
                    </w:rPr>
                  </w:pPr>
                  <w:r>
                    <w:rPr>
                      <w:lang w:val="en-US" w:eastAsia="en-US"/>
                    </w:rPr>
                    <w:t>6</w:t>
                  </w:r>
                </w:p>
              </w:tc>
              <w:tc>
                <w:tcPr>
                  <w:tcW w:w="661" w:type="pct"/>
                  <w:gridSpan w:val="2"/>
                  <w:shd w:val="clear" w:color="auto" w:fill="auto"/>
                  <w:vAlign w:val="center"/>
                </w:tcPr>
                <w:p w14:paraId="72ADA754">
                  <w:pPr>
                    <w:pStyle w:val="5"/>
                    <w:bidi w:val="0"/>
                    <w:rPr>
                      <w:lang w:val="en-US" w:eastAsia="zh-CN"/>
                    </w:rPr>
                  </w:pPr>
                  <w:r>
                    <w:rPr>
                      <w:lang w:val="en-US" w:eastAsia="en-US"/>
                    </w:rPr>
                    <w:t>氟化物</w:t>
                  </w:r>
                </w:p>
              </w:tc>
              <w:tc>
                <w:tcPr>
                  <w:tcW w:w="460" w:type="pct"/>
                  <w:shd w:val="clear" w:color="auto" w:fill="auto"/>
                  <w:vAlign w:val="center"/>
                </w:tcPr>
                <w:p w14:paraId="6ACD2CA7">
                  <w:pPr>
                    <w:pStyle w:val="5"/>
                    <w:bidi w:val="0"/>
                    <w:rPr>
                      <w:lang w:val="en-US" w:eastAsia="zh-CN"/>
                    </w:rPr>
                  </w:pPr>
                  <w:r>
                    <w:rPr>
                      <w:lang w:val="en-US" w:eastAsia="en-US"/>
                    </w:rPr>
                    <w:t>mg/L</w:t>
                  </w:r>
                </w:p>
              </w:tc>
              <w:tc>
                <w:tcPr>
                  <w:tcW w:w="544" w:type="pct"/>
                  <w:shd w:val="clear" w:color="auto" w:fill="auto"/>
                  <w:vAlign w:val="center"/>
                </w:tcPr>
                <w:p w14:paraId="26C0A843">
                  <w:pPr>
                    <w:pStyle w:val="5"/>
                    <w:bidi w:val="0"/>
                    <w:rPr>
                      <w:lang w:val="en-US" w:eastAsia="zh-CN"/>
                    </w:rPr>
                  </w:pPr>
                  <w:r>
                    <w:rPr>
                      <w:lang w:val="en-US" w:eastAsia="en-US"/>
                    </w:rPr>
                    <w:t>1.0</w:t>
                  </w:r>
                </w:p>
              </w:tc>
              <w:tc>
                <w:tcPr>
                  <w:tcW w:w="746" w:type="pct"/>
                  <w:shd w:val="clear" w:color="auto" w:fill="auto"/>
                  <w:vAlign w:val="center"/>
                </w:tcPr>
                <w:p w14:paraId="6168D142">
                  <w:pPr>
                    <w:pStyle w:val="5"/>
                    <w:bidi w:val="0"/>
                    <w:rPr>
                      <w:lang w:val="en-US" w:eastAsia="zh-CN"/>
                    </w:rPr>
                  </w:pPr>
                  <w:r>
                    <w:rPr>
                      <w:rFonts w:hint="default"/>
                      <w:lang w:val="en-US" w:eastAsia="zh-CN"/>
                    </w:rPr>
                    <w:t>0.56</w:t>
                  </w:r>
                </w:p>
              </w:tc>
              <w:tc>
                <w:tcPr>
                  <w:tcW w:w="769" w:type="pct"/>
                  <w:shd w:val="clear" w:color="auto" w:fill="auto"/>
                  <w:vAlign w:val="center"/>
                </w:tcPr>
                <w:p w14:paraId="48DFB5C7">
                  <w:pPr>
                    <w:pStyle w:val="5"/>
                    <w:bidi w:val="0"/>
                    <w:rPr>
                      <w:lang w:val="en-US" w:eastAsia="zh-CN"/>
                    </w:rPr>
                  </w:pPr>
                  <w:r>
                    <w:rPr>
                      <w:rFonts w:hint="default"/>
                      <w:lang w:val="en-US" w:eastAsia="zh-CN"/>
                    </w:rPr>
                    <w:t>0.35</w:t>
                  </w:r>
                </w:p>
              </w:tc>
              <w:tc>
                <w:tcPr>
                  <w:tcW w:w="710" w:type="pct"/>
                  <w:vAlign w:val="center"/>
                </w:tcPr>
                <w:p w14:paraId="4A68E327">
                  <w:pPr>
                    <w:pStyle w:val="5"/>
                    <w:bidi w:val="0"/>
                    <w:rPr>
                      <w:lang w:val="en-US" w:eastAsia="zh-CN"/>
                    </w:rPr>
                  </w:pPr>
                  <w:r>
                    <w:rPr>
                      <w:rFonts w:hint="default"/>
                      <w:lang w:val="en-US" w:eastAsia="zh-CN"/>
                    </w:rPr>
                    <w:t>0.56</w:t>
                  </w:r>
                </w:p>
              </w:tc>
              <w:tc>
                <w:tcPr>
                  <w:tcW w:w="840" w:type="pct"/>
                  <w:vAlign w:val="center"/>
                </w:tcPr>
                <w:p w14:paraId="6F201377">
                  <w:pPr>
                    <w:pStyle w:val="5"/>
                    <w:bidi w:val="0"/>
                    <w:rPr>
                      <w:rFonts w:hint="default"/>
                      <w:lang w:val="en-US" w:eastAsia="zh-CN"/>
                    </w:rPr>
                  </w:pPr>
                  <w:r>
                    <w:rPr>
                      <w:rFonts w:hint="eastAsia"/>
                      <w:lang w:val="en-US" w:eastAsia="zh-CN"/>
                    </w:rPr>
                    <w:t>0.35</w:t>
                  </w:r>
                </w:p>
              </w:tc>
            </w:tr>
            <w:tr w14:paraId="58AC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3CF7C2A0">
                  <w:pPr>
                    <w:pStyle w:val="5"/>
                    <w:bidi w:val="0"/>
                    <w:rPr>
                      <w:lang w:val="en-US" w:eastAsia="zh-CN"/>
                    </w:rPr>
                  </w:pPr>
                  <w:r>
                    <w:rPr>
                      <w:lang w:val="en-US" w:eastAsia="en-US"/>
                    </w:rPr>
                    <w:t>7</w:t>
                  </w:r>
                </w:p>
              </w:tc>
              <w:tc>
                <w:tcPr>
                  <w:tcW w:w="661" w:type="pct"/>
                  <w:gridSpan w:val="2"/>
                  <w:shd w:val="clear" w:color="auto" w:fill="auto"/>
                  <w:vAlign w:val="center"/>
                </w:tcPr>
                <w:p w14:paraId="6206DE89">
                  <w:pPr>
                    <w:pStyle w:val="5"/>
                    <w:bidi w:val="0"/>
                    <w:rPr>
                      <w:lang w:val="en-US" w:eastAsia="zh-CN"/>
                    </w:rPr>
                  </w:pPr>
                  <w:r>
                    <w:rPr>
                      <w:lang w:val="en-US" w:eastAsia="en-US"/>
                    </w:rPr>
                    <w:t>氨氮</w:t>
                  </w:r>
                </w:p>
              </w:tc>
              <w:tc>
                <w:tcPr>
                  <w:tcW w:w="460" w:type="pct"/>
                  <w:shd w:val="clear" w:color="auto" w:fill="auto"/>
                  <w:vAlign w:val="center"/>
                </w:tcPr>
                <w:p w14:paraId="7488F349">
                  <w:pPr>
                    <w:pStyle w:val="5"/>
                    <w:bidi w:val="0"/>
                    <w:rPr>
                      <w:lang w:val="en-US" w:eastAsia="zh-CN"/>
                    </w:rPr>
                  </w:pPr>
                  <w:r>
                    <w:rPr>
                      <w:lang w:val="en-US" w:eastAsia="en-US"/>
                    </w:rPr>
                    <w:t>mg/L</w:t>
                  </w:r>
                </w:p>
              </w:tc>
              <w:tc>
                <w:tcPr>
                  <w:tcW w:w="544" w:type="pct"/>
                  <w:shd w:val="clear" w:color="auto" w:fill="auto"/>
                  <w:vAlign w:val="center"/>
                </w:tcPr>
                <w:p w14:paraId="0ADCC3C0">
                  <w:pPr>
                    <w:pStyle w:val="5"/>
                    <w:bidi w:val="0"/>
                    <w:rPr>
                      <w:lang w:val="en-US" w:eastAsia="zh-CN"/>
                    </w:rPr>
                  </w:pPr>
                  <w:r>
                    <w:rPr>
                      <w:lang w:val="en-US" w:eastAsia="en-US"/>
                    </w:rPr>
                    <w:t>0.50</w:t>
                  </w:r>
                </w:p>
              </w:tc>
              <w:tc>
                <w:tcPr>
                  <w:tcW w:w="746" w:type="pct"/>
                  <w:shd w:val="clear" w:color="auto" w:fill="auto"/>
                  <w:vAlign w:val="center"/>
                </w:tcPr>
                <w:p w14:paraId="1FCA3DAA">
                  <w:pPr>
                    <w:pStyle w:val="5"/>
                    <w:bidi w:val="0"/>
                    <w:rPr>
                      <w:lang w:val="en-US" w:eastAsia="zh-CN"/>
                    </w:rPr>
                  </w:pPr>
                  <w:r>
                    <w:rPr>
                      <w:rFonts w:hint="default"/>
                      <w:lang w:val="en-US" w:eastAsia="zh-CN"/>
                    </w:rPr>
                    <w:t>0.097</w:t>
                  </w:r>
                </w:p>
              </w:tc>
              <w:tc>
                <w:tcPr>
                  <w:tcW w:w="769" w:type="pct"/>
                  <w:shd w:val="clear" w:color="auto" w:fill="auto"/>
                  <w:vAlign w:val="center"/>
                </w:tcPr>
                <w:p w14:paraId="4DE40337">
                  <w:pPr>
                    <w:pStyle w:val="5"/>
                    <w:bidi w:val="0"/>
                    <w:rPr>
                      <w:lang w:val="en-US" w:eastAsia="zh-CN"/>
                    </w:rPr>
                  </w:pPr>
                  <w:r>
                    <w:rPr>
                      <w:rFonts w:hint="default"/>
                      <w:lang w:val="en-US" w:eastAsia="zh-CN"/>
                    </w:rPr>
                    <w:t>0.126</w:t>
                  </w:r>
                </w:p>
              </w:tc>
              <w:tc>
                <w:tcPr>
                  <w:tcW w:w="710" w:type="pct"/>
                  <w:vAlign w:val="center"/>
                </w:tcPr>
                <w:p w14:paraId="3BFD82C6">
                  <w:pPr>
                    <w:pStyle w:val="5"/>
                    <w:bidi w:val="0"/>
                    <w:rPr>
                      <w:lang w:val="en-US" w:eastAsia="zh-CN"/>
                    </w:rPr>
                  </w:pPr>
                  <w:r>
                    <w:rPr>
                      <w:rFonts w:hint="default"/>
                      <w:lang w:val="en-US" w:eastAsia="zh-CN"/>
                    </w:rPr>
                    <w:t>0.194</w:t>
                  </w:r>
                </w:p>
              </w:tc>
              <w:tc>
                <w:tcPr>
                  <w:tcW w:w="840" w:type="pct"/>
                  <w:vAlign w:val="center"/>
                </w:tcPr>
                <w:p w14:paraId="3120B9A3">
                  <w:pPr>
                    <w:pStyle w:val="5"/>
                    <w:bidi w:val="0"/>
                    <w:rPr>
                      <w:rFonts w:hint="default"/>
                      <w:lang w:val="en-US" w:eastAsia="zh-CN"/>
                    </w:rPr>
                  </w:pPr>
                  <w:r>
                    <w:rPr>
                      <w:rFonts w:hint="eastAsia"/>
                      <w:lang w:val="en-US" w:eastAsia="zh-CN"/>
                    </w:rPr>
                    <w:t>0.252</w:t>
                  </w:r>
                </w:p>
              </w:tc>
            </w:tr>
            <w:tr w14:paraId="394E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7539F1FD">
                  <w:pPr>
                    <w:pStyle w:val="5"/>
                    <w:bidi w:val="0"/>
                    <w:rPr>
                      <w:lang w:val="en-US" w:eastAsia="zh-CN"/>
                    </w:rPr>
                  </w:pPr>
                  <w:r>
                    <w:rPr>
                      <w:lang w:val="en-US" w:eastAsia="en-US"/>
                    </w:rPr>
                    <w:t>8</w:t>
                  </w:r>
                </w:p>
              </w:tc>
              <w:tc>
                <w:tcPr>
                  <w:tcW w:w="661" w:type="pct"/>
                  <w:gridSpan w:val="2"/>
                  <w:shd w:val="clear" w:color="auto" w:fill="auto"/>
                  <w:vAlign w:val="center"/>
                </w:tcPr>
                <w:p w14:paraId="41D60B47">
                  <w:pPr>
                    <w:pStyle w:val="5"/>
                    <w:bidi w:val="0"/>
                    <w:rPr>
                      <w:lang w:val="en-US" w:eastAsia="zh-CN"/>
                    </w:rPr>
                  </w:pPr>
                  <w:r>
                    <w:rPr>
                      <w:lang w:val="en-US" w:eastAsia="en-US"/>
                    </w:rPr>
                    <w:t>挥发酚</w:t>
                  </w:r>
                </w:p>
              </w:tc>
              <w:tc>
                <w:tcPr>
                  <w:tcW w:w="460" w:type="pct"/>
                  <w:shd w:val="clear" w:color="auto" w:fill="auto"/>
                  <w:vAlign w:val="center"/>
                </w:tcPr>
                <w:p w14:paraId="6DD8B4DF">
                  <w:pPr>
                    <w:pStyle w:val="5"/>
                    <w:bidi w:val="0"/>
                    <w:rPr>
                      <w:lang w:val="en-US" w:eastAsia="zh-CN"/>
                    </w:rPr>
                  </w:pPr>
                  <w:r>
                    <w:rPr>
                      <w:lang w:val="en-US" w:eastAsia="en-US"/>
                    </w:rPr>
                    <w:t>mg/L</w:t>
                  </w:r>
                </w:p>
              </w:tc>
              <w:tc>
                <w:tcPr>
                  <w:tcW w:w="544" w:type="pct"/>
                  <w:shd w:val="clear" w:color="auto" w:fill="auto"/>
                  <w:vAlign w:val="center"/>
                </w:tcPr>
                <w:p w14:paraId="27406DA5">
                  <w:pPr>
                    <w:pStyle w:val="5"/>
                    <w:bidi w:val="0"/>
                    <w:rPr>
                      <w:lang w:val="en-US" w:eastAsia="zh-CN"/>
                    </w:rPr>
                  </w:pPr>
                  <w:r>
                    <w:rPr>
                      <w:lang w:val="en-US" w:eastAsia="en-US"/>
                    </w:rPr>
                    <w:t>0.002</w:t>
                  </w:r>
                </w:p>
              </w:tc>
              <w:tc>
                <w:tcPr>
                  <w:tcW w:w="746" w:type="pct"/>
                  <w:shd w:val="clear" w:color="auto" w:fill="auto"/>
                  <w:vAlign w:val="center"/>
                </w:tcPr>
                <w:p w14:paraId="659CBB46">
                  <w:pPr>
                    <w:pStyle w:val="5"/>
                    <w:bidi w:val="0"/>
                    <w:rPr>
                      <w:lang w:val="en-US" w:eastAsia="zh-CN"/>
                    </w:rPr>
                  </w:pPr>
                  <w:r>
                    <w:rPr>
                      <w:rFonts w:hint="eastAsia"/>
                      <w:lang w:val="en-US" w:eastAsia="zh-CN"/>
                    </w:rPr>
                    <w:t>ND</w:t>
                  </w:r>
                </w:p>
              </w:tc>
              <w:tc>
                <w:tcPr>
                  <w:tcW w:w="769" w:type="pct"/>
                  <w:shd w:val="clear" w:color="auto" w:fill="auto"/>
                  <w:vAlign w:val="center"/>
                </w:tcPr>
                <w:p w14:paraId="09FE4C69">
                  <w:pPr>
                    <w:pStyle w:val="5"/>
                    <w:bidi w:val="0"/>
                    <w:rPr>
                      <w:lang w:val="en-US" w:eastAsia="zh-CN"/>
                    </w:rPr>
                  </w:pPr>
                  <w:r>
                    <w:rPr>
                      <w:rFonts w:hint="eastAsia"/>
                      <w:lang w:val="en-US" w:eastAsia="zh-CN"/>
                    </w:rPr>
                    <w:t>ND</w:t>
                  </w:r>
                </w:p>
              </w:tc>
              <w:tc>
                <w:tcPr>
                  <w:tcW w:w="710" w:type="pct"/>
                  <w:vAlign w:val="center"/>
                </w:tcPr>
                <w:p w14:paraId="6063E3D1">
                  <w:pPr>
                    <w:pStyle w:val="5"/>
                    <w:bidi w:val="0"/>
                    <w:rPr>
                      <w:lang w:val="en-US" w:eastAsia="zh-CN"/>
                    </w:rPr>
                  </w:pPr>
                  <w:r>
                    <w:rPr>
                      <w:lang w:val="en-US" w:eastAsia="zh-CN"/>
                    </w:rPr>
                    <w:t>/</w:t>
                  </w:r>
                </w:p>
              </w:tc>
              <w:tc>
                <w:tcPr>
                  <w:tcW w:w="840" w:type="pct"/>
                  <w:vAlign w:val="center"/>
                </w:tcPr>
                <w:p w14:paraId="49849993">
                  <w:pPr>
                    <w:pStyle w:val="5"/>
                    <w:bidi w:val="0"/>
                    <w:rPr>
                      <w:lang w:val="en-US" w:eastAsia="zh-CN"/>
                    </w:rPr>
                  </w:pPr>
                  <w:r>
                    <w:rPr>
                      <w:lang w:val="en-US" w:eastAsia="zh-CN"/>
                    </w:rPr>
                    <w:t>/</w:t>
                  </w:r>
                </w:p>
              </w:tc>
            </w:tr>
            <w:tr w14:paraId="4B25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0F3E19F5">
                  <w:pPr>
                    <w:pStyle w:val="5"/>
                    <w:bidi w:val="0"/>
                    <w:rPr>
                      <w:lang w:val="en-US" w:eastAsia="zh-CN"/>
                    </w:rPr>
                  </w:pPr>
                  <w:r>
                    <w:rPr>
                      <w:lang w:val="en-US" w:eastAsia="en-US"/>
                    </w:rPr>
                    <w:t>9</w:t>
                  </w:r>
                </w:p>
              </w:tc>
              <w:tc>
                <w:tcPr>
                  <w:tcW w:w="661" w:type="pct"/>
                  <w:gridSpan w:val="2"/>
                  <w:shd w:val="clear" w:color="auto" w:fill="auto"/>
                  <w:vAlign w:val="center"/>
                </w:tcPr>
                <w:p w14:paraId="0085D757">
                  <w:pPr>
                    <w:pStyle w:val="5"/>
                    <w:bidi w:val="0"/>
                    <w:rPr>
                      <w:lang w:val="en-US" w:eastAsia="zh-CN"/>
                    </w:rPr>
                  </w:pPr>
                  <w:r>
                    <w:rPr>
                      <w:rFonts w:hint="default"/>
                      <w:lang w:val="en-US" w:eastAsia="en-US"/>
                    </w:rPr>
                    <w:t>铬（六价）</w:t>
                  </w:r>
                </w:p>
              </w:tc>
              <w:tc>
                <w:tcPr>
                  <w:tcW w:w="460" w:type="pct"/>
                  <w:shd w:val="clear" w:color="auto" w:fill="auto"/>
                  <w:vAlign w:val="center"/>
                </w:tcPr>
                <w:p w14:paraId="6C93C1FF">
                  <w:pPr>
                    <w:pStyle w:val="5"/>
                    <w:bidi w:val="0"/>
                    <w:rPr>
                      <w:lang w:val="en-US" w:eastAsia="zh-CN"/>
                    </w:rPr>
                  </w:pPr>
                  <w:r>
                    <w:rPr>
                      <w:lang w:val="en-US" w:eastAsia="en-US"/>
                    </w:rPr>
                    <w:t>mg/L</w:t>
                  </w:r>
                </w:p>
              </w:tc>
              <w:tc>
                <w:tcPr>
                  <w:tcW w:w="544" w:type="pct"/>
                  <w:shd w:val="clear" w:color="auto" w:fill="auto"/>
                  <w:vAlign w:val="center"/>
                </w:tcPr>
                <w:p w14:paraId="7899D84F">
                  <w:pPr>
                    <w:pStyle w:val="5"/>
                    <w:bidi w:val="0"/>
                    <w:rPr>
                      <w:lang w:val="en-US" w:eastAsia="zh-CN"/>
                    </w:rPr>
                  </w:pPr>
                  <w:r>
                    <w:rPr>
                      <w:lang w:val="en-US" w:eastAsia="en-US"/>
                    </w:rPr>
                    <w:t>0.05</w:t>
                  </w:r>
                </w:p>
              </w:tc>
              <w:tc>
                <w:tcPr>
                  <w:tcW w:w="746" w:type="pct"/>
                  <w:shd w:val="clear" w:color="auto" w:fill="auto"/>
                  <w:vAlign w:val="center"/>
                </w:tcPr>
                <w:p w14:paraId="69C1B51A">
                  <w:pPr>
                    <w:pStyle w:val="5"/>
                    <w:bidi w:val="0"/>
                    <w:rPr>
                      <w:lang w:val="en-US" w:eastAsia="zh-CN"/>
                    </w:rPr>
                  </w:pPr>
                  <w:r>
                    <w:rPr>
                      <w:rFonts w:hint="default"/>
                      <w:lang w:val="en-US" w:eastAsia="zh-CN"/>
                    </w:rPr>
                    <w:t>0.004</w:t>
                  </w:r>
                </w:p>
              </w:tc>
              <w:tc>
                <w:tcPr>
                  <w:tcW w:w="769" w:type="pct"/>
                  <w:shd w:val="clear" w:color="auto" w:fill="auto"/>
                  <w:vAlign w:val="center"/>
                </w:tcPr>
                <w:p w14:paraId="183D6683">
                  <w:pPr>
                    <w:pStyle w:val="5"/>
                    <w:bidi w:val="0"/>
                    <w:rPr>
                      <w:lang w:val="en-US" w:eastAsia="zh-CN"/>
                    </w:rPr>
                  </w:pPr>
                  <w:r>
                    <w:rPr>
                      <w:rFonts w:hint="eastAsia"/>
                      <w:lang w:val="en-US" w:eastAsia="zh-CN"/>
                    </w:rPr>
                    <w:t>0.008</w:t>
                  </w:r>
                </w:p>
              </w:tc>
              <w:tc>
                <w:tcPr>
                  <w:tcW w:w="710" w:type="pct"/>
                  <w:vAlign w:val="center"/>
                </w:tcPr>
                <w:p w14:paraId="3D541FA0">
                  <w:pPr>
                    <w:pStyle w:val="5"/>
                    <w:bidi w:val="0"/>
                    <w:rPr>
                      <w:lang w:val="en-US" w:eastAsia="zh-CN"/>
                    </w:rPr>
                  </w:pPr>
                  <w:r>
                    <w:rPr>
                      <w:rFonts w:hint="default"/>
                      <w:lang w:val="en-US" w:eastAsia="zh-CN"/>
                    </w:rPr>
                    <w:t>0.08</w:t>
                  </w:r>
                </w:p>
              </w:tc>
              <w:tc>
                <w:tcPr>
                  <w:tcW w:w="840" w:type="pct"/>
                  <w:vAlign w:val="center"/>
                </w:tcPr>
                <w:p w14:paraId="2E6D70BE">
                  <w:pPr>
                    <w:pStyle w:val="5"/>
                    <w:bidi w:val="0"/>
                    <w:rPr>
                      <w:rFonts w:hint="default"/>
                      <w:lang w:val="en-US" w:eastAsia="zh-CN"/>
                    </w:rPr>
                  </w:pPr>
                  <w:r>
                    <w:rPr>
                      <w:rFonts w:hint="eastAsia"/>
                      <w:lang w:val="en-US" w:eastAsia="zh-CN"/>
                    </w:rPr>
                    <w:t>0.16</w:t>
                  </w:r>
                </w:p>
              </w:tc>
            </w:tr>
            <w:tr w14:paraId="72727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4523A810">
                  <w:pPr>
                    <w:pStyle w:val="5"/>
                    <w:bidi w:val="0"/>
                    <w:rPr>
                      <w:lang w:val="en-US" w:eastAsia="zh-CN"/>
                    </w:rPr>
                  </w:pPr>
                  <w:r>
                    <w:rPr>
                      <w:lang w:val="en-US" w:eastAsia="en-US"/>
                    </w:rPr>
                    <w:t>10</w:t>
                  </w:r>
                </w:p>
              </w:tc>
              <w:tc>
                <w:tcPr>
                  <w:tcW w:w="661" w:type="pct"/>
                  <w:gridSpan w:val="2"/>
                  <w:shd w:val="clear" w:color="auto" w:fill="auto"/>
                  <w:vAlign w:val="center"/>
                </w:tcPr>
                <w:p w14:paraId="39A95513">
                  <w:pPr>
                    <w:pStyle w:val="5"/>
                    <w:bidi w:val="0"/>
                    <w:rPr>
                      <w:lang w:val="en-US" w:eastAsia="zh-CN"/>
                    </w:rPr>
                  </w:pPr>
                  <w:r>
                    <w:rPr>
                      <w:lang w:val="en-US" w:eastAsia="en-US"/>
                    </w:rPr>
                    <w:t>总磷</w:t>
                  </w:r>
                </w:p>
              </w:tc>
              <w:tc>
                <w:tcPr>
                  <w:tcW w:w="460" w:type="pct"/>
                  <w:shd w:val="clear" w:color="auto" w:fill="auto"/>
                  <w:vAlign w:val="center"/>
                </w:tcPr>
                <w:p w14:paraId="0BA34F71">
                  <w:pPr>
                    <w:pStyle w:val="5"/>
                    <w:bidi w:val="0"/>
                    <w:rPr>
                      <w:lang w:val="en-US" w:eastAsia="zh-CN"/>
                    </w:rPr>
                  </w:pPr>
                  <w:r>
                    <w:rPr>
                      <w:lang w:val="en-US" w:eastAsia="en-US"/>
                    </w:rPr>
                    <w:t>mg/L</w:t>
                  </w:r>
                </w:p>
              </w:tc>
              <w:tc>
                <w:tcPr>
                  <w:tcW w:w="544" w:type="pct"/>
                  <w:shd w:val="clear" w:color="auto" w:fill="auto"/>
                  <w:vAlign w:val="center"/>
                </w:tcPr>
                <w:p w14:paraId="64E356B5">
                  <w:pPr>
                    <w:pStyle w:val="5"/>
                    <w:bidi w:val="0"/>
                    <w:rPr>
                      <w:lang w:val="en-US" w:eastAsia="zh-CN"/>
                    </w:rPr>
                  </w:pPr>
                  <w:r>
                    <w:rPr>
                      <w:lang w:val="en-US" w:eastAsia="zh-CN"/>
                    </w:rPr>
                    <w:t>/</w:t>
                  </w:r>
                </w:p>
              </w:tc>
              <w:tc>
                <w:tcPr>
                  <w:tcW w:w="746" w:type="pct"/>
                  <w:shd w:val="clear" w:color="auto" w:fill="auto"/>
                  <w:vAlign w:val="center"/>
                </w:tcPr>
                <w:p w14:paraId="5628E160">
                  <w:pPr>
                    <w:pStyle w:val="5"/>
                    <w:bidi w:val="0"/>
                    <w:rPr>
                      <w:lang w:val="en-US" w:eastAsia="zh-CN"/>
                    </w:rPr>
                  </w:pPr>
                  <w:r>
                    <w:rPr>
                      <w:rFonts w:hint="default"/>
                      <w:lang w:val="en-US" w:eastAsia="zh-CN"/>
                    </w:rPr>
                    <w:t>0.04</w:t>
                  </w:r>
                </w:p>
              </w:tc>
              <w:tc>
                <w:tcPr>
                  <w:tcW w:w="769" w:type="pct"/>
                  <w:shd w:val="clear" w:color="auto" w:fill="auto"/>
                  <w:vAlign w:val="center"/>
                </w:tcPr>
                <w:p w14:paraId="789EF5D3">
                  <w:pPr>
                    <w:pStyle w:val="5"/>
                    <w:bidi w:val="0"/>
                    <w:rPr>
                      <w:lang w:val="en-US" w:eastAsia="zh-CN"/>
                    </w:rPr>
                  </w:pPr>
                  <w:r>
                    <w:rPr>
                      <w:rFonts w:hint="default"/>
                      <w:lang w:val="en-US" w:eastAsia="zh-CN"/>
                    </w:rPr>
                    <w:t>0.41</w:t>
                  </w:r>
                </w:p>
              </w:tc>
              <w:tc>
                <w:tcPr>
                  <w:tcW w:w="710" w:type="pct"/>
                  <w:vAlign w:val="center"/>
                </w:tcPr>
                <w:p w14:paraId="76EA5F74">
                  <w:pPr>
                    <w:pStyle w:val="5"/>
                    <w:bidi w:val="0"/>
                    <w:rPr>
                      <w:lang w:val="en-US" w:eastAsia="zh-CN"/>
                    </w:rPr>
                  </w:pPr>
                  <w:r>
                    <w:rPr>
                      <w:lang w:val="en-US" w:eastAsia="zh-CN"/>
                    </w:rPr>
                    <w:t>/</w:t>
                  </w:r>
                </w:p>
              </w:tc>
              <w:tc>
                <w:tcPr>
                  <w:tcW w:w="840" w:type="pct"/>
                  <w:vAlign w:val="center"/>
                </w:tcPr>
                <w:p w14:paraId="381558A9">
                  <w:pPr>
                    <w:pStyle w:val="5"/>
                    <w:bidi w:val="0"/>
                    <w:rPr>
                      <w:lang w:val="en-US" w:eastAsia="zh-CN"/>
                    </w:rPr>
                  </w:pPr>
                  <w:r>
                    <w:rPr>
                      <w:lang w:val="en-US" w:eastAsia="zh-CN"/>
                    </w:rPr>
                    <w:t>/</w:t>
                  </w:r>
                </w:p>
              </w:tc>
            </w:tr>
            <w:tr w14:paraId="2077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05B3FEDF">
                  <w:pPr>
                    <w:pStyle w:val="5"/>
                    <w:bidi w:val="0"/>
                    <w:rPr>
                      <w:lang w:val="en-US" w:eastAsia="zh-CN"/>
                    </w:rPr>
                  </w:pPr>
                  <w:r>
                    <w:rPr>
                      <w:lang w:val="en-US" w:eastAsia="en-US"/>
                    </w:rPr>
                    <w:t>11</w:t>
                  </w:r>
                </w:p>
              </w:tc>
              <w:tc>
                <w:tcPr>
                  <w:tcW w:w="661" w:type="pct"/>
                  <w:gridSpan w:val="2"/>
                  <w:shd w:val="clear" w:color="auto" w:fill="auto"/>
                  <w:vAlign w:val="center"/>
                </w:tcPr>
                <w:p w14:paraId="369196F6">
                  <w:pPr>
                    <w:pStyle w:val="5"/>
                    <w:bidi w:val="0"/>
                    <w:rPr>
                      <w:lang w:val="en-US" w:eastAsia="zh-CN"/>
                    </w:rPr>
                  </w:pPr>
                  <w:r>
                    <w:rPr>
                      <w:lang w:val="en-US" w:eastAsia="en-US"/>
                    </w:rPr>
                    <w:t>汞</w:t>
                  </w:r>
                </w:p>
              </w:tc>
              <w:tc>
                <w:tcPr>
                  <w:tcW w:w="460" w:type="pct"/>
                  <w:shd w:val="clear" w:color="auto" w:fill="auto"/>
                  <w:vAlign w:val="center"/>
                </w:tcPr>
                <w:p w14:paraId="5AB58016">
                  <w:pPr>
                    <w:pStyle w:val="5"/>
                    <w:bidi w:val="0"/>
                    <w:rPr>
                      <w:lang w:val="en-US" w:eastAsia="zh-CN"/>
                    </w:rPr>
                  </w:pPr>
                  <w:r>
                    <w:rPr>
                      <w:lang w:val="en-US" w:eastAsia="en-US"/>
                    </w:rPr>
                    <w:t>mg/L</w:t>
                  </w:r>
                </w:p>
              </w:tc>
              <w:tc>
                <w:tcPr>
                  <w:tcW w:w="544" w:type="pct"/>
                  <w:shd w:val="clear" w:color="auto" w:fill="auto"/>
                  <w:vAlign w:val="center"/>
                </w:tcPr>
                <w:p w14:paraId="7C955183">
                  <w:pPr>
                    <w:pStyle w:val="5"/>
                    <w:bidi w:val="0"/>
                    <w:rPr>
                      <w:lang w:val="en-US" w:eastAsia="zh-CN"/>
                    </w:rPr>
                  </w:pPr>
                  <w:r>
                    <w:rPr>
                      <w:lang w:val="en-US" w:eastAsia="en-US"/>
                    </w:rPr>
                    <w:t>0.001</w:t>
                  </w:r>
                </w:p>
              </w:tc>
              <w:tc>
                <w:tcPr>
                  <w:tcW w:w="746" w:type="pct"/>
                  <w:shd w:val="clear" w:color="auto" w:fill="auto"/>
                  <w:vAlign w:val="center"/>
                </w:tcPr>
                <w:p w14:paraId="23D464DB">
                  <w:pPr>
                    <w:pStyle w:val="5"/>
                    <w:bidi w:val="0"/>
                    <w:rPr>
                      <w:lang w:val="en-US" w:eastAsia="zh-CN"/>
                    </w:rPr>
                  </w:pPr>
                  <w:r>
                    <w:rPr>
                      <w:rFonts w:hint="eastAsia"/>
                      <w:lang w:val="en-US" w:eastAsia="zh-CN"/>
                    </w:rPr>
                    <w:t>ND</w:t>
                  </w:r>
                </w:p>
              </w:tc>
              <w:tc>
                <w:tcPr>
                  <w:tcW w:w="769" w:type="pct"/>
                  <w:shd w:val="clear" w:color="auto" w:fill="auto"/>
                  <w:vAlign w:val="center"/>
                </w:tcPr>
                <w:p w14:paraId="6962162A">
                  <w:pPr>
                    <w:pStyle w:val="5"/>
                    <w:bidi w:val="0"/>
                    <w:rPr>
                      <w:lang w:val="en-US" w:eastAsia="zh-CN"/>
                    </w:rPr>
                  </w:pPr>
                  <w:r>
                    <w:rPr>
                      <w:rFonts w:hint="eastAsia"/>
                      <w:lang w:val="en-US" w:eastAsia="zh-CN"/>
                    </w:rPr>
                    <w:t>ND</w:t>
                  </w:r>
                </w:p>
              </w:tc>
              <w:tc>
                <w:tcPr>
                  <w:tcW w:w="710" w:type="pct"/>
                  <w:vAlign w:val="center"/>
                </w:tcPr>
                <w:p w14:paraId="688A2FDC">
                  <w:pPr>
                    <w:pStyle w:val="5"/>
                    <w:bidi w:val="0"/>
                    <w:rPr>
                      <w:lang w:val="en-US" w:eastAsia="zh-CN"/>
                    </w:rPr>
                  </w:pPr>
                  <w:r>
                    <w:rPr>
                      <w:lang w:val="en-US" w:eastAsia="zh-CN"/>
                    </w:rPr>
                    <w:t>/</w:t>
                  </w:r>
                </w:p>
              </w:tc>
              <w:tc>
                <w:tcPr>
                  <w:tcW w:w="840" w:type="pct"/>
                  <w:vAlign w:val="center"/>
                </w:tcPr>
                <w:p w14:paraId="337DCE2C">
                  <w:pPr>
                    <w:pStyle w:val="5"/>
                    <w:bidi w:val="0"/>
                    <w:rPr>
                      <w:lang w:val="en-US" w:eastAsia="zh-CN"/>
                    </w:rPr>
                  </w:pPr>
                  <w:r>
                    <w:rPr>
                      <w:lang w:val="en-US" w:eastAsia="zh-CN"/>
                    </w:rPr>
                    <w:t>/</w:t>
                  </w:r>
                </w:p>
              </w:tc>
            </w:tr>
            <w:tr w14:paraId="5D15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526F5ABE">
                  <w:pPr>
                    <w:pStyle w:val="5"/>
                    <w:bidi w:val="0"/>
                    <w:rPr>
                      <w:lang w:val="en-US" w:eastAsia="zh-CN"/>
                    </w:rPr>
                  </w:pPr>
                  <w:r>
                    <w:rPr>
                      <w:lang w:val="en-US" w:eastAsia="en-US"/>
                    </w:rPr>
                    <w:t>12</w:t>
                  </w:r>
                </w:p>
              </w:tc>
              <w:tc>
                <w:tcPr>
                  <w:tcW w:w="661" w:type="pct"/>
                  <w:gridSpan w:val="2"/>
                  <w:shd w:val="clear" w:color="auto" w:fill="auto"/>
                  <w:vAlign w:val="center"/>
                </w:tcPr>
                <w:p w14:paraId="4E6F965B">
                  <w:pPr>
                    <w:pStyle w:val="5"/>
                    <w:bidi w:val="0"/>
                    <w:rPr>
                      <w:lang w:val="en-US" w:eastAsia="zh-CN"/>
                    </w:rPr>
                  </w:pPr>
                  <w:r>
                    <w:rPr>
                      <w:lang w:val="en-US" w:eastAsia="en-US"/>
                    </w:rPr>
                    <w:t>砷</w:t>
                  </w:r>
                </w:p>
              </w:tc>
              <w:tc>
                <w:tcPr>
                  <w:tcW w:w="460" w:type="pct"/>
                  <w:shd w:val="clear" w:color="auto" w:fill="auto"/>
                  <w:vAlign w:val="center"/>
                </w:tcPr>
                <w:p w14:paraId="4F7691BD">
                  <w:pPr>
                    <w:pStyle w:val="5"/>
                    <w:bidi w:val="0"/>
                    <w:rPr>
                      <w:lang w:val="en-US" w:eastAsia="zh-CN"/>
                    </w:rPr>
                  </w:pPr>
                  <w:r>
                    <w:rPr>
                      <w:lang w:val="en-US" w:eastAsia="en-US"/>
                    </w:rPr>
                    <w:t>mg/L</w:t>
                  </w:r>
                </w:p>
              </w:tc>
              <w:tc>
                <w:tcPr>
                  <w:tcW w:w="544" w:type="pct"/>
                  <w:shd w:val="clear" w:color="auto" w:fill="auto"/>
                  <w:vAlign w:val="center"/>
                </w:tcPr>
                <w:p w14:paraId="6BF10A3B">
                  <w:pPr>
                    <w:pStyle w:val="5"/>
                    <w:bidi w:val="0"/>
                    <w:rPr>
                      <w:lang w:val="en-US" w:eastAsia="zh-CN"/>
                    </w:rPr>
                  </w:pPr>
                  <w:r>
                    <w:rPr>
                      <w:lang w:val="en-US" w:eastAsia="en-US"/>
                    </w:rPr>
                    <w:t>0.01</w:t>
                  </w:r>
                </w:p>
              </w:tc>
              <w:tc>
                <w:tcPr>
                  <w:tcW w:w="746" w:type="pct"/>
                  <w:shd w:val="clear" w:color="auto" w:fill="auto"/>
                  <w:vAlign w:val="center"/>
                </w:tcPr>
                <w:p w14:paraId="4915F3DB">
                  <w:pPr>
                    <w:pStyle w:val="5"/>
                    <w:bidi w:val="0"/>
                    <w:rPr>
                      <w:lang w:val="en-US" w:eastAsia="zh-CN"/>
                    </w:rPr>
                  </w:pPr>
                  <w:r>
                    <w:rPr>
                      <w:rFonts w:hint="default"/>
                      <w:lang w:val="en-US" w:eastAsia="zh-CN"/>
                    </w:rPr>
                    <w:t>0.0004</w:t>
                  </w:r>
                </w:p>
              </w:tc>
              <w:tc>
                <w:tcPr>
                  <w:tcW w:w="769" w:type="pct"/>
                  <w:shd w:val="clear" w:color="auto" w:fill="auto"/>
                  <w:vAlign w:val="center"/>
                </w:tcPr>
                <w:p w14:paraId="17105B2B">
                  <w:pPr>
                    <w:pStyle w:val="5"/>
                    <w:bidi w:val="0"/>
                    <w:rPr>
                      <w:lang w:val="en-US" w:eastAsia="zh-CN"/>
                    </w:rPr>
                  </w:pPr>
                  <w:r>
                    <w:rPr>
                      <w:rFonts w:hint="default"/>
                      <w:lang w:val="en-US" w:eastAsia="zh-CN"/>
                    </w:rPr>
                    <w:t>0.0004</w:t>
                  </w:r>
                </w:p>
              </w:tc>
              <w:tc>
                <w:tcPr>
                  <w:tcW w:w="710" w:type="pct"/>
                  <w:vAlign w:val="center"/>
                </w:tcPr>
                <w:p w14:paraId="38ADF60E">
                  <w:pPr>
                    <w:pStyle w:val="5"/>
                    <w:bidi w:val="0"/>
                    <w:rPr>
                      <w:lang w:val="en-US" w:eastAsia="zh-CN"/>
                    </w:rPr>
                  </w:pPr>
                  <w:r>
                    <w:rPr>
                      <w:rFonts w:hint="default"/>
                      <w:lang w:val="en-US" w:eastAsia="zh-CN"/>
                    </w:rPr>
                    <w:t>0.04</w:t>
                  </w:r>
                </w:p>
              </w:tc>
              <w:tc>
                <w:tcPr>
                  <w:tcW w:w="840" w:type="pct"/>
                  <w:vAlign w:val="center"/>
                </w:tcPr>
                <w:p w14:paraId="6CDAE682">
                  <w:pPr>
                    <w:pStyle w:val="5"/>
                    <w:bidi w:val="0"/>
                    <w:rPr>
                      <w:rFonts w:hint="default"/>
                      <w:lang w:val="en-US" w:eastAsia="zh-CN"/>
                    </w:rPr>
                  </w:pPr>
                  <w:r>
                    <w:rPr>
                      <w:rFonts w:hint="eastAsia"/>
                      <w:lang w:val="en-US" w:eastAsia="zh-CN"/>
                    </w:rPr>
                    <w:t>0.04</w:t>
                  </w:r>
                </w:p>
              </w:tc>
            </w:tr>
            <w:tr w14:paraId="040D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136C5654">
                  <w:pPr>
                    <w:pStyle w:val="5"/>
                    <w:bidi w:val="0"/>
                    <w:rPr>
                      <w:lang w:val="en-US" w:eastAsia="zh-CN"/>
                    </w:rPr>
                  </w:pPr>
                  <w:r>
                    <w:rPr>
                      <w:lang w:val="en-US" w:eastAsia="en-US"/>
                    </w:rPr>
                    <w:t>13</w:t>
                  </w:r>
                </w:p>
              </w:tc>
              <w:tc>
                <w:tcPr>
                  <w:tcW w:w="661" w:type="pct"/>
                  <w:gridSpan w:val="2"/>
                  <w:shd w:val="clear" w:color="auto" w:fill="auto"/>
                  <w:vAlign w:val="center"/>
                </w:tcPr>
                <w:p w14:paraId="2BAE3B4D">
                  <w:pPr>
                    <w:pStyle w:val="5"/>
                    <w:bidi w:val="0"/>
                    <w:rPr>
                      <w:lang w:val="en-US" w:eastAsia="zh-CN"/>
                    </w:rPr>
                  </w:pPr>
                  <w:r>
                    <w:rPr>
                      <w:lang w:val="en-US" w:eastAsia="en-US"/>
                    </w:rPr>
                    <w:t>镍</w:t>
                  </w:r>
                </w:p>
              </w:tc>
              <w:tc>
                <w:tcPr>
                  <w:tcW w:w="460" w:type="pct"/>
                  <w:shd w:val="clear" w:color="auto" w:fill="auto"/>
                  <w:vAlign w:val="center"/>
                </w:tcPr>
                <w:p w14:paraId="7EF822E8">
                  <w:pPr>
                    <w:pStyle w:val="5"/>
                    <w:bidi w:val="0"/>
                    <w:rPr>
                      <w:lang w:val="en-US" w:eastAsia="zh-CN"/>
                    </w:rPr>
                  </w:pPr>
                  <w:r>
                    <w:rPr>
                      <w:lang w:val="en-US" w:eastAsia="en-US"/>
                    </w:rPr>
                    <w:t>mg/L</w:t>
                  </w:r>
                </w:p>
              </w:tc>
              <w:tc>
                <w:tcPr>
                  <w:tcW w:w="544" w:type="pct"/>
                  <w:shd w:val="clear" w:color="auto" w:fill="auto"/>
                  <w:vAlign w:val="center"/>
                </w:tcPr>
                <w:p w14:paraId="288780EA">
                  <w:pPr>
                    <w:pStyle w:val="5"/>
                    <w:bidi w:val="0"/>
                    <w:rPr>
                      <w:lang w:val="en-US" w:eastAsia="zh-CN"/>
                    </w:rPr>
                  </w:pPr>
                  <w:r>
                    <w:rPr>
                      <w:lang w:val="en-US" w:eastAsia="en-US"/>
                    </w:rPr>
                    <w:t>0.02</w:t>
                  </w:r>
                </w:p>
              </w:tc>
              <w:tc>
                <w:tcPr>
                  <w:tcW w:w="746" w:type="pct"/>
                  <w:shd w:val="clear" w:color="auto" w:fill="auto"/>
                  <w:vAlign w:val="center"/>
                </w:tcPr>
                <w:p w14:paraId="24C3675B">
                  <w:pPr>
                    <w:pStyle w:val="5"/>
                    <w:bidi w:val="0"/>
                    <w:rPr>
                      <w:lang w:val="en-US" w:eastAsia="zh-CN"/>
                    </w:rPr>
                  </w:pPr>
                  <w:r>
                    <w:rPr>
                      <w:rFonts w:hint="eastAsia"/>
                      <w:lang w:val="en-US" w:eastAsia="zh-CN"/>
                    </w:rPr>
                    <w:t>ND</w:t>
                  </w:r>
                </w:p>
              </w:tc>
              <w:tc>
                <w:tcPr>
                  <w:tcW w:w="769" w:type="pct"/>
                  <w:shd w:val="clear" w:color="auto" w:fill="auto"/>
                  <w:vAlign w:val="center"/>
                </w:tcPr>
                <w:p w14:paraId="7D2B4E22">
                  <w:pPr>
                    <w:pStyle w:val="5"/>
                    <w:bidi w:val="0"/>
                    <w:rPr>
                      <w:lang w:val="en-US" w:eastAsia="zh-CN"/>
                    </w:rPr>
                  </w:pPr>
                  <w:r>
                    <w:rPr>
                      <w:rFonts w:hint="eastAsia"/>
                      <w:lang w:val="en-US" w:eastAsia="zh-CN"/>
                    </w:rPr>
                    <w:t>ND</w:t>
                  </w:r>
                </w:p>
              </w:tc>
              <w:tc>
                <w:tcPr>
                  <w:tcW w:w="710" w:type="pct"/>
                  <w:vAlign w:val="center"/>
                </w:tcPr>
                <w:p w14:paraId="7C21DC52">
                  <w:pPr>
                    <w:pStyle w:val="5"/>
                    <w:bidi w:val="0"/>
                    <w:rPr>
                      <w:lang w:val="en-US" w:eastAsia="zh-CN"/>
                    </w:rPr>
                  </w:pPr>
                  <w:r>
                    <w:rPr>
                      <w:lang w:val="en-US" w:eastAsia="zh-CN"/>
                    </w:rPr>
                    <w:t>/</w:t>
                  </w:r>
                </w:p>
              </w:tc>
              <w:tc>
                <w:tcPr>
                  <w:tcW w:w="840" w:type="pct"/>
                  <w:vAlign w:val="center"/>
                </w:tcPr>
                <w:p w14:paraId="4114459A">
                  <w:pPr>
                    <w:pStyle w:val="5"/>
                    <w:bidi w:val="0"/>
                    <w:rPr>
                      <w:lang w:val="en-US" w:eastAsia="zh-CN"/>
                    </w:rPr>
                  </w:pPr>
                  <w:r>
                    <w:rPr>
                      <w:lang w:val="en-US" w:eastAsia="zh-CN"/>
                    </w:rPr>
                    <w:t>/</w:t>
                  </w:r>
                </w:p>
              </w:tc>
            </w:tr>
            <w:tr w14:paraId="1799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24019B39">
                  <w:pPr>
                    <w:pStyle w:val="5"/>
                    <w:bidi w:val="0"/>
                    <w:rPr>
                      <w:lang w:val="en-US" w:eastAsia="zh-CN"/>
                    </w:rPr>
                  </w:pPr>
                  <w:r>
                    <w:rPr>
                      <w:lang w:val="en-US" w:eastAsia="en-US"/>
                    </w:rPr>
                    <w:t>14</w:t>
                  </w:r>
                </w:p>
              </w:tc>
              <w:tc>
                <w:tcPr>
                  <w:tcW w:w="661" w:type="pct"/>
                  <w:gridSpan w:val="2"/>
                  <w:shd w:val="clear" w:color="auto" w:fill="auto"/>
                  <w:vAlign w:val="center"/>
                </w:tcPr>
                <w:p w14:paraId="0DE1AE1F">
                  <w:pPr>
                    <w:pStyle w:val="5"/>
                    <w:bidi w:val="0"/>
                    <w:rPr>
                      <w:lang w:val="en-US" w:eastAsia="zh-CN"/>
                    </w:rPr>
                  </w:pPr>
                  <w:r>
                    <w:rPr>
                      <w:lang w:val="en-US" w:eastAsia="en-US"/>
                    </w:rPr>
                    <w:t>铜</w:t>
                  </w:r>
                </w:p>
              </w:tc>
              <w:tc>
                <w:tcPr>
                  <w:tcW w:w="460" w:type="pct"/>
                  <w:shd w:val="clear" w:color="auto" w:fill="auto"/>
                  <w:vAlign w:val="center"/>
                </w:tcPr>
                <w:p w14:paraId="47CF3342">
                  <w:pPr>
                    <w:pStyle w:val="5"/>
                    <w:bidi w:val="0"/>
                    <w:rPr>
                      <w:lang w:val="en-US" w:eastAsia="zh-CN"/>
                    </w:rPr>
                  </w:pPr>
                  <w:r>
                    <w:rPr>
                      <w:lang w:val="en-US" w:eastAsia="en-US"/>
                    </w:rPr>
                    <w:t>mg/L</w:t>
                  </w:r>
                </w:p>
              </w:tc>
              <w:tc>
                <w:tcPr>
                  <w:tcW w:w="544" w:type="pct"/>
                  <w:shd w:val="clear" w:color="auto" w:fill="auto"/>
                  <w:vAlign w:val="center"/>
                </w:tcPr>
                <w:p w14:paraId="177A3D37">
                  <w:pPr>
                    <w:pStyle w:val="5"/>
                    <w:bidi w:val="0"/>
                    <w:rPr>
                      <w:lang w:val="en-US" w:eastAsia="zh-CN"/>
                    </w:rPr>
                  </w:pPr>
                  <w:r>
                    <w:rPr>
                      <w:lang w:val="en-US" w:eastAsia="en-US"/>
                    </w:rPr>
                    <w:t>1.00</w:t>
                  </w:r>
                </w:p>
              </w:tc>
              <w:tc>
                <w:tcPr>
                  <w:tcW w:w="746" w:type="pct"/>
                  <w:shd w:val="clear" w:color="auto" w:fill="auto"/>
                  <w:vAlign w:val="center"/>
                </w:tcPr>
                <w:p w14:paraId="0855B12B">
                  <w:pPr>
                    <w:pStyle w:val="5"/>
                    <w:bidi w:val="0"/>
                    <w:rPr>
                      <w:lang w:val="en-US" w:eastAsia="zh-CN"/>
                    </w:rPr>
                  </w:pPr>
                  <w:r>
                    <w:rPr>
                      <w:rFonts w:hint="eastAsia"/>
                      <w:lang w:val="en-US" w:eastAsia="zh-CN"/>
                    </w:rPr>
                    <w:t>ND</w:t>
                  </w:r>
                </w:p>
              </w:tc>
              <w:tc>
                <w:tcPr>
                  <w:tcW w:w="769" w:type="pct"/>
                  <w:shd w:val="clear" w:color="auto" w:fill="auto"/>
                  <w:vAlign w:val="center"/>
                </w:tcPr>
                <w:p w14:paraId="4CEFCA4D">
                  <w:pPr>
                    <w:pStyle w:val="5"/>
                    <w:bidi w:val="0"/>
                    <w:rPr>
                      <w:lang w:val="en-US" w:eastAsia="zh-CN"/>
                    </w:rPr>
                  </w:pPr>
                  <w:r>
                    <w:rPr>
                      <w:rFonts w:hint="eastAsia"/>
                      <w:lang w:val="en-US" w:eastAsia="zh-CN"/>
                    </w:rPr>
                    <w:t>ND</w:t>
                  </w:r>
                </w:p>
              </w:tc>
              <w:tc>
                <w:tcPr>
                  <w:tcW w:w="710" w:type="pct"/>
                  <w:vAlign w:val="center"/>
                </w:tcPr>
                <w:p w14:paraId="3728DA6C">
                  <w:pPr>
                    <w:pStyle w:val="5"/>
                    <w:bidi w:val="0"/>
                    <w:rPr>
                      <w:lang w:val="en-US" w:eastAsia="zh-CN"/>
                    </w:rPr>
                  </w:pPr>
                  <w:r>
                    <w:rPr>
                      <w:lang w:val="en-US" w:eastAsia="zh-CN"/>
                    </w:rPr>
                    <w:t>/</w:t>
                  </w:r>
                </w:p>
              </w:tc>
              <w:tc>
                <w:tcPr>
                  <w:tcW w:w="840" w:type="pct"/>
                  <w:vAlign w:val="center"/>
                </w:tcPr>
                <w:p w14:paraId="6698B5DE">
                  <w:pPr>
                    <w:pStyle w:val="5"/>
                    <w:bidi w:val="0"/>
                    <w:rPr>
                      <w:lang w:val="en-US" w:eastAsia="zh-CN"/>
                    </w:rPr>
                  </w:pPr>
                  <w:r>
                    <w:rPr>
                      <w:lang w:val="en-US" w:eastAsia="zh-CN"/>
                    </w:rPr>
                    <w:t>/</w:t>
                  </w:r>
                </w:p>
              </w:tc>
            </w:tr>
            <w:tr w14:paraId="4DDD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0CE12907">
                  <w:pPr>
                    <w:pStyle w:val="5"/>
                    <w:bidi w:val="0"/>
                    <w:rPr>
                      <w:lang w:val="en-US" w:eastAsia="zh-CN"/>
                    </w:rPr>
                  </w:pPr>
                  <w:r>
                    <w:rPr>
                      <w:lang w:val="en-US" w:eastAsia="en-US"/>
                    </w:rPr>
                    <w:t>15</w:t>
                  </w:r>
                </w:p>
              </w:tc>
              <w:tc>
                <w:tcPr>
                  <w:tcW w:w="661" w:type="pct"/>
                  <w:gridSpan w:val="2"/>
                  <w:shd w:val="clear" w:color="auto" w:fill="auto"/>
                  <w:vAlign w:val="center"/>
                </w:tcPr>
                <w:p w14:paraId="6570BB48">
                  <w:pPr>
                    <w:pStyle w:val="5"/>
                    <w:bidi w:val="0"/>
                    <w:rPr>
                      <w:lang w:val="en-US" w:eastAsia="zh-CN"/>
                    </w:rPr>
                  </w:pPr>
                  <w:r>
                    <w:rPr>
                      <w:lang w:val="en-US" w:eastAsia="en-US"/>
                    </w:rPr>
                    <w:t>锌</w:t>
                  </w:r>
                </w:p>
              </w:tc>
              <w:tc>
                <w:tcPr>
                  <w:tcW w:w="460" w:type="pct"/>
                  <w:shd w:val="clear" w:color="auto" w:fill="auto"/>
                  <w:vAlign w:val="center"/>
                </w:tcPr>
                <w:p w14:paraId="3C4DAE4E">
                  <w:pPr>
                    <w:pStyle w:val="5"/>
                    <w:bidi w:val="0"/>
                    <w:rPr>
                      <w:lang w:val="en-US" w:eastAsia="zh-CN"/>
                    </w:rPr>
                  </w:pPr>
                  <w:r>
                    <w:rPr>
                      <w:lang w:val="en-US" w:eastAsia="en-US"/>
                    </w:rPr>
                    <w:t>mg/L</w:t>
                  </w:r>
                </w:p>
              </w:tc>
              <w:tc>
                <w:tcPr>
                  <w:tcW w:w="544" w:type="pct"/>
                  <w:shd w:val="clear" w:color="auto" w:fill="auto"/>
                  <w:vAlign w:val="center"/>
                </w:tcPr>
                <w:p w14:paraId="03A820AA">
                  <w:pPr>
                    <w:pStyle w:val="5"/>
                    <w:bidi w:val="0"/>
                    <w:rPr>
                      <w:lang w:val="en-US" w:eastAsia="zh-CN"/>
                    </w:rPr>
                  </w:pPr>
                  <w:r>
                    <w:rPr>
                      <w:lang w:val="en-US" w:eastAsia="en-US"/>
                    </w:rPr>
                    <w:t>1.00</w:t>
                  </w:r>
                </w:p>
              </w:tc>
              <w:tc>
                <w:tcPr>
                  <w:tcW w:w="746" w:type="pct"/>
                  <w:shd w:val="clear" w:color="auto" w:fill="auto"/>
                  <w:vAlign w:val="center"/>
                </w:tcPr>
                <w:p w14:paraId="7FDD0E9B">
                  <w:pPr>
                    <w:pStyle w:val="5"/>
                    <w:bidi w:val="0"/>
                    <w:rPr>
                      <w:lang w:val="en-US" w:eastAsia="zh-CN"/>
                    </w:rPr>
                  </w:pPr>
                  <w:r>
                    <w:rPr>
                      <w:rFonts w:hint="eastAsia"/>
                      <w:lang w:val="en-US" w:eastAsia="zh-CN"/>
                    </w:rPr>
                    <w:t>ND</w:t>
                  </w:r>
                </w:p>
              </w:tc>
              <w:tc>
                <w:tcPr>
                  <w:tcW w:w="769" w:type="pct"/>
                  <w:shd w:val="clear" w:color="auto" w:fill="auto"/>
                  <w:vAlign w:val="center"/>
                </w:tcPr>
                <w:p w14:paraId="57515695">
                  <w:pPr>
                    <w:pStyle w:val="5"/>
                    <w:bidi w:val="0"/>
                    <w:rPr>
                      <w:lang w:val="en-US" w:eastAsia="zh-CN"/>
                    </w:rPr>
                  </w:pPr>
                  <w:r>
                    <w:rPr>
                      <w:rFonts w:hint="eastAsia"/>
                      <w:lang w:val="en-US" w:eastAsia="zh-CN"/>
                    </w:rPr>
                    <w:t>ND</w:t>
                  </w:r>
                </w:p>
              </w:tc>
              <w:tc>
                <w:tcPr>
                  <w:tcW w:w="710" w:type="pct"/>
                  <w:vAlign w:val="center"/>
                </w:tcPr>
                <w:p w14:paraId="2690ECE7">
                  <w:pPr>
                    <w:pStyle w:val="5"/>
                    <w:bidi w:val="0"/>
                    <w:rPr>
                      <w:lang w:val="en-US" w:eastAsia="zh-CN"/>
                    </w:rPr>
                  </w:pPr>
                  <w:r>
                    <w:rPr>
                      <w:lang w:val="en-US" w:eastAsia="zh-CN"/>
                    </w:rPr>
                    <w:t>/</w:t>
                  </w:r>
                </w:p>
              </w:tc>
              <w:tc>
                <w:tcPr>
                  <w:tcW w:w="840" w:type="pct"/>
                  <w:vAlign w:val="center"/>
                </w:tcPr>
                <w:p w14:paraId="2D801306">
                  <w:pPr>
                    <w:pStyle w:val="5"/>
                    <w:bidi w:val="0"/>
                    <w:rPr>
                      <w:lang w:val="en-US" w:eastAsia="zh-CN"/>
                    </w:rPr>
                  </w:pPr>
                  <w:r>
                    <w:rPr>
                      <w:lang w:val="en-US" w:eastAsia="zh-CN"/>
                    </w:rPr>
                    <w:t>/</w:t>
                  </w:r>
                </w:p>
              </w:tc>
            </w:tr>
            <w:tr w14:paraId="11D3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58EEFCD4">
                  <w:pPr>
                    <w:pStyle w:val="5"/>
                    <w:bidi w:val="0"/>
                    <w:rPr>
                      <w:lang w:val="en-US" w:eastAsia="zh-CN"/>
                    </w:rPr>
                  </w:pPr>
                  <w:r>
                    <w:rPr>
                      <w:lang w:val="en-US" w:eastAsia="en-US"/>
                    </w:rPr>
                    <w:t>16</w:t>
                  </w:r>
                </w:p>
              </w:tc>
              <w:tc>
                <w:tcPr>
                  <w:tcW w:w="661" w:type="pct"/>
                  <w:gridSpan w:val="2"/>
                  <w:shd w:val="clear" w:color="auto" w:fill="auto"/>
                  <w:vAlign w:val="center"/>
                </w:tcPr>
                <w:p w14:paraId="58CF2E93">
                  <w:pPr>
                    <w:pStyle w:val="5"/>
                    <w:bidi w:val="0"/>
                    <w:rPr>
                      <w:lang w:val="en-US" w:eastAsia="zh-CN"/>
                    </w:rPr>
                  </w:pPr>
                  <w:r>
                    <w:rPr>
                      <w:lang w:val="en-US" w:eastAsia="en-US"/>
                    </w:rPr>
                    <w:t>铅</w:t>
                  </w:r>
                </w:p>
              </w:tc>
              <w:tc>
                <w:tcPr>
                  <w:tcW w:w="460" w:type="pct"/>
                  <w:shd w:val="clear" w:color="auto" w:fill="auto"/>
                  <w:vAlign w:val="center"/>
                </w:tcPr>
                <w:p w14:paraId="0A3427BC">
                  <w:pPr>
                    <w:pStyle w:val="5"/>
                    <w:bidi w:val="0"/>
                    <w:rPr>
                      <w:lang w:val="en-US" w:eastAsia="zh-CN"/>
                    </w:rPr>
                  </w:pPr>
                  <w:r>
                    <w:rPr>
                      <w:lang w:val="en-US" w:eastAsia="en-US"/>
                    </w:rPr>
                    <w:t>mg/L</w:t>
                  </w:r>
                </w:p>
              </w:tc>
              <w:tc>
                <w:tcPr>
                  <w:tcW w:w="544" w:type="pct"/>
                  <w:shd w:val="clear" w:color="auto" w:fill="auto"/>
                  <w:vAlign w:val="center"/>
                </w:tcPr>
                <w:p w14:paraId="34A2E9B9">
                  <w:pPr>
                    <w:pStyle w:val="5"/>
                    <w:bidi w:val="0"/>
                    <w:rPr>
                      <w:lang w:val="en-US" w:eastAsia="zh-CN"/>
                    </w:rPr>
                  </w:pPr>
                  <w:r>
                    <w:rPr>
                      <w:lang w:val="en-US" w:eastAsia="en-US"/>
                    </w:rPr>
                    <w:t>0.01</w:t>
                  </w:r>
                </w:p>
              </w:tc>
              <w:tc>
                <w:tcPr>
                  <w:tcW w:w="746" w:type="pct"/>
                  <w:shd w:val="clear" w:color="auto" w:fill="auto"/>
                  <w:vAlign w:val="center"/>
                </w:tcPr>
                <w:p w14:paraId="0C5364A4">
                  <w:pPr>
                    <w:pStyle w:val="5"/>
                    <w:bidi w:val="0"/>
                    <w:rPr>
                      <w:lang w:val="en-US" w:eastAsia="zh-CN"/>
                    </w:rPr>
                  </w:pPr>
                  <w:r>
                    <w:rPr>
                      <w:rFonts w:hint="eastAsia"/>
                      <w:lang w:val="en-US" w:eastAsia="zh-CN"/>
                    </w:rPr>
                    <w:t>ND</w:t>
                  </w:r>
                </w:p>
              </w:tc>
              <w:tc>
                <w:tcPr>
                  <w:tcW w:w="769" w:type="pct"/>
                  <w:shd w:val="clear" w:color="auto" w:fill="auto"/>
                  <w:vAlign w:val="center"/>
                </w:tcPr>
                <w:p w14:paraId="65C2F365">
                  <w:pPr>
                    <w:pStyle w:val="5"/>
                    <w:bidi w:val="0"/>
                    <w:rPr>
                      <w:lang w:val="en-US" w:eastAsia="zh-CN"/>
                    </w:rPr>
                  </w:pPr>
                  <w:r>
                    <w:rPr>
                      <w:rFonts w:hint="eastAsia"/>
                      <w:lang w:val="en-US" w:eastAsia="zh-CN"/>
                    </w:rPr>
                    <w:t>ND</w:t>
                  </w:r>
                </w:p>
              </w:tc>
              <w:tc>
                <w:tcPr>
                  <w:tcW w:w="710" w:type="pct"/>
                  <w:vAlign w:val="center"/>
                </w:tcPr>
                <w:p w14:paraId="1D1FE4CD">
                  <w:pPr>
                    <w:pStyle w:val="5"/>
                    <w:bidi w:val="0"/>
                    <w:rPr>
                      <w:lang w:val="en-US" w:eastAsia="zh-CN"/>
                    </w:rPr>
                  </w:pPr>
                  <w:r>
                    <w:rPr>
                      <w:lang w:val="en-US" w:eastAsia="zh-CN"/>
                    </w:rPr>
                    <w:t>/</w:t>
                  </w:r>
                </w:p>
              </w:tc>
              <w:tc>
                <w:tcPr>
                  <w:tcW w:w="840" w:type="pct"/>
                  <w:vAlign w:val="center"/>
                </w:tcPr>
                <w:p w14:paraId="793C2390">
                  <w:pPr>
                    <w:pStyle w:val="5"/>
                    <w:bidi w:val="0"/>
                    <w:rPr>
                      <w:lang w:val="en-US" w:eastAsia="zh-CN"/>
                    </w:rPr>
                  </w:pPr>
                  <w:r>
                    <w:rPr>
                      <w:lang w:val="en-US" w:eastAsia="zh-CN"/>
                    </w:rPr>
                    <w:t>/</w:t>
                  </w:r>
                </w:p>
              </w:tc>
            </w:tr>
            <w:tr w14:paraId="0508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24C9E1DC">
                  <w:pPr>
                    <w:pStyle w:val="5"/>
                    <w:bidi w:val="0"/>
                    <w:rPr>
                      <w:lang w:val="en-US" w:eastAsia="zh-CN"/>
                    </w:rPr>
                  </w:pPr>
                  <w:r>
                    <w:rPr>
                      <w:lang w:val="en-US" w:eastAsia="en-US"/>
                    </w:rPr>
                    <w:t>17</w:t>
                  </w:r>
                </w:p>
              </w:tc>
              <w:tc>
                <w:tcPr>
                  <w:tcW w:w="661" w:type="pct"/>
                  <w:gridSpan w:val="2"/>
                  <w:shd w:val="clear" w:color="auto" w:fill="auto"/>
                  <w:vAlign w:val="center"/>
                </w:tcPr>
                <w:p w14:paraId="5642D7E1">
                  <w:pPr>
                    <w:pStyle w:val="5"/>
                    <w:bidi w:val="0"/>
                    <w:rPr>
                      <w:lang w:val="en-US" w:eastAsia="zh-CN"/>
                    </w:rPr>
                  </w:pPr>
                  <w:r>
                    <w:rPr>
                      <w:lang w:val="en-US" w:eastAsia="en-US"/>
                    </w:rPr>
                    <w:t>镉</w:t>
                  </w:r>
                </w:p>
              </w:tc>
              <w:tc>
                <w:tcPr>
                  <w:tcW w:w="460" w:type="pct"/>
                  <w:shd w:val="clear" w:color="auto" w:fill="auto"/>
                  <w:vAlign w:val="center"/>
                </w:tcPr>
                <w:p w14:paraId="06FA7433">
                  <w:pPr>
                    <w:pStyle w:val="5"/>
                    <w:bidi w:val="0"/>
                    <w:rPr>
                      <w:lang w:val="en-US" w:eastAsia="zh-CN"/>
                    </w:rPr>
                  </w:pPr>
                  <w:r>
                    <w:rPr>
                      <w:lang w:val="en-US" w:eastAsia="en-US"/>
                    </w:rPr>
                    <w:t>mg/L</w:t>
                  </w:r>
                </w:p>
              </w:tc>
              <w:tc>
                <w:tcPr>
                  <w:tcW w:w="544" w:type="pct"/>
                  <w:shd w:val="clear" w:color="auto" w:fill="auto"/>
                  <w:vAlign w:val="center"/>
                </w:tcPr>
                <w:p w14:paraId="211E037C">
                  <w:pPr>
                    <w:pStyle w:val="5"/>
                    <w:bidi w:val="0"/>
                    <w:rPr>
                      <w:lang w:val="en-US" w:eastAsia="zh-CN"/>
                    </w:rPr>
                  </w:pPr>
                  <w:r>
                    <w:rPr>
                      <w:lang w:val="en-US" w:eastAsia="en-US"/>
                    </w:rPr>
                    <w:t>0.005</w:t>
                  </w:r>
                </w:p>
              </w:tc>
              <w:tc>
                <w:tcPr>
                  <w:tcW w:w="746" w:type="pct"/>
                  <w:shd w:val="clear" w:color="auto" w:fill="auto"/>
                  <w:vAlign w:val="center"/>
                </w:tcPr>
                <w:p w14:paraId="739DC82B">
                  <w:pPr>
                    <w:pStyle w:val="5"/>
                    <w:bidi w:val="0"/>
                    <w:rPr>
                      <w:lang w:val="en-US" w:eastAsia="zh-CN"/>
                    </w:rPr>
                  </w:pPr>
                  <w:r>
                    <w:rPr>
                      <w:rFonts w:hint="eastAsia"/>
                      <w:lang w:val="en-US" w:eastAsia="zh-CN"/>
                    </w:rPr>
                    <w:t>ND</w:t>
                  </w:r>
                </w:p>
              </w:tc>
              <w:tc>
                <w:tcPr>
                  <w:tcW w:w="769" w:type="pct"/>
                  <w:shd w:val="clear" w:color="auto" w:fill="auto"/>
                  <w:vAlign w:val="center"/>
                </w:tcPr>
                <w:p w14:paraId="07A59516">
                  <w:pPr>
                    <w:pStyle w:val="5"/>
                    <w:bidi w:val="0"/>
                    <w:rPr>
                      <w:lang w:val="en-US" w:eastAsia="zh-CN"/>
                    </w:rPr>
                  </w:pPr>
                  <w:r>
                    <w:rPr>
                      <w:rFonts w:hint="eastAsia"/>
                      <w:lang w:val="en-US" w:eastAsia="zh-CN"/>
                    </w:rPr>
                    <w:t>ND</w:t>
                  </w:r>
                </w:p>
              </w:tc>
              <w:tc>
                <w:tcPr>
                  <w:tcW w:w="710" w:type="pct"/>
                  <w:vAlign w:val="center"/>
                </w:tcPr>
                <w:p w14:paraId="19C24381">
                  <w:pPr>
                    <w:pStyle w:val="5"/>
                    <w:bidi w:val="0"/>
                    <w:rPr>
                      <w:lang w:val="en-US" w:eastAsia="zh-CN"/>
                    </w:rPr>
                  </w:pPr>
                  <w:r>
                    <w:rPr>
                      <w:lang w:val="en-US" w:eastAsia="zh-CN"/>
                    </w:rPr>
                    <w:t>/</w:t>
                  </w:r>
                </w:p>
              </w:tc>
              <w:tc>
                <w:tcPr>
                  <w:tcW w:w="840" w:type="pct"/>
                  <w:vAlign w:val="center"/>
                </w:tcPr>
                <w:p w14:paraId="1991FF72">
                  <w:pPr>
                    <w:pStyle w:val="5"/>
                    <w:bidi w:val="0"/>
                    <w:rPr>
                      <w:lang w:val="en-US" w:eastAsia="zh-CN"/>
                    </w:rPr>
                  </w:pPr>
                  <w:r>
                    <w:rPr>
                      <w:lang w:val="en-US" w:eastAsia="zh-CN"/>
                    </w:rPr>
                    <w:t>/</w:t>
                  </w:r>
                </w:p>
              </w:tc>
            </w:tr>
            <w:tr w14:paraId="5298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042B1768">
                  <w:pPr>
                    <w:pStyle w:val="5"/>
                    <w:bidi w:val="0"/>
                    <w:rPr>
                      <w:lang w:val="en-US" w:eastAsia="zh-CN"/>
                    </w:rPr>
                  </w:pPr>
                  <w:r>
                    <w:rPr>
                      <w:lang w:val="en-US" w:eastAsia="en-US"/>
                    </w:rPr>
                    <w:t>18</w:t>
                  </w:r>
                </w:p>
              </w:tc>
              <w:tc>
                <w:tcPr>
                  <w:tcW w:w="661" w:type="pct"/>
                  <w:gridSpan w:val="2"/>
                  <w:shd w:val="clear" w:color="auto" w:fill="auto"/>
                  <w:vAlign w:val="center"/>
                </w:tcPr>
                <w:p w14:paraId="34E444AA">
                  <w:pPr>
                    <w:pStyle w:val="5"/>
                    <w:bidi w:val="0"/>
                    <w:rPr>
                      <w:lang w:val="en-US" w:eastAsia="zh-CN"/>
                    </w:rPr>
                  </w:pPr>
                  <w:r>
                    <w:rPr>
                      <w:lang w:val="en-US" w:eastAsia="en-US"/>
                    </w:rPr>
                    <w:t>钒</w:t>
                  </w:r>
                </w:p>
              </w:tc>
              <w:tc>
                <w:tcPr>
                  <w:tcW w:w="460" w:type="pct"/>
                  <w:shd w:val="clear" w:color="auto" w:fill="auto"/>
                  <w:vAlign w:val="center"/>
                </w:tcPr>
                <w:p w14:paraId="5377A76A">
                  <w:pPr>
                    <w:pStyle w:val="5"/>
                    <w:bidi w:val="0"/>
                    <w:rPr>
                      <w:lang w:val="en-US" w:eastAsia="zh-CN"/>
                    </w:rPr>
                  </w:pPr>
                  <w:r>
                    <w:rPr>
                      <w:lang w:val="en-US" w:eastAsia="en-US"/>
                    </w:rPr>
                    <w:t>mg/L</w:t>
                  </w:r>
                </w:p>
              </w:tc>
              <w:tc>
                <w:tcPr>
                  <w:tcW w:w="544" w:type="pct"/>
                  <w:shd w:val="clear" w:color="auto" w:fill="auto"/>
                  <w:vAlign w:val="center"/>
                </w:tcPr>
                <w:p w14:paraId="049746A6">
                  <w:pPr>
                    <w:pStyle w:val="5"/>
                    <w:bidi w:val="0"/>
                    <w:rPr>
                      <w:lang w:val="en-US" w:eastAsia="zh-CN"/>
                    </w:rPr>
                  </w:pPr>
                  <w:r>
                    <w:rPr>
                      <w:lang w:val="en-US" w:eastAsia="zh-CN"/>
                    </w:rPr>
                    <w:t>/</w:t>
                  </w:r>
                </w:p>
              </w:tc>
              <w:tc>
                <w:tcPr>
                  <w:tcW w:w="746" w:type="pct"/>
                  <w:shd w:val="clear" w:color="auto" w:fill="auto"/>
                  <w:vAlign w:val="center"/>
                </w:tcPr>
                <w:p w14:paraId="6DEF78B5">
                  <w:pPr>
                    <w:pStyle w:val="5"/>
                    <w:bidi w:val="0"/>
                    <w:rPr>
                      <w:lang w:val="en-US" w:eastAsia="zh-CN"/>
                    </w:rPr>
                  </w:pPr>
                  <w:r>
                    <w:rPr>
                      <w:rFonts w:hint="eastAsia"/>
                      <w:lang w:val="en-US" w:eastAsia="zh-CN"/>
                    </w:rPr>
                    <w:t>ND</w:t>
                  </w:r>
                </w:p>
              </w:tc>
              <w:tc>
                <w:tcPr>
                  <w:tcW w:w="769" w:type="pct"/>
                  <w:shd w:val="clear" w:color="auto" w:fill="auto"/>
                  <w:vAlign w:val="center"/>
                </w:tcPr>
                <w:p w14:paraId="08180537">
                  <w:pPr>
                    <w:pStyle w:val="5"/>
                    <w:bidi w:val="0"/>
                    <w:rPr>
                      <w:lang w:val="en-US" w:eastAsia="zh-CN"/>
                    </w:rPr>
                  </w:pPr>
                  <w:r>
                    <w:rPr>
                      <w:rFonts w:hint="eastAsia"/>
                      <w:lang w:val="en-US" w:eastAsia="zh-CN"/>
                    </w:rPr>
                    <w:t>ND</w:t>
                  </w:r>
                </w:p>
              </w:tc>
              <w:tc>
                <w:tcPr>
                  <w:tcW w:w="710" w:type="pct"/>
                  <w:vAlign w:val="center"/>
                </w:tcPr>
                <w:p w14:paraId="46CCD790">
                  <w:pPr>
                    <w:pStyle w:val="5"/>
                    <w:bidi w:val="0"/>
                    <w:rPr>
                      <w:lang w:val="en-US" w:eastAsia="zh-CN"/>
                    </w:rPr>
                  </w:pPr>
                  <w:r>
                    <w:rPr>
                      <w:lang w:val="en-US" w:eastAsia="zh-CN"/>
                    </w:rPr>
                    <w:t>/</w:t>
                  </w:r>
                </w:p>
              </w:tc>
              <w:tc>
                <w:tcPr>
                  <w:tcW w:w="840" w:type="pct"/>
                  <w:vAlign w:val="center"/>
                </w:tcPr>
                <w:p w14:paraId="48E57785">
                  <w:pPr>
                    <w:pStyle w:val="5"/>
                    <w:bidi w:val="0"/>
                    <w:rPr>
                      <w:lang w:val="en-US" w:eastAsia="zh-CN"/>
                    </w:rPr>
                  </w:pPr>
                  <w:r>
                    <w:rPr>
                      <w:lang w:val="en-US" w:eastAsia="zh-CN"/>
                    </w:rPr>
                    <w:t>/</w:t>
                  </w:r>
                </w:p>
              </w:tc>
            </w:tr>
            <w:tr w14:paraId="6177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60DF9AE1">
                  <w:pPr>
                    <w:pStyle w:val="5"/>
                    <w:bidi w:val="0"/>
                    <w:rPr>
                      <w:lang w:val="en-US" w:eastAsia="zh-CN"/>
                    </w:rPr>
                  </w:pPr>
                  <w:r>
                    <w:rPr>
                      <w:lang w:val="en-US" w:eastAsia="en-US"/>
                    </w:rPr>
                    <w:t>19</w:t>
                  </w:r>
                </w:p>
              </w:tc>
              <w:tc>
                <w:tcPr>
                  <w:tcW w:w="661" w:type="pct"/>
                  <w:gridSpan w:val="2"/>
                  <w:shd w:val="clear" w:color="auto" w:fill="auto"/>
                  <w:vAlign w:val="center"/>
                </w:tcPr>
                <w:p w14:paraId="24F92870">
                  <w:pPr>
                    <w:pStyle w:val="5"/>
                    <w:bidi w:val="0"/>
                    <w:rPr>
                      <w:lang w:val="en-US" w:eastAsia="zh-CN"/>
                    </w:rPr>
                  </w:pPr>
                  <w:r>
                    <w:rPr>
                      <w:lang w:val="en-US" w:eastAsia="en-US"/>
                    </w:rPr>
                    <w:t>石油类</w:t>
                  </w:r>
                </w:p>
              </w:tc>
              <w:tc>
                <w:tcPr>
                  <w:tcW w:w="460" w:type="pct"/>
                  <w:shd w:val="clear" w:color="auto" w:fill="auto"/>
                  <w:vAlign w:val="center"/>
                </w:tcPr>
                <w:p w14:paraId="4B58A7C0">
                  <w:pPr>
                    <w:pStyle w:val="5"/>
                    <w:bidi w:val="0"/>
                    <w:rPr>
                      <w:lang w:val="en-US" w:eastAsia="zh-CN"/>
                    </w:rPr>
                  </w:pPr>
                  <w:r>
                    <w:rPr>
                      <w:lang w:val="en-US" w:eastAsia="en-US"/>
                    </w:rPr>
                    <w:t>mg/L</w:t>
                  </w:r>
                </w:p>
              </w:tc>
              <w:tc>
                <w:tcPr>
                  <w:tcW w:w="544" w:type="pct"/>
                  <w:shd w:val="clear" w:color="auto" w:fill="auto"/>
                  <w:vAlign w:val="center"/>
                </w:tcPr>
                <w:p w14:paraId="5C466786">
                  <w:pPr>
                    <w:pStyle w:val="5"/>
                    <w:bidi w:val="0"/>
                    <w:rPr>
                      <w:lang w:val="en-US" w:eastAsia="zh-CN"/>
                    </w:rPr>
                  </w:pPr>
                  <w:r>
                    <w:rPr>
                      <w:lang w:val="en-US" w:eastAsia="zh-CN"/>
                    </w:rPr>
                    <w:t>/</w:t>
                  </w:r>
                </w:p>
              </w:tc>
              <w:tc>
                <w:tcPr>
                  <w:tcW w:w="746" w:type="pct"/>
                  <w:shd w:val="clear" w:color="auto" w:fill="auto"/>
                  <w:vAlign w:val="center"/>
                </w:tcPr>
                <w:p w14:paraId="070FA429">
                  <w:pPr>
                    <w:pStyle w:val="5"/>
                    <w:bidi w:val="0"/>
                    <w:rPr>
                      <w:lang w:val="en-US" w:eastAsia="zh-CN"/>
                    </w:rPr>
                  </w:pPr>
                  <w:r>
                    <w:rPr>
                      <w:rFonts w:hint="eastAsia"/>
                      <w:lang w:val="en-US" w:eastAsia="zh-CN"/>
                    </w:rPr>
                    <w:t>ND</w:t>
                  </w:r>
                </w:p>
              </w:tc>
              <w:tc>
                <w:tcPr>
                  <w:tcW w:w="769" w:type="pct"/>
                  <w:shd w:val="clear" w:color="auto" w:fill="auto"/>
                  <w:vAlign w:val="center"/>
                </w:tcPr>
                <w:p w14:paraId="229C3EB7">
                  <w:pPr>
                    <w:pStyle w:val="5"/>
                    <w:bidi w:val="0"/>
                    <w:rPr>
                      <w:lang w:val="en-US" w:eastAsia="zh-CN"/>
                    </w:rPr>
                  </w:pPr>
                  <w:r>
                    <w:rPr>
                      <w:rFonts w:hint="eastAsia"/>
                      <w:lang w:val="en-US" w:eastAsia="zh-CN"/>
                    </w:rPr>
                    <w:t>ND</w:t>
                  </w:r>
                </w:p>
              </w:tc>
              <w:tc>
                <w:tcPr>
                  <w:tcW w:w="710" w:type="pct"/>
                  <w:vAlign w:val="center"/>
                </w:tcPr>
                <w:p w14:paraId="19F63CAC">
                  <w:pPr>
                    <w:pStyle w:val="5"/>
                    <w:bidi w:val="0"/>
                    <w:rPr>
                      <w:lang w:val="en-US" w:eastAsia="zh-CN"/>
                    </w:rPr>
                  </w:pPr>
                  <w:r>
                    <w:rPr>
                      <w:lang w:val="en-US" w:eastAsia="zh-CN"/>
                    </w:rPr>
                    <w:t>/</w:t>
                  </w:r>
                </w:p>
              </w:tc>
              <w:tc>
                <w:tcPr>
                  <w:tcW w:w="840" w:type="pct"/>
                  <w:vAlign w:val="center"/>
                </w:tcPr>
                <w:p w14:paraId="0F4D762F">
                  <w:pPr>
                    <w:pStyle w:val="5"/>
                    <w:bidi w:val="0"/>
                    <w:rPr>
                      <w:lang w:val="en-US" w:eastAsia="zh-CN"/>
                    </w:rPr>
                  </w:pPr>
                  <w:r>
                    <w:rPr>
                      <w:lang w:val="en-US" w:eastAsia="zh-CN"/>
                    </w:rPr>
                    <w:t>/</w:t>
                  </w:r>
                </w:p>
              </w:tc>
            </w:tr>
            <w:tr w14:paraId="69B6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3EBBA7CD">
                  <w:pPr>
                    <w:pStyle w:val="5"/>
                    <w:bidi w:val="0"/>
                    <w:rPr>
                      <w:lang w:val="en-US" w:eastAsia="zh-CN"/>
                    </w:rPr>
                  </w:pPr>
                  <w:r>
                    <w:rPr>
                      <w:lang w:val="en-US" w:eastAsia="en-US"/>
                    </w:rPr>
                    <w:t>20</w:t>
                  </w:r>
                </w:p>
              </w:tc>
              <w:tc>
                <w:tcPr>
                  <w:tcW w:w="661" w:type="pct"/>
                  <w:gridSpan w:val="2"/>
                  <w:shd w:val="clear" w:color="auto" w:fill="auto"/>
                  <w:vAlign w:val="center"/>
                </w:tcPr>
                <w:p w14:paraId="03C7DF18">
                  <w:pPr>
                    <w:pStyle w:val="5"/>
                    <w:bidi w:val="0"/>
                    <w:rPr>
                      <w:lang w:val="en-US" w:eastAsia="zh-CN"/>
                    </w:rPr>
                  </w:pPr>
                  <w:r>
                    <w:rPr>
                      <w:lang w:val="en-US" w:eastAsia="en-US"/>
                    </w:rPr>
                    <w:t>可吸附有机卤素（AOX）</w:t>
                  </w:r>
                </w:p>
              </w:tc>
              <w:tc>
                <w:tcPr>
                  <w:tcW w:w="460" w:type="pct"/>
                  <w:shd w:val="clear" w:color="auto" w:fill="auto"/>
                  <w:vAlign w:val="center"/>
                </w:tcPr>
                <w:p w14:paraId="6ED18B0C">
                  <w:pPr>
                    <w:pStyle w:val="5"/>
                    <w:bidi w:val="0"/>
                    <w:rPr>
                      <w:lang w:val="en-US" w:eastAsia="zh-CN"/>
                    </w:rPr>
                  </w:pPr>
                  <w:r>
                    <w:rPr>
                      <w:lang w:val="en-US" w:eastAsia="en-US"/>
                    </w:rPr>
                    <w:t>mg/L</w:t>
                  </w:r>
                </w:p>
              </w:tc>
              <w:tc>
                <w:tcPr>
                  <w:tcW w:w="544" w:type="pct"/>
                  <w:shd w:val="clear" w:color="auto" w:fill="auto"/>
                  <w:vAlign w:val="center"/>
                </w:tcPr>
                <w:p w14:paraId="59AF9797">
                  <w:pPr>
                    <w:pStyle w:val="5"/>
                    <w:bidi w:val="0"/>
                    <w:rPr>
                      <w:lang w:val="en-US" w:eastAsia="zh-CN"/>
                    </w:rPr>
                  </w:pPr>
                  <w:r>
                    <w:rPr>
                      <w:lang w:val="en-US" w:eastAsia="zh-CN"/>
                    </w:rPr>
                    <w:t>/</w:t>
                  </w:r>
                </w:p>
              </w:tc>
              <w:tc>
                <w:tcPr>
                  <w:tcW w:w="746" w:type="pct"/>
                  <w:shd w:val="clear" w:color="auto" w:fill="auto"/>
                  <w:vAlign w:val="center"/>
                </w:tcPr>
                <w:p w14:paraId="56977733">
                  <w:pPr>
                    <w:pStyle w:val="5"/>
                    <w:bidi w:val="0"/>
                    <w:rPr>
                      <w:lang w:val="en-US" w:eastAsia="zh-CN"/>
                    </w:rPr>
                  </w:pPr>
                  <w:r>
                    <w:rPr>
                      <w:rFonts w:hint="eastAsia"/>
                      <w:lang w:val="en-US" w:eastAsia="zh-CN"/>
                    </w:rPr>
                    <w:t>0.18</w:t>
                  </w:r>
                </w:p>
              </w:tc>
              <w:tc>
                <w:tcPr>
                  <w:tcW w:w="769" w:type="pct"/>
                  <w:shd w:val="clear" w:color="auto" w:fill="auto"/>
                  <w:vAlign w:val="center"/>
                </w:tcPr>
                <w:p w14:paraId="778DC27A">
                  <w:pPr>
                    <w:pStyle w:val="5"/>
                    <w:bidi w:val="0"/>
                    <w:rPr>
                      <w:lang w:val="en-US" w:eastAsia="zh-CN"/>
                    </w:rPr>
                  </w:pPr>
                  <w:r>
                    <w:rPr>
                      <w:rFonts w:hint="eastAsia"/>
                      <w:lang w:val="en-US" w:eastAsia="zh-CN"/>
                    </w:rPr>
                    <w:t>0.17</w:t>
                  </w:r>
                </w:p>
              </w:tc>
              <w:tc>
                <w:tcPr>
                  <w:tcW w:w="710" w:type="pct"/>
                  <w:vAlign w:val="center"/>
                </w:tcPr>
                <w:p w14:paraId="2B5C4F0F">
                  <w:pPr>
                    <w:pStyle w:val="5"/>
                    <w:bidi w:val="0"/>
                    <w:rPr>
                      <w:lang w:val="en-US" w:eastAsia="zh-CN"/>
                    </w:rPr>
                  </w:pPr>
                  <w:r>
                    <w:rPr>
                      <w:lang w:val="en-US" w:eastAsia="zh-CN"/>
                    </w:rPr>
                    <w:t>/</w:t>
                  </w:r>
                </w:p>
              </w:tc>
              <w:tc>
                <w:tcPr>
                  <w:tcW w:w="840" w:type="pct"/>
                  <w:vAlign w:val="center"/>
                </w:tcPr>
                <w:p w14:paraId="09969052">
                  <w:pPr>
                    <w:pStyle w:val="5"/>
                    <w:bidi w:val="0"/>
                    <w:rPr>
                      <w:lang w:val="en-US" w:eastAsia="zh-CN"/>
                    </w:rPr>
                  </w:pPr>
                  <w:r>
                    <w:rPr>
                      <w:lang w:val="en-US" w:eastAsia="zh-CN"/>
                    </w:rPr>
                    <w:t>/</w:t>
                  </w:r>
                </w:p>
              </w:tc>
            </w:tr>
            <w:tr w14:paraId="4437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116CDBD4">
                  <w:pPr>
                    <w:pStyle w:val="5"/>
                    <w:bidi w:val="0"/>
                    <w:rPr>
                      <w:lang w:val="en-US" w:eastAsia="zh-CN"/>
                    </w:rPr>
                  </w:pPr>
                  <w:r>
                    <w:rPr>
                      <w:lang w:val="en-US" w:eastAsia="en-US"/>
                    </w:rPr>
                    <w:t>21</w:t>
                  </w:r>
                </w:p>
              </w:tc>
              <w:tc>
                <w:tcPr>
                  <w:tcW w:w="661" w:type="pct"/>
                  <w:gridSpan w:val="2"/>
                  <w:shd w:val="clear" w:color="auto" w:fill="auto"/>
                  <w:vAlign w:val="center"/>
                </w:tcPr>
                <w:p w14:paraId="260017C3">
                  <w:pPr>
                    <w:pStyle w:val="5"/>
                    <w:bidi w:val="0"/>
                    <w:rPr>
                      <w:lang w:val="en-US" w:eastAsia="zh-CN"/>
                    </w:rPr>
                  </w:pPr>
                  <w:r>
                    <w:rPr>
                      <w:lang w:val="en-US" w:eastAsia="en-US"/>
                    </w:rPr>
                    <w:t>总有机碳</w:t>
                  </w:r>
                </w:p>
              </w:tc>
              <w:tc>
                <w:tcPr>
                  <w:tcW w:w="460" w:type="pct"/>
                  <w:shd w:val="clear" w:color="auto" w:fill="auto"/>
                  <w:vAlign w:val="center"/>
                </w:tcPr>
                <w:p w14:paraId="1D0A64E2">
                  <w:pPr>
                    <w:pStyle w:val="5"/>
                    <w:bidi w:val="0"/>
                    <w:rPr>
                      <w:lang w:val="en-US" w:eastAsia="zh-CN"/>
                    </w:rPr>
                  </w:pPr>
                  <w:r>
                    <w:rPr>
                      <w:lang w:val="en-US" w:eastAsia="en-US"/>
                    </w:rPr>
                    <w:t>mg/L</w:t>
                  </w:r>
                </w:p>
              </w:tc>
              <w:tc>
                <w:tcPr>
                  <w:tcW w:w="544" w:type="pct"/>
                  <w:shd w:val="clear" w:color="auto" w:fill="auto"/>
                  <w:vAlign w:val="center"/>
                </w:tcPr>
                <w:p w14:paraId="06493CD7">
                  <w:pPr>
                    <w:pStyle w:val="5"/>
                    <w:bidi w:val="0"/>
                    <w:rPr>
                      <w:lang w:val="en-US" w:eastAsia="zh-CN"/>
                    </w:rPr>
                  </w:pPr>
                  <w:r>
                    <w:rPr>
                      <w:lang w:val="en-US" w:eastAsia="zh-CN"/>
                    </w:rPr>
                    <w:t>/</w:t>
                  </w:r>
                </w:p>
              </w:tc>
              <w:tc>
                <w:tcPr>
                  <w:tcW w:w="746" w:type="pct"/>
                  <w:shd w:val="clear" w:color="auto" w:fill="auto"/>
                  <w:vAlign w:val="center"/>
                </w:tcPr>
                <w:p w14:paraId="5D4B3A1E">
                  <w:pPr>
                    <w:pStyle w:val="5"/>
                    <w:bidi w:val="0"/>
                    <w:rPr>
                      <w:lang w:val="en-US" w:eastAsia="zh-CN"/>
                    </w:rPr>
                  </w:pPr>
                  <w:r>
                    <w:rPr>
                      <w:rFonts w:hint="eastAsia"/>
                      <w:lang w:val="en-US" w:eastAsia="zh-CN"/>
                    </w:rPr>
                    <w:t>ND</w:t>
                  </w:r>
                </w:p>
              </w:tc>
              <w:tc>
                <w:tcPr>
                  <w:tcW w:w="769" w:type="pct"/>
                  <w:shd w:val="clear" w:color="auto" w:fill="auto"/>
                  <w:vAlign w:val="center"/>
                </w:tcPr>
                <w:p w14:paraId="39891B2B">
                  <w:pPr>
                    <w:pStyle w:val="5"/>
                    <w:bidi w:val="0"/>
                    <w:rPr>
                      <w:lang w:val="en-US" w:eastAsia="zh-CN"/>
                    </w:rPr>
                  </w:pPr>
                  <w:r>
                    <w:rPr>
                      <w:rFonts w:hint="eastAsia"/>
                      <w:lang w:val="en-US" w:eastAsia="zh-CN"/>
                    </w:rPr>
                    <w:t>ND</w:t>
                  </w:r>
                </w:p>
              </w:tc>
              <w:tc>
                <w:tcPr>
                  <w:tcW w:w="710" w:type="pct"/>
                  <w:vAlign w:val="center"/>
                </w:tcPr>
                <w:p w14:paraId="2A8C5AC7">
                  <w:pPr>
                    <w:pStyle w:val="5"/>
                    <w:bidi w:val="0"/>
                    <w:rPr>
                      <w:lang w:val="en-US" w:eastAsia="zh-CN"/>
                    </w:rPr>
                  </w:pPr>
                  <w:r>
                    <w:rPr>
                      <w:lang w:val="en-US" w:eastAsia="zh-CN"/>
                    </w:rPr>
                    <w:t>/</w:t>
                  </w:r>
                </w:p>
              </w:tc>
              <w:tc>
                <w:tcPr>
                  <w:tcW w:w="840" w:type="pct"/>
                  <w:vAlign w:val="center"/>
                </w:tcPr>
                <w:p w14:paraId="072C9B95">
                  <w:pPr>
                    <w:pStyle w:val="5"/>
                    <w:bidi w:val="0"/>
                    <w:rPr>
                      <w:lang w:val="en-US" w:eastAsia="zh-CN"/>
                    </w:rPr>
                  </w:pPr>
                  <w:r>
                    <w:rPr>
                      <w:lang w:val="en-US" w:eastAsia="zh-CN"/>
                    </w:rPr>
                    <w:t>/</w:t>
                  </w:r>
                </w:p>
              </w:tc>
            </w:tr>
            <w:tr w14:paraId="3DB7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29175F72">
                  <w:pPr>
                    <w:pStyle w:val="5"/>
                    <w:bidi w:val="0"/>
                    <w:rPr>
                      <w:lang w:val="en-US" w:eastAsia="zh-CN"/>
                    </w:rPr>
                  </w:pPr>
                  <w:r>
                    <w:rPr>
                      <w:lang w:val="en-US" w:eastAsia="en-US"/>
                    </w:rPr>
                    <w:t>22</w:t>
                  </w:r>
                </w:p>
              </w:tc>
              <w:tc>
                <w:tcPr>
                  <w:tcW w:w="661" w:type="pct"/>
                  <w:gridSpan w:val="2"/>
                  <w:shd w:val="clear" w:color="auto" w:fill="auto"/>
                  <w:vAlign w:val="center"/>
                </w:tcPr>
                <w:p w14:paraId="44D0D66F">
                  <w:pPr>
                    <w:pStyle w:val="5"/>
                    <w:bidi w:val="0"/>
                    <w:rPr>
                      <w:lang w:val="en-US" w:eastAsia="zh-CN"/>
                    </w:rPr>
                  </w:pPr>
                  <w:r>
                    <w:rPr>
                      <w:lang w:val="en-US" w:eastAsia="en-US"/>
                    </w:rPr>
                    <w:t>苯</w:t>
                  </w:r>
                </w:p>
              </w:tc>
              <w:tc>
                <w:tcPr>
                  <w:tcW w:w="460" w:type="pct"/>
                  <w:shd w:val="clear" w:color="auto" w:fill="auto"/>
                  <w:vAlign w:val="center"/>
                </w:tcPr>
                <w:p w14:paraId="4349BB8C">
                  <w:pPr>
                    <w:pStyle w:val="5"/>
                    <w:bidi w:val="0"/>
                    <w:rPr>
                      <w:lang w:val="en-US" w:eastAsia="zh-CN"/>
                    </w:rPr>
                  </w:pPr>
                  <w:r>
                    <w:rPr>
                      <w:lang w:val="en-US" w:eastAsia="en-US"/>
                    </w:rPr>
                    <w:t>ug/L</w:t>
                  </w:r>
                </w:p>
              </w:tc>
              <w:tc>
                <w:tcPr>
                  <w:tcW w:w="544" w:type="pct"/>
                  <w:shd w:val="clear" w:color="auto" w:fill="auto"/>
                  <w:vAlign w:val="center"/>
                </w:tcPr>
                <w:p w14:paraId="0BDAD314">
                  <w:pPr>
                    <w:pStyle w:val="5"/>
                    <w:bidi w:val="0"/>
                    <w:rPr>
                      <w:lang w:val="en-US" w:eastAsia="zh-CN"/>
                    </w:rPr>
                  </w:pPr>
                  <w:r>
                    <w:rPr>
                      <w:lang w:val="en-US" w:eastAsia="en-US"/>
                    </w:rPr>
                    <w:t>10.0</w:t>
                  </w:r>
                </w:p>
              </w:tc>
              <w:tc>
                <w:tcPr>
                  <w:tcW w:w="746" w:type="pct"/>
                  <w:shd w:val="clear" w:color="auto" w:fill="auto"/>
                  <w:vAlign w:val="center"/>
                </w:tcPr>
                <w:p w14:paraId="74901452">
                  <w:pPr>
                    <w:pStyle w:val="5"/>
                    <w:bidi w:val="0"/>
                    <w:rPr>
                      <w:lang w:val="en-US" w:eastAsia="zh-CN"/>
                    </w:rPr>
                  </w:pPr>
                  <w:r>
                    <w:rPr>
                      <w:rFonts w:hint="eastAsia"/>
                      <w:lang w:val="en-US" w:eastAsia="zh-CN"/>
                    </w:rPr>
                    <w:t>ND</w:t>
                  </w:r>
                </w:p>
              </w:tc>
              <w:tc>
                <w:tcPr>
                  <w:tcW w:w="769" w:type="pct"/>
                  <w:shd w:val="clear" w:color="auto" w:fill="auto"/>
                  <w:vAlign w:val="center"/>
                </w:tcPr>
                <w:p w14:paraId="6BBB1441">
                  <w:pPr>
                    <w:pStyle w:val="5"/>
                    <w:bidi w:val="0"/>
                    <w:rPr>
                      <w:lang w:val="en-US" w:eastAsia="zh-CN"/>
                    </w:rPr>
                  </w:pPr>
                  <w:r>
                    <w:rPr>
                      <w:rFonts w:hint="eastAsia"/>
                      <w:lang w:val="en-US" w:eastAsia="zh-CN"/>
                    </w:rPr>
                    <w:t>ND</w:t>
                  </w:r>
                </w:p>
              </w:tc>
              <w:tc>
                <w:tcPr>
                  <w:tcW w:w="710" w:type="pct"/>
                  <w:vAlign w:val="center"/>
                </w:tcPr>
                <w:p w14:paraId="1BED1A31">
                  <w:pPr>
                    <w:pStyle w:val="5"/>
                    <w:bidi w:val="0"/>
                    <w:rPr>
                      <w:lang w:val="en-US" w:eastAsia="zh-CN"/>
                    </w:rPr>
                  </w:pPr>
                  <w:r>
                    <w:rPr>
                      <w:lang w:val="en-US" w:eastAsia="zh-CN"/>
                    </w:rPr>
                    <w:t>/</w:t>
                  </w:r>
                </w:p>
              </w:tc>
              <w:tc>
                <w:tcPr>
                  <w:tcW w:w="840" w:type="pct"/>
                  <w:vAlign w:val="center"/>
                </w:tcPr>
                <w:p w14:paraId="7176BAA3">
                  <w:pPr>
                    <w:pStyle w:val="5"/>
                    <w:bidi w:val="0"/>
                    <w:rPr>
                      <w:lang w:val="en-US" w:eastAsia="zh-CN"/>
                    </w:rPr>
                  </w:pPr>
                  <w:r>
                    <w:rPr>
                      <w:lang w:val="en-US" w:eastAsia="zh-CN"/>
                    </w:rPr>
                    <w:t>/</w:t>
                  </w:r>
                </w:p>
              </w:tc>
            </w:tr>
            <w:tr w14:paraId="5D22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713B3F97">
                  <w:pPr>
                    <w:pStyle w:val="5"/>
                    <w:bidi w:val="0"/>
                    <w:rPr>
                      <w:lang w:val="en-US" w:eastAsia="zh-CN"/>
                    </w:rPr>
                  </w:pPr>
                  <w:r>
                    <w:rPr>
                      <w:lang w:val="en-US" w:eastAsia="en-US"/>
                    </w:rPr>
                    <w:t>23</w:t>
                  </w:r>
                </w:p>
              </w:tc>
              <w:tc>
                <w:tcPr>
                  <w:tcW w:w="661" w:type="pct"/>
                  <w:gridSpan w:val="2"/>
                  <w:shd w:val="clear" w:color="auto" w:fill="auto"/>
                  <w:vAlign w:val="center"/>
                </w:tcPr>
                <w:p w14:paraId="73B1B507">
                  <w:pPr>
                    <w:pStyle w:val="5"/>
                    <w:bidi w:val="0"/>
                    <w:rPr>
                      <w:lang w:val="en-US" w:eastAsia="zh-CN"/>
                    </w:rPr>
                  </w:pPr>
                  <w:r>
                    <w:rPr>
                      <w:lang w:val="en-US" w:eastAsia="en-US"/>
                    </w:rPr>
                    <w:t>甲苯</w:t>
                  </w:r>
                </w:p>
              </w:tc>
              <w:tc>
                <w:tcPr>
                  <w:tcW w:w="460" w:type="pct"/>
                  <w:shd w:val="clear" w:color="auto" w:fill="auto"/>
                  <w:vAlign w:val="center"/>
                </w:tcPr>
                <w:p w14:paraId="01DBBB45">
                  <w:pPr>
                    <w:pStyle w:val="5"/>
                    <w:bidi w:val="0"/>
                    <w:rPr>
                      <w:lang w:val="en-US" w:eastAsia="zh-CN"/>
                    </w:rPr>
                  </w:pPr>
                  <w:r>
                    <w:rPr>
                      <w:lang w:val="en-US" w:eastAsia="en-US"/>
                    </w:rPr>
                    <w:t>ug/L</w:t>
                  </w:r>
                </w:p>
              </w:tc>
              <w:tc>
                <w:tcPr>
                  <w:tcW w:w="544" w:type="pct"/>
                  <w:shd w:val="clear" w:color="auto" w:fill="auto"/>
                  <w:vAlign w:val="center"/>
                </w:tcPr>
                <w:p w14:paraId="38B532FF">
                  <w:pPr>
                    <w:pStyle w:val="5"/>
                    <w:bidi w:val="0"/>
                    <w:rPr>
                      <w:lang w:val="en-US" w:eastAsia="zh-CN"/>
                    </w:rPr>
                  </w:pPr>
                  <w:r>
                    <w:rPr>
                      <w:lang w:val="en-US" w:eastAsia="en-US"/>
                    </w:rPr>
                    <w:t>700</w:t>
                  </w:r>
                </w:p>
              </w:tc>
              <w:tc>
                <w:tcPr>
                  <w:tcW w:w="746" w:type="pct"/>
                  <w:shd w:val="clear" w:color="auto" w:fill="auto"/>
                  <w:vAlign w:val="center"/>
                </w:tcPr>
                <w:p w14:paraId="33EBF6D8">
                  <w:pPr>
                    <w:pStyle w:val="5"/>
                    <w:bidi w:val="0"/>
                    <w:rPr>
                      <w:lang w:val="en-US" w:eastAsia="zh-CN"/>
                    </w:rPr>
                  </w:pPr>
                  <w:r>
                    <w:rPr>
                      <w:rFonts w:hint="eastAsia"/>
                      <w:lang w:val="en-US" w:eastAsia="zh-CN"/>
                    </w:rPr>
                    <w:t>ND</w:t>
                  </w:r>
                </w:p>
              </w:tc>
              <w:tc>
                <w:tcPr>
                  <w:tcW w:w="769" w:type="pct"/>
                  <w:shd w:val="clear" w:color="auto" w:fill="auto"/>
                  <w:vAlign w:val="center"/>
                </w:tcPr>
                <w:p w14:paraId="788067D8">
                  <w:pPr>
                    <w:pStyle w:val="5"/>
                    <w:bidi w:val="0"/>
                    <w:rPr>
                      <w:lang w:val="en-US" w:eastAsia="zh-CN"/>
                    </w:rPr>
                  </w:pPr>
                  <w:r>
                    <w:rPr>
                      <w:rFonts w:hint="eastAsia"/>
                      <w:lang w:val="en-US" w:eastAsia="zh-CN"/>
                    </w:rPr>
                    <w:t>ND</w:t>
                  </w:r>
                </w:p>
              </w:tc>
              <w:tc>
                <w:tcPr>
                  <w:tcW w:w="710" w:type="pct"/>
                  <w:vAlign w:val="center"/>
                </w:tcPr>
                <w:p w14:paraId="432EB8D1">
                  <w:pPr>
                    <w:pStyle w:val="5"/>
                    <w:bidi w:val="0"/>
                    <w:rPr>
                      <w:lang w:val="en-US" w:eastAsia="zh-CN"/>
                    </w:rPr>
                  </w:pPr>
                  <w:r>
                    <w:rPr>
                      <w:lang w:val="en-US" w:eastAsia="zh-CN"/>
                    </w:rPr>
                    <w:t>/</w:t>
                  </w:r>
                </w:p>
              </w:tc>
              <w:tc>
                <w:tcPr>
                  <w:tcW w:w="840" w:type="pct"/>
                  <w:vAlign w:val="center"/>
                </w:tcPr>
                <w:p w14:paraId="472A192F">
                  <w:pPr>
                    <w:pStyle w:val="5"/>
                    <w:bidi w:val="0"/>
                    <w:rPr>
                      <w:lang w:val="en-US" w:eastAsia="zh-CN"/>
                    </w:rPr>
                  </w:pPr>
                  <w:r>
                    <w:rPr>
                      <w:lang w:val="en-US" w:eastAsia="zh-CN"/>
                    </w:rPr>
                    <w:t>/</w:t>
                  </w:r>
                </w:p>
              </w:tc>
            </w:tr>
            <w:tr w14:paraId="0EDD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7AC9B54E">
                  <w:pPr>
                    <w:pStyle w:val="5"/>
                    <w:bidi w:val="0"/>
                    <w:rPr>
                      <w:lang w:val="en-US" w:eastAsia="zh-CN"/>
                    </w:rPr>
                  </w:pPr>
                  <w:r>
                    <w:rPr>
                      <w:lang w:val="en-US" w:eastAsia="en-US"/>
                    </w:rPr>
                    <w:t>24</w:t>
                  </w:r>
                </w:p>
              </w:tc>
              <w:tc>
                <w:tcPr>
                  <w:tcW w:w="661" w:type="pct"/>
                  <w:gridSpan w:val="2"/>
                  <w:shd w:val="clear" w:color="auto" w:fill="auto"/>
                  <w:vAlign w:val="center"/>
                </w:tcPr>
                <w:p w14:paraId="6134B1DB">
                  <w:pPr>
                    <w:pStyle w:val="5"/>
                    <w:bidi w:val="0"/>
                    <w:rPr>
                      <w:lang w:val="en-US" w:eastAsia="zh-CN"/>
                    </w:rPr>
                  </w:pPr>
                  <w:r>
                    <w:rPr>
                      <w:lang w:val="en-US" w:eastAsia="en-US"/>
                    </w:rPr>
                    <w:t>乙苯</w:t>
                  </w:r>
                </w:p>
              </w:tc>
              <w:tc>
                <w:tcPr>
                  <w:tcW w:w="460" w:type="pct"/>
                  <w:shd w:val="clear" w:color="auto" w:fill="auto"/>
                  <w:vAlign w:val="center"/>
                </w:tcPr>
                <w:p w14:paraId="092D0B48">
                  <w:pPr>
                    <w:pStyle w:val="5"/>
                    <w:bidi w:val="0"/>
                    <w:rPr>
                      <w:lang w:val="en-US" w:eastAsia="zh-CN"/>
                    </w:rPr>
                  </w:pPr>
                  <w:r>
                    <w:rPr>
                      <w:lang w:val="en-US" w:eastAsia="en-US"/>
                    </w:rPr>
                    <w:t>ug/L</w:t>
                  </w:r>
                </w:p>
              </w:tc>
              <w:tc>
                <w:tcPr>
                  <w:tcW w:w="544" w:type="pct"/>
                  <w:shd w:val="clear" w:color="auto" w:fill="auto"/>
                  <w:vAlign w:val="center"/>
                </w:tcPr>
                <w:p w14:paraId="42B92B1C">
                  <w:pPr>
                    <w:pStyle w:val="5"/>
                    <w:bidi w:val="0"/>
                    <w:rPr>
                      <w:lang w:val="en-US" w:eastAsia="zh-CN"/>
                    </w:rPr>
                  </w:pPr>
                  <w:r>
                    <w:rPr>
                      <w:lang w:val="en-US" w:eastAsia="en-US"/>
                    </w:rPr>
                    <w:t>300</w:t>
                  </w:r>
                </w:p>
              </w:tc>
              <w:tc>
                <w:tcPr>
                  <w:tcW w:w="746" w:type="pct"/>
                  <w:shd w:val="clear" w:color="auto" w:fill="auto"/>
                  <w:vAlign w:val="center"/>
                </w:tcPr>
                <w:p w14:paraId="2970555C">
                  <w:pPr>
                    <w:pStyle w:val="5"/>
                    <w:bidi w:val="0"/>
                    <w:rPr>
                      <w:lang w:val="en-US" w:eastAsia="zh-CN"/>
                    </w:rPr>
                  </w:pPr>
                  <w:r>
                    <w:rPr>
                      <w:rFonts w:hint="eastAsia"/>
                      <w:lang w:val="en-US" w:eastAsia="zh-CN"/>
                    </w:rPr>
                    <w:t>ND</w:t>
                  </w:r>
                </w:p>
              </w:tc>
              <w:tc>
                <w:tcPr>
                  <w:tcW w:w="769" w:type="pct"/>
                  <w:shd w:val="clear" w:color="auto" w:fill="auto"/>
                  <w:vAlign w:val="center"/>
                </w:tcPr>
                <w:p w14:paraId="5D2DFAEB">
                  <w:pPr>
                    <w:pStyle w:val="5"/>
                    <w:bidi w:val="0"/>
                    <w:rPr>
                      <w:lang w:val="en-US" w:eastAsia="zh-CN"/>
                    </w:rPr>
                  </w:pPr>
                  <w:r>
                    <w:rPr>
                      <w:rFonts w:hint="eastAsia"/>
                      <w:lang w:val="en-US" w:eastAsia="zh-CN"/>
                    </w:rPr>
                    <w:t>ND</w:t>
                  </w:r>
                </w:p>
              </w:tc>
              <w:tc>
                <w:tcPr>
                  <w:tcW w:w="710" w:type="pct"/>
                  <w:vAlign w:val="center"/>
                </w:tcPr>
                <w:p w14:paraId="55B0E8AA">
                  <w:pPr>
                    <w:pStyle w:val="5"/>
                    <w:bidi w:val="0"/>
                    <w:rPr>
                      <w:lang w:val="en-US" w:eastAsia="zh-CN"/>
                    </w:rPr>
                  </w:pPr>
                  <w:r>
                    <w:rPr>
                      <w:lang w:val="en-US" w:eastAsia="zh-CN"/>
                    </w:rPr>
                    <w:t>/</w:t>
                  </w:r>
                </w:p>
              </w:tc>
              <w:tc>
                <w:tcPr>
                  <w:tcW w:w="840" w:type="pct"/>
                  <w:vAlign w:val="center"/>
                </w:tcPr>
                <w:p w14:paraId="294C5DCD">
                  <w:pPr>
                    <w:pStyle w:val="5"/>
                    <w:bidi w:val="0"/>
                    <w:rPr>
                      <w:lang w:val="en-US" w:eastAsia="zh-CN"/>
                    </w:rPr>
                  </w:pPr>
                  <w:r>
                    <w:rPr>
                      <w:lang w:val="en-US" w:eastAsia="zh-CN"/>
                    </w:rPr>
                    <w:t>/</w:t>
                  </w:r>
                </w:p>
              </w:tc>
            </w:tr>
            <w:tr w14:paraId="1850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417978A2">
                  <w:pPr>
                    <w:pStyle w:val="5"/>
                    <w:bidi w:val="0"/>
                    <w:rPr>
                      <w:lang w:val="en-US" w:eastAsia="en-US"/>
                    </w:rPr>
                  </w:pPr>
                  <w:r>
                    <w:rPr>
                      <w:lang w:val="en-US" w:eastAsia="en-US"/>
                    </w:rPr>
                    <w:t>25</w:t>
                  </w:r>
                </w:p>
              </w:tc>
              <w:tc>
                <w:tcPr>
                  <w:tcW w:w="168" w:type="pct"/>
                  <w:vMerge w:val="restart"/>
                  <w:shd w:val="clear" w:color="auto" w:fill="auto"/>
                  <w:vAlign w:val="center"/>
                </w:tcPr>
                <w:p w14:paraId="0A592970">
                  <w:pPr>
                    <w:pStyle w:val="5"/>
                    <w:bidi w:val="0"/>
                    <w:rPr>
                      <w:lang w:val="en-US" w:eastAsia="zh-CN"/>
                    </w:rPr>
                  </w:pPr>
                  <w:r>
                    <w:rPr>
                      <w:lang w:val="en-US" w:eastAsia="zh-CN"/>
                    </w:rPr>
                    <w:t>二甲苯</w:t>
                  </w:r>
                </w:p>
              </w:tc>
              <w:tc>
                <w:tcPr>
                  <w:tcW w:w="493" w:type="pct"/>
                  <w:shd w:val="clear" w:color="auto" w:fill="auto"/>
                  <w:vAlign w:val="center"/>
                </w:tcPr>
                <w:p w14:paraId="3BBA3361">
                  <w:pPr>
                    <w:pStyle w:val="5"/>
                    <w:bidi w:val="0"/>
                    <w:rPr>
                      <w:lang w:val="en-US" w:eastAsia="en-US"/>
                    </w:rPr>
                  </w:pPr>
                  <w:r>
                    <w:rPr>
                      <w:lang w:val="en-US" w:eastAsia="en-US"/>
                    </w:rPr>
                    <w:t>邻-二甲苯</w:t>
                  </w:r>
                </w:p>
              </w:tc>
              <w:tc>
                <w:tcPr>
                  <w:tcW w:w="460" w:type="pct"/>
                  <w:shd w:val="clear" w:color="auto" w:fill="auto"/>
                  <w:vAlign w:val="center"/>
                </w:tcPr>
                <w:p w14:paraId="5EFEEE39">
                  <w:pPr>
                    <w:pStyle w:val="5"/>
                    <w:bidi w:val="0"/>
                    <w:rPr>
                      <w:lang w:val="en-US" w:eastAsia="en-US"/>
                    </w:rPr>
                  </w:pPr>
                  <w:r>
                    <w:rPr>
                      <w:lang w:val="en-US" w:eastAsia="en-US"/>
                    </w:rPr>
                    <w:t>ug/L</w:t>
                  </w:r>
                </w:p>
              </w:tc>
              <w:tc>
                <w:tcPr>
                  <w:tcW w:w="544" w:type="pct"/>
                  <w:vMerge w:val="restart"/>
                  <w:shd w:val="clear" w:color="auto" w:fill="auto"/>
                  <w:vAlign w:val="center"/>
                </w:tcPr>
                <w:p w14:paraId="509D3A77">
                  <w:pPr>
                    <w:pStyle w:val="5"/>
                    <w:bidi w:val="0"/>
                    <w:rPr>
                      <w:lang w:val="en-US" w:eastAsia="zh-CN"/>
                    </w:rPr>
                  </w:pPr>
                  <w:r>
                    <w:rPr>
                      <w:lang w:val="en-US" w:eastAsia="zh-CN"/>
                    </w:rPr>
                    <w:t>500</w:t>
                  </w:r>
                </w:p>
              </w:tc>
              <w:tc>
                <w:tcPr>
                  <w:tcW w:w="746" w:type="pct"/>
                  <w:shd w:val="clear" w:color="auto" w:fill="auto"/>
                  <w:vAlign w:val="center"/>
                </w:tcPr>
                <w:p w14:paraId="2E8E44F6">
                  <w:pPr>
                    <w:pStyle w:val="5"/>
                    <w:bidi w:val="0"/>
                    <w:rPr>
                      <w:lang w:val="en-US" w:eastAsia="zh-CN"/>
                    </w:rPr>
                  </w:pPr>
                  <w:r>
                    <w:rPr>
                      <w:rFonts w:hint="eastAsia"/>
                      <w:lang w:val="en-US" w:eastAsia="zh-CN"/>
                    </w:rPr>
                    <w:t>ND</w:t>
                  </w:r>
                </w:p>
              </w:tc>
              <w:tc>
                <w:tcPr>
                  <w:tcW w:w="769" w:type="pct"/>
                  <w:vAlign w:val="center"/>
                </w:tcPr>
                <w:p w14:paraId="63E60941">
                  <w:pPr>
                    <w:pStyle w:val="5"/>
                    <w:bidi w:val="0"/>
                    <w:rPr>
                      <w:lang w:val="en-US" w:eastAsia="zh-CN"/>
                    </w:rPr>
                  </w:pPr>
                  <w:r>
                    <w:rPr>
                      <w:lang w:val="en-US" w:eastAsia="zh-CN"/>
                    </w:rPr>
                    <w:t>/</w:t>
                  </w:r>
                </w:p>
              </w:tc>
              <w:tc>
                <w:tcPr>
                  <w:tcW w:w="710" w:type="pct"/>
                  <w:shd w:val="clear" w:color="auto" w:fill="auto"/>
                  <w:vAlign w:val="center"/>
                </w:tcPr>
                <w:p w14:paraId="5FF2763E">
                  <w:pPr>
                    <w:pStyle w:val="5"/>
                    <w:bidi w:val="0"/>
                    <w:rPr>
                      <w:lang w:val="en-US" w:eastAsia="zh-CN"/>
                    </w:rPr>
                  </w:pPr>
                  <w:r>
                    <w:rPr>
                      <w:lang w:val="en-US" w:eastAsia="zh-CN"/>
                    </w:rPr>
                    <w:t>/</w:t>
                  </w:r>
                </w:p>
              </w:tc>
              <w:tc>
                <w:tcPr>
                  <w:tcW w:w="840" w:type="pct"/>
                  <w:shd w:val="clear" w:color="auto" w:fill="auto"/>
                  <w:vAlign w:val="center"/>
                </w:tcPr>
                <w:p w14:paraId="74691E8C">
                  <w:pPr>
                    <w:bidi w:val="0"/>
                    <w:ind w:firstLine="480" w:firstLineChars="200"/>
                    <w:rPr>
                      <w:lang w:val="en-US" w:eastAsia="zh-CN"/>
                    </w:rPr>
                  </w:pPr>
                  <w:r>
                    <w:rPr>
                      <w:lang w:val="en-US" w:eastAsia="zh-CN"/>
                    </w:rPr>
                    <w:t>/</w:t>
                  </w:r>
                </w:p>
              </w:tc>
            </w:tr>
            <w:tr w14:paraId="602D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6A9FCE8D">
                  <w:pPr>
                    <w:pStyle w:val="5"/>
                    <w:bidi w:val="0"/>
                    <w:rPr>
                      <w:lang w:val="en-US" w:eastAsia="en-US"/>
                    </w:rPr>
                  </w:pPr>
                  <w:r>
                    <w:rPr>
                      <w:lang w:val="en-US" w:eastAsia="en-US"/>
                    </w:rPr>
                    <w:t>26</w:t>
                  </w:r>
                </w:p>
              </w:tc>
              <w:tc>
                <w:tcPr>
                  <w:tcW w:w="168" w:type="pct"/>
                  <w:vMerge w:val="continue"/>
                  <w:shd w:val="clear" w:color="auto" w:fill="auto"/>
                  <w:vAlign w:val="center"/>
                </w:tcPr>
                <w:p w14:paraId="21073715">
                  <w:pPr>
                    <w:pStyle w:val="5"/>
                    <w:bidi w:val="0"/>
                    <w:rPr>
                      <w:lang w:val="en-US" w:eastAsia="en-US"/>
                    </w:rPr>
                  </w:pPr>
                </w:p>
              </w:tc>
              <w:tc>
                <w:tcPr>
                  <w:tcW w:w="493" w:type="pct"/>
                  <w:shd w:val="clear" w:color="auto" w:fill="auto"/>
                  <w:vAlign w:val="center"/>
                </w:tcPr>
                <w:p w14:paraId="615279E6">
                  <w:pPr>
                    <w:pStyle w:val="5"/>
                    <w:bidi w:val="0"/>
                    <w:rPr>
                      <w:lang w:val="en-US" w:eastAsia="en-US"/>
                    </w:rPr>
                  </w:pPr>
                  <w:r>
                    <w:rPr>
                      <w:lang w:val="en-US" w:eastAsia="en-US"/>
                    </w:rPr>
                    <w:t>间-二甲苯</w:t>
                  </w:r>
                </w:p>
              </w:tc>
              <w:tc>
                <w:tcPr>
                  <w:tcW w:w="460" w:type="pct"/>
                  <w:shd w:val="clear" w:color="auto" w:fill="auto"/>
                  <w:vAlign w:val="center"/>
                </w:tcPr>
                <w:p w14:paraId="644D29B4">
                  <w:pPr>
                    <w:pStyle w:val="5"/>
                    <w:bidi w:val="0"/>
                    <w:rPr>
                      <w:lang w:val="en-US" w:eastAsia="en-US"/>
                    </w:rPr>
                  </w:pPr>
                  <w:r>
                    <w:rPr>
                      <w:lang w:val="en-US" w:eastAsia="en-US"/>
                    </w:rPr>
                    <w:t>ug/L</w:t>
                  </w:r>
                </w:p>
              </w:tc>
              <w:tc>
                <w:tcPr>
                  <w:tcW w:w="544" w:type="pct"/>
                  <w:vMerge w:val="continue"/>
                  <w:shd w:val="clear" w:color="auto" w:fill="auto"/>
                  <w:vAlign w:val="center"/>
                </w:tcPr>
                <w:p w14:paraId="24500634">
                  <w:pPr>
                    <w:pStyle w:val="5"/>
                    <w:bidi w:val="0"/>
                    <w:rPr>
                      <w:lang w:val="en-US" w:eastAsia="zh-CN"/>
                    </w:rPr>
                  </w:pPr>
                </w:p>
              </w:tc>
              <w:tc>
                <w:tcPr>
                  <w:tcW w:w="746" w:type="pct"/>
                  <w:shd w:val="clear" w:color="auto" w:fill="auto"/>
                  <w:vAlign w:val="center"/>
                </w:tcPr>
                <w:p w14:paraId="540EF8C1">
                  <w:pPr>
                    <w:pStyle w:val="5"/>
                    <w:bidi w:val="0"/>
                    <w:rPr>
                      <w:lang w:val="en-US" w:eastAsia="zh-CN"/>
                    </w:rPr>
                  </w:pPr>
                  <w:r>
                    <w:rPr>
                      <w:rFonts w:hint="eastAsia"/>
                      <w:lang w:val="en-US" w:eastAsia="zh-CN"/>
                    </w:rPr>
                    <w:t>ND</w:t>
                  </w:r>
                </w:p>
              </w:tc>
              <w:tc>
                <w:tcPr>
                  <w:tcW w:w="769" w:type="pct"/>
                  <w:shd w:val="clear" w:color="auto" w:fill="auto"/>
                  <w:vAlign w:val="center"/>
                </w:tcPr>
                <w:p w14:paraId="76229287">
                  <w:pPr>
                    <w:pStyle w:val="5"/>
                    <w:bidi w:val="0"/>
                    <w:rPr>
                      <w:lang w:val="en-US" w:eastAsia="zh-CN"/>
                    </w:rPr>
                  </w:pPr>
                  <w:r>
                    <w:rPr>
                      <w:lang w:val="en-US" w:eastAsia="zh-CN"/>
                    </w:rPr>
                    <w:t>/</w:t>
                  </w:r>
                </w:p>
              </w:tc>
              <w:tc>
                <w:tcPr>
                  <w:tcW w:w="710" w:type="pct"/>
                  <w:vAlign w:val="center"/>
                </w:tcPr>
                <w:p w14:paraId="1CC23C16">
                  <w:pPr>
                    <w:pStyle w:val="5"/>
                    <w:bidi w:val="0"/>
                    <w:rPr>
                      <w:lang w:val="en-US" w:eastAsia="zh-CN"/>
                    </w:rPr>
                  </w:pPr>
                  <w:r>
                    <w:rPr>
                      <w:lang w:val="en-US" w:eastAsia="zh-CN"/>
                    </w:rPr>
                    <w:t>/</w:t>
                  </w:r>
                </w:p>
              </w:tc>
              <w:tc>
                <w:tcPr>
                  <w:tcW w:w="840" w:type="pct"/>
                  <w:vAlign w:val="center"/>
                </w:tcPr>
                <w:p w14:paraId="4003BED5">
                  <w:pPr>
                    <w:bidi w:val="0"/>
                    <w:ind w:firstLine="480" w:firstLineChars="200"/>
                    <w:rPr>
                      <w:lang w:val="en-US" w:eastAsia="zh-CN"/>
                    </w:rPr>
                  </w:pPr>
                  <w:r>
                    <w:rPr>
                      <w:lang w:val="en-US" w:eastAsia="zh-CN"/>
                    </w:rPr>
                    <w:t>/</w:t>
                  </w:r>
                </w:p>
              </w:tc>
            </w:tr>
            <w:tr w14:paraId="674C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0CE4A5DE">
                  <w:pPr>
                    <w:pStyle w:val="5"/>
                    <w:bidi w:val="0"/>
                    <w:rPr>
                      <w:lang w:val="en-US" w:eastAsia="en-US"/>
                    </w:rPr>
                  </w:pPr>
                  <w:r>
                    <w:rPr>
                      <w:lang w:val="en-US" w:eastAsia="en-US"/>
                    </w:rPr>
                    <w:t>27</w:t>
                  </w:r>
                </w:p>
              </w:tc>
              <w:tc>
                <w:tcPr>
                  <w:tcW w:w="168" w:type="pct"/>
                  <w:vMerge w:val="continue"/>
                  <w:shd w:val="clear" w:color="auto" w:fill="auto"/>
                  <w:vAlign w:val="center"/>
                </w:tcPr>
                <w:p w14:paraId="366B883C">
                  <w:pPr>
                    <w:pStyle w:val="5"/>
                    <w:bidi w:val="0"/>
                    <w:rPr>
                      <w:lang w:val="en-US" w:eastAsia="en-US"/>
                    </w:rPr>
                  </w:pPr>
                </w:p>
              </w:tc>
              <w:tc>
                <w:tcPr>
                  <w:tcW w:w="493" w:type="pct"/>
                  <w:shd w:val="clear" w:color="auto" w:fill="auto"/>
                  <w:vAlign w:val="center"/>
                </w:tcPr>
                <w:p w14:paraId="4895D53E">
                  <w:pPr>
                    <w:pStyle w:val="5"/>
                    <w:bidi w:val="0"/>
                    <w:rPr>
                      <w:lang w:val="en-US" w:eastAsia="en-US"/>
                    </w:rPr>
                  </w:pPr>
                  <w:r>
                    <w:rPr>
                      <w:lang w:val="en-US" w:eastAsia="en-US"/>
                    </w:rPr>
                    <w:t>对-二甲苯</w:t>
                  </w:r>
                </w:p>
              </w:tc>
              <w:tc>
                <w:tcPr>
                  <w:tcW w:w="460" w:type="pct"/>
                  <w:shd w:val="clear" w:color="auto" w:fill="auto"/>
                  <w:vAlign w:val="center"/>
                </w:tcPr>
                <w:p w14:paraId="266C9380">
                  <w:pPr>
                    <w:pStyle w:val="5"/>
                    <w:bidi w:val="0"/>
                    <w:rPr>
                      <w:lang w:val="en-US" w:eastAsia="en-US"/>
                    </w:rPr>
                  </w:pPr>
                  <w:r>
                    <w:rPr>
                      <w:lang w:val="en-US" w:eastAsia="en-US"/>
                    </w:rPr>
                    <w:t>ug/L</w:t>
                  </w:r>
                </w:p>
              </w:tc>
              <w:tc>
                <w:tcPr>
                  <w:tcW w:w="544" w:type="pct"/>
                  <w:vMerge w:val="continue"/>
                  <w:shd w:val="clear" w:color="auto" w:fill="auto"/>
                  <w:vAlign w:val="center"/>
                </w:tcPr>
                <w:p w14:paraId="6FF1EC79">
                  <w:pPr>
                    <w:pStyle w:val="5"/>
                    <w:bidi w:val="0"/>
                    <w:rPr>
                      <w:lang w:val="en-US" w:eastAsia="zh-CN"/>
                    </w:rPr>
                  </w:pPr>
                </w:p>
              </w:tc>
              <w:tc>
                <w:tcPr>
                  <w:tcW w:w="746" w:type="pct"/>
                  <w:shd w:val="clear" w:color="auto" w:fill="auto"/>
                  <w:vAlign w:val="center"/>
                </w:tcPr>
                <w:p w14:paraId="77E73AB3">
                  <w:pPr>
                    <w:pStyle w:val="5"/>
                    <w:bidi w:val="0"/>
                    <w:rPr>
                      <w:lang w:val="en-US" w:eastAsia="zh-CN"/>
                    </w:rPr>
                  </w:pPr>
                  <w:r>
                    <w:rPr>
                      <w:rFonts w:hint="eastAsia"/>
                      <w:lang w:val="en-US" w:eastAsia="zh-CN"/>
                    </w:rPr>
                    <w:t>ND</w:t>
                  </w:r>
                </w:p>
              </w:tc>
              <w:tc>
                <w:tcPr>
                  <w:tcW w:w="769" w:type="pct"/>
                  <w:shd w:val="clear" w:color="auto" w:fill="auto"/>
                  <w:vAlign w:val="center"/>
                </w:tcPr>
                <w:p w14:paraId="32718841">
                  <w:pPr>
                    <w:pStyle w:val="5"/>
                    <w:bidi w:val="0"/>
                    <w:rPr>
                      <w:lang w:val="en-US" w:eastAsia="zh-CN"/>
                    </w:rPr>
                  </w:pPr>
                  <w:r>
                    <w:rPr>
                      <w:lang w:val="en-US" w:eastAsia="zh-CN"/>
                    </w:rPr>
                    <w:t>/</w:t>
                  </w:r>
                </w:p>
              </w:tc>
              <w:tc>
                <w:tcPr>
                  <w:tcW w:w="710" w:type="pct"/>
                  <w:vAlign w:val="center"/>
                </w:tcPr>
                <w:p w14:paraId="18BE3567">
                  <w:pPr>
                    <w:pStyle w:val="5"/>
                    <w:bidi w:val="0"/>
                    <w:rPr>
                      <w:lang w:val="en-US" w:eastAsia="zh-CN"/>
                    </w:rPr>
                  </w:pPr>
                  <w:r>
                    <w:rPr>
                      <w:lang w:val="en-US" w:eastAsia="zh-CN"/>
                    </w:rPr>
                    <w:t>/</w:t>
                  </w:r>
                </w:p>
              </w:tc>
              <w:tc>
                <w:tcPr>
                  <w:tcW w:w="840" w:type="pct"/>
                  <w:vAlign w:val="center"/>
                </w:tcPr>
                <w:p w14:paraId="279352E6">
                  <w:pPr>
                    <w:bidi w:val="0"/>
                    <w:ind w:firstLine="480" w:firstLineChars="200"/>
                    <w:rPr>
                      <w:lang w:val="en-US" w:eastAsia="zh-CN"/>
                    </w:rPr>
                  </w:pPr>
                  <w:r>
                    <w:rPr>
                      <w:lang w:val="en-US" w:eastAsia="zh-CN"/>
                    </w:rPr>
                    <w:t>/</w:t>
                  </w:r>
                </w:p>
              </w:tc>
            </w:tr>
            <w:tr w14:paraId="7867A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shd w:val="clear" w:color="auto" w:fill="auto"/>
                  <w:vAlign w:val="center"/>
                </w:tcPr>
                <w:p w14:paraId="75A3C808">
                  <w:pPr>
                    <w:pStyle w:val="5"/>
                    <w:bidi w:val="0"/>
                    <w:rPr>
                      <w:lang w:val="en-US" w:eastAsia="en-US"/>
                    </w:rPr>
                  </w:pPr>
                  <w:r>
                    <w:rPr>
                      <w:lang w:val="en-US" w:eastAsia="en-US"/>
                    </w:rPr>
                    <w:t>28</w:t>
                  </w:r>
                </w:p>
              </w:tc>
              <w:tc>
                <w:tcPr>
                  <w:tcW w:w="661" w:type="pct"/>
                  <w:gridSpan w:val="2"/>
                  <w:shd w:val="clear" w:color="auto" w:fill="auto"/>
                  <w:vAlign w:val="center"/>
                </w:tcPr>
                <w:p w14:paraId="5D961A76">
                  <w:pPr>
                    <w:pStyle w:val="5"/>
                    <w:bidi w:val="0"/>
                    <w:rPr>
                      <w:lang w:val="en-US" w:eastAsia="en-US"/>
                    </w:rPr>
                  </w:pPr>
                  <w:r>
                    <w:rPr>
                      <w:lang w:val="en-US" w:eastAsia="en-US"/>
                    </w:rPr>
                    <w:t>苯并（a）芘</w:t>
                  </w:r>
                </w:p>
              </w:tc>
              <w:tc>
                <w:tcPr>
                  <w:tcW w:w="460" w:type="pct"/>
                  <w:shd w:val="clear" w:color="auto" w:fill="auto"/>
                  <w:vAlign w:val="center"/>
                </w:tcPr>
                <w:p w14:paraId="7350D065">
                  <w:pPr>
                    <w:pStyle w:val="5"/>
                    <w:bidi w:val="0"/>
                    <w:rPr>
                      <w:lang w:val="en-US" w:eastAsia="en-US"/>
                    </w:rPr>
                  </w:pPr>
                  <w:r>
                    <w:rPr>
                      <w:lang w:val="en-US" w:eastAsia="en-US"/>
                    </w:rPr>
                    <w:t>ug/L</w:t>
                  </w:r>
                </w:p>
              </w:tc>
              <w:tc>
                <w:tcPr>
                  <w:tcW w:w="544" w:type="pct"/>
                  <w:vAlign w:val="center"/>
                </w:tcPr>
                <w:p w14:paraId="6E542C1F">
                  <w:pPr>
                    <w:pStyle w:val="5"/>
                    <w:bidi w:val="0"/>
                    <w:rPr>
                      <w:lang w:val="en-US" w:eastAsia="zh-CN"/>
                    </w:rPr>
                  </w:pPr>
                  <w:r>
                    <w:rPr>
                      <w:lang w:val="en-US" w:eastAsia="en-US"/>
                    </w:rPr>
                    <w:t>0.01</w:t>
                  </w:r>
                </w:p>
              </w:tc>
              <w:tc>
                <w:tcPr>
                  <w:tcW w:w="746" w:type="pct"/>
                  <w:shd w:val="clear" w:color="auto" w:fill="auto"/>
                  <w:vAlign w:val="center"/>
                </w:tcPr>
                <w:p w14:paraId="57BAE7A3">
                  <w:pPr>
                    <w:pStyle w:val="5"/>
                    <w:bidi w:val="0"/>
                    <w:rPr>
                      <w:lang w:val="en-US" w:eastAsia="zh-CN"/>
                    </w:rPr>
                  </w:pPr>
                  <w:r>
                    <w:rPr>
                      <w:rFonts w:hint="eastAsia"/>
                      <w:lang w:val="en-US" w:eastAsia="zh-CN"/>
                    </w:rPr>
                    <w:t>ND</w:t>
                  </w:r>
                </w:p>
              </w:tc>
              <w:tc>
                <w:tcPr>
                  <w:tcW w:w="769" w:type="pct"/>
                  <w:shd w:val="clear" w:color="auto" w:fill="auto"/>
                  <w:vAlign w:val="center"/>
                </w:tcPr>
                <w:p w14:paraId="199D260F">
                  <w:pPr>
                    <w:pStyle w:val="5"/>
                    <w:bidi w:val="0"/>
                    <w:rPr>
                      <w:lang w:val="en-US" w:eastAsia="zh-CN"/>
                    </w:rPr>
                  </w:pPr>
                  <w:r>
                    <w:rPr>
                      <w:rFonts w:hint="eastAsia"/>
                      <w:lang w:val="en-US" w:eastAsia="zh-CN"/>
                    </w:rPr>
                    <w:t>ND</w:t>
                  </w:r>
                </w:p>
              </w:tc>
              <w:tc>
                <w:tcPr>
                  <w:tcW w:w="710" w:type="pct"/>
                  <w:vAlign w:val="center"/>
                </w:tcPr>
                <w:p w14:paraId="330563A8">
                  <w:pPr>
                    <w:pStyle w:val="5"/>
                    <w:bidi w:val="0"/>
                    <w:rPr>
                      <w:lang w:val="en-US" w:eastAsia="zh-CN"/>
                    </w:rPr>
                  </w:pPr>
                  <w:r>
                    <w:rPr>
                      <w:lang w:val="en-US" w:eastAsia="zh-CN"/>
                    </w:rPr>
                    <w:t>/</w:t>
                  </w:r>
                </w:p>
              </w:tc>
              <w:tc>
                <w:tcPr>
                  <w:tcW w:w="840" w:type="pct"/>
                  <w:vAlign w:val="center"/>
                </w:tcPr>
                <w:p w14:paraId="5E124BC3">
                  <w:pPr>
                    <w:pStyle w:val="5"/>
                    <w:bidi w:val="0"/>
                    <w:rPr>
                      <w:lang w:val="en-US" w:eastAsia="zh-CN"/>
                    </w:rPr>
                  </w:pPr>
                  <w:r>
                    <w:rPr>
                      <w:lang w:val="en-US" w:eastAsia="zh-CN"/>
                    </w:rPr>
                    <w:t>/</w:t>
                  </w:r>
                </w:p>
              </w:tc>
            </w:tr>
            <w:tr w14:paraId="4C5F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9"/>
                  <w:shd w:val="clear" w:color="auto" w:fill="auto"/>
                  <w:vAlign w:val="center"/>
                </w:tcPr>
                <w:p w14:paraId="7B8C7546">
                  <w:pPr>
                    <w:pStyle w:val="5"/>
                    <w:bidi w:val="0"/>
                    <w:rPr>
                      <w:lang w:val="en-US" w:eastAsia="zh-CN"/>
                    </w:rPr>
                  </w:pPr>
                  <w:r>
                    <w:rPr>
                      <w:lang w:val="en-US" w:eastAsia="zh-CN"/>
                    </w:rPr>
                    <w:t>注：“＜”表示低于检出限，结果减半计</w:t>
                  </w:r>
                </w:p>
              </w:tc>
            </w:tr>
          </w:tbl>
          <w:p w14:paraId="0E888AA8">
            <w:pPr>
              <w:bidi w:val="0"/>
              <w:rPr>
                <w:rFonts w:hint="eastAsia"/>
                <w:lang w:val="en-US" w:eastAsia="zh-CN"/>
              </w:rPr>
            </w:pPr>
            <w:r>
              <w:rPr>
                <w:lang w:val="en-US" w:eastAsia="zh-CN"/>
              </w:rPr>
              <w:t>根据上表可以看出，项目区域附近地下水监测井各项现状监测因子单项标准指数均小于1，满足《地下水质量标准》（GB/T14848-2017）Ⅲ类标准要求。</w:t>
            </w:r>
          </w:p>
          <w:p w14:paraId="3A749298">
            <w:pPr>
              <w:pStyle w:val="2"/>
              <w:bidi w:val="0"/>
              <w:rPr>
                <w:rFonts w:hint="default"/>
                <w:lang w:val="en-US" w:eastAsia="zh-CN"/>
              </w:rPr>
            </w:pPr>
            <w:r>
              <w:rPr>
                <w:rFonts w:hint="eastAsia"/>
                <w:lang w:val="en-US" w:eastAsia="zh-CN"/>
              </w:rPr>
              <w:t>6 土壤环境质量现状</w:t>
            </w:r>
          </w:p>
          <w:p w14:paraId="1BC905D5">
            <w:pPr>
              <w:bidi w:val="0"/>
              <w:rPr>
                <w:rFonts w:eastAsia="宋体"/>
                <w:snapToGrid w:val="0"/>
                <w:kern w:val="2"/>
                <w:lang w:val="en-US" w:eastAsia="zh-CN" w:bidi="ar-SA"/>
              </w:rPr>
            </w:pPr>
            <w:r>
              <w:rPr>
                <w:rFonts w:hint="eastAsia"/>
                <w:snapToGrid w:val="0"/>
                <w:lang w:val="en-US" w:eastAsia="zh-CN" w:bidi="ar-SA"/>
              </w:rPr>
              <w:t>依据《建设项目环境影响报告表编制技术指南（污染影响类）（试行）》：土壤环境原则上不开展环境质量现状调查。建设项目存在土壤环境污染途径的，应结合污染源、保护目标分布情况开展现状调查以留作背景值。本次评价</w:t>
            </w:r>
            <w:r>
              <w:rPr>
                <w:rFonts w:eastAsia="宋体"/>
                <w:snapToGrid w:val="0"/>
                <w:kern w:val="2"/>
                <w:lang w:val="en-US" w:eastAsia="zh-CN" w:bidi="ar-SA"/>
              </w:rPr>
              <w:t>引用巴州海祥石油化工有限公司例行监测中</w:t>
            </w:r>
            <w:r>
              <w:rPr>
                <w:rFonts w:hint="eastAsia" w:eastAsia="宋体"/>
                <w:snapToGrid w:val="0"/>
                <w:kern w:val="2"/>
                <w:lang w:val="en-US" w:eastAsia="zh-CN" w:bidi="ar-SA"/>
              </w:rPr>
              <w:t>土壤</w:t>
            </w:r>
            <w:r>
              <w:rPr>
                <w:rFonts w:eastAsia="宋体"/>
                <w:snapToGrid w:val="0"/>
                <w:kern w:val="2"/>
                <w:lang w:val="en-US" w:eastAsia="zh-CN" w:bidi="ar-SA"/>
              </w:rPr>
              <w:t>监测点数据，监测时间为</w:t>
            </w:r>
            <w:r>
              <w:rPr>
                <w:rFonts w:hint="eastAsia" w:eastAsia="宋体"/>
                <w:snapToGrid w:val="0"/>
                <w:kern w:val="2"/>
                <w:lang w:val="en-US" w:eastAsia="zh-CN" w:bidi="ar-SA"/>
              </w:rPr>
              <w:t>2025年9月14日</w:t>
            </w:r>
            <w:r>
              <w:rPr>
                <w:rFonts w:eastAsia="宋体"/>
                <w:snapToGrid w:val="0"/>
                <w:kern w:val="2"/>
                <w:lang w:val="en-US" w:eastAsia="zh-CN" w:bidi="ar-SA"/>
              </w:rPr>
              <w:t>，监测单位为新疆中测测试有限责任公司，引用数据具有代表性和时效性。</w:t>
            </w:r>
          </w:p>
          <w:p w14:paraId="4EEDE8FB">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w:t>
            </w:r>
            <w:r>
              <w:rPr>
                <w:rFonts w:hint="eastAsia" w:eastAsia="宋体"/>
                <w:snapToGrid w:val="0"/>
                <w:kern w:val="2"/>
                <w:lang w:val="en-US" w:eastAsia="zh-CN" w:bidi="ar-SA"/>
              </w:rPr>
              <w:t>1</w:t>
            </w:r>
            <w:r>
              <w:rPr>
                <w:rFonts w:eastAsia="宋体"/>
                <w:snapToGrid w:val="0"/>
                <w:kern w:val="2"/>
                <w:lang w:val="en-US" w:eastAsia="zh-CN" w:bidi="ar-SA"/>
              </w:rPr>
              <w:t>）</w:t>
            </w:r>
            <w:r>
              <w:rPr>
                <w:rFonts w:hint="eastAsia" w:eastAsia="宋体"/>
                <w:snapToGrid w:val="0"/>
                <w:kern w:val="2"/>
                <w:lang w:val="en-US" w:eastAsia="zh-CN" w:bidi="ar-SA"/>
              </w:rPr>
              <w:t>监测点位及</w:t>
            </w:r>
            <w:r>
              <w:rPr>
                <w:rFonts w:eastAsia="宋体"/>
                <w:snapToGrid w:val="0"/>
                <w:kern w:val="2"/>
                <w:lang w:val="en-US" w:eastAsia="zh-CN" w:bidi="ar-SA"/>
              </w:rPr>
              <w:t xml:space="preserve">监测项目 </w:t>
            </w:r>
          </w:p>
          <w:p w14:paraId="1F47A005">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hint="eastAsia" w:eastAsia="宋体"/>
                <w:snapToGrid w:val="0"/>
                <w:kern w:val="2"/>
                <w:lang w:val="en-US" w:eastAsia="zh-CN" w:bidi="ar-SA"/>
              </w:rPr>
              <w:t>监测点位：厂区南侧空地（坐标：经度84.021655E，纬度41.824594N），见附图</w:t>
            </w:r>
            <w:r>
              <w:rPr>
                <w:rFonts w:hint="eastAsia"/>
                <w:snapToGrid w:val="0"/>
                <w:kern w:val="2"/>
                <w:lang w:val="en-US" w:eastAsia="zh-CN" w:bidi="ar-SA"/>
              </w:rPr>
              <w:t>8</w:t>
            </w:r>
            <w:r>
              <w:rPr>
                <w:rFonts w:hint="eastAsia" w:eastAsia="宋体"/>
                <w:snapToGrid w:val="0"/>
                <w:kern w:val="2"/>
                <w:lang w:val="en-US" w:eastAsia="zh-CN" w:bidi="ar-SA"/>
              </w:rPr>
              <w:t>。</w:t>
            </w:r>
          </w:p>
          <w:p w14:paraId="4AC08C12">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监测项目：pH、</w:t>
            </w:r>
            <w:r>
              <w:rPr>
                <w:rFonts w:hint="eastAsia" w:eastAsia="宋体"/>
                <w:snapToGrid w:val="0"/>
                <w:kern w:val="2"/>
                <w:lang w:val="en-US" w:eastAsia="zh-CN" w:bidi="ar-SA"/>
              </w:rPr>
              <w:t>六价铬、铅、镉、铬、镍、汞、砷、苯并</w:t>
            </w:r>
            <w:r>
              <w:rPr>
                <w:rFonts w:eastAsia="宋体"/>
                <w:snapToGrid w:val="0"/>
                <w:kern w:val="2"/>
                <w:lang w:val="en-US" w:eastAsia="zh-CN" w:bidi="ar-SA"/>
              </w:rPr>
              <w:t>[α]</w:t>
            </w:r>
            <w:r>
              <w:rPr>
                <w:rFonts w:hint="eastAsia" w:eastAsia="宋体"/>
                <w:snapToGrid w:val="0"/>
                <w:kern w:val="2"/>
                <w:lang w:val="en-US" w:eastAsia="zh-CN" w:bidi="ar-SA"/>
              </w:rPr>
              <w:t>芘、硫化物、烷基汞（甲基汞、乙基汞），</w:t>
            </w:r>
            <w:r>
              <w:rPr>
                <w:rFonts w:eastAsia="宋体"/>
                <w:snapToGrid w:val="0"/>
                <w:kern w:val="2"/>
                <w:lang w:val="en-US" w:eastAsia="zh-CN" w:bidi="ar-SA"/>
              </w:rPr>
              <w:t>共计</w:t>
            </w:r>
            <w:r>
              <w:rPr>
                <w:rFonts w:hint="eastAsia" w:eastAsia="宋体"/>
                <w:snapToGrid w:val="0"/>
                <w:kern w:val="2"/>
                <w:lang w:val="en-US" w:eastAsia="zh-CN" w:bidi="ar-SA"/>
              </w:rPr>
              <w:t>11</w:t>
            </w:r>
            <w:r>
              <w:rPr>
                <w:rFonts w:eastAsia="宋体"/>
                <w:snapToGrid w:val="0"/>
                <w:kern w:val="2"/>
                <w:lang w:val="en-US" w:eastAsia="zh-CN" w:bidi="ar-SA"/>
              </w:rPr>
              <w:t>项。</w:t>
            </w:r>
          </w:p>
          <w:p w14:paraId="2CE4347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w:t>
            </w:r>
            <w:r>
              <w:rPr>
                <w:rFonts w:hint="eastAsia" w:eastAsia="宋体"/>
                <w:snapToGrid w:val="0"/>
                <w:kern w:val="2"/>
                <w:lang w:val="en-US" w:eastAsia="zh-CN" w:bidi="ar-SA"/>
              </w:rPr>
              <w:t>2</w:t>
            </w:r>
            <w:r>
              <w:rPr>
                <w:rFonts w:eastAsia="宋体"/>
                <w:snapToGrid w:val="0"/>
                <w:kern w:val="2"/>
                <w:lang w:val="en-US" w:eastAsia="zh-CN" w:bidi="ar-SA"/>
              </w:rPr>
              <w:t>）分析方法</w:t>
            </w:r>
          </w:p>
          <w:p w14:paraId="79CD9117">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土壤环境质量监测方法具体见表</w:t>
            </w:r>
            <w:r>
              <w:rPr>
                <w:rFonts w:hint="eastAsia" w:eastAsia="宋体"/>
                <w:snapToGrid w:val="0"/>
                <w:kern w:val="2"/>
                <w:lang w:val="en-US" w:eastAsia="zh-CN" w:bidi="ar-SA"/>
              </w:rPr>
              <w:t>3-3</w:t>
            </w:r>
            <w:r>
              <w:rPr>
                <w:rFonts w:eastAsia="宋体"/>
                <w:snapToGrid w:val="0"/>
                <w:kern w:val="2"/>
                <w:lang w:val="en-US" w:eastAsia="zh-CN" w:bidi="ar-SA"/>
              </w:rPr>
              <w:t>。</w:t>
            </w:r>
          </w:p>
          <w:p w14:paraId="5E8CFF8E">
            <w:pPr>
              <w:pStyle w:val="4"/>
              <w:bidi w:val="0"/>
              <w:rPr>
                <w:lang w:val="en-US" w:eastAsia="zh-CN"/>
              </w:rPr>
            </w:pPr>
            <w:r>
              <w:rPr>
                <w:lang w:val="en-US" w:eastAsia="zh-CN"/>
              </w:rPr>
              <w:t>表</w:t>
            </w:r>
            <w:r>
              <w:rPr>
                <w:rFonts w:hint="eastAsia"/>
                <w:lang w:val="en-US" w:eastAsia="zh-CN"/>
              </w:rPr>
              <w:t>3-3</w:t>
            </w:r>
            <w:r>
              <w:rPr>
                <w:lang w:val="en-US" w:eastAsia="zh-CN"/>
              </w:rPr>
              <w:t xml:space="preserve">  土壤检测方法一览表</w:t>
            </w:r>
          </w:p>
          <w:tbl>
            <w:tblPr>
              <w:tblStyle w:val="20"/>
              <w:tblW w:w="4998"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
              <w:gridCol w:w="811"/>
              <w:gridCol w:w="6252"/>
            </w:tblGrid>
            <w:tr w14:paraId="7E55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794001E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检测项目</w:t>
                  </w:r>
                </w:p>
              </w:tc>
              <w:tc>
                <w:tcPr>
                  <w:tcW w:w="3878" w:type="pct"/>
                  <w:vAlign w:val="center"/>
                </w:tcPr>
                <w:p w14:paraId="6EA5CEF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检测依据</w:t>
                  </w:r>
                </w:p>
              </w:tc>
            </w:tr>
            <w:tr w14:paraId="1701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445E17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pH</w:t>
                  </w:r>
                </w:p>
              </w:tc>
              <w:tc>
                <w:tcPr>
                  <w:tcW w:w="3878" w:type="pct"/>
                  <w:vAlign w:val="center"/>
                </w:tcPr>
                <w:p w14:paraId="69AAEE1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NY/T1377-2007土壤pH的测定</w:t>
                  </w:r>
                </w:p>
              </w:tc>
            </w:tr>
            <w:tr w14:paraId="30E5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4FA6234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六价铬</w:t>
                  </w:r>
                </w:p>
              </w:tc>
              <w:tc>
                <w:tcPr>
                  <w:tcW w:w="3878" w:type="pct"/>
                  <w:vAlign w:val="center"/>
                </w:tcPr>
                <w:p w14:paraId="7C3CED1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HJ1082-2019土壤和沉积物六价铬的测定碱溶液提取-火焰原子吸收分光光度法</w:t>
                  </w:r>
                </w:p>
              </w:tc>
            </w:tr>
            <w:tr w14:paraId="3D35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3256A81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铅</w:t>
                  </w:r>
                </w:p>
              </w:tc>
              <w:tc>
                <w:tcPr>
                  <w:tcW w:w="3878" w:type="pct"/>
                  <w:vAlign w:val="center"/>
                </w:tcPr>
                <w:p w14:paraId="72358A2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GB/T17141-1997土壤质量铅、镉的测定石墨炉原子吸收分光光度法</w:t>
                  </w:r>
                </w:p>
              </w:tc>
            </w:tr>
            <w:tr w14:paraId="665A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70089CB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镉</w:t>
                  </w:r>
                </w:p>
              </w:tc>
              <w:tc>
                <w:tcPr>
                  <w:tcW w:w="3878" w:type="pct"/>
                  <w:vAlign w:val="center"/>
                </w:tcPr>
                <w:p w14:paraId="2E7CB33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HJ491-2019土壤和沉积物铜、锌、铅、镍、铬的测定火焰原子吸收分光光度法</w:t>
                  </w:r>
                </w:p>
              </w:tc>
            </w:tr>
            <w:tr w14:paraId="4D32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34E9113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镍</w:t>
                  </w:r>
                </w:p>
              </w:tc>
              <w:tc>
                <w:tcPr>
                  <w:tcW w:w="3878" w:type="pct"/>
                  <w:vAlign w:val="center"/>
                </w:tcPr>
                <w:p w14:paraId="5945207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HJ491-2019土壤和沉积物铜、锌、铅、镍、铬的测定火焰原子吸收分光光度法</w:t>
                  </w:r>
                </w:p>
              </w:tc>
            </w:tr>
            <w:tr w14:paraId="0B0F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602D606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铬</w:t>
                  </w:r>
                </w:p>
              </w:tc>
              <w:tc>
                <w:tcPr>
                  <w:tcW w:w="3878" w:type="pct"/>
                  <w:vAlign w:val="center"/>
                </w:tcPr>
                <w:p w14:paraId="2D14A1E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GB/T22105.1-2008土壤质量总汞、总砷、总铅的测定原子荧光法第1部分：土壤中总汞的测定</w:t>
                  </w:r>
                </w:p>
              </w:tc>
            </w:tr>
            <w:tr w14:paraId="22AF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495A58C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汞</w:t>
                  </w:r>
                </w:p>
              </w:tc>
              <w:tc>
                <w:tcPr>
                  <w:tcW w:w="3878" w:type="pct"/>
                  <w:vAlign w:val="center"/>
                </w:tcPr>
                <w:p w14:paraId="4EC77BB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GB/T22105.2-2008土壤质量总汞、总砷、总铅的测定原子荧光法第2部分：土壤中总砷的测定</w:t>
                  </w:r>
                </w:p>
              </w:tc>
            </w:tr>
            <w:tr w14:paraId="57BD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3BAB81D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砷</w:t>
                  </w:r>
                </w:p>
              </w:tc>
              <w:tc>
                <w:tcPr>
                  <w:tcW w:w="3878" w:type="pct"/>
                  <w:vAlign w:val="center"/>
                </w:tcPr>
                <w:p w14:paraId="70D2CC3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HJ834-2017土壤和沉积物半挥发性有机物的测定气相色谱-质谱法</w:t>
                  </w:r>
                </w:p>
              </w:tc>
            </w:tr>
            <w:tr w14:paraId="6D40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7B53D17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eastAsia="宋体"/>
                      <w:sz w:val="21"/>
                      <w:szCs w:val="21"/>
                      <w:lang w:val="en-US" w:eastAsia="zh-CN" w:bidi="ar-SA"/>
                    </w:rPr>
                  </w:pPr>
                  <w:r>
                    <w:rPr>
                      <w:rFonts w:hint="eastAsia" w:eastAsia="宋体"/>
                      <w:sz w:val="21"/>
                      <w:szCs w:val="21"/>
                      <w:lang w:val="en-US" w:eastAsia="zh-CN" w:bidi="ar-SA"/>
                    </w:rPr>
                    <w:t>苯并</w:t>
                  </w:r>
                  <w:r>
                    <w:rPr>
                      <w:rFonts w:eastAsia="宋体"/>
                      <w:sz w:val="21"/>
                      <w:szCs w:val="21"/>
                      <w:lang w:val="en-US" w:eastAsia="zh-CN" w:bidi="ar-SA"/>
                    </w:rPr>
                    <w:t>[α]</w:t>
                  </w:r>
                  <w:r>
                    <w:rPr>
                      <w:rFonts w:hint="eastAsia" w:eastAsia="宋体"/>
                      <w:sz w:val="21"/>
                      <w:szCs w:val="21"/>
                      <w:lang w:val="en-US" w:eastAsia="zh-CN" w:bidi="ar-SA"/>
                    </w:rPr>
                    <w:t>芘</w:t>
                  </w:r>
                </w:p>
              </w:tc>
              <w:tc>
                <w:tcPr>
                  <w:tcW w:w="3878" w:type="pct"/>
                  <w:vAlign w:val="center"/>
                </w:tcPr>
                <w:p w14:paraId="0E58FA6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HJ833-2017土壤和沉积物硫化物的测定亚甲基蓝分光光度法</w:t>
                  </w:r>
                </w:p>
              </w:tc>
            </w:tr>
            <w:tr w14:paraId="4383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Align w:val="center"/>
                </w:tcPr>
                <w:p w14:paraId="5FCEE20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硫化物</w:t>
                  </w:r>
                </w:p>
              </w:tc>
              <w:tc>
                <w:tcPr>
                  <w:tcW w:w="3878" w:type="pct"/>
                  <w:vAlign w:val="center"/>
                </w:tcPr>
                <w:p w14:paraId="5809461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HJ1269—2022土壤和沉积物甲基汞和乙基汞的测定吹扫捕集/气相色谱-冷原子荧光光谱法</w:t>
                  </w:r>
                </w:p>
              </w:tc>
            </w:tr>
            <w:tr w14:paraId="5D2E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18" w:type="pct"/>
                  <w:vMerge w:val="restart"/>
                  <w:vAlign w:val="center"/>
                </w:tcPr>
                <w:p w14:paraId="345AB48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烷基汞</w:t>
                  </w:r>
                </w:p>
              </w:tc>
              <w:tc>
                <w:tcPr>
                  <w:tcW w:w="502" w:type="pct"/>
                  <w:vAlign w:val="center"/>
                </w:tcPr>
                <w:p w14:paraId="68DBD65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eastAsia="宋体"/>
                      <w:sz w:val="21"/>
                      <w:szCs w:val="21"/>
                      <w:lang w:val="en-US" w:eastAsia="zh-CN" w:bidi="ar-SA"/>
                    </w:rPr>
                  </w:pPr>
                  <w:r>
                    <w:rPr>
                      <w:rFonts w:hint="eastAsia" w:eastAsia="宋体"/>
                      <w:sz w:val="21"/>
                      <w:szCs w:val="21"/>
                      <w:lang w:val="en-US" w:eastAsia="zh-CN" w:bidi="ar-SA"/>
                    </w:rPr>
                    <w:t>甲基汞</w:t>
                  </w:r>
                </w:p>
              </w:tc>
              <w:tc>
                <w:tcPr>
                  <w:tcW w:w="3878" w:type="pct"/>
                  <w:vMerge w:val="restart"/>
                  <w:shd w:val="clear" w:color="auto" w:fill="auto"/>
                  <w:vAlign w:val="center"/>
                </w:tcPr>
                <w:p w14:paraId="61CE199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HJ491-2019土壤和沉积物铜、锌、铅、镍、铬的测定火焰原子吸收分光光度法</w:t>
                  </w:r>
                </w:p>
              </w:tc>
            </w:tr>
            <w:tr w14:paraId="4570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Merge w:val="continue"/>
                  <w:vAlign w:val="center"/>
                </w:tcPr>
                <w:p w14:paraId="135EA7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baseline"/>
                    <w:rPr>
                      <w:rFonts w:eastAsia="宋体"/>
                      <w:snapToGrid w:val="0"/>
                      <w:kern w:val="2"/>
                      <w:lang w:val="en-US" w:eastAsia="zh-CN" w:bidi="ar-SA"/>
                    </w:rPr>
                  </w:pPr>
                </w:p>
              </w:tc>
              <w:tc>
                <w:tcPr>
                  <w:tcW w:w="502" w:type="pct"/>
                  <w:vAlign w:val="center"/>
                </w:tcPr>
                <w:p w14:paraId="2C4AB3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baseline"/>
                    <w:rPr>
                      <w:rFonts w:eastAsia="宋体"/>
                      <w:snapToGrid w:val="0"/>
                      <w:kern w:val="2"/>
                      <w:lang w:val="en-US" w:eastAsia="zh-CN" w:bidi="ar-SA"/>
                    </w:rPr>
                  </w:pPr>
                  <w:r>
                    <w:rPr>
                      <w:rFonts w:hint="eastAsia" w:eastAsia="宋体"/>
                      <w:snapToGrid w:val="0"/>
                      <w:sz w:val="21"/>
                      <w:szCs w:val="21"/>
                      <w:lang w:val="en-US" w:eastAsia="zh-CN" w:bidi="ar-SA"/>
                    </w:rPr>
                    <w:t>烷基汞</w:t>
                  </w:r>
                </w:p>
              </w:tc>
              <w:tc>
                <w:tcPr>
                  <w:tcW w:w="3878" w:type="pct"/>
                  <w:vMerge w:val="continue"/>
                  <w:shd w:val="clear" w:color="auto" w:fill="auto"/>
                  <w:vAlign w:val="center"/>
                </w:tcPr>
                <w:p w14:paraId="3CD00DD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p>
              </w:tc>
            </w:tr>
          </w:tbl>
          <w:p w14:paraId="71D76B06">
            <w:pPr>
              <w:bidi w:val="0"/>
              <w:rPr>
                <w:lang w:val="en-US" w:eastAsia="zh-CN"/>
              </w:rPr>
            </w:pPr>
            <w:r>
              <w:rPr>
                <w:lang w:val="en-US" w:eastAsia="zh-CN"/>
              </w:rPr>
              <w:t>（</w:t>
            </w:r>
            <w:r>
              <w:rPr>
                <w:rFonts w:hint="eastAsia"/>
                <w:lang w:val="en-US" w:eastAsia="zh-CN"/>
              </w:rPr>
              <w:t>3</w:t>
            </w:r>
            <w:r>
              <w:rPr>
                <w:lang w:val="en-US" w:eastAsia="zh-CN"/>
              </w:rPr>
              <w:t>）评价标准及评价方法评价标准</w:t>
            </w:r>
          </w:p>
          <w:p w14:paraId="7CE8523B">
            <w:pPr>
              <w:bidi w:val="0"/>
              <w:rPr>
                <w:lang w:val="en-US" w:eastAsia="zh-CN"/>
              </w:rPr>
            </w:pPr>
            <w:r>
              <w:rPr>
                <w:lang w:val="en-US" w:eastAsia="zh-CN"/>
              </w:rPr>
              <w:t>采用《土壤环境质量 建设用地土壤污染风险管控标准》（GB 36600-2018）表1建设用地土壤污染风险筛选值和管制值（基本项目）中的筛选值第二类用地。</w:t>
            </w:r>
          </w:p>
          <w:p w14:paraId="091A3EA9">
            <w:pPr>
              <w:bidi w:val="0"/>
              <w:rPr>
                <w:lang w:val="en-US" w:eastAsia="zh-CN"/>
              </w:rPr>
            </w:pPr>
            <w:r>
              <w:rPr>
                <w:lang w:val="en-US" w:eastAsia="zh-CN"/>
              </w:rPr>
              <w:t>评价方法：采用单因子污染指数法对监测结果进行评价，评价公式：</w:t>
            </w:r>
          </w:p>
          <w:p w14:paraId="7085306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center"/>
              <w:textAlignment w:val="baseline"/>
              <w:rPr>
                <w:rFonts w:eastAsia="宋体"/>
                <w:snapToGrid w:val="0"/>
                <w:kern w:val="2"/>
                <w:lang w:val="en-US" w:eastAsia="zh-CN" w:bidi="ar-SA"/>
              </w:rPr>
            </w:pPr>
            <w:r>
              <w:rPr>
                <w:rFonts w:hint="default" w:ascii="Times New Roman" w:hAnsi="Times New Roman" w:eastAsia="宋体" w:cs="Times New Roman"/>
                <w:color w:val="auto"/>
                <w:sz w:val="24"/>
                <w:szCs w:val="22"/>
                <w:highlight w:val="none"/>
              </w:rPr>
              <w:drawing>
                <wp:inline distT="0" distB="0" distL="114300" distR="114300">
                  <wp:extent cx="561975" cy="447675"/>
                  <wp:effectExtent l="0" t="0" r="0" b="825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24"/>
                          <a:stretch>
                            <a:fillRect/>
                          </a:stretch>
                        </pic:blipFill>
                        <pic:spPr>
                          <a:xfrm>
                            <a:off x="0" y="0"/>
                            <a:ext cx="561975" cy="447675"/>
                          </a:xfrm>
                          <a:prstGeom prst="rect">
                            <a:avLst/>
                          </a:prstGeom>
                          <a:noFill/>
                          <a:ln>
                            <a:noFill/>
                          </a:ln>
                        </pic:spPr>
                      </pic:pic>
                    </a:graphicData>
                  </a:graphic>
                </wp:inline>
              </w:drawing>
            </w:r>
          </w:p>
          <w:p w14:paraId="7B5EA8AF">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480" w:firstLineChars="200"/>
              <w:jc w:val="both"/>
              <w:textAlignment w:val="baseline"/>
              <w:rPr>
                <w:rFonts w:eastAsia="宋体"/>
                <w:snapToGrid w:val="0"/>
                <w:kern w:val="2"/>
                <w:lang w:val="en-US" w:eastAsia="zh-CN" w:bidi="ar-SA"/>
              </w:rPr>
            </w:pPr>
            <w:r>
              <w:rPr>
                <w:rFonts w:eastAsia="宋体"/>
                <w:snapToGrid w:val="0"/>
                <w:kern w:val="2"/>
                <w:lang w:val="en-US" w:eastAsia="zh-CN" w:bidi="ar-SA"/>
              </w:rPr>
              <w:t>中：</w:t>
            </w:r>
            <w:r>
              <w:rPr>
                <w:rFonts w:hint="default" w:ascii="Times New Roman" w:hAnsi="Times New Roman" w:eastAsia="宋体" w:cs="Times New Roman"/>
                <w:color w:val="auto"/>
                <w:kern w:val="2"/>
                <w:sz w:val="24"/>
                <w:szCs w:val="24"/>
                <w:highlight w:val="none"/>
                <w:lang w:val="en-US" w:eastAsia="zh-CN" w:bidi="ar-SA"/>
              </w:rPr>
              <w:drawing>
                <wp:inline distT="0" distB="0" distL="114300" distR="114300">
                  <wp:extent cx="180975" cy="180975"/>
                  <wp:effectExtent l="0" t="0" r="9525" b="889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5"/>
                          <a:stretch>
                            <a:fillRect/>
                          </a:stretch>
                        </pic:blipFill>
                        <pic:spPr>
                          <a:xfrm>
                            <a:off x="0" y="0"/>
                            <a:ext cx="180975" cy="180975"/>
                          </a:xfrm>
                          <a:prstGeom prst="rect">
                            <a:avLst/>
                          </a:prstGeom>
                          <a:noFill/>
                          <a:ln>
                            <a:noFill/>
                          </a:ln>
                        </pic:spPr>
                      </pic:pic>
                    </a:graphicData>
                  </a:graphic>
                </wp:inline>
              </w:drawing>
            </w:r>
            <w:r>
              <w:rPr>
                <w:rFonts w:eastAsia="宋体"/>
                <w:snapToGrid w:val="0"/>
                <w:kern w:val="2"/>
                <w:lang w:val="en-US" w:eastAsia="zh-CN" w:bidi="ar-SA"/>
              </w:rPr>
              <w:t>—污染物单因子指数；</w:t>
            </w:r>
          </w:p>
          <w:p w14:paraId="1EA14582">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960" w:firstLineChars="400"/>
              <w:jc w:val="both"/>
              <w:textAlignment w:val="baseline"/>
              <w:rPr>
                <w:rFonts w:eastAsia="宋体"/>
                <w:snapToGrid w:val="0"/>
                <w:kern w:val="2"/>
                <w:lang w:val="en-US" w:eastAsia="zh-CN" w:bidi="ar-SA"/>
              </w:rPr>
            </w:pPr>
            <w:r>
              <w:rPr>
                <w:rFonts w:hint="default" w:ascii="Times New Roman" w:hAnsi="Times New Roman" w:eastAsia="宋体" w:cs="Times New Roman"/>
                <w:color w:val="auto"/>
                <w:kern w:val="2"/>
                <w:sz w:val="24"/>
                <w:szCs w:val="24"/>
                <w:highlight w:val="none"/>
                <w:lang w:val="en-US" w:eastAsia="zh-CN" w:bidi="ar-SA"/>
              </w:rPr>
              <w:drawing>
                <wp:inline distT="0" distB="0" distL="114300" distR="114300">
                  <wp:extent cx="190500" cy="180975"/>
                  <wp:effectExtent l="0" t="0" r="0" b="8890"/>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26"/>
                          <a:stretch>
                            <a:fillRect/>
                          </a:stretch>
                        </pic:blipFill>
                        <pic:spPr>
                          <a:xfrm>
                            <a:off x="0" y="0"/>
                            <a:ext cx="190500" cy="180975"/>
                          </a:xfrm>
                          <a:prstGeom prst="rect">
                            <a:avLst/>
                          </a:prstGeom>
                          <a:noFill/>
                          <a:ln>
                            <a:noFill/>
                          </a:ln>
                        </pic:spPr>
                      </pic:pic>
                    </a:graphicData>
                  </a:graphic>
                </wp:inline>
              </w:drawing>
            </w:r>
            <w:r>
              <w:rPr>
                <w:rFonts w:eastAsia="宋体"/>
                <w:snapToGrid w:val="0"/>
                <w:kern w:val="2"/>
                <w:lang w:val="en-US" w:eastAsia="zh-CN" w:bidi="ar-SA"/>
              </w:rPr>
              <w:t>—i污染物的浓度值，mg/L；</w:t>
            </w:r>
          </w:p>
          <w:p w14:paraId="3636C886">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960" w:firstLineChars="400"/>
              <w:jc w:val="both"/>
              <w:textAlignment w:val="baseline"/>
              <w:rPr>
                <w:rFonts w:eastAsia="宋体"/>
                <w:snapToGrid w:val="0"/>
                <w:kern w:val="2"/>
                <w:lang w:val="en-US" w:eastAsia="zh-CN" w:bidi="ar-SA"/>
              </w:rPr>
            </w:pPr>
            <w:r>
              <w:rPr>
                <w:rFonts w:hint="default" w:ascii="Times New Roman" w:hAnsi="Times New Roman" w:eastAsia="宋体" w:cs="Times New Roman"/>
                <w:color w:val="auto"/>
                <w:kern w:val="2"/>
                <w:sz w:val="24"/>
                <w:szCs w:val="24"/>
                <w:highlight w:val="none"/>
                <w:lang w:val="en-US" w:eastAsia="zh-CN" w:bidi="ar-SA"/>
              </w:rPr>
              <w:drawing>
                <wp:inline distT="0" distB="0" distL="114300" distR="114300">
                  <wp:extent cx="257175" cy="180975"/>
                  <wp:effectExtent l="0" t="0" r="8890" b="889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27"/>
                          <a:stretch>
                            <a:fillRect/>
                          </a:stretch>
                        </pic:blipFill>
                        <pic:spPr>
                          <a:xfrm>
                            <a:off x="0" y="0"/>
                            <a:ext cx="257175" cy="180975"/>
                          </a:xfrm>
                          <a:prstGeom prst="rect">
                            <a:avLst/>
                          </a:prstGeom>
                          <a:noFill/>
                          <a:ln>
                            <a:noFill/>
                          </a:ln>
                        </pic:spPr>
                      </pic:pic>
                    </a:graphicData>
                  </a:graphic>
                </wp:inline>
              </w:drawing>
            </w:r>
            <w:r>
              <w:rPr>
                <w:rFonts w:eastAsia="宋体"/>
                <w:snapToGrid w:val="0"/>
                <w:kern w:val="2"/>
                <w:lang w:val="en-US" w:eastAsia="zh-CN" w:bidi="ar-SA"/>
              </w:rPr>
              <w:t>—i污染物的评价标准值，mg/L。</w:t>
            </w:r>
          </w:p>
          <w:p w14:paraId="58B263BC">
            <w:pPr>
              <w:bidi w:val="0"/>
              <w:rPr>
                <w:lang w:val="en-US" w:eastAsia="zh-CN"/>
              </w:rPr>
            </w:pPr>
            <w:r>
              <w:rPr>
                <w:lang w:val="en-US" w:eastAsia="zh-CN"/>
              </w:rPr>
              <w:t>（4）</w:t>
            </w:r>
            <w:r>
              <w:rPr>
                <w:rFonts w:hint="eastAsia"/>
                <w:lang w:val="en-US" w:eastAsia="zh-CN"/>
              </w:rPr>
              <w:t>土壤监测及评价统计结果</w:t>
            </w:r>
          </w:p>
          <w:p w14:paraId="74BC18C3">
            <w:pPr>
              <w:bidi w:val="0"/>
              <w:rPr>
                <w:lang w:val="en-US" w:eastAsia="zh-CN"/>
              </w:rPr>
            </w:pPr>
            <w:r>
              <w:rPr>
                <w:rFonts w:hint="eastAsia"/>
                <w:lang w:val="en-US" w:eastAsia="zh-CN"/>
              </w:rPr>
              <w:t>土壤</w:t>
            </w:r>
            <w:r>
              <w:rPr>
                <w:lang w:val="en-US" w:eastAsia="zh-CN"/>
              </w:rPr>
              <w:t>监测及评价统计结果见表3-</w:t>
            </w:r>
            <w:r>
              <w:rPr>
                <w:rFonts w:hint="eastAsia"/>
                <w:lang w:val="en-US" w:eastAsia="zh-CN"/>
              </w:rPr>
              <w:t>4</w:t>
            </w:r>
            <w:r>
              <w:rPr>
                <w:lang w:val="en-US" w:eastAsia="zh-CN"/>
              </w:rPr>
              <w:t>。</w:t>
            </w:r>
          </w:p>
          <w:p w14:paraId="17B75F7B">
            <w:pPr>
              <w:pStyle w:val="4"/>
              <w:bidi w:val="0"/>
              <w:rPr>
                <w:lang w:val="en-US" w:eastAsia="zh-CN"/>
              </w:rPr>
            </w:pPr>
            <w:r>
              <w:rPr>
                <w:lang w:val="en-US" w:eastAsia="zh-CN"/>
              </w:rPr>
              <w:t>表3-</w:t>
            </w:r>
            <w:r>
              <w:rPr>
                <w:rFonts w:hint="eastAsia"/>
                <w:lang w:val="en-US" w:eastAsia="zh-CN"/>
              </w:rPr>
              <w:t>4</w:t>
            </w:r>
            <w:r>
              <w:rPr>
                <w:lang w:val="en-US" w:eastAsia="zh-CN"/>
              </w:rPr>
              <w:t xml:space="preserve">  </w:t>
            </w:r>
            <w:r>
              <w:rPr>
                <w:rFonts w:hint="eastAsia"/>
                <w:lang w:val="en-US" w:eastAsia="zh-CN"/>
              </w:rPr>
              <w:t>土壤</w:t>
            </w:r>
            <w:r>
              <w:rPr>
                <w:lang w:val="en-US" w:eastAsia="zh-CN"/>
              </w:rPr>
              <w:t xml:space="preserve">监测结果 </w:t>
            </w:r>
          </w:p>
          <w:tbl>
            <w:tblPr>
              <w:tblStyle w:val="20"/>
              <w:tblW w:w="4998"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979"/>
              <w:gridCol w:w="929"/>
              <w:gridCol w:w="1171"/>
              <w:gridCol w:w="1412"/>
              <w:gridCol w:w="1409"/>
              <w:gridCol w:w="1412"/>
            </w:tblGrid>
            <w:tr w14:paraId="47E5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463" w:type="pct"/>
                  <w:vAlign w:val="center"/>
                </w:tcPr>
                <w:p w14:paraId="5A7EF6D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序号</w:t>
                  </w:r>
                </w:p>
              </w:tc>
              <w:tc>
                <w:tcPr>
                  <w:tcW w:w="1184" w:type="pct"/>
                  <w:gridSpan w:val="2"/>
                  <w:vAlign w:val="center"/>
                </w:tcPr>
                <w:p w14:paraId="5D6B362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监测项目</w:t>
                  </w:r>
                </w:p>
              </w:tc>
              <w:tc>
                <w:tcPr>
                  <w:tcW w:w="726" w:type="pct"/>
                  <w:vAlign w:val="center"/>
                </w:tcPr>
                <w:p w14:paraId="6D3EA13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单位</w:t>
                  </w:r>
                </w:p>
              </w:tc>
              <w:tc>
                <w:tcPr>
                  <w:tcW w:w="875" w:type="pct"/>
                  <w:vAlign w:val="center"/>
                </w:tcPr>
                <w:p w14:paraId="1D611A7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eastAsia="宋体"/>
                      <w:sz w:val="21"/>
                      <w:szCs w:val="21"/>
                      <w:lang w:val="en-US" w:eastAsia="zh-CN" w:bidi="ar-SA"/>
                    </w:rPr>
                    <w:t>标准值</w:t>
                  </w:r>
                </w:p>
              </w:tc>
              <w:tc>
                <w:tcPr>
                  <w:tcW w:w="874" w:type="pct"/>
                  <w:vAlign w:val="center"/>
                </w:tcPr>
                <w:p w14:paraId="11240D5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土壤监测结果</w:t>
                  </w:r>
                </w:p>
              </w:tc>
              <w:tc>
                <w:tcPr>
                  <w:tcW w:w="875" w:type="pct"/>
                  <w:vAlign w:val="center"/>
                </w:tcPr>
                <w:p w14:paraId="3163E03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单因子指数</w:t>
                  </w:r>
                  <w:r>
                    <w:rPr>
                      <w:rFonts w:hint="default" w:ascii="Times New Roman" w:hAnsi="Times New Roman" w:eastAsia="宋体" w:cs="Times New Roman"/>
                      <w:color w:val="auto"/>
                      <w:kern w:val="2"/>
                      <w:sz w:val="24"/>
                      <w:szCs w:val="24"/>
                      <w:highlight w:val="none"/>
                      <w:lang w:val="en-US" w:eastAsia="zh-CN" w:bidi="ar-SA"/>
                    </w:rPr>
                    <w:drawing>
                      <wp:inline distT="0" distB="0" distL="114300" distR="114300">
                        <wp:extent cx="180975" cy="180975"/>
                        <wp:effectExtent l="0" t="0" r="9525" b="8890"/>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25"/>
                                <a:stretch>
                                  <a:fillRect/>
                                </a:stretch>
                              </pic:blipFill>
                              <pic:spPr>
                                <a:xfrm>
                                  <a:off x="0" y="0"/>
                                  <a:ext cx="180975" cy="180975"/>
                                </a:xfrm>
                                <a:prstGeom prst="rect">
                                  <a:avLst/>
                                </a:prstGeom>
                                <a:noFill/>
                                <a:ln>
                                  <a:noFill/>
                                </a:ln>
                              </pic:spPr>
                            </pic:pic>
                          </a:graphicData>
                        </a:graphic>
                      </wp:inline>
                    </w:drawing>
                  </w:r>
                </w:p>
              </w:tc>
            </w:tr>
            <w:tr w14:paraId="034A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pct"/>
                  <w:shd w:val="clear" w:color="auto" w:fill="auto"/>
                  <w:vAlign w:val="center"/>
                </w:tcPr>
                <w:p w14:paraId="6DEBD3D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en-US" w:bidi="ar-SA"/>
                    </w:rPr>
                    <w:t>1</w:t>
                  </w:r>
                </w:p>
              </w:tc>
              <w:tc>
                <w:tcPr>
                  <w:tcW w:w="1184" w:type="pct"/>
                  <w:gridSpan w:val="2"/>
                  <w:shd w:val="clear" w:color="auto" w:fill="auto"/>
                  <w:vAlign w:val="center"/>
                </w:tcPr>
                <w:p w14:paraId="49E33D8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pH</w:t>
                  </w:r>
                </w:p>
              </w:tc>
              <w:tc>
                <w:tcPr>
                  <w:tcW w:w="726" w:type="pct"/>
                  <w:shd w:val="clear" w:color="auto" w:fill="auto"/>
                  <w:vAlign w:val="center"/>
                </w:tcPr>
                <w:p w14:paraId="44B9910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3"/>
                      <w:kern w:val="2"/>
                      <w:sz w:val="21"/>
                      <w:szCs w:val="21"/>
                      <w:lang w:val="en-US" w:eastAsia="en-US" w:bidi="ar-SA"/>
                    </w:rPr>
                    <w:t>无量纲</w:t>
                  </w:r>
                </w:p>
              </w:tc>
              <w:tc>
                <w:tcPr>
                  <w:tcW w:w="875" w:type="pct"/>
                  <w:shd w:val="clear" w:color="auto" w:fill="auto"/>
                  <w:vAlign w:val="center"/>
                </w:tcPr>
                <w:p w14:paraId="359E0871">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w:t>
                  </w:r>
                </w:p>
              </w:tc>
              <w:tc>
                <w:tcPr>
                  <w:tcW w:w="874" w:type="pct"/>
                  <w:shd w:val="clear" w:color="auto" w:fill="auto"/>
                  <w:vAlign w:val="center"/>
                </w:tcPr>
                <w:p w14:paraId="6CDEFEC1">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8.1</w:t>
                  </w:r>
                </w:p>
              </w:tc>
              <w:tc>
                <w:tcPr>
                  <w:tcW w:w="875" w:type="pct"/>
                  <w:shd w:val="clear" w:color="auto" w:fill="auto"/>
                  <w:vAlign w:val="center"/>
                </w:tcPr>
                <w:p w14:paraId="3ECB6C15">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eastAsia" w:eastAsia="宋体"/>
                      <w:spacing w:val="-1"/>
                      <w:kern w:val="2"/>
                      <w:sz w:val="21"/>
                      <w:szCs w:val="21"/>
                      <w:lang w:val="en-US" w:eastAsia="zh-CN" w:bidi="ar-SA"/>
                    </w:rPr>
                  </w:pPr>
                  <w:r>
                    <w:rPr>
                      <w:rFonts w:hint="eastAsia" w:eastAsia="宋体"/>
                      <w:spacing w:val="-1"/>
                      <w:kern w:val="2"/>
                      <w:sz w:val="21"/>
                      <w:szCs w:val="21"/>
                      <w:lang w:val="en-US" w:eastAsia="zh-CN" w:bidi="ar-SA"/>
                    </w:rPr>
                    <w:t>/</w:t>
                  </w:r>
                </w:p>
              </w:tc>
            </w:tr>
            <w:tr w14:paraId="30C6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6D6CB74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en-US" w:bidi="ar-SA"/>
                    </w:rPr>
                    <w:t>2</w:t>
                  </w:r>
                </w:p>
              </w:tc>
              <w:tc>
                <w:tcPr>
                  <w:tcW w:w="1184" w:type="pct"/>
                  <w:gridSpan w:val="2"/>
                  <w:shd w:val="clear" w:color="auto" w:fill="auto"/>
                  <w:vAlign w:val="center"/>
                </w:tcPr>
                <w:p w14:paraId="58C47F2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六价铬</w:t>
                  </w:r>
                </w:p>
              </w:tc>
              <w:tc>
                <w:tcPr>
                  <w:tcW w:w="726" w:type="pct"/>
                  <w:shd w:val="clear" w:color="auto" w:fill="auto"/>
                  <w:vAlign w:val="center"/>
                </w:tcPr>
                <w:p w14:paraId="2669A34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
                      <w:kern w:val="2"/>
                      <w:sz w:val="21"/>
                      <w:szCs w:val="21"/>
                      <w:lang w:val="en-US" w:eastAsia="en-US"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22C8015E">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5.7</w:t>
                  </w:r>
                </w:p>
              </w:tc>
              <w:tc>
                <w:tcPr>
                  <w:tcW w:w="874" w:type="pct"/>
                  <w:shd w:val="clear" w:color="auto" w:fill="auto"/>
                  <w:vAlign w:val="center"/>
                </w:tcPr>
                <w:p w14:paraId="6943E786">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ND</w:t>
                  </w:r>
                </w:p>
              </w:tc>
              <w:tc>
                <w:tcPr>
                  <w:tcW w:w="875" w:type="pct"/>
                  <w:shd w:val="clear" w:color="auto" w:fill="auto"/>
                  <w:vAlign w:val="center"/>
                </w:tcPr>
                <w:p w14:paraId="02E29738">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eastAsia" w:eastAsia="宋体"/>
                      <w:spacing w:val="-4"/>
                      <w:kern w:val="2"/>
                      <w:sz w:val="21"/>
                      <w:szCs w:val="21"/>
                      <w:lang w:val="en-US" w:eastAsia="zh-CN" w:bidi="ar-SA"/>
                    </w:rPr>
                  </w:pPr>
                  <w:r>
                    <w:rPr>
                      <w:rFonts w:hint="eastAsia" w:eastAsia="宋体"/>
                      <w:spacing w:val="-4"/>
                      <w:kern w:val="2"/>
                      <w:sz w:val="21"/>
                      <w:szCs w:val="21"/>
                      <w:lang w:val="en-US" w:eastAsia="zh-CN" w:bidi="ar-SA"/>
                    </w:rPr>
                    <w:t>/</w:t>
                  </w:r>
                </w:p>
              </w:tc>
            </w:tr>
            <w:tr w14:paraId="7D1C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5972EAB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en-US" w:bidi="ar-SA"/>
                    </w:rPr>
                    <w:t>3</w:t>
                  </w:r>
                </w:p>
              </w:tc>
              <w:tc>
                <w:tcPr>
                  <w:tcW w:w="1184" w:type="pct"/>
                  <w:gridSpan w:val="2"/>
                  <w:shd w:val="clear" w:color="auto" w:fill="auto"/>
                  <w:vAlign w:val="center"/>
                </w:tcPr>
                <w:p w14:paraId="5B46403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铅</w:t>
                  </w:r>
                </w:p>
              </w:tc>
              <w:tc>
                <w:tcPr>
                  <w:tcW w:w="726" w:type="pct"/>
                  <w:shd w:val="clear" w:color="auto" w:fill="auto"/>
                  <w:vAlign w:val="center"/>
                </w:tcPr>
                <w:p w14:paraId="651EB27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
                      <w:kern w:val="2"/>
                      <w:sz w:val="21"/>
                      <w:szCs w:val="21"/>
                      <w:lang w:val="en-US" w:eastAsia="zh-CN"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605F59B0">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800</w:t>
                  </w:r>
                </w:p>
              </w:tc>
              <w:tc>
                <w:tcPr>
                  <w:tcW w:w="874" w:type="pct"/>
                  <w:shd w:val="clear" w:color="auto" w:fill="auto"/>
                  <w:vAlign w:val="center"/>
                </w:tcPr>
                <w:p w14:paraId="02EBA18D">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9.6</w:t>
                  </w:r>
                </w:p>
              </w:tc>
              <w:tc>
                <w:tcPr>
                  <w:tcW w:w="1473" w:type="dxa"/>
                  <w:shd w:val="clear" w:color="auto" w:fill="auto"/>
                  <w:vAlign w:val="center"/>
                </w:tcPr>
                <w:p w14:paraId="2888A847">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eastAsia="宋体"/>
                      <w:kern w:val="2"/>
                      <w:position w:val="-10"/>
                      <w:sz w:val="21"/>
                      <w:szCs w:val="21"/>
                      <w:lang w:val="en-US" w:eastAsia="zh-CN" w:bidi="ar-SA"/>
                    </w:rPr>
                  </w:pPr>
                  <w:r>
                    <w:rPr>
                      <w:rFonts w:eastAsia="宋体"/>
                      <w:sz w:val="21"/>
                      <w:szCs w:val="21"/>
                      <w:lang w:val="en-US" w:eastAsia="zh-CN" w:bidi="ar"/>
                    </w:rPr>
                    <w:t>0.012</w:t>
                  </w:r>
                </w:p>
              </w:tc>
            </w:tr>
            <w:tr w14:paraId="0A46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758CCE3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en-US" w:bidi="ar-SA"/>
                    </w:rPr>
                    <w:t>4</w:t>
                  </w:r>
                </w:p>
              </w:tc>
              <w:tc>
                <w:tcPr>
                  <w:tcW w:w="1184" w:type="pct"/>
                  <w:gridSpan w:val="2"/>
                  <w:shd w:val="clear" w:color="auto" w:fill="auto"/>
                  <w:vAlign w:val="center"/>
                </w:tcPr>
                <w:p w14:paraId="524ABE3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镉</w:t>
                  </w:r>
                </w:p>
              </w:tc>
              <w:tc>
                <w:tcPr>
                  <w:tcW w:w="726" w:type="pct"/>
                  <w:shd w:val="clear" w:color="auto" w:fill="auto"/>
                  <w:vAlign w:val="center"/>
                </w:tcPr>
                <w:p w14:paraId="34AA366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
                      <w:kern w:val="2"/>
                      <w:sz w:val="21"/>
                      <w:szCs w:val="21"/>
                      <w:lang w:val="en-US" w:eastAsia="zh-CN"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57E243D3">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65</w:t>
                  </w:r>
                </w:p>
              </w:tc>
              <w:tc>
                <w:tcPr>
                  <w:tcW w:w="874" w:type="pct"/>
                  <w:shd w:val="clear" w:color="auto" w:fill="auto"/>
                  <w:vAlign w:val="center"/>
                </w:tcPr>
                <w:p w14:paraId="4745C601">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0.08</w:t>
                  </w:r>
                </w:p>
              </w:tc>
              <w:tc>
                <w:tcPr>
                  <w:tcW w:w="1473" w:type="dxa"/>
                  <w:shd w:val="clear" w:color="auto" w:fill="auto"/>
                  <w:vAlign w:val="center"/>
                </w:tcPr>
                <w:p w14:paraId="484A9C68">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eastAsia="宋体"/>
                      <w:spacing w:val="-3"/>
                      <w:kern w:val="2"/>
                      <w:sz w:val="21"/>
                      <w:szCs w:val="21"/>
                      <w:lang w:val="en-US" w:eastAsia="zh-CN" w:bidi="ar-SA"/>
                    </w:rPr>
                  </w:pPr>
                  <w:r>
                    <w:rPr>
                      <w:rFonts w:eastAsia="宋体"/>
                      <w:sz w:val="21"/>
                      <w:szCs w:val="21"/>
                      <w:lang w:val="en-US" w:eastAsia="zh-CN" w:bidi="ar"/>
                    </w:rPr>
                    <w:t xml:space="preserve">0.001 </w:t>
                  </w:r>
                </w:p>
              </w:tc>
            </w:tr>
            <w:tr w14:paraId="78054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2FCD0B4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en-US" w:bidi="ar-SA"/>
                    </w:rPr>
                  </w:pPr>
                </w:p>
              </w:tc>
              <w:tc>
                <w:tcPr>
                  <w:tcW w:w="1184" w:type="pct"/>
                  <w:gridSpan w:val="2"/>
                  <w:shd w:val="clear" w:color="auto" w:fill="auto"/>
                  <w:vAlign w:val="center"/>
                </w:tcPr>
                <w:p w14:paraId="01F9D68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eastAsia="宋体"/>
                      <w:sz w:val="21"/>
                      <w:szCs w:val="21"/>
                      <w:lang w:val="en-US" w:eastAsia="zh-CN" w:bidi="ar-SA"/>
                    </w:rPr>
                  </w:pPr>
                  <w:r>
                    <w:rPr>
                      <w:rFonts w:hint="eastAsia" w:eastAsia="宋体"/>
                      <w:sz w:val="21"/>
                      <w:szCs w:val="21"/>
                      <w:lang w:val="en-US" w:eastAsia="zh-CN" w:bidi="ar-SA"/>
                    </w:rPr>
                    <w:t>铬</w:t>
                  </w:r>
                </w:p>
              </w:tc>
              <w:tc>
                <w:tcPr>
                  <w:tcW w:w="726" w:type="pct"/>
                  <w:shd w:val="clear" w:color="auto" w:fill="auto"/>
                  <w:vAlign w:val="center"/>
                </w:tcPr>
                <w:p w14:paraId="1964900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pacing w:val="-1"/>
                      <w:kern w:val="2"/>
                      <w:sz w:val="21"/>
                      <w:szCs w:val="21"/>
                      <w:lang w:val="en-US" w:eastAsia="zh-CN" w:bidi="ar-SA"/>
                    </w:rPr>
                  </w:pPr>
                  <w:r>
                    <w:rPr>
                      <w:rFonts w:eastAsia="宋体"/>
                      <w:spacing w:val="-1"/>
                      <w:kern w:val="2"/>
                      <w:sz w:val="21"/>
                      <w:szCs w:val="21"/>
                      <w:lang w:val="en-US" w:eastAsia="zh-CN"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79DFE23E">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w:t>
                  </w:r>
                </w:p>
              </w:tc>
              <w:tc>
                <w:tcPr>
                  <w:tcW w:w="874" w:type="pct"/>
                  <w:shd w:val="clear" w:color="auto" w:fill="auto"/>
                  <w:vAlign w:val="center"/>
                </w:tcPr>
                <w:p w14:paraId="7BBFD1AD">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62</w:t>
                  </w:r>
                </w:p>
              </w:tc>
              <w:tc>
                <w:tcPr>
                  <w:tcW w:w="1473" w:type="dxa"/>
                  <w:shd w:val="clear" w:color="auto" w:fill="auto"/>
                  <w:vAlign w:val="center"/>
                </w:tcPr>
                <w:p w14:paraId="75115746">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eastAsia="宋体"/>
                      <w:kern w:val="2"/>
                      <w:position w:val="-10"/>
                      <w:sz w:val="21"/>
                      <w:szCs w:val="21"/>
                      <w:lang w:val="en-US" w:eastAsia="zh-CN" w:bidi="ar-SA"/>
                    </w:rPr>
                  </w:pPr>
                  <w:r>
                    <w:rPr>
                      <w:rFonts w:hint="eastAsia" w:eastAsia="宋体"/>
                      <w:sz w:val="21"/>
                      <w:szCs w:val="21"/>
                      <w:lang w:val="en-US" w:eastAsia="zh-CN" w:bidi="ar"/>
                    </w:rPr>
                    <w:t>/</w:t>
                  </w:r>
                </w:p>
              </w:tc>
            </w:tr>
            <w:tr w14:paraId="5A2F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189CBF8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en-US" w:bidi="ar-SA"/>
                    </w:rPr>
                    <w:t>5</w:t>
                  </w:r>
                </w:p>
              </w:tc>
              <w:tc>
                <w:tcPr>
                  <w:tcW w:w="1184" w:type="pct"/>
                  <w:gridSpan w:val="2"/>
                  <w:shd w:val="clear" w:color="auto" w:fill="auto"/>
                  <w:vAlign w:val="center"/>
                </w:tcPr>
                <w:p w14:paraId="75E431D4">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镍</w:t>
                  </w:r>
                </w:p>
              </w:tc>
              <w:tc>
                <w:tcPr>
                  <w:tcW w:w="726" w:type="pct"/>
                  <w:shd w:val="clear" w:color="auto" w:fill="auto"/>
                  <w:vAlign w:val="center"/>
                </w:tcPr>
                <w:p w14:paraId="1305C6A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
                      <w:kern w:val="2"/>
                      <w:sz w:val="21"/>
                      <w:szCs w:val="21"/>
                      <w:lang w:val="en-US" w:eastAsia="zh-CN"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63D38997">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900</w:t>
                  </w:r>
                </w:p>
              </w:tc>
              <w:tc>
                <w:tcPr>
                  <w:tcW w:w="874" w:type="pct"/>
                  <w:shd w:val="clear" w:color="auto" w:fill="auto"/>
                  <w:vAlign w:val="center"/>
                </w:tcPr>
                <w:p w14:paraId="662CE4F2">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28</w:t>
                  </w:r>
                </w:p>
              </w:tc>
              <w:tc>
                <w:tcPr>
                  <w:tcW w:w="1473" w:type="dxa"/>
                  <w:shd w:val="clear" w:color="auto" w:fill="auto"/>
                  <w:vAlign w:val="center"/>
                </w:tcPr>
                <w:p w14:paraId="72D4C0F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eastAsia="宋体"/>
                      <w:kern w:val="2"/>
                      <w:position w:val="-10"/>
                      <w:sz w:val="21"/>
                      <w:szCs w:val="21"/>
                      <w:lang w:val="en-US" w:eastAsia="zh-CN" w:bidi="ar-SA"/>
                    </w:rPr>
                  </w:pPr>
                  <w:r>
                    <w:rPr>
                      <w:rFonts w:eastAsia="宋体"/>
                      <w:sz w:val="21"/>
                      <w:szCs w:val="21"/>
                      <w:lang w:val="en-US" w:eastAsia="zh-CN" w:bidi="ar"/>
                    </w:rPr>
                    <w:t xml:space="preserve">0.03 </w:t>
                  </w:r>
                </w:p>
              </w:tc>
            </w:tr>
            <w:tr w14:paraId="463D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5240E6A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en-US" w:bidi="ar-SA"/>
                    </w:rPr>
                    <w:t>6</w:t>
                  </w:r>
                </w:p>
              </w:tc>
              <w:tc>
                <w:tcPr>
                  <w:tcW w:w="1184" w:type="pct"/>
                  <w:gridSpan w:val="2"/>
                  <w:shd w:val="clear" w:color="auto" w:fill="auto"/>
                  <w:vAlign w:val="center"/>
                </w:tcPr>
                <w:p w14:paraId="332ABF3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汞</w:t>
                  </w:r>
                </w:p>
              </w:tc>
              <w:tc>
                <w:tcPr>
                  <w:tcW w:w="726" w:type="pct"/>
                  <w:shd w:val="clear" w:color="auto" w:fill="auto"/>
                  <w:vAlign w:val="center"/>
                </w:tcPr>
                <w:p w14:paraId="49BE2D9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
                      <w:kern w:val="2"/>
                      <w:sz w:val="21"/>
                      <w:szCs w:val="21"/>
                      <w:lang w:val="en-US" w:eastAsia="zh-CN"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4B597C9B">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38</w:t>
                  </w:r>
                </w:p>
              </w:tc>
              <w:tc>
                <w:tcPr>
                  <w:tcW w:w="874" w:type="pct"/>
                  <w:shd w:val="clear" w:color="auto" w:fill="auto"/>
                  <w:vAlign w:val="center"/>
                </w:tcPr>
                <w:p w14:paraId="3B7E5827">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0.0146</w:t>
                  </w:r>
                </w:p>
              </w:tc>
              <w:tc>
                <w:tcPr>
                  <w:tcW w:w="1473" w:type="dxa"/>
                  <w:shd w:val="clear" w:color="auto" w:fill="auto"/>
                  <w:vAlign w:val="center"/>
                </w:tcPr>
                <w:p w14:paraId="24A16B0C">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eastAsia="宋体"/>
                      <w:spacing w:val="-8"/>
                      <w:kern w:val="2"/>
                      <w:sz w:val="21"/>
                      <w:szCs w:val="21"/>
                      <w:lang w:val="en-US" w:eastAsia="zh-CN" w:bidi="ar-SA"/>
                    </w:rPr>
                  </w:pPr>
                  <w:r>
                    <w:rPr>
                      <w:rFonts w:eastAsia="宋体"/>
                      <w:sz w:val="21"/>
                      <w:szCs w:val="21"/>
                      <w:lang w:val="en-US" w:eastAsia="zh-CN" w:bidi="ar"/>
                    </w:rPr>
                    <w:t xml:space="preserve">0.0004 </w:t>
                  </w:r>
                </w:p>
              </w:tc>
            </w:tr>
            <w:tr w14:paraId="6D96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3920D8B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en-US" w:bidi="ar-SA"/>
                    </w:rPr>
                    <w:t>7</w:t>
                  </w:r>
                </w:p>
              </w:tc>
              <w:tc>
                <w:tcPr>
                  <w:tcW w:w="1184" w:type="pct"/>
                  <w:gridSpan w:val="2"/>
                  <w:shd w:val="clear" w:color="auto" w:fill="auto"/>
                  <w:vAlign w:val="center"/>
                </w:tcPr>
                <w:p w14:paraId="6435E26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砷</w:t>
                  </w:r>
                </w:p>
              </w:tc>
              <w:tc>
                <w:tcPr>
                  <w:tcW w:w="726" w:type="pct"/>
                  <w:shd w:val="clear" w:color="auto" w:fill="auto"/>
                  <w:vAlign w:val="center"/>
                </w:tcPr>
                <w:p w14:paraId="3BE326D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
                      <w:kern w:val="2"/>
                      <w:sz w:val="21"/>
                      <w:szCs w:val="21"/>
                      <w:lang w:val="en-US" w:eastAsia="zh-CN"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0574CF1B">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60</w:t>
                  </w:r>
                </w:p>
              </w:tc>
              <w:tc>
                <w:tcPr>
                  <w:tcW w:w="874" w:type="pct"/>
                  <w:shd w:val="clear" w:color="auto" w:fill="auto"/>
                  <w:vAlign w:val="center"/>
                </w:tcPr>
                <w:p w14:paraId="78D0112C">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13.3</w:t>
                  </w:r>
                </w:p>
              </w:tc>
              <w:tc>
                <w:tcPr>
                  <w:tcW w:w="1473" w:type="dxa"/>
                  <w:shd w:val="clear" w:color="auto" w:fill="auto"/>
                  <w:vAlign w:val="center"/>
                </w:tcPr>
                <w:p w14:paraId="0B0C7B8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eastAsia="宋体"/>
                      <w:spacing w:val="-3"/>
                      <w:kern w:val="2"/>
                      <w:sz w:val="21"/>
                      <w:szCs w:val="21"/>
                      <w:lang w:val="en-US" w:eastAsia="zh-CN" w:bidi="ar-SA"/>
                    </w:rPr>
                  </w:pPr>
                  <w:r>
                    <w:rPr>
                      <w:rFonts w:eastAsia="宋体"/>
                      <w:sz w:val="21"/>
                      <w:szCs w:val="21"/>
                      <w:lang w:val="en-US" w:eastAsia="zh-CN" w:bidi="ar"/>
                    </w:rPr>
                    <w:t xml:space="preserve">0.22 </w:t>
                  </w:r>
                </w:p>
              </w:tc>
            </w:tr>
            <w:tr w14:paraId="6F60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0F58B21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en-US" w:bidi="ar-SA"/>
                    </w:rPr>
                    <w:t>8</w:t>
                  </w:r>
                </w:p>
              </w:tc>
              <w:tc>
                <w:tcPr>
                  <w:tcW w:w="1184" w:type="pct"/>
                  <w:gridSpan w:val="2"/>
                  <w:shd w:val="clear" w:color="auto" w:fill="auto"/>
                  <w:vAlign w:val="center"/>
                </w:tcPr>
                <w:p w14:paraId="585C72B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苯并</w:t>
                  </w:r>
                  <w:r>
                    <w:rPr>
                      <w:rFonts w:eastAsia="宋体"/>
                      <w:sz w:val="21"/>
                      <w:szCs w:val="21"/>
                      <w:lang w:val="en-US" w:eastAsia="zh-CN" w:bidi="ar-SA"/>
                    </w:rPr>
                    <w:t>[α]</w:t>
                  </w:r>
                  <w:r>
                    <w:rPr>
                      <w:rFonts w:hint="eastAsia" w:eastAsia="宋体"/>
                      <w:sz w:val="21"/>
                      <w:szCs w:val="21"/>
                      <w:lang w:val="en-US" w:eastAsia="zh-CN" w:bidi="ar-SA"/>
                    </w:rPr>
                    <w:t>芘</w:t>
                  </w:r>
                </w:p>
              </w:tc>
              <w:tc>
                <w:tcPr>
                  <w:tcW w:w="726" w:type="pct"/>
                  <w:shd w:val="clear" w:color="auto" w:fill="auto"/>
                  <w:vAlign w:val="center"/>
                </w:tcPr>
                <w:p w14:paraId="3F6AE09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
                      <w:kern w:val="2"/>
                      <w:sz w:val="21"/>
                      <w:szCs w:val="21"/>
                      <w:lang w:val="en-US" w:eastAsia="zh-CN"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752454C9">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1.5</w:t>
                  </w:r>
                </w:p>
              </w:tc>
              <w:tc>
                <w:tcPr>
                  <w:tcW w:w="874" w:type="pct"/>
                  <w:shd w:val="clear" w:color="auto" w:fill="auto"/>
                  <w:vAlign w:val="center"/>
                </w:tcPr>
                <w:p w14:paraId="11DDC554">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ND</w:t>
                  </w:r>
                </w:p>
              </w:tc>
              <w:tc>
                <w:tcPr>
                  <w:tcW w:w="1473" w:type="dxa"/>
                  <w:shd w:val="clear" w:color="auto" w:fill="auto"/>
                  <w:vAlign w:val="center"/>
                </w:tcPr>
                <w:p w14:paraId="27CFB0F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eastAsia="宋体"/>
                      <w:spacing w:val="-2"/>
                      <w:kern w:val="2"/>
                      <w:sz w:val="21"/>
                      <w:szCs w:val="21"/>
                      <w:lang w:val="en-US" w:eastAsia="zh-CN" w:bidi="ar-SA"/>
                    </w:rPr>
                  </w:pPr>
                  <w:r>
                    <w:rPr>
                      <w:rFonts w:hint="eastAsia" w:eastAsia="宋体"/>
                      <w:sz w:val="21"/>
                      <w:szCs w:val="21"/>
                      <w:lang w:val="en-US" w:eastAsia="zh-CN" w:bidi="ar"/>
                    </w:rPr>
                    <w:t>/</w:t>
                  </w:r>
                </w:p>
              </w:tc>
            </w:tr>
            <w:tr w14:paraId="3F25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760392A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en-US" w:bidi="ar-SA"/>
                    </w:rPr>
                    <w:t>9</w:t>
                  </w:r>
                </w:p>
              </w:tc>
              <w:tc>
                <w:tcPr>
                  <w:tcW w:w="1184" w:type="pct"/>
                  <w:gridSpan w:val="2"/>
                  <w:shd w:val="clear" w:color="auto" w:fill="auto"/>
                  <w:vAlign w:val="center"/>
                </w:tcPr>
                <w:p w14:paraId="04E5C96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硫化物</w:t>
                  </w:r>
                </w:p>
              </w:tc>
              <w:tc>
                <w:tcPr>
                  <w:tcW w:w="726" w:type="pct"/>
                  <w:shd w:val="clear" w:color="auto" w:fill="auto"/>
                  <w:vAlign w:val="center"/>
                </w:tcPr>
                <w:p w14:paraId="002DD95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
                      <w:kern w:val="2"/>
                      <w:sz w:val="21"/>
                      <w:szCs w:val="21"/>
                      <w:lang w:val="en-US" w:eastAsia="zh-CN"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1F0896F9">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w:t>
                  </w:r>
                </w:p>
              </w:tc>
              <w:tc>
                <w:tcPr>
                  <w:tcW w:w="874" w:type="pct"/>
                  <w:shd w:val="clear" w:color="auto" w:fill="auto"/>
                  <w:vAlign w:val="center"/>
                </w:tcPr>
                <w:p w14:paraId="5A5F5936">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0.22</w:t>
                  </w:r>
                </w:p>
              </w:tc>
              <w:tc>
                <w:tcPr>
                  <w:tcW w:w="1473" w:type="dxa"/>
                  <w:shd w:val="clear" w:color="auto" w:fill="auto"/>
                  <w:vAlign w:val="center"/>
                </w:tcPr>
                <w:p w14:paraId="6535CD47">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eastAsia="宋体"/>
                      <w:spacing w:val="-3"/>
                      <w:kern w:val="2"/>
                      <w:sz w:val="21"/>
                      <w:szCs w:val="21"/>
                      <w:lang w:val="en-US" w:eastAsia="zh-CN" w:bidi="ar-SA"/>
                    </w:rPr>
                  </w:pPr>
                  <w:r>
                    <w:rPr>
                      <w:rFonts w:hint="eastAsia" w:eastAsia="宋体"/>
                      <w:sz w:val="21"/>
                      <w:szCs w:val="21"/>
                      <w:lang w:val="en-US" w:eastAsia="zh-CN" w:bidi="ar"/>
                    </w:rPr>
                    <w:t>/</w:t>
                  </w:r>
                </w:p>
              </w:tc>
            </w:tr>
            <w:tr w14:paraId="4501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2F216E8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2"/>
                      <w:kern w:val="2"/>
                      <w:sz w:val="21"/>
                      <w:szCs w:val="21"/>
                      <w:lang w:val="en-US" w:eastAsia="en-US" w:bidi="ar-SA"/>
                    </w:rPr>
                    <w:t>10</w:t>
                  </w:r>
                </w:p>
              </w:tc>
              <w:tc>
                <w:tcPr>
                  <w:tcW w:w="608" w:type="pct"/>
                  <w:vMerge w:val="restart"/>
                  <w:shd w:val="clear" w:color="auto" w:fill="auto"/>
                  <w:vAlign w:val="center"/>
                </w:tcPr>
                <w:p w14:paraId="768456A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烷基汞</w:t>
                  </w:r>
                </w:p>
              </w:tc>
              <w:tc>
                <w:tcPr>
                  <w:tcW w:w="576" w:type="pct"/>
                  <w:shd w:val="clear" w:color="auto" w:fill="auto"/>
                  <w:vAlign w:val="center"/>
                </w:tcPr>
                <w:p w14:paraId="7D825EF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sz w:val="21"/>
                      <w:szCs w:val="21"/>
                      <w:lang w:val="en-US" w:eastAsia="zh-CN" w:bidi="ar-SA"/>
                    </w:rPr>
                  </w:pPr>
                  <w:r>
                    <w:rPr>
                      <w:rFonts w:hint="eastAsia" w:eastAsia="宋体"/>
                      <w:sz w:val="21"/>
                      <w:szCs w:val="21"/>
                      <w:lang w:val="en-US" w:eastAsia="zh-CN" w:bidi="ar-SA"/>
                    </w:rPr>
                    <w:t>甲基汞</w:t>
                  </w:r>
                </w:p>
              </w:tc>
              <w:tc>
                <w:tcPr>
                  <w:tcW w:w="726" w:type="pct"/>
                  <w:shd w:val="clear" w:color="auto" w:fill="auto"/>
                  <w:vAlign w:val="center"/>
                </w:tcPr>
                <w:p w14:paraId="45C2A69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
                      <w:kern w:val="2"/>
                      <w:sz w:val="21"/>
                      <w:szCs w:val="21"/>
                      <w:lang w:val="en-US" w:eastAsia="zh-CN"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56083104">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45</w:t>
                  </w:r>
                </w:p>
              </w:tc>
              <w:tc>
                <w:tcPr>
                  <w:tcW w:w="874" w:type="pct"/>
                  <w:shd w:val="clear" w:color="auto" w:fill="auto"/>
                  <w:vAlign w:val="center"/>
                </w:tcPr>
                <w:p w14:paraId="2C0283C5">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ND</w:t>
                  </w:r>
                </w:p>
              </w:tc>
              <w:tc>
                <w:tcPr>
                  <w:tcW w:w="1473" w:type="dxa"/>
                  <w:shd w:val="clear" w:color="auto" w:fill="auto"/>
                  <w:vAlign w:val="center"/>
                </w:tcPr>
                <w:p w14:paraId="480A95B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eastAsia="宋体"/>
                      <w:kern w:val="2"/>
                      <w:position w:val="-10"/>
                      <w:sz w:val="21"/>
                      <w:szCs w:val="21"/>
                      <w:lang w:val="en-US" w:eastAsia="zh-CN" w:bidi="ar-SA"/>
                    </w:rPr>
                  </w:pPr>
                  <w:r>
                    <w:rPr>
                      <w:rFonts w:hint="eastAsia" w:eastAsia="宋体"/>
                      <w:sz w:val="21"/>
                      <w:szCs w:val="21"/>
                      <w:lang w:val="en-US" w:eastAsia="zh-CN" w:bidi="ar"/>
                    </w:rPr>
                    <w:t>/</w:t>
                  </w:r>
                </w:p>
              </w:tc>
            </w:tr>
            <w:tr w14:paraId="4CCD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shd w:val="clear" w:color="auto" w:fill="auto"/>
                  <w:vAlign w:val="center"/>
                </w:tcPr>
                <w:p w14:paraId="2F083D9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2"/>
                      <w:kern w:val="2"/>
                      <w:sz w:val="21"/>
                      <w:szCs w:val="21"/>
                      <w:lang w:val="en-US" w:eastAsia="en-US" w:bidi="ar-SA"/>
                    </w:rPr>
                    <w:t>11</w:t>
                  </w:r>
                </w:p>
              </w:tc>
              <w:tc>
                <w:tcPr>
                  <w:tcW w:w="608" w:type="pct"/>
                  <w:vMerge w:val="continue"/>
                  <w:shd w:val="clear" w:color="auto" w:fill="auto"/>
                  <w:vAlign w:val="center"/>
                </w:tcPr>
                <w:p w14:paraId="1AEBAE0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p>
              </w:tc>
              <w:tc>
                <w:tcPr>
                  <w:tcW w:w="576" w:type="pct"/>
                  <w:shd w:val="clear" w:color="auto" w:fill="auto"/>
                  <w:vAlign w:val="center"/>
                </w:tcPr>
                <w:p w14:paraId="7D4DC28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乙基汞</w:t>
                  </w:r>
                </w:p>
              </w:tc>
              <w:tc>
                <w:tcPr>
                  <w:tcW w:w="726" w:type="pct"/>
                  <w:shd w:val="clear" w:color="auto" w:fill="auto"/>
                  <w:vAlign w:val="center"/>
                </w:tcPr>
                <w:p w14:paraId="0142FA8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eastAsia="宋体"/>
                      <w:kern w:val="2"/>
                      <w:sz w:val="21"/>
                      <w:szCs w:val="21"/>
                      <w:lang w:val="en-US" w:eastAsia="zh-CN" w:bidi="ar-SA"/>
                    </w:rPr>
                  </w:pPr>
                  <w:r>
                    <w:rPr>
                      <w:rFonts w:eastAsia="宋体"/>
                      <w:spacing w:val="-1"/>
                      <w:kern w:val="2"/>
                      <w:sz w:val="21"/>
                      <w:szCs w:val="21"/>
                      <w:lang w:val="en-US" w:eastAsia="zh-CN" w:bidi="ar-SA"/>
                    </w:rPr>
                    <w:t>mg/</w:t>
                  </w:r>
                  <w:r>
                    <w:rPr>
                      <w:rFonts w:hint="eastAsia" w:eastAsia="宋体"/>
                      <w:spacing w:val="-1"/>
                      <w:kern w:val="2"/>
                      <w:sz w:val="21"/>
                      <w:szCs w:val="21"/>
                      <w:lang w:val="en-US" w:eastAsia="zh-CN" w:bidi="ar-SA"/>
                    </w:rPr>
                    <w:t>kg</w:t>
                  </w:r>
                </w:p>
              </w:tc>
              <w:tc>
                <w:tcPr>
                  <w:tcW w:w="875" w:type="pct"/>
                  <w:shd w:val="clear" w:color="auto" w:fill="auto"/>
                  <w:vAlign w:val="center"/>
                </w:tcPr>
                <w:p w14:paraId="1E26C936">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hint="eastAsia" w:eastAsia="宋体"/>
                      <w:kern w:val="2"/>
                      <w:sz w:val="21"/>
                      <w:szCs w:val="21"/>
                      <w:lang w:val="en-US" w:eastAsia="zh-CN" w:bidi="ar-SA"/>
                    </w:rPr>
                    <w:t>/</w:t>
                  </w:r>
                </w:p>
              </w:tc>
              <w:tc>
                <w:tcPr>
                  <w:tcW w:w="874" w:type="pct"/>
                  <w:shd w:val="clear" w:color="auto" w:fill="auto"/>
                  <w:vAlign w:val="center"/>
                </w:tcPr>
                <w:p w14:paraId="4C5A1496">
                  <w:pPr>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ND</w:t>
                  </w:r>
                </w:p>
              </w:tc>
              <w:tc>
                <w:tcPr>
                  <w:tcW w:w="1473" w:type="dxa"/>
                  <w:shd w:val="clear" w:color="auto" w:fill="auto"/>
                  <w:vAlign w:val="center"/>
                </w:tcPr>
                <w:p w14:paraId="545FE8A0">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eastAsia="宋体"/>
                      <w:spacing w:val="-2"/>
                      <w:kern w:val="2"/>
                      <w:sz w:val="21"/>
                      <w:szCs w:val="21"/>
                      <w:lang w:val="en-US" w:eastAsia="zh-CN" w:bidi="ar-SA"/>
                    </w:rPr>
                  </w:pPr>
                  <w:r>
                    <w:rPr>
                      <w:rFonts w:hint="eastAsia" w:eastAsia="宋体"/>
                      <w:sz w:val="21"/>
                      <w:szCs w:val="21"/>
                      <w:lang w:val="en-US" w:eastAsia="zh-CN" w:bidi="ar"/>
                    </w:rPr>
                    <w:t>/</w:t>
                  </w:r>
                </w:p>
              </w:tc>
            </w:tr>
          </w:tbl>
          <w:p w14:paraId="54978833">
            <w:pPr>
              <w:bidi w:val="0"/>
              <w:rPr>
                <w:rFonts w:eastAsia="宋体"/>
                <w:snapToGrid w:val="0"/>
                <w:lang w:val="en-US" w:eastAsia="zh-CN" w:bidi="ar-SA"/>
              </w:rPr>
            </w:pPr>
            <w:r>
              <w:rPr>
                <w:rFonts w:eastAsia="宋体"/>
                <w:kern w:val="2"/>
                <w:lang w:val="en-US" w:eastAsia="zh-CN" w:bidi="ar-SA"/>
              </w:rPr>
              <w:t>根据上表可以看出，项目区域附近</w:t>
            </w:r>
            <w:r>
              <w:rPr>
                <w:rFonts w:hint="eastAsia" w:eastAsia="宋体"/>
                <w:kern w:val="2"/>
                <w:lang w:val="en-US" w:eastAsia="zh-CN" w:bidi="ar-SA"/>
              </w:rPr>
              <w:t>土壤</w:t>
            </w:r>
            <w:r>
              <w:rPr>
                <w:rFonts w:eastAsia="宋体"/>
                <w:kern w:val="2"/>
                <w:lang w:val="en-US" w:eastAsia="zh-CN" w:bidi="ar-SA"/>
              </w:rPr>
              <w:t>各项现状监测因子单项标准指数均小于1，满足</w:t>
            </w:r>
            <w:r>
              <w:rPr>
                <w:rFonts w:eastAsia="宋体"/>
                <w:kern w:val="2"/>
                <w:szCs w:val="22"/>
                <w:lang w:val="en-US" w:eastAsia="zh-CN" w:bidi="ar-SA"/>
              </w:rPr>
              <w:t>《土壤环境质量 建设用地土壤污染风险管控标准》（GB 36600-2018）表1建设用地土壤污染风险筛选值和管制值（基本项目）中的筛选值第二类用地</w:t>
            </w:r>
            <w:r>
              <w:rPr>
                <w:rFonts w:eastAsia="宋体"/>
                <w:kern w:val="2"/>
                <w:lang w:val="en-US" w:eastAsia="zh-CN" w:bidi="ar-SA"/>
              </w:rPr>
              <w:t>标准要求。</w:t>
            </w:r>
          </w:p>
        </w:tc>
      </w:tr>
      <w:tr w14:paraId="32C61C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noWrap w:val="0"/>
            <w:vAlign w:val="center"/>
          </w:tcPr>
          <w:p w14:paraId="07A12B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snapToGrid w:val="0"/>
                <w:kern w:val="2"/>
                <w:lang w:val="en-US" w:eastAsia="zh-CN" w:bidi="ar-SA"/>
              </w:rPr>
            </w:pPr>
            <w:r>
              <w:rPr>
                <w:rFonts w:eastAsia="宋体"/>
                <w:snapToGrid w:val="0"/>
                <w:kern w:val="2"/>
                <w:lang w:val="en-US" w:eastAsia="zh-CN" w:bidi="ar-SA"/>
              </w:rPr>
              <w:t>环境</w:t>
            </w:r>
          </w:p>
          <w:p w14:paraId="3DA7ED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snapToGrid w:val="0"/>
                <w:kern w:val="2"/>
                <w:lang w:val="en-US" w:eastAsia="zh-CN" w:bidi="ar-SA"/>
              </w:rPr>
            </w:pPr>
            <w:r>
              <w:rPr>
                <w:rFonts w:eastAsia="宋体"/>
                <w:snapToGrid w:val="0"/>
                <w:kern w:val="2"/>
                <w:lang w:val="en-US" w:eastAsia="zh-CN" w:bidi="ar-SA"/>
              </w:rPr>
              <w:t>保护</w:t>
            </w:r>
          </w:p>
          <w:p w14:paraId="19B7D4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kern w:val="2"/>
                <w:lang w:val="en-US" w:eastAsia="zh-CN" w:bidi="ar-SA"/>
              </w:rPr>
            </w:pPr>
            <w:r>
              <w:rPr>
                <w:rFonts w:eastAsia="宋体"/>
                <w:snapToGrid w:val="0"/>
                <w:kern w:val="2"/>
                <w:lang w:val="en-US" w:eastAsia="zh-CN" w:bidi="ar-SA"/>
              </w:rPr>
              <w:t>目标</w:t>
            </w:r>
          </w:p>
        </w:tc>
        <w:tc>
          <w:tcPr>
            <w:tcW w:w="8287" w:type="dxa"/>
            <w:noWrap w:val="0"/>
            <w:vAlign w:val="center"/>
          </w:tcPr>
          <w:p w14:paraId="59C6ACA0">
            <w:pPr>
              <w:pStyle w:val="2"/>
              <w:bidi w:val="0"/>
              <w:rPr>
                <w:lang w:val="en-US" w:eastAsia="zh-CN"/>
              </w:rPr>
            </w:pPr>
            <w:r>
              <w:rPr>
                <w:lang w:val="en-US" w:eastAsia="zh-CN"/>
              </w:rPr>
              <w:t>1</w:t>
            </w:r>
            <w:r>
              <w:rPr>
                <w:rFonts w:hint="eastAsia"/>
                <w:lang w:val="en-US" w:eastAsia="zh-CN"/>
              </w:rPr>
              <w:t xml:space="preserve"> </w:t>
            </w:r>
            <w:r>
              <w:rPr>
                <w:lang w:val="en-US" w:eastAsia="zh-CN"/>
              </w:rPr>
              <w:t>大气环境</w:t>
            </w:r>
          </w:p>
          <w:p w14:paraId="63A66A26">
            <w:pPr>
              <w:bidi w:val="0"/>
              <w:rPr>
                <w:rFonts w:hint="default"/>
                <w:lang w:val="en-US" w:eastAsia="zh-CN"/>
              </w:rPr>
            </w:pPr>
            <w:r>
              <w:rPr>
                <w:rFonts w:hint="default"/>
                <w:lang w:val="en-US" w:eastAsia="zh-CN"/>
              </w:rPr>
              <w:t>根据《建设项目环境影响报告表编制技术指南（污染影响型）（试行）》指南要求，调查到本项目厂界外500m范围内无自然保护区、风景名胜区、居住区、文化区和农村地区中人群较集中的区域等保护目标。</w:t>
            </w:r>
          </w:p>
          <w:p w14:paraId="76CA1037">
            <w:pPr>
              <w:pStyle w:val="2"/>
              <w:bidi w:val="0"/>
              <w:rPr>
                <w:lang w:val="en-US" w:eastAsia="zh-CN"/>
              </w:rPr>
            </w:pPr>
            <w:r>
              <w:rPr>
                <w:lang w:val="en-US" w:eastAsia="zh-CN"/>
              </w:rPr>
              <w:t>2</w:t>
            </w:r>
            <w:r>
              <w:rPr>
                <w:rFonts w:hint="eastAsia"/>
                <w:lang w:val="en-US" w:eastAsia="zh-CN"/>
              </w:rPr>
              <w:t xml:space="preserve"> </w:t>
            </w:r>
            <w:r>
              <w:rPr>
                <w:lang w:val="en-US" w:eastAsia="zh-CN"/>
              </w:rPr>
              <w:t>声环境</w:t>
            </w:r>
          </w:p>
          <w:p w14:paraId="02E27CFB">
            <w:pPr>
              <w:bidi w:val="0"/>
              <w:rPr>
                <w:lang w:val="en-US" w:eastAsia="zh-CN"/>
              </w:rPr>
            </w:pPr>
            <w:r>
              <w:rPr>
                <w:lang w:val="en-US" w:eastAsia="zh-CN"/>
              </w:rPr>
              <w:t>根据《建设项目环境影响报告表编制技术指南（污染影响型）（试行）》指南要求，调查到本项目厂界外50m范围内无声环境保护目标。</w:t>
            </w:r>
          </w:p>
          <w:p w14:paraId="26D6F3EC">
            <w:pPr>
              <w:pStyle w:val="2"/>
              <w:bidi w:val="0"/>
              <w:rPr>
                <w:lang w:val="en-US" w:eastAsia="zh-CN"/>
              </w:rPr>
            </w:pPr>
            <w:r>
              <w:rPr>
                <w:lang w:val="en-US" w:eastAsia="zh-CN"/>
              </w:rPr>
              <w:t>3</w:t>
            </w:r>
            <w:r>
              <w:rPr>
                <w:rFonts w:hint="eastAsia"/>
                <w:lang w:val="en-US" w:eastAsia="zh-CN"/>
              </w:rPr>
              <w:t xml:space="preserve"> </w:t>
            </w:r>
            <w:r>
              <w:rPr>
                <w:lang w:val="en-US" w:eastAsia="zh-CN"/>
              </w:rPr>
              <w:t>地下水环境</w:t>
            </w:r>
          </w:p>
          <w:p w14:paraId="3166183A">
            <w:pPr>
              <w:bidi w:val="0"/>
              <w:rPr>
                <w:lang w:val="en-US" w:eastAsia="zh-CN"/>
              </w:rPr>
            </w:pPr>
            <w:r>
              <w:rPr>
                <w:rFonts w:hint="eastAsia"/>
                <w:lang w:val="en-US" w:eastAsia="zh-CN"/>
              </w:rPr>
              <w:t>本项目厂界外500m范围内无地下水集中式饮用水水源和热水、矿泉水、温泉等特殊地下水资源。</w:t>
            </w:r>
          </w:p>
          <w:p w14:paraId="5FAD3F80">
            <w:pPr>
              <w:pStyle w:val="2"/>
              <w:bidi w:val="0"/>
              <w:rPr>
                <w:lang w:val="en-US" w:eastAsia="zh-CN"/>
              </w:rPr>
            </w:pPr>
            <w:r>
              <w:rPr>
                <w:lang w:val="en-US" w:eastAsia="zh-CN"/>
              </w:rPr>
              <w:t>4</w:t>
            </w:r>
            <w:r>
              <w:rPr>
                <w:rFonts w:hint="eastAsia"/>
                <w:lang w:val="en-US" w:eastAsia="zh-CN"/>
              </w:rPr>
              <w:t xml:space="preserve"> </w:t>
            </w:r>
            <w:r>
              <w:rPr>
                <w:lang w:val="en-US" w:eastAsia="zh-CN"/>
              </w:rPr>
              <w:t>生态环境</w:t>
            </w:r>
          </w:p>
          <w:p w14:paraId="2426BEDD">
            <w:pPr>
              <w:bidi w:val="0"/>
              <w:rPr>
                <w:rFonts w:eastAsia="宋体"/>
                <w:snapToGrid w:val="0"/>
                <w:kern w:val="2"/>
                <w:lang w:val="en-US" w:eastAsia="zh-CN" w:bidi="ar-SA"/>
              </w:rPr>
            </w:pPr>
            <w:r>
              <w:rPr>
                <w:rFonts w:hint="eastAsia"/>
                <w:lang w:val="en-US" w:eastAsia="zh-CN"/>
              </w:rPr>
              <w:t>本</w:t>
            </w:r>
            <w:r>
              <w:rPr>
                <w:rFonts w:hint="default"/>
                <w:lang w:val="en-US" w:eastAsia="zh-CN"/>
              </w:rPr>
              <w:t>项目位于新疆</w:t>
            </w:r>
            <w:r>
              <w:rPr>
                <w:rFonts w:hint="eastAsia"/>
                <w:lang w:val="en-US" w:eastAsia="zh-CN"/>
              </w:rPr>
              <w:t>维吾尔自治区巴音郭楞蒙古自治州轮台县拉依苏化工区内</w:t>
            </w:r>
            <w:r>
              <w:rPr>
                <w:rFonts w:hint="default"/>
                <w:lang w:val="en-US" w:eastAsia="zh-CN"/>
              </w:rPr>
              <w:t>，用地范围内不含有生态环境保护目标</w:t>
            </w:r>
            <w:r>
              <w:rPr>
                <w:rFonts w:hint="eastAsia"/>
                <w:lang w:val="en-US" w:eastAsia="zh-CN"/>
              </w:rPr>
              <w:t>。</w:t>
            </w:r>
          </w:p>
        </w:tc>
      </w:tr>
      <w:tr w14:paraId="14B70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noWrap w:val="0"/>
            <w:vAlign w:val="center"/>
          </w:tcPr>
          <w:p w14:paraId="5B1783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kern w:val="2"/>
                <w:lang w:val="en-US" w:eastAsia="zh-CN" w:bidi="ar-SA"/>
              </w:rPr>
            </w:pPr>
            <w:r>
              <w:rPr>
                <w:rFonts w:eastAsia="宋体"/>
                <w:kern w:val="2"/>
                <w:lang w:val="en-US" w:eastAsia="zh-CN" w:bidi="ar-SA"/>
              </w:rPr>
              <w:t>污染</w:t>
            </w:r>
          </w:p>
          <w:p w14:paraId="3F6E01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kern w:val="2"/>
                <w:lang w:val="en-US" w:eastAsia="zh-CN" w:bidi="ar-SA"/>
              </w:rPr>
            </w:pPr>
            <w:r>
              <w:rPr>
                <w:rFonts w:eastAsia="宋体"/>
                <w:kern w:val="2"/>
                <w:lang w:val="en-US" w:eastAsia="zh-CN" w:bidi="ar-SA"/>
              </w:rPr>
              <w:t>物排</w:t>
            </w:r>
          </w:p>
          <w:p w14:paraId="31595E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kern w:val="2"/>
                <w:lang w:val="en-US" w:eastAsia="zh-CN" w:bidi="ar-SA"/>
              </w:rPr>
            </w:pPr>
            <w:r>
              <w:rPr>
                <w:rFonts w:hint="eastAsia"/>
                <w:kern w:val="2"/>
                <w:lang w:val="en-US" w:eastAsia="zh-CN" w:bidi="ar-SA"/>
              </w:rPr>
              <w:t>防控</w:t>
            </w:r>
          </w:p>
          <w:p w14:paraId="22B6BF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kern w:val="2"/>
                <w:lang w:val="en-US" w:eastAsia="zh-CN" w:bidi="ar-SA"/>
              </w:rPr>
            </w:pPr>
            <w:r>
              <w:rPr>
                <w:rFonts w:eastAsia="宋体"/>
                <w:kern w:val="2"/>
                <w:lang w:val="en-US" w:eastAsia="zh-CN" w:bidi="ar-SA"/>
              </w:rPr>
              <w:t>制标</w:t>
            </w:r>
          </w:p>
          <w:p w14:paraId="04A82C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kern w:val="2"/>
                <w:lang w:val="en-US" w:eastAsia="zh-CN" w:bidi="ar-SA"/>
              </w:rPr>
            </w:pPr>
            <w:r>
              <w:rPr>
                <w:rFonts w:eastAsia="宋体"/>
                <w:kern w:val="2"/>
                <w:lang w:val="en-US" w:eastAsia="zh-CN" w:bidi="ar-SA"/>
              </w:rPr>
              <w:t>准</w:t>
            </w:r>
          </w:p>
        </w:tc>
        <w:tc>
          <w:tcPr>
            <w:tcW w:w="8287" w:type="dxa"/>
            <w:noWrap w:val="0"/>
            <w:vAlign w:val="center"/>
          </w:tcPr>
          <w:p w14:paraId="1A72EE40">
            <w:pPr>
              <w:keepNext w:val="0"/>
              <w:keepLines w:val="0"/>
              <w:pageBreakBefore w:val="0"/>
              <w:widowControl w:val="0"/>
              <w:kinsoku/>
              <w:wordWrap/>
              <w:overflowPunct/>
              <w:topLinePunct w:val="0"/>
              <w:autoSpaceDE/>
              <w:autoSpaceDN/>
              <w:bidi w:val="0"/>
              <w:adjustRightInd w:val="0"/>
              <w:snapToGrid w:val="0"/>
              <w:spacing w:before="120" w:beforeLines="50" w:line="360" w:lineRule="auto"/>
              <w:ind w:left="0" w:leftChars="0" w:right="0" w:firstLine="482" w:firstLineChars="200"/>
              <w:jc w:val="both"/>
              <w:textAlignment w:val="baseline"/>
              <w:rPr>
                <w:rFonts w:eastAsia="宋体"/>
                <w:b/>
                <w:bCs/>
                <w:snapToGrid w:val="0"/>
                <w:kern w:val="2"/>
                <w:lang w:val="en-US" w:eastAsia="zh-CN" w:bidi="ar-SA"/>
              </w:rPr>
            </w:pPr>
            <w:r>
              <w:rPr>
                <w:rFonts w:hint="eastAsia" w:eastAsia="宋体"/>
                <w:b/>
                <w:bCs/>
                <w:snapToGrid w:val="0"/>
                <w:kern w:val="2"/>
                <w:lang w:val="en-US" w:eastAsia="zh-CN" w:bidi="ar-SA"/>
              </w:rPr>
              <w:t xml:space="preserve">1 </w:t>
            </w:r>
            <w:r>
              <w:rPr>
                <w:rFonts w:eastAsia="宋体"/>
                <w:b/>
                <w:bCs/>
                <w:snapToGrid w:val="0"/>
                <w:kern w:val="2"/>
                <w:lang w:val="en-US" w:eastAsia="zh-CN" w:bidi="ar-SA"/>
              </w:rPr>
              <w:t>废气排放标准</w:t>
            </w:r>
          </w:p>
          <w:p w14:paraId="3DC4B7C8">
            <w:pPr>
              <w:bidi w:val="0"/>
              <w:rPr>
                <w:lang w:val="en-US" w:eastAsia="zh-CN"/>
              </w:rPr>
            </w:pPr>
            <w:r>
              <w:rPr>
                <w:lang w:val="en-US" w:eastAsia="zh-CN"/>
              </w:rPr>
              <w:t>油气回收装置废气</w:t>
            </w:r>
            <w:r>
              <w:rPr>
                <w:rFonts w:hint="eastAsia"/>
                <w:lang w:val="en-US" w:eastAsia="zh-CN"/>
              </w:rPr>
              <w:t>和导热油炉废气</w:t>
            </w:r>
            <w:r>
              <w:rPr>
                <w:lang w:val="en-US" w:eastAsia="zh-CN"/>
              </w:rPr>
              <w:t>排放执行《石油化学工业污染物排放标准》（GB31571-2015）</w:t>
            </w:r>
            <w:r>
              <w:rPr>
                <w:rFonts w:hint="eastAsia"/>
                <w:lang w:val="en-US" w:eastAsia="zh-CN"/>
              </w:rPr>
              <w:t>（含2024年修改单）</w:t>
            </w:r>
            <w:r>
              <w:rPr>
                <w:lang w:val="en-US" w:eastAsia="zh-CN"/>
              </w:rPr>
              <w:t>表4中其他有机废气相关标准限值</w:t>
            </w:r>
            <w:r>
              <w:rPr>
                <w:rFonts w:hint="eastAsia"/>
                <w:lang w:val="en-US" w:eastAsia="zh-CN"/>
              </w:rPr>
              <w:t>和表6废气中有机特征污染物及排放限值</w:t>
            </w:r>
            <w:r>
              <w:rPr>
                <w:lang w:val="en-US" w:eastAsia="zh-CN"/>
              </w:rPr>
              <w:t>；项目厂界无组织</w:t>
            </w:r>
            <w:r>
              <w:rPr>
                <w:rFonts w:hint="eastAsia"/>
                <w:lang w:val="en-US" w:eastAsia="zh-CN"/>
              </w:rPr>
              <w:t>废气排放</w:t>
            </w:r>
            <w:r>
              <w:rPr>
                <w:lang w:val="en-US" w:eastAsia="zh-CN"/>
              </w:rPr>
              <w:t>参照执行《石油化学工业污染物排放标准》（GB31571-2015）</w:t>
            </w:r>
            <w:r>
              <w:rPr>
                <w:rFonts w:hint="eastAsia"/>
                <w:lang w:val="en-US" w:eastAsia="zh-CN"/>
              </w:rPr>
              <w:t>（含2024年修改单）</w:t>
            </w:r>
            <w:r>
              <w:rPr>
                <w:lang w:val="en-US" w:eastAsia="zh-CN"/>
              </w:rPr>
              <w:t>中表7相关标准限值</w:t>
            </w:r>
            <w:r>
              <w:rPr>
                <w:rFonts w:hint="eastAsia"/>
                <w:lang w:val="en-US" w:eastAsia="zh-CN"/>
              </w:rPr>
              <w:t>；</w:t>
            </w:r>
            <w:r>
              <w:rPr>
                <w:lang w:val="en-US" w:eastAsia="zh-CN"/>
              </w:rPr>
              <w:t>厂内非甲烷总烃排放浓度满足《挥发性有机物无组织排放控制标准》（GB37822-2019）中表A.1厂区内VOCs无组织排放限值中排放限值的要求。本项目废气排放标准详见表3-</w:t>
            </w:r>
            <w:r>
              <w:rPr>
                <w:rFonts w:hint="eastAsia"/>
                <w:lang w:val="en-US" w:eastAsia="zh-CN"/>
              </w:rPr>
              <w:t>5</w:t>
            </w:r>
            <w:r>
              <w:rPr>
                <w:lang w:val="en-US" w:eastAsia="zh-CN"/>
              </w:rPr>
              <w:t>。</w:t>
            </w:r>
          </w:p>
          <w:p w14:paraId="04A26B20">
            <w:pPr>
              <w:pStyle w:val="4"/>
              <w:bidi w:val="0"/>
              <w:rPr>
                <w:lang w:val="en-US" w:eastAsia="zh-CN"/>
              </w:rPr>
            </w:pPr>
            <w:r>
              <w:rPr>
                <w:lang w:val="en-US" w:eastAsia="zh-CN"/>
              </w:rPr>
              <w:t>表3-</w:t>
            </w:r>
            <w:r>
              <w:rPr>
                <w:rFonts w:hint="eastAsia"/>
                <w:lang w:val="en-US" w:eastAsia="zh-CN"/>
              </w:rPr>
              <w:t>5</w:t>
            </w:r>
            <w:r>
              <w:rPr>
                <w:lang w:val="en-US" w:eastAsia="zh-CN"/>
              </w:rPr>
              <w:t xml:space="preserve">  项目废气污染物排放标准限值一览表</w:t>
            </w:r>
          </w:p>
          <w:tbl>
            <w:tblPr>
              <w:tblStyle w:val="29"/>
              <w:tblW w:w="4998" w:type="pct"/>
              <w:tblInd w:w="1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1222"/>
              <w:gridCol w:w="1266"/>
              <w:gridCol w:w="1702"/>
              <w:gridCol w:w="3868"/>
            </w:tblGrid>
            <w:tr w14:paraId="2AABCD2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758" w:type="pct"/>
                  <w:vAlign w:val="center"/>
                </w:tcPr>
                <w:p w14:paraId="2DCF809A">
                  <w:pPr>
                    <w:pStyle w:val="5"/>
                    <w:bidi w:val="0"/>
                    <w:rPr>
                      <w:lang w:val="en-US" w:eastAsia="zh-CN"/>
                    </w:rPr>
                  </w:pPr>
                  <w:r>
                    <w:rPr>
                      <w:lang w:val="en-US" w:eastAsia="zh-CN"/>
                    </w:rPr>
                    <w:t>排放源</w:t>
                  </w:r>
                </w:p>
              </w:tc>
              <w:tc>
                <w:tcPr>
                  <w:tcW w:w="785" w:type="pct"/>
                  <w:vAlign w:val="center"/>
                </w:tcPr>
                <w:p w14:paraId="27F2B12C">
                  <w:pPr>
                    <w:pStyle w:val="5"/>
                    <w:bidi w:val="0"/>
                    <w:rPr>
                      <w:lang w:val="en-US" w:eastAsia="zh-CN"/>
                    </w:rPr>
                  </w:pPr>
                  <w:r>
                    <w:rPr>
                      <w:lang w:val="en-US" w:eastAsia="zh-CN"/>
                    </w:rPr>
                    <w:t>污染物</w:t>
                  </w:r>
                </w:p>
              </w:tc>
              <w:tc>
                <w:tcPr>
                  <w:tcW w:w="1056" w:type="pct"/>
                  <w:vAlign w:val="center"/>
                </w:tcPr>
                <w:p w14:paraId="204089FE">
                  <w:pPr>
                    <w:pStyle w:val="5"/>
                    <w:bidi w:val="0"/>
                    <w:rPr>
                      <w:lang w:val="en-US" w:eastAsia="zh-CN"/>
                    </w:rPr>
                  </w:pPr>
                  <w:r>
                    <w:rPr>
                      <w:lang w:val="en-US" w:eastAsia="zh-CN"/>
                    </w:rPr>
                    <w:t>允许排放浓度（mg/m</w:t>
                  </w:r>
                  <w:r>
                    <w:rPr>
                      <w:vertAlign w:val="superscript"/>
                      <w:lang w:val="en-US" w:eastAsia="zh-CN"/>
                    </w:rPr>
                    <w:t>3</w:t>
                  </w:r>
                  <w:r>
                    <w:rPr>
                      <w:lang w:val="en-US" w:eastAsia="zh-CN"/>
                    </w:rPr>
                    <w:t>）</w:t>
                  </w:r>
                </w:p>
              </w:tc>
              <w:tc>
                <w:tcPr>
                  <w:tcW w:w="2400" w:type="pct"/>
                  <w:vAlign w:val="center"/>
                </w:tcPr>
                <w:p w14:paraId="49D6606E">
                  <w:pPr>
                    <w:pStyle w:val="5"/>
                    <w:bidi w:val="0"/>
                    <w:rPr>
                      <w:lang w:val="en-US" w:eastAsia="zh-CN"/>
                    </w:rPr>
                  </w:pPr>
                  <w:r>
                    <w:rPr>
                      <w:lang w:val="en-US" w:eastAsia="zh-CN"/>
                    </w:rPr>
                    <w:t>标准</w:t>
                  </w:r>
                </w:p>
              </w:tc>
            </w:tr>
            <w:tr w14:paraId="03CB138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758" w:type="pct"/>
                  <w:vMerge w:val="restart"/>
                  <w:vAlign w:val="center"/>
                </w:tcPr>
                <w:p w14:paraId="7D595C94">
                  <w:pPr>
                    <w:pStyle w:val="5"/>
                    <w:bidi w:val="0"/>
                    <w:rPr>
                      <w:rFonts w:hint="default"/>
                      <w:lang w:val="en-US" w:eastAsia="zh-CN"/>
                    </w:rPr>
                  </w:pPr>
                  <w:r>
                    <w:rPr>
                      <w:rFonts w:hint="eastAsia"/>
                      <w:lang w:val="en-US" w:eastAsia="zh-CN"/>
                    </w:rPr>
                    <w:t>有组织废气</w:t>
                  </w:r>
                </w:p>
              </w:tc>
              <w:tc>
                <w:tcPr>
                  <w:tcW w:w="785" w:type="pct"/>
                  <w:vAlign w:val="center"/>
                </w:tcPr>
                <w:p w14:paraId="08D29475">
                  <w:pPr>
                    <w:pStyle w:val="5"/>
                    <w:bidi w:val="0"/>
                    <w:rPr>
                      <w:rFonts w:hint="default"/>
                      <w:lang w:val="en-US" w:eastAsia="zh-CN"/>
                    </w:rPr>
                  </w:pPr>
                  <w:r>
                    <w:rPr>
                      <w:rFonts w:hint="eastAsia"/>
                      <w:lang w:val="en-US" w:eastAsia="zh-CN"/>
                    </w:rPr>
                    <w:t>非甲烷总烃</w:t>
                  </w:r>
                  <w:r>
                    <w:rPr>
                      <w:rFonts w:hint="eastAsia"/>
                      <w:vertAlign w:val="superscript"/>
                      <w:lang w:val="en-US" w:eastAsia="zh-CN"/>
                    </w:rPr>
                    <w:t>e</w:t>
                  </w:r>
                </w:p>
              </w:tc>
              <w:tc>
                <w:tcPr>
                  <w:tcW w:w="1056" w:type="pct"/>
                  <w:tcBorders>
                    <w:top w:val="single" w:color="auto" w:sz="4" w:space="0"/>
                  </w:tcBorders>
                  <w:vAlign w:val="center"/>
                </w:tcPr>
                <w:p w14:paraId="25217904">
                  <w:pPr>
                    <w:pStyle w:val="5"/>
                    <w:bidi w:val="0"/>
                    <w:rPr>
                      <w:lang w:val="en-US" w:eastAsia="zh-CN"/>
                    </w:rPr>
                  </w:pPr>
                  <w:r>
                    <w:rPr>
                      <w:lang w:val="en-US" w:eastAsia="zh-CN"/>
                    </w:rPr>
                    <w:t>去除效率</w:t>
                  </w:r>
                </w:p>
                <w:p w14:paraId="72ED1B07">
                  <w:pPr>
                    <w:pStyle w:val="5"/>
                    <w:bidi w:val="0"/>
                    <w:rPr>
                      <w:lang w:val="en-US" w:eastAsia="zh-CN"/>
                    </w:rPr>
                  </w:pPr>
                  <w:r>
                    <w:rPr>
                      <w:lang w:val="en-US" w:eastAsia="zh-CN"/>
                    </w:rPr>
                    <w:t>≥95%</w:t>
                  </w:r>
                </w:p>
              </w:tc>
              <w:tc>
                <w:tcPr>
                  <w:tcW w:w="2400" w:type="pct"/>
                  <w:tcBorders>
                    <w:top w:val="single" w:color="auto" w:sz="4" w:space="0"/>
                    <w:bottom w:val="single" w:color="auto" w:sz="4" w:space="0"/>
                  </w:tcBorders>
                  <w:vAlign w:val="center"/>
                </w:tcPr>
                <w:p w14:paraId="0111E6B7">
                  <w:pPr>
                    <w:pStyle w:val="5"/>
                    <w:keepNext/>
                    <w:keepLines/>
                    <w:pageBreakBefore w:val="0"/>
                    <w:widowControl/>
                    <w:kinsoku/>
                    <w:wordWrap w:val="0"/>
                    <w:overflowPunct/>
                    <w:topLinePunct w:val="0"/>
                    <w:autoSpaceDE/>
                    <w:autoSpaceDN/>
                    <w:bidi w:val="0"/>
                    <w:adjustRightInd/>
                    <w:snapToGrid/>
                    <w:textAlignment w:val="auto"/>
                    <w:rPr>
                      <w:lang w:val="en-US" w:eastAsia="zh-CN"/>
                    </w:rPr>
                  </w:pPr>
                  <w:r>
                    <w:rPr>
                      <w:lang w:val="en-US" w:eastAsia="zh-CN"/>
                    </w:rPr>
                    <w:t>《石油化学工业污染物排放标准》（GB31571-2015）（含2024年修改单）中表4</w:t>
                  </w:r>
                </w:p>
              </w:tc>
            </w:tr>
            <w:tr w14:paraId="3DA8A47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758" w:type="pct"/>
                  <w:vMerge w:val="continue"/>
                  <w:vAlign w:val="center"/>
                </w:tcPr>
                <w:p w14:paraId="4491AEE8">
                  <w:pPr>
                    <w:pStyle w:val="5"/>
                    <w:bidi w:val="0"/>
                    <w:rPr>
                      <w:rFonts w:hint="eastAsia"/>
                      <w:lang w:val="en-US" w:eastAsia="zh-CN"/>
                    </w:rPr>
                  </w:pPr>
                </w:p>
              </w:tc>
              <w:tc>
                <w:tcPr>
                  <w:tcW w:w="785" w:type="pct"/>
                  <w:vAlign w:val="center"/>
                </w:tcPr>
                <w:p w14:paraId="1FB5F114">
                  <w:pPr>
                    <w:pStyle w:val="5"/>
                    <w:bidi w:val="0"/>
                    <w:rPr>
                      <w:rFonts w:hint="default"/>
                      <w:lang w:val="en-US" w:eastAsia="zh-CN"/>
                    </w:rPr>
                  </w:pPr>
                  <w:r>
                    <w:rPr>
                      <w:rFonts w:hint="eastAsia"/>
                      <w:lang w:val="en-US" w:eastAsia="zh-CN"/>
                    </w:rPr>
                    <w:t>正己烷</w:t>
                  </w:r>
                </w:p>
              </w:tc>
              <w:tc>
                <w:tcPr>
                  <w:tcW w:w="1056" w:type="pct"/>
                  <w:tcBorders>
                    <w:top w:val="single" w:color="auto" w:sz="4" w:space="0"/>
                  </w:tcBorders>
                  <w:vAlign w:val="center"/>
                </w:tcPr>
                <w:p w14:paraId="00B6923B">
                  <w:pPr>
                    <w:pStyle w:val="5"/>
                    <w:bidi w:val="0"/>
                    <w:rPr>
                      <w:rFonts w:hint="default"/>
                      <w:lang w:val="en-US" w:eastAsia="zh-CN"/>
                    </w:rPr>
                  </w:pPr>
                  <w:r>
                    <w:rPr>
                      <w:rFonts w:hint="eastAsia"/>
                      <w:lang w:val="en-US" w:eastAsia="zh-CN"/>
                    </w:rPr>
                    <w:t>100</w:t>
                  </w:r>
                </w:p>
              </w:tc>
              <w:tc>
                <w:tcPr>
                  <w:tcW w:w="2400" w:type="pct"/>
                  <w:vMerge w:val="restart"/>
                  <w:tcBorders>
                    <w:top w:val="single" w:color="auto" w:sz="4" w:space="0"/>
                  </w:tcBorders>
                  <w:vAlign w:val="center"/>
                </w:tcPr>
                <w:p w14:paraId="135EF3B7">
                  <w:pPr>
                    <w:pStyle w:val="5"/>
                    <w:keepNext/>
                    <w:keepLines/>
                    <w:pageBreakBefore w:val="0"/>
                    <w:widowControl/>
                    <w:kinsoku/>
                    <w:wordWrap w:val="0"/>
                    <w:overflowPunct/>
                    <w:topLinePunct w:val="0"/>
                    <w:autoSpaceDE/>
                    <w:autoSpaceDN/>
                    <w:bidi w:val="0"/>
                    <w:adjustRightInd/>
                    <w:snapToGrid/>
                    <w:textAlignment w:val="auto"/>
                    <w:rPr>
                      <w:lang w:val="en-US" w:eastAsia="zh-CN"/>
                    </w:rPr>
                  </w:pPr>
                  <w:r>
                    <w:rPr>
                      <w:lang w:val="en-US" w:eastAsia="zh-CN"/>
                    </w:rPr>
                    <w:t>《石油化学工业污染物排放标准》（GB31571-2015）（含2024年修改单）中表6</w:t>
                  </w:r>
                </w:p>
              </w:tc>
            </w:tr>
            <w:tr w14:paraId="63BD1FC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8" w:type="pct"/>
                  <w:vMerge w:val="continue"/>
                  <w:vAlign w:val="center"/>
                </w:tcPr>
                <w:p w14:paraId="5863D0B8">
                  <w:pPr>
                    <w:pStyle w:val="5"/>
                    <w:bidi w:val="0"/>
                    <w:rPr>
                      <w:lang w:val="en-US" w:eastAsia="zh-CN"/>
                    </w:rPr>
                  </w:pPr>
                </w:p>
              </w:tc>
              <w:tc>
                <w:tcPr>
                  <w:tcW w:w="785" w:type="pct"/>
                  <w:vAlign w:val="center"/>
                </w:tcPr>
                <w:p w14:paraId="3BA39DA0">
                  <w:pPr>
                    <w:pStyle w:val="5"/>
                    <w:bidi w:val="0"/>
                    <w:rPr>
                      <w:lang w:val="en-US" w:eastAsia="zh-CN"/>
                    </w:rPr>
                  </w:pPr>
                  <w:r>
                    <w:rPr>
                      <w:lang w:val="en-US" w:eastAsia="zh-CN"/>
                    </w:rPr>
                    <w:t>苯</w:t>
                  </w:r>
                </w:p>
              </w:tc>
              <w:tc>
                <w:tcPr>
                  <w:tcW w:w="1056" w:type="pct"/>
                  <w:tcBorders>
                    <w:right w:val="single" w:color="auto" w:sz="4" w:space="0"/>
                  </w:tcBorders>
                  <w:vAlign w:val="center"/>
                </w:tcPr>
                <w:p w14:paraId="28127FE4">
                  <w:pPr>
                    <w:pStyle w:val="5"/>
                    <w:bidi w:val="0"/>
                    <w:rPr>
                      <w:lang w:val="en-US" w:eastAsia="zh-CN"/>
                    </w:rPr>
                  </w:pPr>
                  <w:r>
                    <w:rPr>
                      <w:lang w:val="en-US" w:eastAsia="zh-CN"/>
                    </w:rPr>
                    <w:t>4</w:t>
                  </w:r>
                </w:p>
              </w:tc>
              <w:tc>
                <w:tcPr>
                  <w:tcW w:w="2400" w:type="pct"/>
                  <w:vMerge w:val="continue"/>
                  <w:tcBorders>
                    <w:bottom w:val="single" w:color="auto" w:sz="4" w:space="0"/>
                  </w:tcBorders>
                  <w:vAlign w:val="center"/>
                </w:tcPr>
                <w:p w14:paraId="3F392C95">
                  <w:pPr>
                    <w:pStyle w:val="5"/>
                    <w:keepNext/>
                    <w:keepLines/>
                    <w:pageBreakBefore w:val="0"/>
                    <w:widowControl/>
                    <w:kinsoku/>
                    <w:wordWrap w:val="0"/>
                    <w:overflowPunct/>
                    <w:topLinePunct w:val="0"/>
                    <w:autoSpaceDE/>
                    <w:autoSpaceDN/>
                    <w:bidi w:val="0"/>
                    <w:adjustRightInd/>
                    <w:snapToGrid/>
                    <w:textAlignment w:val="auto"/>
                    <w:rPr>
                      <w:lang w:val="en-US" w:eastAsia="zh-CN"/>
                    </w:rPr>
                  </w:pPr>
                </w:p>
              </w:tc>
            </w:tr>
            <w:tr w14:paraId="39134FF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8" w:type="pct"/>
                  <w:vMerge w:val="continue"/>
                  <w:vAlign w:val="center"/>
                </w:tcPr>
                <w:p w14:paraId="6504D87F">
                  <w:pPr>
                    <w:pStyle w:val="5"/>
                    <w:bidi w:val="0"/>
                    <w:rPr>
                      <w:rFonts w:hint="default"/>
                      <w:lang w:val="en-US" w:eastAsia="zh-CN"/>
                    </w:rPr>
                  </w:pPr>
                </w:p>
              </w:tc>
              <w:tc>
                <w:tcPr>
                  <w:tcW w:w="785" w:type="pct"/>
                  <w:vAlign w:val="center"/>
                </w:tcPr>
                <w:p w14:paraId="1F8321E4">
                  <w:pPr>
                    <w:pStyle w:val="5"/>
                    <w:bidi w:val="0"/>
                    <w:rPr>
                      <w:lang w:val="en-US" w:eastAsia="zh-CN"/>
                    </w:rPr>
                  </w:pPr>
                  <w:r>
                    <w:rPr>
                      <w:lang w:val="en-US" w:eastAsia="zh-CN"/>
                    </w:rPr>
                    <w:t>甲苯</w:t>
                  </w:r>
                </w:p>
              </w:tc>
              <w:tc>
                <w:tcPr>
                  <w:tcW w:w="1056" w:type="pct"/>
                  <w:vAlign w:val="center"/>
                </w:tcPr>
                <w:p w14:paraId="2BFD18D8">
                  <w:pPr>
                    <w:pStyle w:val="5"/>
                    <w:bidi w:val="0"/>
                    <w:rPr>
                      <w:lang w:val="en-US" w:eastAsia="zh-CN"/>
                    </w:rPr>
                  </w:pPr>
                  <w:r>
                    <w:rPr>
                      <w:lang w:val="en-US" w:eastAsia="zh-CN"/>
                    </w:rPr>
                    <w:t>15</w:t>
                  </w:r>
                </w:p>
              </w:tc>
              <w:tc>
                <w:tcPr>
                  <w:tcW w:w="2400" w:type="pct"/>
                  <w:tcBorders>
                    <w:top w:val="single" w:color="auto" w:sz="4" w:space="0"/>
                  </w:tcBorders>
                  <w:vAlign w:val="center"/>
                </w:tcPr>
                <w:p w14:paraId="74AA1CB8">
                  <w:pPr>
                    <w:pStyle w:val="5"/>
                    <w:keepNext/>
                    <w:keepLines/>
                    <w:pageBreakBefore w:val="0"/>
                    <w:widowControl/>
                    <w:kinsoku/>
                    <w:wordWrap w:val="0"/>
                    <w:overflowPunct/>
                    <w:topLinePunct w:val="0"/>
                    <w:autoSpaceDE/>
                    <w:autoSpaceDN/>
                    <w:bidi w:val="0"/>
                    <w:adjustRightInd/>
                    <w:snapToGrid/>
                    <w:textAlignment w:val="auto"/>
                    <w:rPr>
                      <w:lang w:val="en-US" w:eastAsia="zh-CN"/>
                    </w:rPr>
                  </w:pPr>
                  <w:r>
                    <w:rPr>
                      <w:lang w:val="en-US" w:eastAsia="zh-CN"/>
                    </w:rPr>
                    <w:t>《石油化学工业污染物排放标准》（GB31571-2015）（含2024年修改单）中表6</w:t>
                  </w:r>
                </w:p>
              </w:tc>
            </w:tr>
            <w:tr w14:paraId="7E72D2B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758" w:type="pct"/>
                  <w:vMerge w:val="restart"/>
                  <w:vAlign w:val="center"/>
                </w:tcPr>
                <w:p w14:paraId="391E2BCF">
                  <w:pPr>
                    <w:pStyle w:val="5"/>
                    <w:bidi w:val="0"/>
                    <w:rPr>
                      <w:lang w:val="en-US" w:eastAsia="zh-CN"/>
                    </w:rPr>
                  </w:pPr>
                  <w:r>
                    <w:rPr>
                      <w:lang w:val="en-US" w:eastAsia="zh-CN"/>
                    </w:rPr>
                    <w:t>厂界</w:t>
                  </w:r>
                </w:p>
              </w:tc>
              <w:tc>
                <w:tcPr>
                  <w:tcW w:w="785" w:type="pct"/>
                  <w:vAlign w:val="center"/>
                </w:tcPr>
                <w:p w14:paraId="743819CA">
                  <w:pPr>
                    <w:pStyle w:val="5"/>
                    <w:bidi w:val="0"/>
                    <w:rPr>
                      <w:lang w:val="en-US" w:eastAsia="zh-CN"/>
                    </w:rPr>
                  </w:pPr>
                  <w:r>
                    <w:rPr>
                      <w:lang w:val="en-US" w:eastAsia="zh-CN"/>
                    </w:rPr>
                    <w:t>非甲烷总烃</w:t>
                  </w:r>
                </w:p>
              </w:tc>
              <w:tc>
                <w:tcPr>
                  <w:tcW w:w="1056" w:type="pct"/>
                  <w:vAlign w:val="center"/>
                </w:tcPr>
                <w:p w14:paraId="7AAF7A7F">
                  <w:pPr>
                    <w:pStyle w:val="5"/>
                    <w:bidi w:val="0"/>
                    <w:rPr>
                      <w:lang w:val="en-US" w:eastAsia="zh-CN"/>
                    </w:rPr>
                  </w:pPr>
                  <w:r>
                    <w:rPr>
                      <w:lang w:val="en-US" w:eastAsia="zh-CN"/>
                    </w:rPr>
                    <w:t>4.0</w:t>
                  </w:r>
                </w:p>
              </w:tc>
              <w:tc>
                <w:tcPr>
                  <w:tcW w:w="2400" w:type="pct"/>
                  <w:vMerge w:val="restart"/>
                  <w:vAlign w:val="center"/>
                </w:tcPr>
                <w:p w14:paraId="65BD7FB3">
                  <w:pPr>
                    <w:pStyle w:val="5"/>
                    <w:keepNext/>
                    <w:keepLines/>
                    <w:pageBreakBefore w:val="0"/>
                    <w:widowControl/>
                    <w:kinsoku/>
                    <w:wordWrap w:val="0"/>
                    <w:overflowPunct/>
                    <w:topLinePunct w:val="0"/>
                    <w:autoSpaceDE/>
                    <w:autoSpaceDN/>
                    <w:bidi w:val="0"/>
                    <w:adjustRightInd/>
                    <w:snapToGrid/>
                    <w:textAlignment w:val="auto"/>
                    <w:rPr>
                      <w:lang w:val="en-US" w:eastAsia="zh-CN"/>
                    </w:rPr>
                  </w:pPr>
                  <w:r>
                    <w:rPr>
                      <w:lang w:val="en-US" w:eastAsia="zh-CN"/>
                    </w:rPr>
                    <w:t>《石油化学工业污染物排放标准》（GB31571-2015）（含2024年修改单）中表7</w:t>
                  </w:r>
                </w:p>
              </w:tc>
            </w:tr>
            <w:tr w14:paraId="7AC38AF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758" w:type="pct"/>
                  <w:vMerge w:val="continue"/>
                  <w:vAlign w:val="center"/>
                </w:tcPr>
                <w:p w14:paraId="33E1D914">
                  <w:pPr>
                    <w:pStyle w:val="5"/>
                    <w:bidi w:val="0"/>
                    <w:rPr>
                      <w:lang w:val="en-US" w:eastAsia="zh-CN"/>
                    </w:rPr>
                  </w:pPr>
                </w:p>
              </w:tc>
              <w:tc>
                <w:tcPr>
                  <w:tcW w:w="785" w:type="pct"/>
                  <w:shd w:val="clear" w:color="auto" w:fill="auto"/>
                  <w:vAlign w:val="center"/>
                </w:tcPr>
                <w:p w14:paraId="729A2C3B">
                  <w:pPr>
                    <w:pStyle w:val="5"/>
                    <w:bidi w:val="0"/>
                    <w:rPr>
                      <w:lang w:val="en-US" w:eastAsia="en-US"/>
                    </w:rPr>
                  </w:pPr>
                  <w:r>
                    <w:rPr>
                      <w:lang w:val="en-US" w:eastAsia="zh-CN"/>
                    </w:rPr>
                    <w:t>苯</w:t>
                  </w:r>
                </w:p>
              </w:tc>
              <w:tc>
                <w:tcPr>
                  <w:tcW w:w="1056" w:type="pct"/>
                  <w:shd w:val="clear" w:color="auto" w:fill="auto"/>
                  <w:vAlign w:val="center"/>
                </w:tcPr>
                <w:p w14:paraId="5A14E44E">
                  <w:pPr>
                    <w:pStyle w:val="5"/>
                    <w:bidi w:val="0"/>
                    <w:rPr>
                      <w:lang w:val="en-US" w:eastAsia="en-US"/>
                    </w:rPr>
                  </w:pPr>
                  <w:r>
                    <w:rPr>
                      <w:lang w:val="en-US" w:eastAsia="zh-CN"/>
                    </w:rPr>
                    <w:t>0.4</w:t>
                  </w:r>
                </w:p>
              </w:tc>
              <w:tc>
                <w:tcPr>
                  <w:tcW w:w="2400" w:type="pct"/>
                  <w:vMerge w:val="continue"/>
                  <w:vAlign w:val="center"/>
                </w:tcPr>
                <w:p w14:paraId="3FA76188">
                  <w:pPr>
                    <w:pStyle w:val="5"/>
                    <w:bidi w:val="0"/>
                    <w:rPr>
                      <w:lang w:val="en-US" w:eastAsia="zh-CN"/>
                    </w:rPr>
                  </w:pPr>
                </w:p>
              </w:tc>
            </w:tr>
            <w:tr w14:paraId="069EC4D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8" w:type="pct"/>
                  <w:vMerge w:val="continue"/>
                  <w:vAlign w:val="center"/>
                </w:tcPr>
                <w:p w14:paraId="73F51610">
                  <w:pPr>
                    <w:pStyle w:val="5"/>
                    <w:bidi w:val="0"/>
                    <w:rPr>
                      <w:lang w:val="en-US" w:eastAsia="zh-CN"/>
                    </w:rPr>
                  </w:pPr>
                </w:p>
              </w:tc>
              <w:tc>
                <w:tcPr>
                  <w:tcW w:w="785" w:type="pct"/>
                  <w:shd w:val="clear" w:color="auto" w:fill="auto"/>
                  <w:vAlign w:val="center"/>
                </w:tcPr>
                <w:p w14:paraId="1BB73E35">
                  <w:pPr>
                    <w:pStyle w:val="5"/>
                    <w:bidi w:val="0"/>
                    <w:rPr>
                      <w:lang w:val="en-US" w:eastAsia="en-US"/>
                    </w:rPr>
                  </w:pPr>
                  <w:r>
                    <w:rPr>
                      <w:lang w:val="en-US" w:eastAsia="zh-CN"/>
                    </w:rPr>
                    <w:t>甲苯</w:t>
                  </w:r>
                </w:p>
              </w:tc>
              <w:tc>
                <w:tcPr>
                  <w:tcW w:w="1056" w:type="pct"/>
                  <w:shd w:val="clear" w:color="auto" w:fill="auto"/>
                  <w:vAlign w:val="center"/>
                </w:tcPr>
                <w:p w14:paraId="15A09A3D">
                  <w:pPr>
                    <w:pStyle w:val="5"/>
                    <w:bidi w:val="0"/>
                    <w:rPr>
                      <w:lang w:val="en-US" w:eastAsia="en-US"/>
                    </w:rPr>
                  </w:pPr>
                  <w:r>
                    <w:rPr>
                      <w:lang w:val="en-US" w:eastAsia="zh-CN"/>
                    </w:rPr>
                    <w:t>0.8</w:t>
                  </w:r>
                </w:p>
              </w:tc>
              <w:tc>
                <w:tcPr>
                  <w:tcW w:w="2400" w:type="pct"/>
                  <w:vMerge w:val="continue"/>
                  <w:vAlign w:val="center"/>
                </w:tcPr>
                <w:p w14:paraId="48857C1B">
                  <w:pPr>
                    <w:pStyle w:val="5"/>
                    <w:bidi w:val="0"/>
                    <w:rPr>
                      <w:lang w:val="en-US" w:eastAsia="zh-CN"/>
                    </w:rPr>
                  </w:pPr>
                </w:p>
              </w:tc>
            </w:tr>
            <w:tr w14:paraId="2AE513C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8" w:type="pct"/>
                  <w:vMerge w:val="restart"/>
                  <w:vAlign w:val="center"/>
                </w:tcPr>
                <w:p w14:paraId="12F6DE8A">
                  <w:pPr>
                    <w:pStyle w:val="5"/>
                    <w:bidi w:val="0"/>
                    <w:rPr>
                      <w:rFonts w:hint="default"/>
                      <w:lang w:val="en-US" w:eastAsia="zh-CN"/>
                    </w:rPr>
                  </w:pPr>
                  <w:r>
                    <w:rPr>
                      <w:rFonts w:hint="eastAsia"/>
                      <w:lang w:val="en-US" w:eastAsia="zh-CN"/>
                    </w:rPr>
                    <w:t>厂界内</w:t>
                  </w:r>
                </w:p>
              </w:tc>
              <w:tc>
                <w:tcPr>
                  <w:tcW w:w="785" w:type="pct"/>
                  <w:vMerge w:val="restart"/>
                  <w:shd w:val="clear" w:color="auto" w:fill="auto"/>
                  <w:vAlign w:val="center"/>
                </w:tcPr>
                <w:p w14:paraId="59CA1744">
                  <w:pPr>
                    <w:pStyle w:val="5"/>
                    <w:bidi w:val="0"/>
                    <w:rPr>
                      <w:lang w:val="en-US" w:eastAsia="zh-CN"/>
                    </w:rPr>
                  </w:pPr>
                  <w:r>
                    <w:rPr>
                      <w:lang w:val="en-US" w:eastAsia="zh-CN"/>
                    </w:rPr>
                    <w:t>NMHC</w:t>
                  </w:r>
                </w:p>
              </w:tc>
              <w:tc>
                <w:tcPr>
                  <w:tcW w:w="1056" w:type="pct"/>
                  <w:shd w:val="clear" w:color="auto" w:fill="auto"/>
                  <w:vAlign w:val="center"/>
                </w:tcPr>
                <w:p w14:paraId="22944F16">
                  <w:pPr>
                    <w:pStyle w:val="5"/>
                    <w:bidi w:val="0"/>
                    <w:rPr>
                      <w:highlight w:val="none"/>
                      <w:lang w:val="en-US" w:eastAsia="zh-CN"/>
                    </w:rPr>
                  </w:pPr>
                  <w:r>
                    <w:rPr>
                      <w:highlight w:val="none"/>
                      <w:lang w:val="en-US" w:eastAsia="zh-CN"/>
                    </w:rPr>
                    <w:t>10</w:t>
                  </w:r>
                  <w:r>
                    <w:rPr>
                      <w:rFonts w:hint="eastAsia"/>
                      <w:highlight w:val="none"/>
                      <w:lang w:val="en-US" w:eastAsia="zh-CN"/>
                    </w:rPr>
                    <w:t>（</w:t>
                  </w:r>
                  <w:r>
                    <w:rPr>
                      <w:highlight w:val="none"/>
                      <w:lang w:val="en-US" w:eastAsia="zh-CN"/>
                    </w:rPr>
                    <w:t>监控点处1h平均浓度值</w:t>
                  </w:r>
                  <w:r>
                    <w:rPr>
                      <w:rFonts w:hint="eastAsia"/>
                      <w:highlight w:val="none"/>
                      <w:lang w:val="en-US" w:eastAsia="zh-CN"/>
                    </w:rPr>
                    <w:t>）</w:t>
                  </w:r>
                </w:p>
              </w:tc>
              <w:tc>
                <w:tcPr>
                  <w:tcW w:w="2400" w:type="pct"/>
                  <w:vMerge w:val="restart"/>
                  <w:vAlign w:val="center"/>
                </w:tcPr>
                <w:p w14:paraId="2D62283E">
                  <w:pPr>
                    <w:pStyle w:val="5"/>
                    <w:bidi w:val="0"/>
                    <w:rPr>
                      <w:lang w:val="en-US" w:eastAsia="zh-CN"/>
                    </w:rPr>
                  </w:pPr>
                  <w:r>
                    <w:rPr>
                      <w:lang w:val="en-US" w:eastAsia="zh-CN"/>
                    </w:rPr>
                    <w:t>《挥发性有机物无组织排放控制标准》（GB37822-2019）</w:t>
                  </w:r>
                </w:p>
              </w:tc>
            </w:tr>
            <w:tr w14:paraId="2926D35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8" w:type="pct"/>
                  <w:vMerge w:val="continue"/>
                  <w:vAlign w:val="center"/>
                </w:tcPr>
                <w:p w14:paraId="2A3B795C">
                  <w:pPr>
                    <w:pStyle w:val="5"/>
                    <w:bidi w:val="0"/>
                    <w:rPr>
                      <w:rFonts w:hint="eastAsia"/>
                      <w:lang w:val="en-US" w:eastAsia="zh-CN"/>
                    </w:rPr>
                  </w:pPr>
                </w:p>
              </w:tc>
              <w:tc>
                <w:tcPr>
                  <w:tcW w:w="785" w:type="pct"/>
                  <w:vMerge w:val="continue"/>
                  <w:shd w:val="clear" w:color="auto" w:fill="auto"/>
                  <w:vAlign w:val="center"/>
                </w:tcPr>
                <w:p w14:paraId="73D6D53B">
                  <w:pPr>
                    <w:pStyle w:val="5"/>
                    <w:bidi w:val="0"/>
                    <w:rPr>
                      <w:lang w:val="en-US" w:eastAsia="zh-CN"/>
                    </w:rPr>
                  </w:pPr>
                </w:p>
              </w:tc>
              <w:tc>
                <w:tcPr>
                  <w:tcW w:w="1056" w:type="pct"/>
                  <w:shd w:val="clear" w:color="auto" w:fill="auto"/>
                  <w:vAlign w:val="center"/>
                </w:tcPr>
                <w:p w14:paraId="38DE7FAC">
                  <w:pPr>
                    <w:pStyle w:val="5"/>
                    <w:bidi w:val="0"/>
                    <w:rPr>
                      <w:highlight w:val="none"/>
                      <w:lang w:val="en-US" w:eastAsia="en-US"/>
                    </w:rPr>
                  </w:pPr>
                  <w:r>
                    <w:rPr>
                      <w:highlight w:val="none"/>
                      <w:lang w:val="en-US" w:eastAsia="zh-CN"/>
                    </w:rPr>
                    <w:t>30</w:t>
                  </w:r>
                  <w:r>
                    <w:rPr>
                      <w:rFonts w:hint="eastAsia"/>
                      <w:highlight w:val="none"/>
                      <w:lang w:val="en-US" w:eastAsia="zh-CN"/>
                    </w:rPr>
                    <w:t>（</w:t>
                  </w:r>
                  <w:r>
                    <w:rPr>
                      <w:highlight w:val="none"/>
                      <w:lang w:val="en-US" w:eastAsia="zh-CN"/>
                    </w:rPr>
                    <w:t>监控点处任意一次浓度值</w:t>
                  </w:r>
                  <w:r>
                    <w:rPr>
                      <w:rFonts w:hint="eastAsia"/>
                      <w:highlight w:val="none"/>
                      <w:lang w:val="en-US" w:eastAsia="zh-CN"/>
                    </w:rPr>
                    <w:t>）</w:t>
                  </w:r>
                </w:p>
              </w:tc>
              <w:tc>
                <w:tcPr>
                  <w:tcW w:w="2400" w:type="pct"/>
                  <w:vMerge w:val="continue"/>
                  <w:vAlign w:val="center"/>
                </w:tcPr>
                <w:p w14:paraId="399BC3D5">
                  <w:pPr>
                    <w:pStyle w:val="5"/>
                    <w:bidi w:val="0"/>
                    <w:rPr>
                      <w:lang w:val="en-US" w:eastAsia="zh-CN"/>
                    </w:rPr>
                  </w:pPr>
                </w:p>
              </w:tc>
            </w:tr>
            <w:tr w14:paraId="0EC53E0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000" w:type="pct"/>
                  <w:gridSpan w:val="4"/>
                  <w:vAlign w:val="center"/>
                </w:tcPr>
                <w:p w14:paraId="0FCDE56A">
                  <w:pPr>
                    <w:pStyle w:val="5"/>
                    <w:bidi w:val="0"/>
                    <w:rPr>
                      <w:lang w:val="en-US" w:eastAsia="zh-CN"/>
                    </w:rPr>
                  </w:pPr>
                  <w:r>
                    <w:rPr>
                      <w:lang w:val="en-US" w:eastAsia="zh-CN"/>
                    </w:rPr>
                    <w:t>e. 利用锅炉、工业炉窑、固废焚烧炉处理有机废气的，若有机废气引入火焰区进行处理，则等同于满足去除效率要求。</w:t>
                  </w:r>
                </w:p>
              </w:tc>
            </w:tr>
          </w:tbl>
          <w:p w14:paraId="7A3CBCCA">
            <w:pPr>
              <w:pStyle w:val="2"/>
              <w:bidi w:val="0"/>
              <w:rPr>
                <w:lang w:val="en-US" w:eastAsia="zh-CN"/>
              </w:rPr>
            </w:pPr>
            <w:r>
              <w:rPr>
                <w:rFonts w:hint="eastAsia"/>
                <w:lang w:val="en-US" w:eastAsia="zh-CN"/>
              </w:rPr>
              <w:t xml:space="preserve">2 </w:t>
            </w:r>
            <w:r>
              <w:rPr>
                <w:lang w:val="en-US" w:eastAsia="zh-CN"/>
              </w:rPr>
              <w:t>废水排放标准</w:t>
            </w:r>
          </w:p>
          <w:p w14:paraId="39B3D8C4">
            <w:pPr>
              <w:bidi w:val="0"/>
              <w:rPr>
                <w:lang w:val="en-US" w:eastAsia="zh-CN"/>
              </w:rPr>
            </w:pPr>
            <w:r>
              <w:rPr>
                <w:rFonts w:hint="eastAsia"/>
                <w:lang w:val="en-US" w:eastAsia="zh-CN"/>
              </w:rPr>
              <w:t>本项目不新增废水。</w:t>
            </w:r>
          </w:p>
          <w:p w14:paraId="25A90752">
            <w:pPr>
              <w:widowControl/>
              <w:spacing w:line="520" w:lineRule="exact"/>
              <w:rPr>
                <w:b/>
                <w:color w:val="auto"/>
                <w:kern w:val="0"/>
                <w:sz w:val="24"/>
                <w:highlight w:val="none"/>
              </w:rPr>
            </w:pPr>
            <w:r>
              <w:rPr>
                <w:rFonts w:hint="eastAsia"/>
                <w:b/>
                <w:color w:val="auto"/>
                <w:kern w:val="0"/>
                <w:sz w:val="24"/>
                <w:highlight w:val="none"/>
                <w:lang w:val="en-US" w:eastAsia="zh-CN"/>
              </w:rPr>
              <w:t xml:space="preserve">3 </w:t>
            </w:r>
            <w:r>
              <w:rPr>
                <w:b/>
                <w:color w:val="auto"/>
                <w:kern w:val="0"/>
                <w:sz w:val="24"/>
                <w:highlight w:val="none"/>
              </w:rPr>
              <w:t>噪声</w:t>
            </w:r>
          </w:p>
          <w:p w14:paraId="523C0ECC">
            <w:pPr>
              <w:bidi w:val="0"/>
              <w:rPr>
                <w:color w:val="auto"/>
                <w:sz w:val="24"/>
                <w:highlight w:val="none"/>
              </w:rPr>
            </w:pPr>
            <w:r>
              <w:rPr>
                <w:color w:val="auto"/>
                <w:sz w:val="24"/>
                <w:highlight w:val="none"/>
              </w:rPr>
              <w:t>项目施工期噪声执行</w:t>
            </w:r>
            <w:r>
              <w:rPr>
                <w:rFonts w:hint="default"/>
                <w:color w:val="auto"/>
                <w:sz w:val="24"/>
                <w:highlight w:val="none"/>
                <w:lang w:val="en-US" w:eastAsia="zh-CN"/>
              </w:rPr>
              <w:t>《建筑施工噪声排放标准》（GB12523-2025）。</w:t>
            </w:r>
          </w:p>
          <w:p w14:paraId="03674D7E">
            <w:pPr>
              <w:adjustRightInd w:val="0"/>
              <w:snapToGrid w:val="0"/>
              <w:spacing w:line="520" w:lineRule="exact"/>
              <w:ind w:firstLine="482" w:firstLineChars="200"/>
              <w:jc w:val="center"/>
              <w:rPr>
                <w:rFonts w:hint="eastAsia"/>
                <w:b/>
                <w:color w:val="auto"/>
                <w:sz w:val="24"/>
                <w:highlight w:val="none"/>
              </w:rPr>
            </w:pPr>
            <w:r>
              <w:rPr>
                <w:b/>
                <w:color w:val="auto"/>
                <w:sz w:val="24"/>
                <w:highlight w:val="none"/>
              </w:rPr>
              <w:t>表3-</w:t>
            </w:r>
            <w:r>
              <w:rPr>
                <w:rFonts w:hint="eastAsia"/>
                <w:b/>
                <w:color w:val="auto"/>
                <w:sz w:val="24"/>
                <w:highlight w:val="none"/>
                <w:lang w:val="en-US" w:eastAsia="zh-CN"/>
              </w:rPr>
              <w:t>6</w:t>
            </w:r>
            <w:r>
              <w:rPr>
                <w:b/>
                <w:color w:val="auto"/>
                <w:sz w:val="24"/>
                <w:highlight w:val="none"/>
              </w:rPr>
              <w:t xml:space="preserve">    </w:t>
            </w:r>
            <w:r>
              <w:rPr>
                <w:rFonts w:hint="default"/>
                <w:b/>
                <w:color w:val="auto"/>
                <w:sz w:val="24"/>
                <w:highlight w:val="none"/>
                <w:lang w:val="en-US" w:eastAsia="zh-CN"/>
              </w:rPr>
              <w:t>建筑施工噪声排放标准</w:t>
            </w:r>
            <w:r>
              <w:rPr>
                <w:b/>
                <w:color w:val="auto"/>
                <w:sz w:val="24"/>
                <w:highlight w:val="none"/>
              </w:rPr>
              <w:t xml:space="preserve">     单位：dB</w:t>
            </w:r>
            <w:r>
              <w:rPr>
                <w:rFonts w:hint="eastAsia"/>
                <w:b/>
                <w:color w:val="auto"/>
                <w:sz w:val="24"/>
                <w:highlight w:val="none"/>
              </w:rPr>
              <w:t>（</w:t>
            </w:r>
            <w:r>
              <w:rPr>
                <w:b/>
                <w:color w:val="auto"/>
                <w:sz w:val="24"/>
                <w:highlight w:val="none"/>
              </w:rPr>
              <w:t>A</w:t>
            </w:r>
            <w:r>
              <w:rPr>
                <w:rFonts w:hint="eastAsia"/>
                <w:b/>
                <w:color w:val="auto"/>
                <w:sz w:val="24"/>
                <w:highlight w:val="none"/>
              </w:rPr>
              <w:t>）</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866"/>
              <w:gridCol w:w="1512"/>
              <w:gridCol w:w="4505"/>
            </w:tblGrid>
            <w:tr w14:paraId="2D5B5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729" w:type="pct"/>
                  <w:noWrap w:val="0"/>
                  <w:vAlign w:val="center"/>
                </w:tcPr>
                <w:p w14:paraId="6722DD32">
                  <w:pPr>
                    <w:pStyle w:val="5"/>
                    <w:bidi w:val="0"/>
                  </w:pPr>
                  <w:r>
                    <w:t>执行点位</w:t>
                  </w:r>
                </w:p>
              </w:tc>
              <w:tc>
                <w:tcPr>
                  <w:tcW w:w="537" w:type="pct"/>
                  <w:noWrap w:val="0"/>
                  <w:vAlign w:val="center"/>
                </w:tcPr>
                <w:p w14:paraId="6BD0842B">
                  <w:pPr>
                    <w:pStyle w:val="5"/>
                    <w:bidi w:val="0"/>
                  </w:pPr>
                  <w:r>
                    <w:t>昼间</w:t>
                  </w:r>
                </w:p>
              </w:tc>
              <w:tc>
                <w:tcPr>
                  <w:tcW w:w="938" w:type="pct"/>
                  <w:noWrap w:val="0"/>
                  <w:vAlign w:val="center"/>
                </w:tcPr>
                <w:p w14:paraId="2DDF4BB2">
                  <w:pPr>
                    <w:pStyle w:val="5"/>
                    <w:bidi w:val="0"/>
                  </w:pPr>
                  <w:r>
                    <w:t>夜间</w:t>
                  </w:r>
                </w:p>
              </w:tc>
              <w:tc>
                <w:tcPr>
                  <w:tcW w:w="2795" w:type="pct"/>
                  <w:noWrap w:val="0"/>
                  <w:vAlign w:val="center"/>
                </w:tcPr>
                <w:p w14:paraId="2F7A2EAA">
                  <w:pPr>
                    <w:pStyle w:val="5"/>
                    <w:bidi w:val="0"/>
                  </w:pPr>
                  <w:r>
                    <w:t>标准</w:t>
                  </w:r>
                </w:p>
              </w:tc>
            </w:tr>
            <w:tr w14:paraId="0E40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9" w:type="pct"/>
                  <w:noWrap w:val="0"/>
                  <w:vAlign w:val="center"/>
                </w:tcPr>
                <w:p w14:paraId="3BC9C581">
                  <w:pPr>
                    <w:pStyle w:val="5"/>
                    <w:bidi w:val="0"/>
                  </w:pPr>
                  <w:r>
                    <w:t>厂界</w:t>
                  </w:r>
                  <w:r>
                    <w:rPr>
                      <w:rFonts w:hint="eastAsia"/>
                    </w:rPr>
                    <w:t>四周</w:t>
                  </w:r>
                </w:p>
              </w:tc>
              <w:tc>
                <w:tcPr>
                  <w:tcW w:w="537" w:type="pct"/>
                  <w:noWrap w:val="0"/>
                  <w:vAlign w:val="center"/>
                </w:tcPr>
                <w:p w14:paraId="65A63C8C">
                  <w:pPr>
                    <w:pStyle w:val="5"/>
                    <w:bidi w:val="0"/>
                  </w:pPr>
                  <w:r>
                    <w:rPr>
                      <w:rFonts w:hint="eastAsia"/>
                    </w:rPr>
                    <w:t>70</w:t>
                  </w:r>
                </w:p>
              </w:tc>
              <w:tc>
                <w:tcPr>
                  <w:tcW w:w="938" w:type="pct"/>
                  <w:noWrap w:val="0"/>
                  <w:vAlign w:val="center"/>
                </w:tcPr>
                <w:p w14:paraId="4DD4029D">
                  <w:pPr>
                    <w:pStyle w:val="5"/>
                    <w:bidi w:val="0"/>
                  </w:pPr>
                  <w:r>
                    <w:rPr>
                      <w:rFonts w:hint="eastAsia"/>
                    </w:rPr>
                    <w:t>55</w:t>
                  </w:r>
                </w:p>
              </w:tc>
              <w:tc>
                <w:tcPr>
                  <w:tcW w:w="2795" w:type="pct"/>
                  <w:noWrap w:val="0"/>
                  <w:vAlign w:val="center"/>
                </w:tcPr>
                <w:p w14:paraId="15D77849">
                  <w:pPr>
                    <w:pStyle w:val="5"/>
                    <w:bidi w:val="0"/>
                  </w:pPr>
                  <w:r>
                    <w:rPr>
                      <w:rFonts w:hint="eastAsia"/>
                    </w:rPr>
                    <w:t>《建筑施工噪声排放标准》（GB12523-2025）</w:t>
                  </w:r>
                </w:p>
              </w:tc>
            </w:tr>
          </w:tbl>
          <w:p w14:paraId="74E0267D">
            <w:pPr>
              <w:bidi w:val="0"/>
            </w:pPr>
            <w:r>
              <w:t>运营期项目区厂界噪声执行《工业企业厂界环境噪声排放标准》（GB12348-2008）中</w:t>
            </w:r>
            <w:r>
              <w:rPr>
                <w:rFonts w:hint="eastAsia"/>
                <w:lang w:val="en-US" w:eastAsia="zh-CN"/>
              </w:rPr>
              <w:t>3</w:t>
            </w:r>
            <w:r>
              <w:t>类标准。</w:t>
            </w:r>
          </w:p>
          <w:p w14:paraId="4E146A49">
            <w:pPr>
              <w:pStyle w:val="4"/>
              <w:bidi w:val="0"/>
            </w:pPr>
            <w:r>
              <w:t>表3-</w:t>
            </w:r>
            <w:r>
              <w:rPr>
                <w:rFonts w:hint="eastAsia"/>
                <w:lang w:val="en-US" w:eastAsia="zh-CN"/>
              </w:rPr>
              <w:t>7</w:t>
            </w:r>
            <w:r>
              <w:t xml:space="preserve">  工业企业厂界环境噪声排放标准</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1155"/>
              <w:gridCol w:w="915"/>
              <w:gridCol w:w="763"/>
              <w:gridCol w:w="4065"/>
            </w:tblGrid>
            <w:tr w14:paraId="6958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9" w:type="pct"/>
                  <w:noWrap w:val="0"/>
                  <w:vAlign w:val="center"/>
                </w:tcPr>
                <w:p w14:paraId="25D6497B">
                  <w:pPr>
                    <w:pStyle w:val="5"/>
                    <w:bidi w:val="0"/>
                  </w:pPr>
                  <w:r>
                    <w:t>执行点位</w:t>
                  </w:r>
                </w:p>
              </w:tc>
              <w:tc>
                <w:tcPr>
                  <w:tcW w:w="716" w:type="pct"/>
                  <w:noWrap w:val="0"/>
                  <w:vAlign w:val="center"/>
                </w:tcPr>
                <w:p w14:paraId="11B4696A">
                  <w:pPr>
                    <w:pStyle w:val="5"/>
                    <w:bidi w:val="0"/>
                  </w:pPr>
                  <w:r>
                    <w:t>标准限值</w:t>
                  </w:r>
                </w:p>
              </w:tc>
              <w:tc>
                <w:tcPr>
                  <w:tcW w:w="568" w:type="pct"/>
                  <w:noWrap w:val="0"/>
                  <w:vAlign w:val="center"/>
                </w:tcPr>
                <w:p w14:paraId="7AC3B957">
                  <w:pPr>
                    <w:pStyle w:val="5"/>
                    <w:bidi w:val="0"/>
                  </w:pPr>
                  <w:r>
                    <w:t>昼间</w:t>
                  </w:r>
                </w:p>
              </w:tc>
              <w:tc>
                <w:tcPr>
                  <w:tcW w:w="473" w:type="pct"/>
                  <w:noWrap w:val="0"/>
                  <w:vAlign w:val="center"/>
                </w:tcPr>
                <w:p w14:paraId="697547AC">
                  <w:pPr>
                    <w:pStyle w:val="5"/>
                    <w:bidi w:val="0"/>
                  </w:pPr>
                  <w:r>
                    <w:t>夜间</w:t>
                  </w:r>
                </w:p>
              </w:tc>
              <w:tc>
                <w:tcPr>
                  <w:tcW w:w="2521" w:type="pct"/>
                  <w:noWrap w:val="0"/>
                  <w:vAlign w:val="center"/>
                </w:tcPr>
                <w:p w14:paraId="58C03A92">
                  <w:pPr>
                    <w:pStyle w:val="5"/>
                    <w:bidi w:val="0"/>
                  </w:pPr>
                  <w:r>
                    <w:t>标准</w:t>
                  </w:r>
                </w:p>
              </w:tc>
            </w:tr>
            <w:tr w14:paraId="1FFD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9" w:type="pct"/>
                  <w:noWrap w:val="0"/>
                  <w:vAlign w:val="center"/>
                </w:tcPr>
                <w:p w14:paraId="3C1318C7">
                  <w:pPr>
                    <w:pStyle w:val="5"/>
                    <w:bidi w:val="0"/>
                  </w:pPr>
                  <w:r>
                    <w:t>厂界</w:t>
                  </w:r>
                  <w:r>
                    <w:rPr>
                      <w:rFonts w:hint="eastAsia"/>
                    </w:rPr>
                    <w:t>四周</w:t>
                  </w:r>
                </w:p>
              </w:tc>
              <w:tc>
                <w:tcPr>
                  <w:tcW w:w="716" w:type="pct"/>
                  <w:noWrap w:val="0"/>
                  <w:vAlign w:val="center"/>
                </w:tcPr>
                <w:p w14:paraId="4F246428">
                  <w:pPr>
                    <w:pStyle w:val="5"/>
                    <w:bidi w:val="0"/>
                  </w:pPr>
                  <w:r>
                    <w:rPr>
                      <w:rFonts w:hint="eastAsia"/>
                      <w:lang w:val="en-US" w:eastAsia="zh-CN"/>
                    </w:rPr>
                    <w:t>3</w:t>
                  </w:r>
                  <w:r>
                    <w:t>类</w:t>
                  </w:r>
                </w:p>
              </w:tc>
              <w:tc>
                <w:tcPr>
                  <w:tcW w:w="568" w:type="pct"/>
                  <w:noWrap w:val="0"/>
                  <w:vAlign w:val="center"/>
                </w:tcPr>
                <w:p w14:paraId="35BA45C5">
                  <w:pPr>
                    <w:pStyle w:val="5"/>
                    <w:bidi w:val="0"/>
                    <w:rPr>
                      <w:rFonts w:hint="eastAsia" w:eastAsia="宋体"/>
                      <w:lang w:eastAsia="zh-CN"/>
                    </w:rPr>
                  </w:pPr>
                  <w:r>
                    <w:rPr>
                      <w:rFonts w:hint="eastAsia"/>
                    </w:rPr>
                    <w:t>6</w:t>
                  </w:r>
                  <w:r>
                    <w:rPr>
                      <w:rFonts w:hint="eastAsia"/>
                      <w:lang w:val="en-US" w:eastAsia="zh-CN"/>
                    </w:rPr>
                    <w:t>5</w:t>
                  </w:r>
                </w:p>
              </w:tc>
              <w:tc>
                <w:tcPr>
                  <w:tcW w:w="473" w:type="pct"/>
                  <w:noWrap w:val="0"/>
                  <w:vAlign w:val="center"/>
                </w:tcPr>
                <w:p w14:paraId="3AAC8247">
                  <w:pPr>
                    <w:pStyle w:val="5"/>
                    <w:bidi w:val="0"/>
                    <w:rPr>
                      <w:rFonts w:hint="eastAsia" w:eastAsia="宋体"/>
                      <w:lang w:eastAsia="zh-CN"/>
                    </w:rPr>
                  </w:pPr>
                  <w:r>
                    <w:rPr>
                      <w:rFonts w:hint="eastAsia"/>
                    </w:rPr>
                    <w:t>5</w:t>
                  </w:r>
                  <w:r>
                    <w:rPr>
                      <w:rFonts w:hint="eastAsia"/>
                      <w:lang w:val="en-US" w:eastAsia="zh-CN"/>
                    </w:rPr>
                    <w:t>5</w:t>
                  </w:r>
                </w:p>
              </w:tc>
              <w:tc>
                <w:tcPr>
                  <w:tcW w:w="2521" w:type="pct"/>
                  <w:noWrap w:val="0"/>
                  <w:vAlign w:val="center"/>
                </w:tcPr>
                <w:p w14:paraId="3A4D248C">
                  <w:pPr>
                    <w:pStyle w:val="5"/>
                    <w:keepNext/>
                    <w:keepLines/>
                    <w:pageBreakBefore w:val="0"/>
                    <w:widowControl w:val="0"/>
                    <w:kinsoku/>
                    <w:wordWrap w:val="0"/>
                    <w:overflowPunct/>
                    <w:topLinePunct w:val="0"/>
                    <w:autoSpaceDE/>
                    <w:autoSpaceDN/>
                    <w:bidi w:val="0"/>
                    <w:adjustRightInd/>
                    <w:snapToGrid/>
                    <w:textAlignment w:val="auto"/>
                  </w:pPr>
                  <w:r>
                    <w:t>《工业企业厂界环境噪声排放标准》（GB12348-2008）</w:t>
                  </w:r>
                </w:p>
              </w:tc>
            </w:tr>
          </w:tbl>
          <w:p w14:paraId="17244AA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2" w:firstLineChars="200"/>
              <w:jc w:val="both"/>
              <w:textAlignment w:val="baseline"/>
              <w:rPr>
                <w:rFonts w:eastAsia="宋体"/>
                <w:b/>
                <w:bCs/>
                <w:snapToGrid w:val="0"/>
                <w:kern w:val="2"/>
                <w:lang w:val="en-US" w:eastAsia="zh-CN" w:bidi="ar-SA"/>
              </w:rPr>
            </w:pPr>
            <w:r>
              <w:rPr>
                <w:rFonts w:hint="eastAsia" w:eastAsia="宋体"/>
                <w:b/>
                <w:bCs/>
                <w:snapToGrid w:val="0"/>
                <w:kern w:val="2"/>
                <w:lang w:val="en-US" w:eastAsia="zh-CN" w:bidi="ar-SA"/>
              </w:rPr>
              <w:t xml:space="preserve">4 </w:t>
            </w:r>
            <w:r>
              <w:rPr>
                <w:rFonts w:eastAsia="宋体"/>
                <w:b/>
                <w:bCs/>
                <w:snapToGrid w:val="0"/>
                <w:kern w:val="2"/>
                <w:lang w:val="en-US" w:eastAsia="zh-CN" w:bidi="ar-SA"/>
              </w:rPr>
              <w:t>固废污染控制标准</w:t>
            </w:r>
          </w:p>
          <w:p w14:paraId="7978805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eastAsia="宋体"/>
                <w:kern w:val="2"/>
                <w:lang w:val="en-US" w:eastAsia="zh-CN" w:bidi="ar-SA"/>
              </w:rPr>
            </w:pPr>
            <w:r>
              <w:rPr>
                <w:rFonts w:hint="eastAsia" w:eastAsia="宋体"/>
                <w:snapToGrid w:val="0"/>
                <w:kern w:val="2"/>
                <w:lang w:val="en-US" w:eastAsia="zh-CN" w:bidi="ar-SA"/>
              </w:rPr>
              <w:t>本项目不新增固体废物。</w:t>
            </w:r>
          </w:p>
        </w:tc>
      </w:tr>
      <w:tr w14:paraId="4239FC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42" w:hRule="atLeast"/>
          <w:jc w:val="center"/>
        </w:trPr>
        <w:tc>
          <w:tcPr>
            <w:tcW w:w="774" w:type="dxa"/>
            <w:noWrap w:val="0"/>
            <w:tcMar>
              <w:left w:w="28" w:type="dxa"/>
              <w:right w:w="28" w:type="dxa"/>
            </w:tcMar>
            <w:vAlign w:val="center"/>
          </w:tcPr>
          <w:p w14:paraId="1E9842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eastAsia="宋体"/>
                <w:lang w:val="en-US" w:eastAsia="zh-CN" w:bidi="ar-SA"/>
              </w:rPr>
            </w:pPr>
            <w:r>
              <w:rPr>
                <w:rFonts w:eastAsia="宋体"/>
                <w:kern w:val="2"/>
                <w:sz w:val="21"/>
                <w:szCs w:val="21"/>
                <w:lang w:val="en-US" w:eastAsia="zh-CN" w:bidi="ar-SA"/>
              </w:rPr>
              <w:t>总量控制指标</w:t>
            </w:r>
          </w:p>
        </w:tc>
        <w:tc>
          <w:tcPr>
            <w:tcW w:w="8287" w:type="dxa"/>
            <w:noWrap w:val="0"/>
            <w:vAlign w:val="center"/>
          </w:tcPr>
          <w:p w14:paraId="31F0AAC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jc w:val="both"/>
              <w:textAlignment w:val="baseline"/>
              <w:rPr>
                <w:rFonts w:hint="eastAsia"/>
                <w:snapToGrid w:val="0"/>
                <w:highlight w:val="none"/>
                <w:lang w:val="en-US" w:eastAsia="zh-CN" w:bidi="ar-SA"/>
              </w:rPr>
            </w:pPr>
            <w:r>
              <w:rPr>
                <w:rFonts w:hint="eastAsia"/>
                <w:snapToGrid w:val="0"/>
                <w:highlight w:val="none"/>
                <w:lang w:val="en-US" w:eastAsia="zh-CN" w:bidi="ar-SA"/>
              </w:rPr>
              <w:t>根据《排污许可证申请与核发技术规范 石化工业》（HJ 853—2026）第 5.2.2.3 条规定，排污单位废气污染物年许可排放量为有组织排放年许可排放量与无组织排放年许可排放量之和，有组织废气各排放口逐一计算颗粒物、二氧化硫、氮氧化物及非甲烷总烃许可排放量。本项目未新增废气排放口，故不新增有组织废气许可排放量；新建储罐依托厂区现有有机废气治理设施，不属于第5.2.2.3.3条规定的需核算无组织VOCs年许可排放量的情形。综上，本项目不新增废气污染物许可排放量，新增挥发性有机物排放量在全厂现有排污许可证及批复总量控制指标内消化，无需申请新增重点污染物排放总量指标。</w:t>
            </w:r>
          </w:p>
          <w:p w14:paraId="4021A4A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jc w:val="both"/>
              <w:textAlignment w:val="baseline"/>
              <w:rPr>
                <w:rFonts w:hint="eastAsia"/>
                <w:snapToGrid w:val="0"/>
                <w:highlight w:val="none"/>
                <w:lang w:val="en-US" w:eastAsia="zh-CN" w:bidi="ar-SA"/>
              </w:rPr>
            </w:pPr>
          </w:p>
          <w:p w14:paraId="23562E7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jc w:val="both"/>
              <w:textAlignment w:val="baseline"/>
              <w:rPr>
                <w:rFonts w:hint="eastAsia"/>
                <w:snapToGrid w:val="0"/>
                <w:highlight w:val="none"/>
                <w:lang w:val="en-US" w:eastAsia="zh-CN" w:bidi="ar-SA"/>
              </w:rPr>
            </w:pPr>
          </w:p>
          <w:p w14:paraId="2F0C445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80" w:firstLineChars="200"/>
              <w:jc w:val="both"/>
              <w:textAlignment w:val="baseline"/>
              <w:rPr>
                <w:rFonts w:hint="default"/>
                <w:snapToGrid w:val="0"/>
                <w:highlight w:val="none"/>
                <w:lang w:val="en-US" w:eastAsia="zh-CN" w:bidi="ar-SA"/>
              </w:rPr>
            </w:pPr>
          </w:p>
          <w:p w14:paraId="4F237D4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both"/>
              <w:textAlignment w:val="baseline"/>
              <w:rPr>
                <w:rFonts w:eastAsia="宋体"/>
                <w:snapToGrid w:val="0"/>
                <w:lang w:val="en-US" w:eastAsia="zh-CN" w:bidi="ar-SA"/>
              </w:rPr>
            </w:pPr>
          </w:p>
          <w:p w14:paraId="17D21CD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both"/>
              <w:textAlignment w:val="baseline"/>
              <w:rPr>
                <w:rFonts w:eastAsia="宋体"/>
                <w:snapToGrid w:val="0"/>
                <w:lang w:val="en-US" w:eastAsia="zh-CN" w:bidi="ar-SA"/>
              </w:rPr>
            </w:pPr>
          </w:p>
          <w:p w14:paraId="2C7808B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both"/>
              <w:textAlignment w:val="baseline"/>
              <w:rPr>
                <w:rFonts w:eastAsia="宋体"/>
                <w:snapToGrid w:val="0"/>
                <w:lang w:val="en-US" w:eastAsia="zh-CN" w:bidi="ar-SA"/>
              </w:rPr>
            </w:pPr>
          </w:p>
          <w:p w14:paraId="756D378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both"/>
              <w:textAlignment w:val="baseline"/>
              <w:rPr>
                <w:rFonts w:eastAsia="宋体"/>
                <w:snapToGrid w:val="0"/>
                <w:lang w:val="en-US" w:eastAsia="zh-CN" w:bidi="ar-SA"/>
              </w:rPr>
            </w:pPr>
          </w:p>
          <w:p w14:paraId="1AE750B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both"/>
              <w:textAlignment w:val="baseline"/>
              <w:rPr>
                <w:rFonts w:eastAsia="宋体"/>
                <w:snapToGrid w:val="0"/>
                <w:lang w:val="en-US" w:eastAsia="zh-CN" w:bidi="ar-SA"/>
              </w:rPr>
            </w:pPr>
          </w:p>
          <w:p w14:paraId="50D7D83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both"/>
              <w:textAlignment w:val="baseline"/>
              <w:rPr>
                <w:rFonts w:eastAsia="宋体"/>
                <w:snapToGrid w:val="0"/>
                <w:lang w:val="en-US" w:eastAsia="zh-CN" w:bidi="ar-SA"/>
              </w:rPr>
            </w:pPr>
          </w:p>
          <w:p w14:paraId="04A3935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both"/>
              <w:textAlignment w:val="baseline"/>
              <w:rPr>
                <w:rFonts w:eastAsia="宋体"/>
                <w:snapToGrid w:val="0"/>
                <w:lang w:val="en-US" w:eastAsia="zh-CN" w:bidi="ar-SA"/>
              </w:rPr>
            </w:pPr>
          </w:p>
          <w:p w14:paraId="7E724F1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0" w:firstLineChars="0"/>
              <w:jc w:val="both"/>
              <w:textAlignment w:val="baseline"/>
              <w:rPr>
                <w:rFonts w:eastAsia="宋体"/>
                <w:snapToGrid w:val="0"/>
                <w:lang w:val="en-US" w:eastAsia="zh-CN" w:bidi="ar-SA"/>
              </w:rPr>
            </w:pPr>
          </w:p>
        </w:tc>
      </w:tr>
    </w:tbl>
    <w:p w14:paraId="7897EB18">
      <w:pPr>
        <w:widowControl/>
        <w:spacing w:before="100" w:beforeAutospacing="1" w:after="100" w:afterAutospacing="1"/>
        <w:jc w:val="center"/>
        <w:outlineLvl w:val="0"/>
        <w:rPr>
          <w:rFonts w:eastAsia="黑体"/>
          <w:snapToGrid w:val="0"/>
          <w:sz w:val="30"/>
          <w:szCs w:val="30"/>
          <w:lang w:val="en-US" w:eastAsia="zh-CN" w:bidi="ar-SA"/>
        </w:rPr>
      </w:pPr>
      <w:r>
        <w:rPr>
          <w:rFonts w:eastAsia="黑体"/>
          <w:snapToGrid w:val="0"/>
          <w:sz w:val="36"/>
          <w:szCs w:val="36"/>
          <w:lang w:val="en-US" w:eastAsia="zh-CN" w:bidi="ar-SA"/>
        </w:rPr>
        <w:br w:type="page"/>
      </w:r>
      <w:bookmarkStart w:id="11" w:name="_Toc20059"/>
      <w:bookmarkStart w:id="12" w:name="_Toc17575"/>
      <w:bookmarkStart w:id="13" w:name="_Toc3182"/>
      <w:r>
        <w:rPr>
          <w:rFonts w:eastAsia="黑体"/>
          <w:snapToGrid w:val="0"/>
          <w:sz w:val="30"/>
          <w:szCs w:val="30"/>
          <w:lang w:val="en-US" w:eastAsia="zh-CN" w:bidi="ar-SA"/>
        </w:rPr>
        <w:t>四、主要环境影响和保护措施</w:t>
      </w:r>
      <w:bookmarkEnd w:id="11"/>
      <w:bookmarkEnd w:id="12"/>
      <w:bookmarkEnd w:id="13"/>
    </w:p>
    <w:tbl>
      <w:tblPr>
        <w:tblStyle w:val="19"/>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10"/>
        <w:gridCol w:w="8471"/>
      </w:tblGrid>
      <w:tr w14:paraId="649E07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510" w:type="dxa"/>
            <w:noWrap w:val="0"/>
            <w:tcMar>
              <w:left w:w="28" w:type="dxa"/>
              <w:right w:w="28" w:type="dxa"/>
            </w:tcMar>
            <w:vAlign w:val="center"/>
          </w:tcPr>
          <w:p w14:paraId="7CD3F5C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kern w:val="2"/>
                <w:lang w:val="en-US" w:eastAsia="zh-CN" w:bidi="ar-SA"/>
              </w:rPr>
            </w:pPr>
            <w:r>
              <w:rPr>
                <w:rFonts w:eastAsia="宋体"/>
                <w:kern w:val="2"/>
                <w:lang w:val="en-US" w:eastAsia="zh-CN" w:bidi="ar-SA"/>
              </w:rPr>
              <w:t>施</w:t>
            </w:r>
          </w:p>
          <w:p w14:paraId="0DDC88CE">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kern w:val="2"/>
                <w:lang w:val="en-US" w:eastAsia="zh-CN" w:bidi="ar-SA"/>
              </w:rPr>
            </w:pPr>
            <w:r>
              <w:rPr>
                <w:rFonts w:eastAsia="宋体"/>
                <w:kern w:val="2"/>
                <w:lang w:val="en-US" w:eastAsia="zh-CN" w:bidi="ar-SA"/>
              </w:rPr>
              <w:t>工</w:t>
            </w:r>
          </w:p>
          <w:p w14:paraId="18D52CE7">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kern w:val="2"/>
                <w:lang w:val="en-US" w:eastAsia="zh-CN" w:bidi="ar-SA"/>
              </w:rPr>
            </w:pPr>
            <w:r>
              <w:rPr>
                <w:rFonts w:eastAsia="宋体"/>
                <w:kern w:val="2"/>
                <w:lang w:val="en-US" w:eastAsia="zh-CN" w:bidi="ar-SA"/>
              </w:rPr>
              <w:t>期</w:t>
            </w:r>
          </w:p>
          <w:p w14:paraId="247E6D94">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kern w:val="2"/>
                <w:lang w:val="en-US" w:eastAsia="zh-CN" w:bidi="ar-SA"/>
              </w:rPr>
            </w:pPr>
            <w:r>
              <w:rPr>
                <w:rFonts w:eastAsia="宋体"/>
                <w:kern w:val="2"/>
                <w:lang w:val="en-US" w:eastAsia="zh-CN" w:bidi="ar-SA"/>
              </w:rPr>
              <w:t>环</w:t>
            </w:r>
          </w:p>
          <w:p w14:paraId="19E396CB">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kern w:val="2"/>
                <w:lang w:val="en-US" w:eastAsia="zh-CN" w:bidi="ar-SA"/>
              </w:rPr>
            </w:pPr>
            <w:r>
              <w:rPr>
                <w:rFonts w:eastAsia="宋体"/>
                <w:kern w:val="2"/>
                <w:lang w:val="en-US" w:eastAsia="zh-CN" w:bidi="ar-SA"/>
              </w:rPr>
              <w:t>境</w:t>
            </w:r>
          </w:p>
          <w:p w14:paraId="388A863C">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kern w:val="2"/>
                <w:lang w:val="en-US" w:eastAsia="zh-CN" w:bidi="ar-SA"/>
              </w:rPr>
            </w:pPr>
            <w:r>
              <w:rPr>
                <w:rFonts w:eastAsia="宋体"/>
                <w:kern w:val="2"/>
                <w:lang w:val="en-US" w:eastAsia="zh-CN" w:bidi="ar-SA"/>
              </w:rPr>
              <w:t>保</w:t>
            </w:r>
          </w:p>
          <w:p w14:paraId="4340027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kern w:val="2"/>
                <w:lang w:val="en-US" w:eastAsia="zh-CN" w:bidi="ar-SA"/>
              </w:rPr>
            </w:pPr>
            <w:r>
              <w:rPr>
                <w:rFonts w:eastAsia="宋体"/>
                <w:kern w:val="2"/>
                <w:lang w:val="en-US" w:eastAsia="zh-CN" w:bidi="ar-SA"/>
              </w:rPr>
              <w:t>护</w:t>
            </w:r>
          </w:p>
          <w:p w14:paraId="4653294A">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kern w:val="2"/>
                <w:lang w:val="en-US" w:eastAsia="zh-CN" w:bidi="ar-SA"/>
              </w:rPr>
            </w:pPr>
            <w:r>
              <w:rPr>
                <w:rFonts w:eastAsia="宋体"/>
                <w:kern w:val="2"/>
                <w:lang w:val="en-US" w:eastAsia="zh-CN" w:bidi="ar-SA"/>
              </w:rPr>
              <w:t>措</w:t>
            </w:r>
          </w:p>
          <w:p w14:paraId="00547836">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kern w:val="2"/>
                <w:lang w:val="en-US" w:eastAsia="zh-CN" w:bidi="ar-SA"/>
              </w:rPr>
            </w:pPr>
            <w:r>
              <w:rPr>
                <w:rFonts w:eastAsia="宋体"/>
                <w:kern w:val="2"/>
                <w:lang w:val="en-US" w:eastAsia="zh-CN" w:bidi="ar-SA"/>
              </w:rPr>
              <w:t>施</w:t>
            </w:r>
          </w:p>
        </w:tc>
        <w:tc>
          <w:tcPr>
            <w:tcW w:w="8471" w:type="dxa"/>
            <w:noWrap w:val="0"/>
            <w:vAlign w:val="center"/>
          </w:tcPr>
          <w:p w14:paraId="2E5C365C">
            <w:pPr>
              <w:pStyle w:val="2"/>
              <w:bidi w:val="0"/>
            </w:pPr>
            <w:r>
              <w:t>1施工期大气污染控制措施</w:t>
            </w:r>
          </w:p>
          <w:p w14:paraId="2328FC25">
            <w:pPr>
              <w:bidi w:val="0"/>
            </w:pPr>
            <w:r>
              <w:t>①施工方严格按照《防治城市扬尘污染技术规范》（HJ/T393-2007）中的要求，晴朗天气每周等时间间隔洒水二至七次，扬尘严重时加大洒水频次。一般原则每天早(9：00-10：</w:t>
            </w:r>
            <w:r>
              <w:rPr>
                <w:rFonts w:hint="eastAsia"/>
              </w:rPr>
              <w:t>00)</w:t>
            </w:r>
            <w:r>
              <w:t>中(13：30-16：</w:t>
            </w:r>
            <w:r>
              <w:rPr>
                <w:rFonts w:hint="eastAsia"/>
              </w:rPr>
              <w:t>00)</w:t>
            </w:r>
            <w:r>
              <w:t>晚(18：00-19：00)各洒水一次，当风速大于3级、夏季晴好的天气应每隔3个小时洒水一次；当风速大于4级，停止施工。</w:t>
            </w:r>
          </w:p>
          <w:p w14:paraId="17E611E0">
            <w:pPr>
              <w:bidi w:val="0"/>
            </w:pPr>
            <w:r>
              <w:t>②采取设置围栏、洒水压尘、加强物料防尘管理、及时清运施工垃圾等措施。运载设备材料的车辆为货车，车辆驶出装、卸场地前用水将</w:t>
            </w:r>
            <w:r>
              <w:rPr>
                <w:rFonts w:hint="eastAsia"/>
              </w:rPr>
              <w:t>车厢</w:t>
            </w:r>
            <w:r>
              <w:t>外和轮胎冲洗干净，运输车辆行驶路线要尽量避开居民点和环境敏感点。</w:t>
            </w:r>
          </w:p>
          <w:p w14:paraId="562D398A">
            <w:pPr>
              <w:bidi w:val="0"/>
            </w:pPr>
            <w:r>
              <w:t>③合理安排施工进度，规范临时砂浆、混凝土暂存点管理，严格执行建筑垃圾准运证制度。设置专人负责弃土、建筑垃圾、建筑材料的处置、清运和堆放。</w:t>
            </w:r>
          </w:p>
          <w:p w14:paraId="594F1984">
            <w:pPr>
              <w:widowControl/>
              <w:spacing w:line="520" w:lineRule="exact"/>
              <w:jc w:val="left"/>
              <w:rPr>
                <w:b/>
                <w:bCs/>
                <w:color w:val="auto"/>
                <w:kern w:val="0"/>
                <w:sz w:val="24"/>
                <w:highlight w:val="none"/>
                <w:lang w:bidi="ar"/>
              </w:rPr>
            </w:pPr>
            <w:r>
              <w:rPr>
                <w:b/>
                <w:bCs/>
                <w:color w:val="auto"/>
                <w:kern w:val="0"/>
                <w:sz w:val="24"/>
                <w:highlight w:val="none"/>
                <w:lang w:bidi="ar"/>
              </w:rPr>
              <w:t>2</w:t>
            </w:r>
            <w:r>
              <w:rPr>
                <w:rFonts w:hint="eastAsia"/>
                <w:b/>
                <w:bCs/>
                <w:color w:val="auto"/>
                <w:kern w:val="0"/>
                <w:sz w:val="24"/>
                <w:highlight w:val="none"/>
                <w:lang w:val="en-US" w:eastAsia="zh-CN" w:bidi="ar"/>
              </w:rPr>
              <w:t xml:space="preserve"> </w:t>
            </w:r>
            <w:r>
              <w:rPr>
                <w:b/>
                <w:bCs/>
                <w:color w:val="auto"/>
                <w:kern w:val="0"/>
                <w:sz w:val="24"/>
                <w:highlight w:val="none"/>
                <w:lang w:bidi="ar"/>
              </w:rPr>
              <w:t>施工期水污染控制措施</w:t>
            </w:r>
          </w:p>
          <w:p w14:paraId="50542F4E">
            <w:pPr>
              <w:widowControl/>
              <w:spacing w:line="520" w:lineRule="exact"/>
              <w:ind w:firstLine="480" w:firstLineChars="200"/>
              <w:jc w:val="left"/>
              <w:rPr>
                <w:color w:val="auto"/>
                <w:kern w:val="0"/>
                <w:sz w:val="24"/>
                <w:highlight w:val="none"/>
                <w:lang w:bidi="ar"/>
              </w:rPr>
            </w:pPr>
            <w:r>
              <w:rPr>
                <w:rFonts w:hint="default" w:ascii="Times New Roman" w:hAnsi="Times New Roman" w:eastAsia="宋体" w:cs="Times New Roman"/>
                <w:color w:val="auto"/>
                <w:sz w:val="24"/>
                <w:szCs w:val="24"/>
                <w:highlight w:val="none"/>
              </w:rPr>
              <w:t>项目施工期间产生的污水主要包括施工废水、施工人员的生活污水。</w:t>
            </w:r>
          </w:p>
          <w:p w14:paraId="0C9F74BB">
            <w:pPr>
              <w:widowControl/>
              <w:spacing w:line="520" w:lineRule="exact"/>
              <w:ind w:firstLine="480" w:firstLineChars="200"/>
              <w:jc w:val="left"/>
              <w:rPr>
                <w:color w:val="auto"/>
                <w:kern w:val="0"/>
                <w:sz w:val="24"/>
                <w:highlight w:val="none"/>
                <w:lang w:bidi="ar"/>
              </w:rPr>
            </w:pPr>
            <w:r>
              <w:rPr>
                <w:color w:val="auto"/>
                <w:kern w:val="0"/>
                <w:sz w:val="24"/>
                <w:highlight w:val="none"/>
                <w:lang w:bidi="ar"/>
              </w:rPr>
              <w:t>（1）施工废水：施工期间的生产用水主要为混凝土养护用水，地面喷洒水等。这些用水中只有混凝土养护用水有可能外排，但排放量较少，其成分主要含有泥沙、不含有害物质和其他有机物。施工期废水产生量小，经临时沉淀池沉淀后回用于洒水抑尘，不会对周围环境造成不利影响</w:t>
            </w:r>
            <w:r>
              <w:rPr>
                <w:rFonts w:hint="eastAsia" w:cs="Times New Roman"/>
                <w:color w:val="auto"/>
                <w:sz w:val="24"/>
                <w:szCs w:val="24"/>
                <w:highlight w:val="none"/>
                <w:lang w:val="en-US" w:eastAsia="zh-CN"/>
              </w:rPr>
              <w:t>，施工结束后，拆除临时沉淀池</w:t>
            </w:r>
            <w:r>
              <w:rPr>
                <w:color w:val="auto"/>
                <w:kern w:val="0"/>
                <w:sz w:val="24"/>
                <w:highlight w:val="none"/>
                <w:lang w:bidi="ar"/>
              </w:rPr>
              <w:t>。</w:t>
            </w:r>
          </w:p>
          <w:p w14:paraId="31996169">
            <w:pPr>
              <w:widowControl/>
              <w:spacing w:line="520" w:lineRule="exact"/>
              <w:ind w:firstLine="480" w:firstLineChars="200"/>
              <w:jc w:val="left"/>
              <w:rPr>
                <w:rStyle w:val="24"/>
                <w:rFonts w:hint="eastAsia"/>
                <w:color w:val="auto"/>
                <w:kern w:val="0"/>
                <w:sz w:val="24"/>
                <w:szCs w:val="24"/>
                <w:highlight w:val="none"/>
                <w:lang w:eastAsia="zh-CN"/>
              </w:rPr>
            </w:pPr>
            <w:r>
              <w:rPr>
                <w:color w:val="auto"/>
                <w:kern w:val="0"/>
                <w:sz w:val="24"/>
                <w:highlight w:val="none"/>
                <w:lang w:bidi="ar"/>
              </w:rPr>
              <w:t>（2）生活污水：</w:t>
            </w:r>
            <w:r>
              <w:rPr>
                <w:rFonts w:hint="eastAsia" w:ascii="Times New Roman"/>
                <w:color w:val="auto"/>
                <w:sz w:val="24"/>
                <w:szCs w:val="24"/>
                <w:highlight w:val="none"/>
                <w:lang w:val="en-US" w:eastAsia="zh-CN"/>
              </w:rPr>
              <w:t>项目不设生活营地，施工人员就近在附近村镇招募，施工</w:t>
            </w:r>
            <w:r>
              <w:rPr>
                <w:rFonts w:hint="eastAsia"/>
                <w:color w:val="auto"/>
                <w:sz w:val="24"/>
                <w:szCs w:val="24"/>
                <w:highlight w:val="none"/>
                <w:lang w:val="en-US" w:eastAsia="zh-CN"/>
              </w:rPr>
              <w:t>人员</w:t>
            </w:r>
            <w:r>
              <w:rPr>
                <w:rFonts w:hint="eastAsia" w:ascii="Times New Roman"/>
                <w:color w:val="auto"/>
                <w:sz w:val="24"/>
                <w:szCs w:val="24"/>
                <w:highlight w:val="none"/>
                <w:lang w:val="en-US" w:eastAsia="zh-CN"/>
              </w:rPr>
              <w:t>依托现有企业</w:t>
            </w:r>
            <w:r>
              <w:rPr>
                <w:rFonts w:hint="eastAsia"/>
                <w:color w:val="auto"/>
                <w:sz w:val="24"/>
                <w:szCs w:val="24"/>
                <w:highlight w:val="none"/>
                <w:lang w:val="en-US" w:eastAsia="zh-CN"/>
              </w:rPr>
              <w:t>现有生活设施，</w:t>
            </w:r>
            <w:r>
              <w:rPr>
                <w:rFonts w:hint="eastAsia" w:ascii="Times New Roman"/>
                <w:color w:val="auto"/>
                <w:sz w:val="24"/>
                <w:szCs w:val="24"/>
                <w:highlight w:val="none"/>
                <w:lang w:val="en-US" w:eastAsia="zh-CN"/>
              </w:rPr>
              <w:t>生活污水纳入现有企业生活污水收集处理系统统一处理</w:t>
            </w:r>
            <w:r>
              <w:rPr>
                <w:rStyle w:val="24"/>
                <w:rFonts w:hint="eastAsia"/>
                <w:color w:val="auto"/>
                <w:kern w:val="0"/>
                <w:sz w:val="24"/>
                <w:szCs w:val="24"/>
                <w:highlight w:val="none"/>
                <w:lang w:eastAsia="zh-CN"/>
              </w:rPr>
              <w:t>。</w:t>
            </w:r>
          </w:p>
          <w:p w14:paraId="6BB0F40B">
            <w:pPr>
              <w:widowControl/>
              <w:spacing w:line="520" w:lineRule="exact"/>
              <w:ind w:firstLine="480" w:firstLineChars="200"/>
              <w:jc w:val="left"/>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在施工过程中应加强环保监督，严禁施工废水、生活污水等排入周边地表，污染周边土壤和地下水环境。</w:t>
            </w:r>
          </w:p>
          <w:p w14:paraId="083C9335">
            <w:pPr>
              <w:widowControl/>
              <w:spacing w:line="520" w:lineRule="exact"/>
              <w:jc w:val="left"/>
              <w:rPr>
                <w:b/>
                <w:bCs/>
                <w:color w:val="auto"/>
                <w:kern w:val="0"/>
                <w:sz w:val="24"/>
                <w:highlight w:val="none"/>
                <w:lang w:bidi="ar"/>
              </w:rPr>
            </w:pPr>
            <w:r>
              <w:rPr>
                <w:b/>
                <w:bCs/>
                <w:color w:val="auto"/>
                <w:kern w:val="0"/>
                <w:sz w:val="24"/>
                <w:highlight w:val="none"/>
                <w:lang w:bidi="ar"/>
              </w:rPr>
              <w:t>3施工期噪声控制措施</w:t>
            </w:r>
          </w:p>
          <w:p w14:paraId="78EB8B78">
            <w:pPr>
              <w:widowControl/>
              <w:spacing w:line="520" w:lineRule="exact"/>
              <w:ind w:firstLine="480" w:firstLineChars="200"/>
              <w:jc w:val="left"/>
              <w:rPr>
                <w:color w:val="auto"/>
                <w:kern w:val="0"/>
                <w:sz w:val="24"/>
                <w:highlight w:val="none"/>
                <w:lang w:bidi="ar"/>
              </w:rPr>
            </w:pPr>
            <w:r>
              <w:rPr>
                <w:color w:val="auto"/>
                <w:kern w:val="0"/>
                <w:sz w:val="24"/>
                <w:highlight w:val="none"/>
                <w:lang w:bidi="ar"/>
              </w:rPr>
              <w:t>（1）从声源上控制：建设单位与施工单位签订合同时，应要求其使用的主要机械设备为低噪声机械设备。同时在施工过程中施工单位应设专人对设备进行定期保养和维护，并负责对现场工作人员进行培训，严格按操作规范使用各类机械。</w:t>
            </w:r>
          </w:p>
          <w:p w14:paraId="403E4DBE">
            <w:pPr>
              <w:widowControl/>
              <w:spacing w:line="520" w:lineRule="exact"/>
              <w:ind w:firstLine="480" w:firstLineChars="200"/>
              <w:jc w:val="left"/>
              <w:rPr>
                <w:color w:val="auto"/>
                <w:kern w:val="0"/>
                <w:sz w:val="24"/>
                <w:highlight w:val="none"/>
                <w:lang w:bidi="ar"/>
              </w:rPr>
            </w:pPr>
            <w:r>
              <w:rPr>
                <w:color w:val="auto"/>
                <w:kern w:val="0"/>
                <w:sz w:val="24"/>
                <w:highlight w:val="none"/>
                <w:lang w:bidi="ar"/>
              </w:rPr>
              <w:t>（2）合理安排施工时间：首先制订施工计划时，应尽可能避免大量高噪声设备同时施工。除此之外，高噪声施工时间尽量安排在日间，减少夜间施工量。中午（14：00~16：00）及夜间（0：00~8：00）禁止施工。</w:t>
            </w:r>
          </w:p>
          <w:p w14:paraId="579002D7">
            <w:pPr>
              <w:widowControl/>
              <w:spacing w:line="520" w:lineRule="exact"/>
              <w:ind w:firstLine="480" w:firstLineChars="200"/>
              <w:jc w:val="left"/>
              <w:rPr>
                <w:color w:val="auto"/>
                <w:kern w:val="0"/>
                <w:sz w:val="24"/>
                <w:highlight w:val="none"/>
                <w:lang w:bidi="ar"/>
              </w:rPr>
            </w:pPr>
            <w:r>
              <w:rPr>
                <w:color w:val="auto"/>
                <w:kern w:val="0"/>
                <w:sz w:val="24"/>
                <w:highlight w:val="none"/>
                <w:lang w:bidi="ar"/>
              </w:rPr>
              <w:t>（3）合理布置施工现场。施工现场应合理布局，将施工中的固定噪声源相对集中摆放，闲置不用的设备立即关闭，降低施工噪声对周边声环境的影响。</w:t>
            </w:r>
          </w:p>
          <w:p w14:paraId="3A0A0E1B">
            <w:pPr>
              <w:widowControl/>
              <w:spacing w:line="520" w:lineRule="exact"/>
              <w:ind w:firstLine="480" w:firstLineChars="200"/>
              <w:jc w:val="left"/>
              <w:rPr>
                <w:color w:val="auto"/>
                <w:kern w:val="0"/>
                <w:sz w:val="24"/>
                <w:highlight w:val="none"/>
                <w:lang w:bidi="ar"/>
              </w:rPr>
            </w:pPr>
            <w:r>
              <w:rPr>
                <w:color w:val="auto"/>
                <w:kern w:val="0"/>
                <w:sz w:val="24"/>
                <w:highlight w:val="none"/>
                <w:lang w:bidi="ar"/>
              </w:rPr>
              <w:t>（4）项目施工期间，在项目四周</w:t>
            </w:r>
            <w:r>
              <w:rPr>
                <w:rFonts w:hint="eastAsia"/>
                <w:color w:val="auto"/>
                <w:kern w:val="0"/>
                <w:sz w:val="24"/>
                <w:highlight w:val="none"/>
                <w:lang w:eastAsia="zh-CN" w:bidi="ar"/>
              </w:rPr>
              <w:t>设置</w:t>
            </w:r>
            <w:r>
              <w:rPr>
                <w:color w:val="auto"/>
                <w:kern w:val="0"/>
                <w:sz w:val="24"/>
                <w:highlight w:val="none"/>
                <w:lang w:bidi="ar"/>
              </w:rPr>
              <w:t>临时隔声屏障，减少施工噪声对环境的影响。</w:t>
            </w:r>
          </w:p>
          <w:p w14:paraId="68A5EF3A">
            <w:pPr>
              <w:widowControl/>
              <w:spacing w:line="520" w:lineRule="exact"/>
              <w:ind w:firstLine="480" w:firstLineChars="200"/>
              <w:jc w:val="left"/>
              <w:rPr>
                <w:color w:val="auto"/>
                <w:kern w:val="0"/>
                <w:sz w:val="24"/>
                <w:highlight w:val="none"/>
                <w:lang w:bidi="ar"/>
              </w:rPr>
            </w:pPr>
            <w:r>
              <w:rPr>
                <w:color w:val="auto"/>
                <w:kern w:val="0"/>
                <w:sz w:val="24"/>
                <w:highlight w:val="none"/>
                <w:lang w:bidi="ar"/>
              </w:rPr>
              <w:t>（5）车辆出入施工现场时应低速、禁鸣。</w:t>
            </w:r>
          </w:p>
          <w:p w14:paraId="749066E6">
            <w:pPr>
              <w:widowControl/>
              <w:spacing w:line="520" w:lineRule="exact"/>
              <w:jc w:val="left"/>
              <w:rPr>
                <w:b/>
                <w:bCs/>
                <w:color w:val="auto"/>
                <w:kern w:val="0"/>
                <w:sz w:val="24"/>
                <w:highlight w:val="none"/>
                <w:lang w:bidi="ar"/>
              </w:rPr>
            </w:pPr>
            <w:r>
              <w:rPr>
                <w:b/>
                <w:bCs/>
                <w:color w:val="auto"/>
                <w:kern w:val="0"/>
                <w:sz w:val="24"/>
                <w:highlight w:val="none"/>
                <w:lang w:bidi="ar"/>
              </w:rPr>
              <w:t>4施工期固废控制措施</w:t>
            </w:r>
          </w:p>
          <w:p w14:paraId="6458E908">
            <w:pPr>
              <w:widowControl/>
              <w:spacing w:line="520" w:lineRule="exact"/>
              <w:ind w:firstLine="480" w:firstLineChars="200"/>
              <w:jc w:val="left"/>
              <w:rPr>
                <w:color w:val="auto"/>
                <w:kern w:val="0"/>
                <w:sz w:val="24"/>
                <w:highlight w:val="none"/>
                <w:lang w:bidi="ar"/>
              </w:rPr>
            </w:pPr>
            <w:r>
              <w:rPr>
                <w:color w:val="auto"/>
                <w:kern w:val="0"/>
                <w:sz w:val="24"/>
                <w:highlight w:val="none"/>
                <w:lang w:bidi="ar"/>
              </w:rPr>
              <w:t>本项目产生散落的砂浆和混凝土，碎砖和碎混凝土块。建筑垃圾不可随意丢弃，送往指定的填埋场进行处理。施工单位应设置垃圾桶定点收集，垃圾做到日产日清，统一由环卫部门拉走集中处理。</w:t>
            </w:r>
          </w:p>
          <w:p w14:paraId="328DADD2">
            <w:pPr>
              <w:widowControl/>
              <w:spacing w:line="520" w:lineRule="exact"/>
              <w:jc w:val="left"/>
              <w:rPr>
                <w:b/>
                <w:bCs/>
                <w:color w:val="auto"/>
                <w:kern w:val="0"/>
                <w:sz w:val="24"/>
                <w:highlight w:val="none"/>
                <w:lang w:bidi="ar"/>
              </w:rPr>
            </w:pPr>
            <w:r>
              <w:rPr>
                <w:b/>
                <w:bCs/>
                <w:color w:val="auto"/>
                <w:kern w:val="0"/>
                <w:sz w:val="24"/>
                <w:highlight w:val="none"/>
                <w:lang w:bidi="ar"/>
              </w:rPr>
              <w:t>5施工期生态环境保护措施</w:t>
            </w:r>
          </w:p>
          <w:p w14:paraId="4FF73C09">
            <w:pPr>
              <w:widowControl/>
              <w:spacing w:line="520" w:lineRule="exact"/>
              <w:ind w:firstLine="480" w:firstLineChars="200"/>
              <w:jc w:val="left"/>
              <w:rPr>
                <w:color w:val="auto"/>
                <w:kern w:val="0"/>
                <w:sz w:val="24"/>
                <w:highlight w:val="none"/>
                <w:lang w:bidi="ar"/>
              </w:rPr>
            </w:pPr>
            <w:r>
              <w:rPr>
                <w:color w:val="auto"/>
                <w:kern w:val="0"/>
                <w:sz w:val="24"/>
                <w:highlight w:val="none"/>
                <w:lang w:bidi="ar"/>
              </w:rPr>
              <w:t>本项目施工期因开挖地基、搬运渣土、建材等，会对项目拟建场址地区的生态环境在短时间内形成一定的影响。项目施工期间开挖的土石方临时堆放在临时堆场，采用毡布或防尘布覆盖，减少水土流失。本项目厂区将种植树木等绿化，丰富植物种类，强化绿化功能，逐步达到生态系统的优化。周边不涉及基本农田，亦无珍稀保护动植物。本工程施工期间对生态环境影响不大，通过采取相应的生态保护和恢复措施，建设对生态环境影响是可接受的。</w:t>
            </w:r>
          </w:p>
          <w:p w14:paraId="64F31158">
            <w:pPr>
              <w:widowControl/>
              <w:spacing w:line="520" w:lineRule="exact"/>
              <w:jc w:val="left"/>
              <w:rPr>
                <w:rFonts w:hint="default" w:ascii="Times New Roman" w:hAnsi="Times New Roman" w:eastAsia="宋体" w:cs="Times New Roman"/>
                <w:b/>
                <w:bCs/>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6施工期</w:t>
            </w:r>
            <w:r>
              <w:rPr>
                <w:rFonts w:hint="default" w:ascii="Times New Roman" w:hAnsi="Times New Roman" w:eastAsia="宋体" w:cs="Times New Roman"/>
                <w:b/>
                <w:bCs/>
                <w:color w:val="auto"/>
                <w:kern w:val="0"/>
                <w:sz w:val="24"/>
                <w:highlight w:val="none"/>
                <w:lang w:val="en-US" w:eastAsia="zh-CN" w:bidi="ar"/>
              </w:rPr>
              <w:t>防沙治沙控制措施</w:t>
            </w:r>
          </w:p>
          <w:p w14:paraId="5E60A23B">
            <w:pPr>
              <w:widowControl/>
              <w:spacing w:line="520" w:lineRule="exact"/>
              <w:ind w:firstLine="482" w:firstLineChars="200"/>
              <w:jc w:val="left"/>
              <w:rPr>
                <w:rFonts w:hint="eastAsia" w:ascii="Times New Roman" w:hAnsi="Times New Roman" w:eastAsia="宋体" w:cs="Times New Roman"/>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6.1项目建设对沙化土地的影响</w:t>
            </w:r>
          </w:p>
          <w:p w14:paraId="50F99DCC">
            <w:pPr>
              <w:widowControl/>
              <w:spacing w:line="520" w:lineRule="exact"/>
              <w:ind w:firstLine="480" w:firstLineChars="200"/>
              <w:jc w:val="left"/>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项目建设过程中，基础开挖会扰动原有地表，必然会对原有土壤结构形成扰动，其结果会使土壤原有的土层发生紊乱，团粒结构破坏，土壤毛细管断裂，施工期的开挖取土必将破坏表层植被，区域地表呈现裸露状态，将造成土地沙化及水土流失等，使土地的生物生产潜力逐渐衰减消失，在施工期内土壤不具有植被生长能力，在刮风下雨天气易造成水土流失，不但污染厂区景观环境，而且加剧土壤、植被的侵蚀。</w:t>
            </w:r>
          </w:p>
          <w:p w14:paraId="6704F9EE">
            <w:pPr>
              <w:widowControl/>
              <w:spacing w:line="520" w:lineRule="exact"/>
              <w:ind w:firstLine="482" w:firstLineChars="200"/>
              <w:jc w:val="left"/>
              <w:rPr>
                <w:rFonts w:hint="default" w:ascii="Times New Roman" w:hAnsi="Times New Roman" w:eastAsia="宋体" w:cs="Times New Roman"/>
                <w:b/>
                <w:bCs/>
                <w:color w:val="auto"/>
                <w:kern w:val="0"/>
                <w:sz w:val="24"/>
                <w:highlight w:val="none"/>
                <w:lang w:val="en-US" w:eastAsia="zh-CN" w:bidi="ar"/>
              </w:rPr>
            </w:pPr>
            <w:r>
              <w:rPr>
                <w:rFonts w:hint="eastAsia" w:ascii="Times New Roman" w:hAnsi="Times New Roman" w:eastAsia="宋体" w:cs="Times New Roman"/>
                <w:b/>
                <w:bCs/>
                <w:color w:val="auto"/>
                <w:kern w:val="0"/>
                <w:sz w:val="24"/>
                <w:highlight w:val="none"/>
                <w:lang w:val="en-US" w:eastAsia="zh-CN" w:bidi="ar"/>
              </w:rPr>
              <w:t>6.2</w:t>
            </w:r>
            <w:r>
              <w:rPr>
                <w:rFonts w:hint="default" w:ascii="Times New Roman" w:hAnsi="Times New Roman" w:eastAsia="宋体" w:cs="Times New Roman"/>
                <w:b/>
                <w:bCs/>
                <w:color w:val="auto"/>
                <w:kern w:val="0"/>
                <w:sz w:val="24"/>
                <w:highlight w:val="none"/>
                <w:lang w:val="en-US" w:eastAsia="zh-CN" w:bidi="ar"/>
              </w:rPr>
              <w:t>防沙治沙措施</w:t>
            </w:r>
          </w:p>
          <w:p w14:paraId="4AEC4E67">
            <w:pPr>
              <w:widowControl/>
              <w:spacing w:line="520" w:lineRule="exact"/>
              <w:ind w:firstLine="480" w:firstLineChars="200"/>
              <w:jc w:val="left"/>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为防止土地沙化建设单位应采取以下预防措施：</w:t>
            </w:r>
          </w:p>
          <w:p w14:paraId="263BA6E6">
            <w:pPr>
              <w:widowControl/>
              <w:spacing w:line="520" w:lineRule="exact"/>
              <w:ind w:firstLine="480" w:firstLineChars="200"/>
              <w:jc w:val="left"/>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（1）施工开挖过程中，临时堆土应集中堆放，严禁任意堆放并及时进行苫盖，在施工过程中尽可能减少对不必要区域的扰动，严格控制施工临时占地，减少施工过程中风沙的流动。</w:t>
            </w:r>
          </w:p>
          <w:p w14:paraId="7A96F1FC">
            <w:pPr>
              <w:widowControl/>
              <w:spacing w:line="520" w:lineRule="exact"/>
              <w:ind w:firstLine="480" w:firstLineChars="200"/>
              <w:jc w:val="left"/>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（2）对开挖处及时进行回填、压实，以降低临时堆土侵蚀模数；要求在堆土区边界</w:t>
            </w:r>
            <w:r>
              <w:rPr>
                <w:rFonts w:hint="eastAsia" w:cs="Times New Roman"/>
                <w:color w:val="auto"/>
                <w:kern w:val="0"/>
                <w:sz w:val="24"/>
                <w:highlight w:val="none"/>
                <w:lang w:val="en-US" w:eastAsia="zh-CN" w:bidi="ar"/>
              </w:rPr>
              <w:t>设置</w:t>
            </w:r>
            <w:r>
              <w:rPr>
                <w:rFonts w:hint="default" w:ascii="Times New Roman" w:hAnsi="Times New Roman" w:eastAsia="宋体" w:cs="Times New Roman"/>
                <w:color w:val="auto"/>
                <w:kern w:val="0"/>
                <w:sz w:val="24"/>
                <w:highlight w:val="none"/>
                <w:lang w:val="en-US" w:eastAsia="zh-CN" w:bidi="ar"/>
              </w:rPr>
              <w:t>临时拦挡措施。</w:t>
            </w:r>
          </w:p>
          <w:p w14:paraId="57E1CD1D">
            <w:pPr>
              <w:widowControl/>
              <w:spacing w:line="520" w:lineRule="exact"/>
              <w:ind w:firstLine="480" w:firstLineChars="200"/>
              <w:jc w:val="left"/>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val="en-US" w:eastAsia="zh-CN" w:bidi="ar"/>
              </w:rPr>
              <w:t>（3）实行施工全过程管理，加强施工队伍环保意识教育，加强施工期环境监理，文明施工。</w:t>
            </w:r>
          </w:p>
          <w:p w14:paraId="288E10D3">
            <w:pPr>
              <w:widowControl w:val="0"/>
              <w:spacing w:line="360" w:lineRule="auto"/>
              <w:jc w:val="both"/>
              <w:rPr>
                <w:rFonts w:eastAsia="宋体"/>
                <w:kern w:val="2"/>
                <w:lang w:val="en-US" w:eastAsia="zh-CN" w:bidi="ar-SA"/>
              </w:rPr>
            </w:pPr>
            <w:r>
              <w:rPr>
                <w:rFonts w:hint="default" w:ascii="Times New Roman" w:hAnsi="Times New Roman" w:eastAsia="宋体" w:cs="Times New Roman"/>
                <w:color w:val="auto"/>
                <w:kern w:val="0"/>
                <w:sz w:val="24"/>
                <w:highlight w:val="none"/>
                <w:lang w:val="en-US" w:eastAsia="zh-CN" w:bidi="ar"/>
              </w:rPr>
              <w:t>（4）加强工程施工期的环境监测工作，严格按照设计要求和施工规范划定施工场地，施工车辆要在规定的线路上行驶，以减少对表土和植被的破坏。</w:t>
            </w:r>
          </w:p>
        </w:tc>
      </w:tr>
      <w:tr w14:paraId="299D16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0" w:type="dxa"/>
            <w:noWrap w:val="0"/>
            <w:tcMar>
              <w:left w:w="28" w:type="dxa"/>
              <w:right w:w="28" w:type="dxa"/>
            </w:tcMar>
            <w:vAlign w:val="center"/>
          </w:tcPr>
          <w:p w14:paraId="427F1D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运</w:t>
            </w:r>
          </w:p>
          <w:p w14:paraId="041629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营</w:t>
            </w:r>
          </w:p>
          <w:p w14:paraId="3DC651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期</w:t>
            </w:r>
          </w:p>
          <w:p w14:paraId="415804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境</w:t>
            </w:r>
          </w:p>
          <w:p w14:paraId="77FC54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影</w:t>
            </w:r>
          </w:p>
          <w:p w14:paraId="7FB9FB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响</w:t>
            </w:r>
          </w:p>
          <w:p w14:paraId="1FAF74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和</w:t>
            </w:r>
          </w:p>
          <w:p w14:paraId="257515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保</w:t>
            </w:r>
          </w:p>
          <w:p w14:paraId="611576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护</w:t>
            </w:r>
          </w:p>
          <w:p w14:paraId="5DCEDC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eastAsia="宋体"/>
                <w:bCs/>
                <w:kern w:val="2"/>
                <w:sz w:val="21"/>
                <w:szCs w:val="21"/>
                <w:lang w:val="en-US" w:eastAsia="zh-CN" w:bidi="ar-SA"/>
              </w:rPr>
            </w:pPr>
            <w:r>
              <w:rPr>
                <w:rFonts w:eastAsia="宋体"/>
                <w:bCs/>
                <w:kern w:val="2"/>
                <w:sz w:val="21"/>
                <w:szCs w:val="21"/>
                <w:lang w:val="en-US" w:eastAsia="zh-CN" w:bidi="ar-SA"/>
              </w:rPr>
              <w:t>措</w:t>
            </w:r>
          </w:p>
          <w:p w14:paraId="3E85C739">
            <w:pPr>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eastAsia="宋体"/>
                <w:bCs/>
                <w:sz w:val="21"/>
                <w:szCs w:val="21"/>
                <w:lang w:val="en-US" w:eastAsia="zh-CN" w:bidi="ar-SA"/>
              </w:rPr>
            </w:pPr>
            <w:r>
              <w:rPr>
                <w:rFonts w:eastAsia="宋体"/>
                <w:bCs/>
                <w:sz w:val="21"/>
                <w:szCs w:val="21"/>
                <w:lang w:val="en-US" w:eastAsia="zh-CN" w:bidi="ar-SA"/>
              </w:rPr>
              <w:t>施</w:t>
            </w:r>
          </w:p>
          <w:p w14:paraId="09C58FDC">
            <w:pPr>
              <w:widowControl/>
              <w:adjustRightInd w:val="0"/>
              <w:snapToGrid w:val="0"/>
              <w:spacing w:before="0" w:beforeAutospacing="0" w:after="0" w:afterAutospacing="0"/>
              <w:jc w:val="center"/>
              <w:rPr>
                <w:rFonts w:eastAsia="宋体"/>
                <w:kern w:val="2"/>
                <w:lang w:val="en-US" w:eastAsia="zh-CN" w:bidi="ar-SA"/>
              </w:rPr>
            </w:pPr>
          </w:p>
        </w:tc>
        <w:tc>
          <w:tcPr>
            <w:tcW w:w="8471" w:type="dxa"/>
            <w:noWrap w:val="0"/>
            <w:vAlign w:val="top"/>
          </w:tcPr>
          <w:p w14:paraId="69B953BB">
            <w:pPr>
              <w:widowControl w:val="0"/>
              <w:spacing w:line="360" w:lineRule="auto"/>
              <w:ind w:firstLine="482" w:firstLineChars="200"/>
              <w:jc w:val="left"/>
              <w:rPr>
                <w:rFonts w:eastAsia="宋体"/>
                <w:b/>
                <w:bCs/>
                <w:kern w:val="2"/>
                <w:lang w:val="en-US" w:eastAsia="zh-CN" w:bidi="ar-SA"/>
              </w:rPr>
            </w:pPr>
            <w:r>
              <w:rPr>
                <w:rFonts w:hint="eastAsia" w:eastAsia="宋体"/>
                <w:b/>
                <w:bCs/>
                <w:kern w:val="2"/>
                <w:lang w:val="en-US" w:eastAsia="zh-CN" w:bidi="ar-SA"/>
              </w:rPr>
              <w:t>1.</w:t>
            </w:r>
            <w:r>
              <w:rPr>
                <w:rFonts w:eastAsia="宋体"/>
                <w:b/>
                <w:bCs/>
                <w:kern w:val="2"/>
                <w:lang w:val="en-US" w:eastAsia="zh-CN" w:bidi="ar-SA"/>
              </w:rPr>
              <w:t>废气</w:t>
            </w:r>
          </w:p>
          <w:p w14:paraId="2993AE00">
            <w:pPr>
              <w:widowControl w:val="0"/>
              <w:spacing w:line="360" w:lineRule="auto"/>
              <w:ind w:firstLine="482" w:firstLineChars="200"/>
              <w:jc w:val="left"/>
              <w:rPr>
                <w:rFonts w:eastAsia="宋体"/>
                <w:b/>
                <w:bCs/>
                <w:kern w:val="2"/>
                <w:lang w:val="en-US" w:eastAsia="zh-CN" w:bidi="ar-SA"/>
              </w:rPr>
            </w:pPr>
            <w:r>
              <w:rPr>
                <w:rFonts w:eastAsia="宋体"/>
                <w:b/>
                <w:bCs/>
                <w:kern w:val="2"/>
                <w:lang w:val="en-US" w:eastAsia="zh-CN" w:bidi="ar-SA"/>
              </w:rPr>
              <w:t>1.1废气产生情况</w:t>
            </w:r>
          </w:p>
          <w:p w14:paraId="3BAD25AB">
            <w:pPr>
              <w:bidi w:val="0"/>
              <w:rPr>
                <w:rFonts w:hint="default"/>
                <w:lang w:val="en-US" w:eastAsia="zh-CN"/>
              </w:rPr>
            </w:pPr>
            <w:r>
              <w:rPr>
                <w:rFonts w:hint="eastAsia"/>
                <w:lang w:val="en-US" w:eastAsia="zh-CN"/>
              </w:rPr>
              <w:t>改</w:t>
            </w:r>
            <w:r>
              <w:rPr>
                <w:lang w:val="en-US" w:eastAsia="zh-CN"/>
              </w:rPr>
              <w:t>扩建项目运营期废气主要包括物料储存废气</w:t>
            </w:r>
            <w:r>
              <w:rPr>
                <w:rFonts w:hint="eastAsia"/>
                <w:lang w:val="en-US" w:eastAsia="zh-CN"/>
              </w:rPr>
              <w:t>、装卸废气、设备动静密封点废气</w:t>
            </w:r>
            <w:r>
              <w:rPr>
                <w:lang w:val="en-US" w:eastAsia="zh-CN"/>
              </w:rPr>
              <w:t>。</w:t>
            </w:r>
            <w:r>
              <w:rPr>
                <w:rFonts w:hint="eastAsia"/>
                <w:lang w:val="en-US" w:eastAsia="zh-CN"/>
              </w:rPr>
              <w:t>现有工程4个轻烃储罐和2个碳五烷烃储罐暂时停用，后续储罐用于储存现有工程中间产物，中间产物理化性质类似于轻烃和碳五烷烃，故本次不进行以新带老削减量核算。</w:t>
            </w:r>
          </w:p>
          <w:p w14:paraId="571C319D">
            <w:pPr>
              <w:bidi w:val="0"/>
              <w:rPr>
                <w:lang w:val="en-US" w:eastAsia="zh-CN"/>
              </w:rPr>
            </w:pPr>
            <w:r>
              <w:rPr>
                <w:lang w:val="en-US" w:eastAsia="zh-CN"/>
              </w:rPr>
              <w:t>（</w:t>
            </w:r>
            <w:r>
              <w:rPr>
                <w:rFonts w:hint="eastAsia"/>
                <w:lang w:val="en-US" w:eastAsia="zh-CN"/>
              </w:rPr>
              <w:t>1</w:t>
            </w:r>
            <w:r>
              <w:rPr>
                <w:lang w:val="en-US" w:eastAsia="zh-CN"/>
              </w:rPr>
              <w:t>）物料储存废气源强</w:t>
            </w:r>
          </w:p>
          <w:p w14:paraId="67524BE1">
            <w:pPr>
              <w:bidi w:val="0"/>
              <w:rPr>
                <w:lang w:val="en-US" w:eastAsia="zh-CN"/>
              </w:rPr>
            </w:pPr>
            <w:r>
              <w:rPr>
                <w:lang w:val="en-US" w:eastAsia="zh-CN"/>
              </w:rPr>
              <w:t>本项目1#轻烃原料/碳五烷烃球罐为压力储罐。依据《排放源统计调查产排污核算方法和系数手册》（环境部公告2021年第24号）中《工业源挥发性有机物通用源项产排污核算系数手册》“3.2挥发性有机物液体储存与装载”，压力储罐无需核算挥发性有机物储存废气排放量。因此，本项目不对物料储存</w:t>
            </w:r>
            <w:r>
              <w:rPr>
                <w:rFonts w:hint="eastAsia"/>
                <w:lang w:val="en-US" w:eastAsia="zh-CN"/>
              </w:rPr>
              <w:t>产生的</w:t>
            </w:r>
            <w:r>
              <w:rPr>
                <w:lang w:val="en-US" w:eastAsia="zh-CN"/>
              </w:rPr>
              <w:t>废气进行核算。</w:t>
            </w:r>
          </w:p>
          <w:p w14:paraId="6A6CD006">
            <w:pPr>
              <w:bidi w:val="0"/>
              <w:rPr>
                <w:lang w:val="en-US" w:eastAsia="zh-CN"/>
              </w:rPr>
            </w:pPr>
            <w:r>
              <w:rPr>
                <w:lang w:val="en-US" w:eastAsia="zh-CN"/>
              </w:rPr>
              <w:t>（</w:t>
            </w:r>
            <w:r>
              <w:rPr>
                <w:rFonts w:hint="eastAsia"/>
                <w:lang w:val="en-US" w:eastAsia="zh-CN"/>
              </w:rPr>
              <w:t>2</w:t>
            </w:r>
            <w:r>
              <w:rPr>
                <w:lang w:val="en-US" w:eastAsia="zh-CN"/>
              </w:rPr>
              <w:t>）物料装卸废气源强</w:t>
            </w:r>
          </w:p>
          <w:p w14:paraId="0E83E15C">
            <w:pPr>
              <w:bidi w:val="0"/>
              <w:rPr>
                <w:lang w:val="en-US" w:eastAsia="zh-CN"/>
              </w:rPr>
            </w:pPr>
            <w:r>
              <w:rPr>
                <w:lang w:val="en-US" w:eastAsia="zh-CN"/>
              </w:rPr>
              <w:t>项目采用底部装载方式，装车和卸车过程中有挥发性有机物排放，装卸过程挥发性有机物（VOCs）产生量参照《排放源统计调查产排污核算方法和系数手册》（生态环境部公告 2021 年第 24 号）中 "工业源挥发性有机物通用源项产排污核算系数手册"挥发性有机液体装载产生量计算公式核算</w:t>
            </w:r>
            <w:r>
              <w:rPr>
                <w:rFonts w:hint="eastAsia"/>
                <w:lang w:val="en-US" w:eastAsia="zh-CN"/>
              </w:rPr>
              <w:t>。</w:t>
            </w:r>
          </w:p>
          <w:p w14:paraId="09101CC7">
            <w:pPr>
              <w:keepNext w:val="0"/>
              <w:keepLines w:val="0"/>
              <w:widowControl/>
              <w:suppressLineNumbers w:val="0"/>
              <w:jc w:val="center"/>
              <w:rPr>
                <w:rFonts w:eastAsia="宋体"/>
                <w:kern w:val="2"/>
                <w:lang w:val="en-US" w:eastAsia="zh-CN" w:bidi="ar-SA"/>
              </w:rPr>
            </w:pPr>
            <w:r>
              <w:rPr>
                <w:rFonts w:eastAsia="宋体"/>
                <w:i/>
                <w:iCs/>
                <w:lang w:val="en-US" w:eastAsia="zh-CN" w:bidi="ar"/>
              </w:rPr>
              <w:t>D=</w:t>
            </w:r>
            <w:r>
              <w:rPr>
                <w:rFonts w:eastAsia="宋体"/>
                <w:lang w:val="en-US" w:eastAsia="zh-CN" w:bidi="ar"/>
              </w:rPr>
              <w:t></w:t>
            </w:r>
            <w:r>
              <w:rPr>
                <w:rFonts w:hint="eastAsia"/>
                <w:lang w:val="en-US" w:eastAsia="zh-CN" w:bidi="ar"/>
              </w:rPr>
              <w:t>（</w:t>
            </w:r>
            <w:r>
              <w:rPr>
                <w:rFonts w:hint="eastAsia" w:eastAsia="宋体"/>
                <w:i/>
                <w:iCs/>
                <w:lang w:val="en-US" w:eastAsia="zh-CN" w:bidi="ar"/>
              </w:rPr>
              <w:t>K</w:t>
            </w:r>
            <w:r>
              <w:rPr>
                <w:rFonts w:eastAsia="宋体"/>
                <w:i/>
                <w:iCs/>
                <w:lang w:val="en-US" w:eastAsia="zh-CN" w:bidi="ar"/>
              </w:rPr>
              <w:t>×Qi</w:t>
            </w:r>
            <w:r>
              <w:rPr>
                <w:rFonts w:hint="eastAsia"/>
                <w:lang w:val="en-US" w:eastAsia="zh-CN" w:bidi="ar"/>
              </w:rPr>
              <w:t>）</w:t>
            </w:r>
          </w:p>
          <w:p w14:paraId="448155D4">
            <w:pPr>
              <w:bidi w:val="0"/>
              <w:rPr>
                <w:lang w:val="en-US" w:eastAsia="zh-CN"/>
              </w:rPr>
            </w:pPr>
            <w:r>
              <w:rPr>
                <w:lang w:val="en-US" w:eastAsia="zh-CN"/>
              </w:rPr>
              <w:t>式中：</w:t>
            </w:r>
          </w:p>
          <w:p w14:paraId="74019442">
            <w:pPr>
              <w:bidi w:val="0"/>
              <w:rPr>
                <w:lang w:val="en-US" w:eastAsia="zh-CN"/>
              </w:rPr>
            </w:pPr>
            <w:r>
              <w:rPr>
                <w:lang w:val="en-US" w:eastAsia="zh-CN"/>
              </w:rPr>
              <w:t>D——挥发性有机物年产生量，千克/年。</w:t>
            </w:r>
          </w:p>
          <w:p w14:paraId="099C8A4E">
            <w:pPr>
              <w:bidi w:val="0"/>
              <w:ind w:firstLine="480" w:firstLineChars="200"/>
              <w:rPr>
                <w:lang w:val="en-US" w:eastAsia="zh-CN"/>
              </w:rPr>
            </w:pPr>
            <w:r>
              <w:rPr>
                <w:rFonts w:hint="eastAsia"/>
                <w:lang w:val="en-US" w:eastAsia="zh-CN"/>
              </w:rPr>
              <w:t>K</w:t>
            </w:r>
            <w:r>
              <w:rPr>
                <w:lang w:val="en-US" w:eastAsia="zh-CN"/>
              </w:rPr>
              <w:t>——装载系数，千克/</w:t>
            </w:r>
            <w:r>
              <w:rPr>
                <w:rFonts w:hint="eastAsia"/>
                <w:lang w:val="en-US" w:eastAsia="zh-CN"/>
              </w:rPr>
              <w:t>吨</w:t>
            </w:r>
            <w:r>
              <w:rPr>
                <w:lang w:val="en-US" w:eastAsia="zh-CN"/>
              </w:rPr>
              <w:t>-装载量</w:t>
            </w:r>
            <w:r>
              <w:rPr>
                <w:rFonts w:hint="eastAsia"/>
                <w:lang w:val="en-US" w:eastAsia="zh-CN"/>
              </w:rPr>
              <w:t>（</w:t>
            </w:r>
            <w:r>
              <w:rPr>
                <w:lang w:val="en-US" w:eastAsia="zh-CN"/>
              </w:rPr>
              <w:t>参照《排污许可证申请与核发技术规范 石化工业》（HJ 853—</w:t>
            </w:r>
            <w:r>
              <w:rPr>
                <w:rFonts w:hint="eastAsia"/>
                <w:lang w:val="en-US" w:eastAsia="zh-CN"/>
              </w:rPr>
              <w:t>2026</w:t>
            </w:r>
            <w:r>
              <w:rPr>
                <w:lang w:val="en-US" w:eastAsia="zh-CN"/>
              </w:rPr>
              <w:t>）</w:t>
            </w:r>
            <w:r>
              <w:rPr>
                <w:rFonts w:hint="eastAsia"/>
                <w:lang w:val="en-US" w:eastAsia="zh-CN"/>
              </w:rPr>
              <w:t>）</w:t>
            </w:r>
            <w:r>
              <w:rPr>
                <w:lang w:val="en-US" w:eastAsia="zh-CN"/>
              </w:rPr>
              <w:t>。</w:t>
            </w:r>
          </w:p>
          <w:p w14:paraId="6723FB9A">
            <w:pPr>
              <w:bidi w:val="0"/>
              <w:rPr>
                <w:lang w:val="en-US" w:eastAsia="zh-CN"/>
              </w:rPr>
            </w:pPr>
            <w:r>
              <w:rPr>
                <w:lang w:val="en-US" w:eastAsia="zh-CN"/>
              </w:rPr>
              <w:t>Qi——物料的年装载量，</w:t>
            </w:r>
            <w:r>
              <w:rPr>
                <w:rFonts w:hint="eastAsia"/>
                <w:lang w:val="en-US" w:eastAsia="zh-CN"/>
              </w:rPr>
              <w:t>吨</w:t>
            </w:r>
            <w:r>
              <w:rPr>
                <w:lang w:val="en-US" w:eastAsia="zh-CN"/>
              </w:rPr>
              <w:t>/年。</w:t>
            </w:r>
          </w:p>
          <w:p w14:paraId="21756F1D">
            <w:pPr>
              <w:bidi w:val="0"/>
              <w:rPr>
                <w:lang w:val="en-US" w:eastAsia="zh-CN"/>
              </w:rPr>
            </w:pPr>
            <w:r>
              <w:rPr>
                <w:lang w:val="en-US" w:eastAsia="zh-CN"/>
              </w:rPr>
              <w:t>物料装卸过程相关参数及挥发性有机物产生量详见表4-</w:t>
            </w:r>
            <w:r>
              <w:rPr>
                <w:rFonts w:hint="eastAsia"/>
                <w:lang w:val="en-US" w:eastAsia="zh-CN"/>
              </w:rPr>
              <w:t>1</w:t>
            </w:r>
            <w:r>
              <w:rPr>
                <w:lang w:val="en-US" w:eastAsia="zh-CN"/>
              </w:rPr>
              <w:t>。</w:t>
            </w:r>
          </w:p>
          <w:p w14:paraId="772DF7AD">
            <w:pPr>
              <w:pStyle w:val="4"/>
              <w:bidi w:val="0"/>
              <w:rPr>
                <w:lang w:val="en-US" w:eastAsia="zh-CN"/>
              </w:rPr>
            </w:pPr>
            <w:r>
              <w:rPr>
                <w:lang w:val="en-US" w:eastAsia="zh-CN"/>
              </w:rPr>
              <w:t>表4-</w:t>
            </w:r>
            <w:r>
              <w:rPr>
                <w:rFonts w:hint="eastAsia"/>
                <w:lang w:val="en-US" w:eastAsia="zh-CN"/>
              </w:rPr>
              <w:t>1</w:t>
            </w:r>
            <w:r>
              <w:rPr>
                <w:lang w:val="en-US" w:eastAsia="zh-CN"/>
              </w:rPr>
              <w:t xml:space="preserve">  装载过程中计算参数及产生量</w:t>
            </w:r>
          </w:p>
          <w:tbl>
            <w:tblPr>
              <w:tblStyle w:val="29"/>
              <w:tblW w:w="4998"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83"/>
              <w:gridCol w:w="1294"/>
              <w:gridCol w:w="992"/>
              <w:gridCol w:w="4573"/>
            </w:tblGrid>
            <w:tr w14:paraId="6FC3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839" w:type="pct"/>
                  <w:vMerge w:val="restart"/>
                  <w:vAlign w:val="center"/>
                </w:tcPr>
                <w:p w14:paraId="1BE38A4E">
                  <w:pPr>
                    <w:pStyle w:val="5"/>
                    <w:bidi w:val="0"/>
                    <w:rPr>
                      <w:highlight w:val="none"/>
                      <w:lang w:val="en-US" w:eastAsia="zh-CN"/>
                    </w:rPr>
                  </w:pPr>
                  <w:r>
                    <w:rPr>
                      <w:highlight w:val="none"/>
                      <w:lang w:val="en-US" w:eastAsia="zh-CN"/>
                    </w:rPr>
                    <w:t>物料名称</w:t>
                  </w:r>
                </w:p>
              </w:tc>
              <w:tc>
                <w:tcPr>
                  <w:tcW w:w="1387" w:type="pct"/>
                  <w:gridSpan w:val="2"/>
                  <w:vAlign w:val="center"/>
                </w:tcPr>
                <w:p w14:paraId="0C4D02E5">
                  <w:pPr>
                    <w:pStyle w:val="5"/>
                    <w:bidi w:val="0"/>
                    <w:rPr>
                      <w:highlight w:val="none"/>
                      <w:lang w:val="en-US" w:eastAsia="zh-CN"/>
                    </w:rPr>
                  </w:pPr>
                  <w:r>
                    <w:rPr>
                      <w:highlight w:val="none"/>
                      <w:lang w:val="en-US" w:eastAsia="zh-CN"/>
                    </w:rPr>
                    <w:t>计算参数</w:t>
                  </w:r>
                </w:p>
              </w:tc>
              <w:tc>
                <w:tcPr>
                  <w:tcW w:w="2773" w:type="pct"/>
                  <w:vMerge w:val="restart"/>
                  <w:vAlign w:val="center"/>
                </w:tcPr>
                <w:p w14:paraId="5369F976">
                  <w:pPr>
                    <w:pStyle w:val="5"/>
                    <w:bidi w:val="0"/>
                    <w:rPr>
                      <w:highlight w:val="none"/>
                      <w:lang w:val="en-US" w:eastAsia="zh-CN"/>
                    </w:rPr>
                  </w:pPr>
                  <w:r>
                    <w:rPr>
                      <w:highlight w:val="none"/>
                      <w:lang w:val="en-US" w:eastAsia="zh-CN"/>
                    </w:rPr>
                    <w:t>计算结果（kg/a）</w:t>
                  </w:r>
                </w:p>
              </w:tc>
            </w:tr>
            <w:tr w14:paraId="5CADC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839" w:type="pct"/>
                  <w:vMerge w:val="continue"/>
                  <w:vAlign w:val="center"/>
                </w:tcPr>
                <w:p w14:paraId="716FDD7C">
                  <w:pPr>
                    <w:pStyle w:val="5"/>
                    <w:bidi w:val="0"/>
                    <w:rPr>
                      <w:highlight w:val="none"/>
                      <w:lang w:val="en-US" w:eastAsia="zh-CN"/>
                    </w:rPr>
                  </w:pPr>
                </w:p>
              </w:tc>
              <w:tc>
                <w:tcPr>
                  <w:tcW w:w="785" w:type="pct"/>
                  <w:vAlign w:val="center"/>
                </w:tcPr>
                <w:p w14:paraId="16C2B2FD">
                  <w:pPr>
                    <w:pStyle w:val="5"/>
                    <w:bidi w:val="0"/>
                    <w:rPr>
                      <w:highlight w:val="none"/>
                      <w:lang w:val="en-US" w:eastAsia="zh-CN"/>
                    </w:rPr>
                  </w:pPr>
                  <w:r>
                    <w:rPr>
                      <w:rFonts w:hint="eastAsia"/>
                      <w:highlight w:val="none"/>
                      <w:lang w:val="en-US" w:eastAsia="zh-CN"/>
                    </w:rPr>
                    <w:t>k</w:t>
                  </w:r>
                </w:p>
              </w:tc>
              <w:tc>
                <w:tcPr>
                  <w:tcW w:w="601" w:type="pct"/>
                  <w:vAlign w:val="center"/>
                </w:tcPr>
                <w:p w14:paraId="4DA11003">
                  <w:pPr>
                    <w:pStyle w:val="5"/>
                    <w:bidi w:val="0"/>
                    <w:rPr>
                      <w:highlight w:val="none"/>
                      <w:lang w:val="en-US" w:eastAsia="zh-CN"/>
                    </w:rPr>
                  </w:pPr>
                  <w:r>
                    <w:rPr>
                      <w:highlight w:val="none"/>
                      <w:lang w:val="en-US" w:eastAsia="zh-CN"/>
                    </w:rPr>
                    <w:t>Qi</w:t>
                  </w:r>
                </w:p>
              </w:tc>
              <w:tc>
                <w:tcPr>
                  <w:tcW w:w="2773" w:type="pct"/>
                  <w:vMerge w:val="continue"/>
                  <w:vAlign w:val="center"/>
                </w:tcPr>
                <w:p w14:paraId="374F1DCB">
                  <w:pPr>
                    <w:pStyle w:val="5"/>
                    <w:bidi w:val="0"/>
                    <w:rPr>
                      <w:highlight w:val="none"/>
                      <w:lang w:val="en-US" w:eastAsia="zh-CN"/>
                    </w:rPr>
                  </w:pPr>
                </w:p>
              </w:tc>
            </w:tr>
            <w:tr w14:paraId="1B4F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000" w:type="pct"/>
                  <w:gridSpan w:val="4"/>
                  <w:vAlign w:val="center"/>
                </w:tcPr>
                <w:p w14:paraId="75E44722">
                  <w:pPr>
                    <w:pStyle w:val="5"/>
                    <w:bidi w:val="0"/>
                    <w:rPr>
                      <w:highlight w:val="none"/>
                      <w:lang w:val="en-US" w:eastAsia="zh-CN"/>
                    </w:rPr>
                  </w:pPr>
                  <w:r>
                    <w:rPr>
                      <w:highlight w:val="none"/>
                      <w:lang w:val="en-US" w:eastAsia="zh-CN"/>
                    </w:rPr>
                    <w:t>卸车过程</w:t>
                  </w:r>
                </w:p>
              </w:tc>
            </w:tr>
            <w:tr w14:paraId="5B5E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839" w:type="pct"/>
                  <w:vAlign w:val="center"/>
                </w:tcPr>
                <w:p w14:paraId="6F0381AF">
                  <w:pPr>
                    <w:pStyle w:val="5"/>
                    <w:bidi w:val="0"/>
                    <w:rPr>
                      <w:highlight w:val="none"/>
                      <w:lang w:val="en-US" w:eastAsia="zh-CN"/>
                    </w:rPr>
                  </w:pPr>
                  <w:r>
                    <w:rPr>
                      <w:rFonts w:hint="eastAsia"/>
                      <w:highlight w:val="none"/>
                      <w:lang w:val="en-US" w:eastAsia="zh-CN"/>
                    </w:rPr>
                    <w:t>1#</w:t>
                  </w:r>
                  <w:r>
                    <w:rPr>
                      <w:highlight w:val="none"/>
                      <w:lang w:val="en-US" w:eastAsia="zh-CN"/>
                    </w:rPr>
                    <w:t>轻烃</w:t>
                  </w:r>
                </w:p>
              </w:tc>
              <w:tc>
                <w:tcPr>
                  <w:tcW w:w="785" w:type="pct"/>
                  <w:vAlign w:val="center"/>
                </w:tcPr>
                <w:p w14:paraId="1D4D919E">
                  <w:pPr>
                    <w:pStyle w:val="5"/>
                    <w:bidi w:val="0"/>
                    <w:rPr>
                      <w:rFonts w:hint="default"/>
                      <w:highlight w:val="none"/>
                      <w:lang w:val="en-US" w:eastAsia="zh-CN"/>
                    </w:rPr>
                  </w:pPr>
                  <w:r>
                    <w:rPr>
                      <w:highlight w:val="none"/>
                      <w:lang w:val="en-US" w:eastAsia="zh-CN"/>
                    </w:rPr>
                    <w:t>0.017</w:t>
                  </w:r>
                </w:p>
              </w:tc>
              <w:tc>
                <w:tcPr>
                  <w:tcW w:w="601" w:type="pct"/>
                  <w:vAlign w:val="center"/>
                </w:tcPr>
                <w:p w14:paraId="1AF071C5">
                  <w:pPr>
                    <w:pStyle w:val="5"/>
                    <w:bidi w:val="0"/>
                    <w:rPr>
                      <w:rFonts w:hint="default"/>
                      <w:highlight w:val="none"/>
                      <w:lang w:val="en-US" w:eastAsia="zh-CN"/>
                    </w:rPr>
                  </w:pPr>
                  <w:r>
                    <w:rPr>
                      <w:rFonts w:hint="eastAsia"/>
                      <w:highlight w:val="none"/>
                      <w:lang w:val="en-US" w:eastAsia="zh-CN"/>
                    </w:rPr>
                    <w:t>142000</w:t>
                  </w:r>
                </w:p>
              </w:tc>
              <w:tc>
                <w:tcPr>
                  <w:tcW w:w="2773" w:type="pct"/>
                  <w:vAlign w:val="center"/>
                </w:tcPr>
                <w:p w14:paraId="1E144F34">
                  <w:pPr>
                    <w:pStyle w:val="5"/>
                    <w:bidi w:val="0"/>
                    <w:rPr>
                      <w:highlight w:val="none"/>
                      <w:lang w:val="en-US" w:eastAsia="zh-CN"/>
                    </w:rPr>
                  </w:pPr>
                  <w:r>
                    <w:rPr>
                      <w:rFonts w:hint="eastAsia"/>
                      <w:highlight w:val="none"/>
                      <w:lang w:val="en-US" w:eastAsia="zh-CN"/>
                    </w:rPr>
                    <w:t>2414</w:t>
                  </w:r>
                  <w:r>
                    <w:rPr>
                      <w:highlight w:val="none"/>
                      <w:lang w:val="en-US" w:eastAsia="zh-CN"/>
                    </w:rPr>
                    <w:t>（其中</w:t>
                  </w:r>
                  <w:r>
                    <w:rPr>
                      <w:rFonts w:hint="eastAsia"/>
                      <w:highlight w:val="none"/>
                      <w:lang w:val="en-US" w:eastAsia="zh-CN"/>
                    </w:rPr>
                    <w:t>正己烷15.57、</w:t>
                  </w:r>
                  <w:r>
                    <w:rPr>
                      <w:highlight w:val="none"/>
                      <w:lang w:val="en-US" w:eastAsia="zh-CN"/>
                    </w:rPr>
                    <w:t>苯</w:t>
                  </w:r>
                  <w:r>
                    <w:rPr>
                      <w:rFonts w:hint="eastAsia"/>
                      <w:highlight w:val="none"/>
                      <w:lang w:val="en-US" w:eastAsia="zh-CN"/>
                    </w:rPr>
                    <w:t>0.845</w:t>
                  </w:r>
                  <w:r>
                    <w:rPr>
                      <w:highlight w:val="none"/>
                      <w:lang w:val="en-US" w:eastAsia="zh-CN"/>
                    </w:rPr>
                    <w:t>、甲苯</w:t>
                  </w:r>
                  <w:r>
                    <w:rPr>
                      <w:rFonts w:hint="eastAsia"/>
                      <w:highlight w:val="none"/>
                      <w:lang w:val="en-US" w:eastAsia="zh-CN"/>
                    </w:rPr>
                    <w:t>2.535</w:t>
                  </w:r>
                  <w:r>
                    <w:rPr>
                      <w:highlight w:val="none"/>
                      <w:lang w:val="en-US" w:eastAsia="zh-CN"/>
                    </w:rPr>
                    <w:t>）</w:t>
                  </w:r>
                </w:p>
              </w:tc>
            </w:tr>
            <w:tr w14:paraId="3A78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000" w:type="pct"/>
                  <w:gridSpan w:val="4"/>
                  <w:vAlign w:val="center"/>
                </w:tcPr>
                <w:p w14:paraId="03402A1E">
                  <w:pPr>
                    <w:pStyle w:val="5"/>
                    <w:bidi w:val="0"/>
                    <w:rPr>
                      <w:highlight w:val="none"/>
                      <w:lang w:val="en-US" w:eastAsia="zh-CN"/>
                    </w:rPr>
                  </w:pPr>
                  <w:r>
                    <w:rPr>
                      <w:highlight w:val="none"/>
                      <w:lang w:val="en-US" w:eastAsia="zh-CN"/>
                    </w:rPr>
                    <w:t>装车过程</w:t>
                  </w:r>
                </w:p>
              </w:tc>
            </w:tr>
            <w:tr w14:paraId="7A46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839" w:type="pct"/>
                  <w:vAlign w:val="center"/>
                </w:tcPr>
                <w:p w14:paraId="04BB381F">
                  <w:pPr>
                    <w:pStyle w:val="5"/>
                    <w:bidi w:val="0"/>
                    <w:rPr>
                      <w:highlight w:val="none"/>
                      <w:lang w:val="en-US" w:eastAsia="zh-CN"/>
                    </w:rPr>
                  </w:pPr>
                  <w:r>
                    <w:rPr>
                      <w:highlight w:val="none"/>
                      <w:lang w:val="en-US" w:eastAsia="zh-CN"/>
                    </w:rPr>
                    <w:t>碳五烷烃</w:t>
                  </w:r>
                </w:p>
              </w:tc>
              <w:tc>
                <w:tcPr>
                  <w:tcW w:w="785" w:type="pct"/>
                  <w:vAlign w:val="center"/>
                </w:tcPr>
                <w:p w14:paraId="4EC4A616">
                  <w:pPr>
                    <w:pStyle w:val="5"/>
                    <w:bidi w:val="0"/>
                    <w:rPr>
                      <w:highlight w:val="none"/>
                      <w:lang w:val="en-US" w:eastAsia="zh-CN"/>
                    </w:rPr>
                  </w:pPr>
                  <w:r>
                    <w:rPr>
                      <w:highlight w:val="none"/>
                      <w:lang w:val="en-US" w:eastAsia="zh-CN"/>
                    </w:rPr>
                    <w:t>0.022</w:t>
                  </w:r>
                </w:p>
              </w:tc>
              <w:tc>
                <w:tcPr>
                  <w:tcW w:w="601" w:type="pct"/>
                  <w:vAlign w:val="center"/>
                </w:tcPr>
                <w:p w14:paraId="5E1931E8">
                  <w:pPr>
                    <w:pStyle w:val="5"/>
                    <w:bidi w:val="0"/>
                    <w:rPr>
                      <w:rFonts w:hint="default"/>
                      <w:highlight w:val="none"/>
                      <w:lang w:val="en-US" w:eastAsia="zh-CN"/>
                    </w:rPr>
                  </w:pPr>
                  <w:r>
                    <w:rPr>
                      <w:rFonts w:hint="eastAsia"/>
                      <w:highlight w:val="none"/>
                      <w:lang w:val="en-US" w:eastAsia="zh-CN"/>
                    </w:rPr>
                    <w:t>7200</w:t>
                  </w:r>
                </w:p>
              </w:tc>
              <w:tc>
                <w:tcPr>
                  <w:tcW w:w="2773" w:type="pct"/>
                  <w:vAlign w:val="center"/>
                </w:tcPr>
                <w:p w14:paraId="39FCA4C1">
                  <w:pPr>
                    <w:pStyle w:val="5"/>
                    <w:bidi w:val="0"/>
                    <w:rPr>
                      <w:highlight w:val="none"/>
                      <w:lang w:val="en-US" w:eastAsia="zh-CN"/>
                    </w:rPr>
                  </w:pPr>
                  <w:r>
                    <w:rPr>
                      <w:rFonts w:hint="eastAsia"/>
                      <w:highlight w:val="none"/>
                      <w:lang w:val="en-US" w:eastAsia="zh-CN"/>
                    </w:rPr>
                    <w:t>158.4</w:t>
                  </w:r>
                  <w:r>
                    <w:rPr>
                      <w:highlight w:val="none"/>
                      <w:lang w:val="en-US" w:eastAsia="zh-CN"/>
                    </w:rPr>
                    <w:t>（其中</w:t>
                  </w:r>
                  <w:r>
                    <w:rPr>
                      <w:rFonts w:hint="eastAsia"/>
                      <w:highlight w:val="none"/>
                      <w:lang w:val="en-US" w:eastAsia="zh-CN"/>
                    </w:rPr>
                    <w:t>正己烷0.781、</w:t>
                  </w:r>
                  <w:r>
                    <w:rPr>
                      <w:highlight w:val="none"/>
                      <w:lang w:val="en-US" w:eastAsia="zh-CN"/>
                    </w:rPr>
                    <w:t>苯</w:t>
                  </w:r>
                  <w:r>
                    <w:rPr>
                      <w:rFonts w:hint="eastAsia"/>
                      <w:highlight w:val="none"/>
                      <w:lang w:val="en-US" w:eastAsia="zh-CN"/>
                    </w:rPr>
                    <w:t>0.149</w:t>
                  </w:r>
                  <w:r>
                    <w:rPr>
                      <w:highlight w:val="none"/>
                      <w:lang w:val="en-US" w:eastAsia="zh-CN"/>
                    </w:rPr>
                    <w:t>）</w:t>
                  </w:r>
                </w:p>
              </w:tc>
            </w:tr>
            <w:tr w14:paraId="1F79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26" w:type="pct"/>
                  <w:gridSpan w:val="3"/>
                  <w:vAlign w:val="center"/>
                </w:tcPr>
                <w:p w14:paraId="68F94BE6">
                  <w:pPr>
                    <w:pStyle w:val="5"/>
                    <w:bidi w:val="0"/>
                    <w:rPr>
                      <w:highlight w:val="none"/>
                      <w:lang w:val="en-US" w:eastAsia="zh-CN"/>
                    </w:rPr>
                  </w:pPr>
                  <w:r>
                    <w:rPr>
                      <w:highlight w:val="none"/>
                      <w:lang w:val="en-US" w:eastAsia="zh-CN"/>
                    </w:rPr>
                    <w:t>合计</w:t>
                  </w:r>
                </w:p>
              </w:tc>
              <w:tc>
                <w:tcPr>
                  <w:tcW w:w="2773" w:type="pct"/>
                  <w:vAlign w:val="center"/>
                </w:tcPr>
                <w:p w14:paraId="4A96F395">
                  <w:pPr>
                    <w:pStyle w:val="5"/>
                    <w:bidi w:val="0"/>
                    <w:rPr>
                      <w:highlight w:val="none"/>
                      <w:lang w:val="en-US" w:eastAsia="zh-CN"/>
                    </w:rPr>
                  </w:pPr>
                  <w:r>
                    <w:rPr>
                      <w:rFonts w:hint="eastAsia"/>
                      <w:highlight w:val="none"/>
                      <w:lang w:val="en-US" w:eastAsia="zh-CN"/>
                    </w:rPr>
                    <w:t>2572.4</w:t>
                  </w:r>
                  <w:r>
                    <w:rPr>
                      <w:highlight w:val="none"/>
                      <w:lang w:val="en-US" w:eastAsia="zh-CN"/>
                    </w:rPr>
                    <w:t>（其中</w:t>
                  </w:r>
                  <w:r>
                    <w:rPr>
                      <w:rFonts w:hint="eastAsia"/>
                      <w:highlight w:val="none"/>
                      <w:lang w:val="en-US" w:eastAsia="zh-CN"/>
                    </w:rPr>
                    <w:t>正己烷16.351、苯0.994、甲苯2.535</w:t>
                  </w:r>
                  <w:r>
                    <w:rPr>
                      <w:highlight w:val="none"/>
                      <w:lang w:val="en-US" w:eastAsia="zh-CN"/>
                    </w:rPr>
                    <w:t>）</w:t>
                  </w:r>
                </w:p>
              </w:tc>
            </w:tr>
            <w:tr w14:paraId="206B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5000" w:type="pct"/>
                  <w:gridSpan w:val="4"/>
                  <w:vAlign w:val="center"/>
                </w:tcPr>
                <w:p w14:paraId="6B8E5179">
                  <w:pPr>
                    <w:pStyle w:val="5"/>
                    <w:bidi w:val="0"/>
                    <w:rPr>
                      <w:rFonts w:hint="default"/>
                      <w:highlight w:val="none"/>
                      <w:lang w:val="en-US" w:eastAsia="zh-CN"/>
                    </w:rPr>
                  </w:pPr>
                  <w:r>
                    <w:rPr>
                      <w:highlight w:val="none"/>
                      <w:lang w:val="en-US" w:eastAsia="en-US"/>
                    </w:rPr>
                    <w:t>注：</w:t>
                  </w:r>
                  <w:r>
                    <w:rPr>
                      <w:rFonts w:hint="eastAsia"/>
                      <w:highlight w:val="none"/>
                      <w:lang w:val="en-US" w:eastAsia="en-US"/>
                    </w:rPr>
                    <w:t>正己烷</w:t>
                  </w:r>
                  <w:r>
                    <w:rPr>
                      <w:rFonts w:hint="eastAsia"/>
                      <w:highlight w:val="none"/>
                      <w:lang w:val="en-US" w:eastAsia="zh-CN"/>
                    </w:rPr>
                    <w:t>、</w:t>
                  </w:r>
                  <w:r>
                    <w:rPr>
                      <w:highlight w:val="none"/>
                      <w:lang w:val="en-US" w:eastAsia="en-US"/>
                    </w:rPr>
                    <w:t>苯、甲苯的含量根据建设方提供的物料组分中成分占比进行计算，轻烃中苯占比为</w:t>
                  </w:r>
                  <w:r>
                    <w:rPr>
                      <w:rFonts w:hint="eastAsia"/>
                      <w:highlight w:val="none"/>
                      <w:lang w:val="en-US" w:eastAsia="zh-CN"/>
                    </w:rPr>
                    <w:t>0.035</w:t>
                  </w:r>
                  <w:r>
                    <w:rPr>
                      <w:highlight w:val="none"/>
                      <w:lang w:val="en-US" w:eastAsia="en-US"/>
                    </w:rPr>
                    <w:t>%、甲苯占比为</w:t>
                  </w:r>
                  <w:r>
                    <w:rPr>
                      <w:rFonts w:hint="eastAsia"/>
                      <w:highlight w:val="none"/>
                      <w:lang w:val="en-US" w:eastAsia="zh-CN"/>
                    </w:rPr>
                    <w:t>0.105</w:t>
                  </w:r>
                  <w:r>
                    <w:rPr>
                      <w:highlight w:val="none"/>
                      <w:lang w:val="en-US" w:eastAsia="en-US"/>
                    </w:rPr>
                    <w:t>%</w:t>
                  </w:r>
                  <w:r>
                    <w:rPr>
                      <w:rFonts w:hint="eastAsia"/>
                      <w:highlight w:val="none"/>
                      <w:lang w:val="en-US" w:eastAsia="zh-CN"/>
                    </w:rPr>
                    <w:t>、正己烷0.645%；碳五烷烃中苯的占比为0.094%、正己烷0.493%。</w:t>
                  </w:r>
                </w:p>
              </w:tc>
            </w:tr>
          </w:tbl>
          <w:p w14:paraId="69C3F71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eastAsia="宋体"/>
                <w:bCs/>
                <w:kern w:val="2"/>
                <w:lang w:val="en-US" w:eastAsia="zh-CN" w:bidi="ar-SA"/>
              </w:rPr>
            </w:pPr>
          </w:p>
          <w:p w14:paraId="0468380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eastAsia="宋体"/>
                <w:bCs/>
                <w:kern w:val="2"/>
                <w:lang w:val="en-US" w:eastAsia="zh-CN" w:bidi="ar-SA"/>
              </w:rPr>
            </w:pPr>
            <w:r>
              <w:rPr>
                <w:rFonts w:eastAsia="宋体"/>
                <w:kern w:val="2"/>
                <w:lang w:val="en-US" w:eastAsia="zh-CN" w:bidi="ar-SA"/>
              </w:rPr>
              <w:t>卸车区设置气体回收机组</w:t>
            </w:r>
            <w:r>
              <w:rPr>
                <w:rFonts w:hint="eastAsia"/>
                <w:kern w:val="2"/>
                <w:lang w:val="en-US" w:eastAsia="zh-CN" w:bidi="ar-SA"/>
              </w:rPr>
              <w:t>（收集效率95%）</w:t>
            </w:r>
            <w:r>
              <w:rPr>
                <w:rFonts w:eastAsia="宋体"/>
                <w:kern w:val="2"/>
                <w:lang w:val="en-US" w:eastAsia="zh-CN" w:bidi="ar-SA"/>
              </w:rPr>
              <w:t>，</w:t>
            </w:r>
            <w:r>
              <w:rPr>
                <w:rFonts w:hint="eastAsia" w:eastAsia="宋体"/>
                <w:kern w:val="2"/>
                <w:lang w:val="en-US" w:eastAsia="zh-CN" w:bidi="ar-SA"/>
              </w:rPr>
              <w:t>回</w:t>
            </w:r>
            <w:r>
              <w:rPr>
                <w:rFonts w:eastAsia="宋体"/>
                <w:kern w:val="2"/>
                <w:lang w:val="en-US" w:eastAsia="zh-CN" w:bidi="ar-SA"/>
              </w:rPr>
              <w:t>收后进入导热油炉作为燃料焚烧，</w:t>
            </w:r>
            <w:r>
              <w:rPr>
                <w:rFonts w:hint="eastAsia" w:eastAsia="宋体"/>
                <w:kern w:val="2"/>
                <w:lang w:val="en-US" w:eastAsia="zh-CN" w:bidi="ar-SA"/>
              </w:rPr>
              <w:t>年工作时间8000小时，依据《石油化学工业污染物排放标准》（GB31571-2015）（含2024年修改单）要求非甲烷总烃去除效率应≥95%，本次评价取95%。</w:t>
            </w:r>
            <w:r>
              <w:rPr>
                <w:rFonts w:eastAsia="宋体"/>
                <w:kern w:val="2"/>
                <w:lang w:val="en-US" w:eastAsia="zh-CN" w:bidi="ar-SA"/>
              </w:rPr>
              <w:t>根据例行监测数据，导热油炉烟气量约为6000</w:t>
            </w:r>
            <w:r>
              <w:rPr>
                <w:rFonts w:eastAsia="宋体"/>
                <w:bCs/>
                <w:kern w:val="2"/>
                <w:lang w:val="en-US" w:eastAsia="zh-CN" w:bidi="ar-SA"/>
              </w:rPr>
              <w:t>m</w:t>
            </w:r>
            <w:r>
              <w:rPr>
                <w:rFonts w:eastAsia="宋体"/>
                <w:bCs/>
                <w:kern w:val="2"/>
                <w:vertAlign w:val="superscript"/>
                <w:lang w:val="en-US" w:eastAsia="zh-CN" w:bidi="ar-SA"/>
              </w:rPr>
              <w:t>3</w:t>
            </w:r>
            <w:r>
              <w:rPr>
                <w:rFonts w:eastAsia="宋体"/>
                <w:bCs/>
                <w:kern w:val="2"/>
                <w:lang w:val="en-US" w:eastAsia="zh-CN" w:bidi="ar-SA"/>
              </w:rPr>
              <w:t>/h</w:t>
            </w:r>
            <w:r>
              <w:rPr>
                <w:rFonts w:eastAsia="宋体"/>
                <w:kern w:val="2"/>
                <w:lang w:val="en-US" w:eastAsia="zh-CN" w:bidi="ar-SA"/>
              </w:rPr>
              <w:t>。卸车废气</w:t>
            </w:r>
            <w:r>
              <w:rPr>
                <w:rFonts w:eastAsia="宋体"/>
                <w:bCs/>
                <w:kern w:val="2"/>
                <w:lang w:val="en-US" w:eastAsia="zh-CN" w:bidi="ar-SA"/>
              </w:rPr>
              <w:t>挥发性有机物的产生、排放情况见表4-</w:t>
            </w:r>
            <w:r>
              <w:rPr>
                <w:rFonts w:hint="eastAsia" w:eastAsia="宋体"/>
                <w:bCs/>
                <w:kern w:val="2"/>
                <w:lang w:val="en-US" w:eastAsia="zh-CN" w:bidi="ar-SA"/>
              </w:rPr>
              <w:t>2</w:t>
            </w:r>
            <w:r>
              <w:rPr>
                <w:rFonts w:eastAsia="宋体"/>
                <w:bCs/>
                <w:kern w:val="2"/>
                <w:lang w:val="en-US" w:eastAsia="zh-CN" w:bidi="ar-SA"/>
              </w:rPr>
              <w:t>。</w:t>
            </w:r>
          </w:p>
          <w:p w14:paraId="265BA40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eastAsia="宋体"/>
                <w:bCs/>
                <w:kern w:val="2"/>
                <w:lang w:val="en-US" w:eastAsia="zh-CN" w:bidi="ar-SA"/>
              </w:rPr>
            </w:pPr>
            <w:r>
              <w:rPr>
                <w:rFonts w:eastAsia="宋体"/>
                <w:bCs/>
                <w:kern w:val="2"/>
                <w:lang w:val="en-US" w:eastAsia="zh-CN" w:bidi="ar-SA"/>
              </w:rPr>
              <w:t>装车过程</w:t>
            </w:r>
            <w:r>
              <w:rPr>
                <w:rFonts w:hint="eastAsia" w:eastAsia="宋体"/>
                <w:bCs/>
                <w:kern w:val="2"/>
                <w:lang w:val="en-US" w:eastAsia="zh-CN" w:bidi="ar-SA"/>
              </w:rPr>
              <w:t>产生的废气</w:t>
            </w:r>
            <w:r>
              <w:rPr>
                <w:rFonts w:hint="eastAsia"/>
                <w:bCs/>
                <w:kern w:val="2"/>
                <w:lang w:val="en-US" w:eastAsia="zh-CN" w:bidi="ar-SA"/>
              </w:rPr>
              <w:t>经管道收集（收集效率95%），进入</w:t>
            </w:r>
            <w:r>
              <w:rPr>
                <w:rFonts w:hint="eastAsia" w:eastAsia="宋体"/>
                <w:bCs/>
                <w:kern w:val="2"/>
                <w:lang w:val="en-US" w:eastAsia="zh-CN" w:bidi="ar-SA"/>
              </w:rPr>
              <w:t>厂区现有油气</w:t>
            </w:r>
            <w:r>
              <w:rPr>
                <w:rFonts w:eastAsia="宋体"/>
                <w:bCs/>
                <w:kern w:val="2"/>
                <w:lang w:val="en-US" w:eastAsia="zh-CN" w:bidi="ar-SA"/>
              </w:rPr>
              <w:t>回收装置</w:t>
            </w:r>
            <w:r>
              <w:rPr>
                <w:rFonts w:hint="eastAsia" w:eastAsia="宋体"/>
                <w:bCs/>
                <w:kern w:val="2"/>
                <w:lang w:val="en-US" w:eastAsia="zh-CN" w:bidi="ar-SA"/>
              </w:rPr>
              <w:t>处理（</w:t>
            </w:r>
            <w:r>
              <w:rPr>
                <w:rFonts w:eastAsia="宋体"/>
                <w:bCs/>
                <w:kern w:val="2"/>
                <w:lang w:val="en-US" w:eastAsia="zh-CN" w:bidi="ar-SA"/>
              </w:rPr>
              <w:t>冷凝</w:t>
            </w:r>
            <w:r>
              <w:rPr>
                <w:rFonts w:hint="eastAsia" w:eastAsia="宋体"/>
                <w:bCs/>
                <w:kern w:val="2"/>
                <w:lang w:val="en-US" w:eastAsia="zh-CN" w:bidi="ar-SA"/>
              </w:rPr>
              <w:t>+</w:t>
            </w:r>
            <w:r>
              <w:rPr>
                <w:rFonts w:eastAsia="宋体"/>
                <w:bCs/>
                <w:kern w:val="2"/>
                <w:lang w:val="en-US" w:eastAsia="zh-CN" w:bidi="ar-SA"/>
              </w:rPr>
              <w:t>活性炭吸附</w:t>
            </w:r>
            <w:r>
              <w:rPr>
                <w:rFonts w:hint="eastAsia" w:eastAsia="宋体"/>
                <w:bCs/>
                <w:kern w:val="2"/>
                <w:lang w:val="en-US" w:eastAsia="zh-CN" w:bidi="ar-SA"/>
              </w:rPr>
              <w:t>）</w:t>
            </w:r>
            <w:r>
              <w:rPr>
                <w:rFonts w:eastAsia="宋体"/>
                <w:bCs/>
                <w:kern w:val="2"/>
                <w:lang w:val="en-US" w:eastAsia="zh-CN" w:bidi="ar-SA"/>
              </w:rPr>
              <w:t>，</w:t>
            </w:r>
            <w:r>
              <w:rPr>
                <w:rFonts w:hint="eastAsia"/>
                <w:bCs/>
                <w:kern w:val="2"/>
                <w:lang w:val="en-US" w:eastAsia="zh-CN" w:bidi="ar-SA"/>
              </w:rPr>
              <w:t>年</w:t>
            </w:r>
            <w:r>
              <w:rPr>
                <w:rFonts w:hint="eastAsia" w:eastAsia="宋体"/>
                <w:bCs/>
                <w:kern w:val="2"/>
                <w:lang w:val="en-US" w:eastAsia="zh-CN" w:bidi="ar-SA"/>
              </w:rPr>
              <w:t>工作时间8000小时</w:t>
            </w:r>
            <w:r>
              <w:rPr>
                <w:rFonts w:hint="eastAsia"/>
                <w:bCs/>
                <w:kern w:val="2"/>
                <w:lang w:val="en-US" w:eastAsia="zh-CN" w:bidi="ar-SA"/>
              </w:rPr>
              <w:t>，</w:t>
            </w:r>
            <w:r>
              <w:rPr>
                <w:rFonts w:hint="eastAsia" w:eastAsia="宋体"/>
                <w:bCs/>
                <w:kern w:val="2"/>
                <w:lang w:val="en-US" w:eastAsia="zh-CN" w:bidi="ar-SA"/>
              </w:rPr>
              <w:t>依据《石油化学工业污染物排放标准》（GB31571-2015）（含2024年修改单）要求非甲烷总烃去除效率应≥95%，本次评价取95%。根据企业提供资料，项目改扩建仅改变物料储存位置，未改变物料产量和使用量，现有油气回收</w:t>
            </w:r>
            <w:r>
              <w:rPr>
                <w:rFonts w:eastAsia="宋体"/>
                <w:bCs/>
                <w:kern w:val="2"/>
                <w:lang w:val="en-US" w:eastAsia="zh-CN" w:bidi="ar-SA"/>
              </w:rPr>
              <w:t>装置产生废气量</w:t>
            </w:r>
            <w:r>
              <w:rPr>
                <w:rFonts w:hint="eastAsia" w:eastAsia="宋体"/>
                <w:bCs/>
                <w:kern w:val="2"/>
                <w:lang w:val="en-US" w:eastAsia="zh-CN" w:bidi="ar-SA"/>
              </w:rPr>
              <w:t>6</w:t>
            </w:r>
            <w:r>
              <w:rPr>
                <w:rFonts w:eastAsia="宋体"/>
                <w:bCs/>
                <w:kern w:val="2"/>
                <w:lang w:val="en-US" w:eastAsia="zh-CN" w:bidi="ar-SA"/>
              </w:rPr>
              <w:t>00Nm</w:t>
            </w:r>
            <w:r>
              <w:rPr>
                <w:rFonts w:eastAsia="宋体"/>
                <w:bCs/>
                <w:kern w:val="2"/>
                <w:vertAlign w:val="superscript"/>
                <w:lang w:val="en-US" w:eastAsia="zh-CN" w:bidi="ar-SA"/>
              </w:rPr>
              <w:t>3</w:t>
            </w:r>
            <w:r>
              <w:rPr>
                <w:rFonts w:eastAsia="宋体"/>
                <w:bCs/>
                <w:kern w:val="2"/>
                <w:lang w:val="en-US" w:eastAsia="zh-CN" w:bidi="ar-SA"/>
              </w:rPr>
              <w:t>/h</w:t>
            </w:r>
            <w:r>
              <w:rPr>
                <w:rFonts w:hint="eastAsia"/>
                <w:bCs/>
                <w:kern w:val="2"/>
                <w:lang w:val="en-US" w:eastAsia="zh-CN" w:bidi="ar-SA"/>
              </w:rPr>
              <w:t>。</w:t>
            </w:r>
            <w:r>
              <w:rPr>
                <w:rFonts w:eastAsia="宋体"/>
                <w:bCs/>
                <w:kern w:val="2"/>
                <w:lang w:val="en-US" w:eastAsia="zh-CN" w:bidi="ar-SA"/>
              </w:rPr>
              <w:t>装车挥发性有机物的产生、排放情况见表4-</w:t>
            </w:r>
            <w:r>
              <w:rPr>
                <w:rFonts w:hint="eastAsia" w:eastAsia="宋体"/>
                <w:bCs/>
                <w:kern w:val="2"/>
                <w:lang w:val="en-US" w:eastAsia="zh-CN" w:bidi="ar-SA"/>
              </w:rPr>
              <w:t>2</w:t>
            </w:r>
            <w:r>
              <w:rPr>
                <w:rFonts w:eastAsia="宋体"/>
                <w:bCs/>
                <w:kern w:val="2"/>
                <w:lang w:val="en-US" w:eastAsia="zh-CN" w:bidi="ar-SA"/>
              </w:rPr>
              <w:t>。</w:t>
            </w:r>
          </w:p>
          <w:p w14:paraId="475D0C3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56E3B1A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572AE14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412293D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01BE094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2445751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4713DFC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40699FA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2AF3267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3171C9F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408CE9E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3E7F1B4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449C242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399E05A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19C0F97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7A6D077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1A9FC71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36FA13F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p w14:paraId="303D3DE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0"/>
              <w:jc w:val="left"/>
              <w:textAlignment w:val="baseline"/>
              <w:rPr>
                <w:rFonts w:eastAsia="宋体"/>
                <w:bCs/>
                <w:snapToGrid w:val="0"/>
                <w:spacing w:val="-10"/>
                <w:lang w:val="en-US" w:eastAsia="zh-CN" w:bidi="ar-SA"/>
              </w:rPr>
            </w:pPr>
          </w:p>
        </w:tc>
      </w:tr>
    </w:tbl>
    <w:p w14:paraId="642969C6">
      <w:pPr>
        <w:widowControl w:val="0"/>
        <w:adjustRightInd w:val="0"/>
        <w:snapToGrid w:val="0"/>
        <w:spacing w:line="360" w:lineRule="auto"/>
        <w:jc w:val="both"/>
        <w:rPr>
          <w:rFonts w:eastAsia="宋体"/>
          <w:b/>
          <w:sz w:val="28"/>
          <w:szCs w:val="28"/>
          <w:lang w:val="en-US" w:eastAsia="zh-CN" w:bidi="ar-SA"/>
        </w:rPr>
        <w:sectPr>
          <w:pgSz w:w="11907" w:h="16840"/>
          <w:pgMar w:top="1701" w:right="1531" w:bottom="1592" w:left="1531" w:header="851" w:footer="850" w:gutter="0"/>
          <w:pgBorders>
            <w:top w:val="none" w:sz="0" w:space="0"/>
            <w:left w:val="none" w:sz="0" w:space="0"/>
            <w:bottom w:val="none" w:sz="0" w:space="0"/>
            <w:right w:val="none" w:sz="0" w:space="0"/>
          </w:pgBorders>
          <w:pgNumType w:fmt="decimal"/>
          <w:cols w:space="720" w:num="1"/>
          <w:docGrid w:linePitch="312" w:charSpace="0"/>
        </w:sect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3055"/>
      </w:tblGrid>
      <w:tr w14:paraId="2BFAF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8" w:type="dxa"/>
          </w:tcPr>
          <w:p w14:paraId="223FDD26">
            <w:pPr>
              <w:widowControl w:val="0"/>
              <w:adjustRightInd w:val="0"/>
              <w:snapToGrid w:val="0"/>
              <w:spacing w:line="360" w:lineRule="auto"/>
              <w:jc w:val="both"/>
              <w:rPr>
                <w:rFonts w:eastAsia="宋体"/>
                <w:b/>
                <w:sz w:val="28"/>
                <w:szCs w:val="28"/>
                <w:vertAlign w:val="baseline"/>
                <w:lang w:val="en-US" w:eastAsia="zh-CN" w:bidi="ar-SA"/>
              </w:rPr>
            </w:pPr>
          </w:p>
        </w:tc>
        <w:tc>
          <w:tcPr>
            <w:tcW w:w="13055" w:type="dxa"/>
          </w:tcPr>
          <w:p w14:paraId="1D9EA075">
            <w:pPr>
              <w:widowControl w:val="0"/>
              <w:spacing w:before="120" w:beforeLines="50" w:line="240" w:lineRule="auto"/>
              <w:jc w:val="center"/>
              <w:rPr>
                <w:rFonts w:eastAsia="宋体"/>
                <w:b/>
                <w:bCs/>
                <w:kern w:val="2"/>
                <w:lang w:val="en-US" w:eastAsia="zh-CN" w:bidi="ar-SA"/>
              </w:rPr>
            </w:pPr>
            <w:r>
              <w:rPr>
                <w:rFonts w:eastAsia="宋体"/>
                <w:b/>
                <w:bCs/>
                <w:kern w:val="2"/>
                <w:lang w:val="en-US" w:eastAsia="zh-CN" w:bidi="ar-SA"/>
              </w:rPr>
              <w:t>表4-</w:t>
            </w:r>
            <w:r>
              <w:rPr>
                <w:rFonts w:hint="eastAsia" w:eastAsia="宋体"/>
                <w:b/>
                <w:bCs/>
                <w:kern w:val="2"/>
                <w:lang w:val="en-US" w:eastAsia="zh-CN" w:bidi="ar-SA"/>
              </w:rPr>
              <w:t>2</w:t>
            </w:r>
            <w:r>
              <w:rPr>
                <w:rFonts w:eastAsia="宋体"/>
                <w:b/>
                <w:bCs/>
                <w:kern w:val="2"/>
                <w:lang w:val="en-US" w:eastAsia="zh-CN" w:bidi="ar-SA"/>
              </w:rPr>
              <w:t xml:space="preserve">  物料装车和物料</w:t>
            </w:r>
            <w:r>
              <w:rPr>
                <w:rFonts w:hint="eastAsia" w:eastAsia="宋体"/>
                <w:b/>
                <w:bCs/>
                <w:kern w:val="2"/>
                <w:lang w:val="en-US" w:eastAsia="zh-CN" w:bidi="ar-SA"/>
              </w:rPr>
              <w:t>卸车</w:t>
            </w:r>
            <w:r>
              <w:rPr>
                <w:rFonts w:eastAsia="宋体"/>
                <w:b/>
                <w:bCs/>
                <w:kern w:val="2"/>
                <w:lang w:val="en-US" w:eastAsia="zh-CN" w:bidi="ar-SA"/>
              </w:rPr>
              <w:t>挥发性有机物产排情况一览表</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027"/>
              <w:gridCol w:w="420"/>
              <w:gridCol w:w="1455"/>
              <w:gridCol w:w="1545"/>
              <w:gridCol w:w="1260"/>
              <w:gridCol w:w="1444"/>
              <w:gridCol w:w="1762"/>
              <w:gridCol w:w="1332"/>
              <w:gridCol w:w="1237"/>
              <w:gridCol w:w="742"/>
            </w:tblGrid>
            <w:tr w14:paraId="7152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233" w:type="pct"/>
                  <w:vMerge w:val="restart"/>
                  <w:vAlign w:val="center"/>
                </w:tcPr>
                <w:p w14:paraId="7711D5BC">
                  <w:pPr>
                    <w:pStyle w:val="5"/>
                    <w:bidi w:val="0"/>
                    <w:rPr>
                      <w:highlight w:val="none"/>
                      <w:lang w:val="en-US" w:eastAsia="zh-CN"/>
                    </w:rPr>
                  </w:pPr>
                  <w:r>
                    <w:rPr>
                      <w:highlight w:val="none"/>
                      <w:lang w:val="en-US" w:eastAsia="zh-CN"/>
                    </w:rPr>
                    <w:t>污染源</w:t>
                  </w:r>
                </w:p>
              </w:tc>
              <w:tc>
                <w:tcPr>
                  <w:tcW w:w="400" w:type="pct"/>
                  <w:vMerge w:val="restart"/>
                  <w:vAlign w:val="center"/>
                </w:tcPr>
                <w:p w14:paraId="6E88AC7C">
                  <w:pPr>
                    <w:pStyle w:val="5"/>
                    <w:bidi w:val="0"/>
                    <w:rPr>
                      <w:highlight w:val="none"/>
                      <w:lang w:val="en-US" w:eastAsia="zh-CN"/>
                    </w:rPr>
                  </w:pPr>
                  <w:r>
                    <w:rPr>
                      <w:highlight w:val="none"/>
                      <w:lang w:val="en-US" w:eastAsia="zh-CN"/>
                    </w:rPr>
                    <w:t>污染物</w:t>
                  </w:r>
                </w:p>
              </w:tc>
              <w:tc>
                <w:tcPr>
                  <w:tcW w:w="163" w:type="pct"/>
                  <w:vMerge w:val="restart"/>
                  <w:vAlign w:val="center"/>
                </w:tcPr>
                <w:p w14:paraId="255C3BB9">
                  <w:pPr>
                    <w:pStyle w:val="5"/>
                    <w:bidi w:val="0"/>
                    <w:rPr>
                      <w:rFonts w:hint="default"/>
                      <w:highlight w:val="none"/>
                      <w:lang w:val="en-US" w:eastAsia="zh-CN"/>
                    </w:rPr>
                  </w:pPr>
                  <w:r>
                    <w:rPr>
                      <w:rFonts w:hint="eastAsia"/>
                      <w:highlight w:val="none"/>
                      <w:lang w:val="en-US" w:eastAsia="zh-CN"/>
                    </w:rPr>
                    <w:t>排放形式</w:t>
                  </w:r>
                </w:p>
              </w:tc>
              <w:tc>
                <w:tcPr>
                  <w:tcW w:w="1660" w:type="pct"/>
                  <w:gridSpan w:val="3"/>
                  <w:vAlign w:val="center"/>
                </w:tcPr>
                <w:p w14:paraId="76FFEE8A">
                  <w:pPr>
                    <w:pStyle w:val="5"/>
                    <w:bidi w:val="0"/>
                    <w:rPr>
                      <w:highlight w:val="none"/>
                      <w:lang w:val="en-US" w:eastAsia="zh-CN"/>
                    </w:rPr>
                  </w:pPr>
                  <w:r>
                    <w:rPr>
                      <w:highlight w:val="none"/>
                      <w:lang w:val="en-US" w:eastAsia="zh-CN"/>
                    </w:rPr>
                    <w:t>污染物产生情况</w:t>
                  </w:r>
                </w:p>
              </w:tc>
              <w:tc>
                <w:tcPr>
                  <w:tcW w:w="563" w:type="pct"/>
                  <w:vMerge w:val="restart"/>
                  <w:vAlign w:val="center"/>
                </w:tcPr>
                <w:p w14:paraId="5AB3FFFC">
                  <w:pPr>
                    <w:pStyle w:val="5"/>
                    <w:bidi w:val="0"/>
                    <w:rPr>
                      <w:highlight w:val="none"/>
                      <w:lang w:val="en-US" w:eastAsia="zh-CN"/>
                    </w:rPr>
                  </w:pPr>
                  <w:r>
                    <w:rPr>
                      <w:highlight w:val="none"/>
                      <w:lang w:val="en-US" w:eastAsia="zh-CN"/>
                    </w:rPr>
                    <w:t>处理</w:t>
                  </w:r>
                </w:p>
                <w:p w14:paraId="31CF153D">
                  <w:pPr>
                    <w:pStyle w:val="5"/>
                    <w:bidi w:val="0"/>
                    <w:rPr>
                      <w:highlight w:val="none"/>
                      <w:lang w:val="en-US" w:eastAsia="zh-CN"/>
                    </w:rPr>
                  </w:pPr>
                  <w:r>
                    <w:rPr>
                      <w:highlight w:val="none"/>
                      <w:lang w:val="en-US" w:eastAsia="zh-CN"/>
                    </w:rPr>
                    <w:t>措施</w:t>
                  </w:r>
                </w:p>
              </w:tc>
              <w:tc>
                <w:tcPr>
                  <w:tcW w:w="1688" w:type="pct"/>
                  <w:gridSpan w:val="3"/>
                  <w:vAlign w:val="center"/>
                </w:tcPr>
                <w:p w14:paraId="06471516">
                  <w:pPr>
                    <w:pStyle w:val="5"/>
                    <w:bidi w:val="0"/>
                    <w:rPr>
                      <w:highlight w:val="none"/>
                      <w:lang w:val="en-US" w:eastAsia="zh-CN"/>
                    </w:rPr>
                  </w:pPr>
                  <w:r>
                    <w:rPr>
                      <w:highlight w:val="none"/>
                      <w:lang w:val="en-US" w:eastAsia="zh-CN"/>
                    </w:rPr>
                    <w:t>污染物排放情况</w:t>
                  </w:r>
                </w:p>
              </w:tc>
              <w:tc>
                <w:tcPr>
                  <w:tcW w:w="289" w:type="pct"/>
                  <w:vMerge w:val="restart"/>
                  <w:vAlign w:val="center"/>
                </w:tcPr>
                <w:p w14:paraId="7A19BF5A">
                  <w:pPr>
                    <w:pStyle w:val="5"/>
                    <w:bidi w:val="0"/>
                    <w:rPr>
                      <w:lang w:val="en-US" w:eastAsia="zh-CN"/>
                    </w:rPr>
                  </w:pPr>
                  <w:r>
                    <w:rPr>
                      <w:lang w:val="en-US" w:eastAsia="zh-CN"/>
                    </w:rPr>
                    <w:t>排气筒参数</w:t>
                  </w:r>
                </w:p>
              </w:tc>
            </w:tr>
            <w:tr w14:paraId="02623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43C30330">
                  <w:pPr>
                    <w:pStyle w:val="5"/>
                    <w:bidi w:val="0"/>
                    <w:rPr>
                      <w:highlight w:val="none"/>
                      <w:lang w:val="en-US" w:eastAsia="zh-CN"/>
                    </w:rPr>
                  </w:pPr>
                </w:p>
              </w:tc>
              <w:tc>
                <w:tcPr>
                  <w:tcW w:w="400" w:type="pct"/>
                  <w:vMerge w:val="continue"/>
                  <w:vAlign w:val="center"/>
                </w:tcPr>
                <w:p w14:paraId="18441B68">
                  <w:pPr>
                    <w:pStyle w:val="5"/>
                    <w:bidi w:val="0"/>
                    <w:rPr>
                      <w:highlight w:val="none"/>
                      <w:lang w:val="en-US" w:eastAsia="zh-CN"/>
                    </w:rPr>
                  </w:pPr>
                </w:p>
              </w:tc>
              <w:tc>
                <w:tcPr>
                  <w:tcW w:w="163" w:type="pct"/>
                  <w:vMerge w:val="continue"/>
                  <w:vAlign w:val="center"/>
                </w:tcPr>
                <w:p w14:paraId="6B0551A8">
                  <w:pPr>
                    <w:pStyle w:val="5"/>
                    <w:bidi w:val="0"/>
                    <w:rPr>
                      <w:highlight w:val="none"/>
                      <w:lang w:val="en-US" w:eastAsia="zh-CN"/>
                    </w:rPr>
                  </w:pPr>
                </w:p>
              </w:tc>
              <w:tc>
                <w:tcPr>
                  <w:tcW w:w="567" w:type="pct"/>
                  <w:vAlign w:val="center"/>
                </w:tcPr>
                <w:p w14:paraId="19CFC3A6">
                  <w:pPr>
                    <w:pStyle w:val="5"/>
                    <w:bidi w:val="0"/>
                    <w:rPr>
                      <w:highlight w:val="none"/>
                      <w:lang w:val="en-US" w:eastAsia="zh-CN"/>
                    </w:rPr>
                  </w:pPr>
                  <w:r>
                    <w:rPr>
                      <w:highlight w:val="none"/>
                      <w:lang w:val="en-US" w:eastAsia="zh-CN"/>
                    </w:rPr>
                    <w:t>t/a</w:t>
                  </w:r>
                </w:p>
              </w:tc>
              <w:tc>
                <w:tcPr>
                  <w:tcW w:w="602" w:type="pct"/>
                  <w:vAlign w:val="center"/>
                </w:tcPr>
                <w:p w14:paraId="7CFDB045">
                  <w:pPr>
                    <w:pStyle w:val="5"/>
                    <w:bidi w:val="0"/>
                    <w:rPr>
                      <w:highlight w:val="none"/>
                      <w:lang w:val="en-US" w:eastAsia="zh-CN"/>
                    </w:rPr>
                  </w:pPr>
                  <w:r>
                    <w:rPr>
                      <w:highlight w:val="none"/>
                      <w:lang w:val="en-US" w:eastAsia="zh-CN"/>
                    </w:rPr>
                    <w:t>kg/h</w:t>
                  </w:r>
                </w:p>
              </w:tc>
              <w:tc>
                <w:tcPr>
                  <w:tcW w:w="491" w:type="pct"/>
                  <w:vAlign w:val="center"/>
                </w:tcPr>
                <w:p w14:paraId="475F5A76">
                  <w:pPr>
                    <w:pStyle w:val="5"/>
                    <w:bidi w:val="0"/>
                    <w:rPr>
                      <w:highlight w:val="none"/>
                      <w:lang w:val="en-US" w:eastAsia="zh-CN"/>
                    </w:rPr>
                  </w:pPr>
                  <w:r>
                    <w:rPr>
                      <w:highlight w:val="none"/>
                      <w:lang w:val="en-US" w:eastAsia="zh-CN"/>
                    </w:rPr>
                    <w:t>mg/m</w:t>
                  </w:r>
                  <w:r>
                    <w:rPr>
                      <w:highlight w:val="none"/>
                      <w:vertAlign w:val="superscript"/>
                      <w:lang w:val="en-US" w:eastAsia="zh-CN"/>
                    </w:rPr>
                    <w:t>3</w:t>
                  </w:r>
                </w:p>
              </w:tc>
              <w:tc>
                <w:tcPr>
                  <w:tcW w:w="563" w:type="pct"/>
                  <w:vMerge w:val="continue"/>
                  <w:vAlign w:val="center"/>
                </w:tcPr>
                <w:p w14:paraId="2C2EF62C">
                  <w:pPr>
                    <w:pStyle w:val="5"/>
                    <w:bidi w:val="0"/>
                    <w:rPr>
                      <w:highlight w:val="none"/>
                      <w:lang w:val="en-US" w:eastAsia="zh-CN"/>
                    </w:rPr>
                  </w:pPr>
                </w:p>
              </w:tc>
              <w:tc>
                <w:tcPr>
                  <w:tcW w:w="686" w:type="pct"/>
                  <w:shd w:val="clear" w:color="auto" w:fill="auto"/>
                  <w:vAlign w:val="center"/>
                </w:tcPr>
                <w:p w14:paraId="0F031C3B">
                  <w:pPr>
                    <w:pStyle w:val="5"/>
                    <w:bidi w:val="0"/>
                    <w:rPr>
                      <w:highlight w:val="none"/>
                      <w:lang w:val="en-US" w:eastAsia="zh-CN"/>
                    </w:rPr>
                  </w:pPr>
                  <w:r>
                    <w:rPr>
                      <w:highlight w:val="none"/>
                      <w:lang w:val="en-US" w:eastAsia="zh-CN"/>
                    </w:rPr>
                    <w:t>t/a</w:t>
                  </w:r>
                </w:p>
              </w:tc>
              <w:tc>
                <w:tcPr>
                  <w:tcW w:w="519" w:type="pct"/>
                  <w:shd w:val="clear" w:color="auto" w:fill="auto"/>
                  <w:vAlign w:val="center"/>
                </w:tcPr>
                <w:p w14:paraId="2E28598D">
                  <w:pPr>
                    <w:pStyle w:val="5"/>
                    <w:bidi w:val="0"/>
                    <w:rPr>
                      <w:highlight w:val="none"/>
                      <w:lang w:val="en-US" w:eastAsia="zh-CN"/>
                    </w:rPr>
                  </w:pPr>
                  <w:r>
                    <w:rPr>
                      <w:highlight w:val="none"/>
                      <w:lang w:val="en-US" w:eastAsia="zh-CN"/>
                    </w:rPr>
                    <w:t>kg/h</w:t>
                  </w:r>
                </w:p>
              </w:tc>
              <w:tc>
                <w:tcPr>
                  <w:tcW w:w="482" w:type="pct"/>
                  <w:shd w:val="clear" w:color="auto" w:fill="auto"/>
                  <w:vAlign w:val="center"/>
                </w:tcPr>
                <w:p w14:paraId="6B7BEA0B">
                  <w:pPr>
                    <w:pStyle w:val="5"/>
                    <w:bidi w:val="0"/>
                    <w:rPr>
                      <w:lang w:val="en-US" w:eastAsia="zh-CN"/>
                    </w:rPr>
                  </w:pPr>
                  <w:r>
                    <w:rPr>
                      <w:lang w:val="en-US" w:eastAsia="zh-CN"/>
                    </w:rPr>
                    <w:t>mg/m</w:t>
                  </w:r>
                  <w:r>
                    <w:rPr>
                      <w:vertAlign w:val="superscript"/>
                      <w:lang w:val="en-US" w:eastAsia="zh-CN"/>
                    </w:rPr>
                    <w:t>3</w:t>
                  </w:r>
                </w:p>
              </w:tc>
              <w:tc>
                <w:tcPr>
                  <w:tcW w:w="289" w:type="pct"/>
                  <w:vMerge w:val="continue"/>
                  <w:vAlign w:val="center"/>
                </w:tcPr>
                <w:p w14:paraId="623655DC">
                  <w:pPr>
                    <w:pStyle w:val="5"/>
                    <w:bidi w:val="0"/>
                    <w:rPr>
                      <w:lang w:val="en-US" w:eastAsia="zh-CN"/>
                    </w:rPr>
                  </w:pPr>
                </w:p>
              </w:tc>
            </w:tr>
            <w:tr w14:paraId="7B21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restart"/>
                  <w:vAlign w:val="center"/>
                </w:tcPr>
                <w:p w14:paraId="5784C2AD">
                  <w:pPr>
                    <w:pStyle w:val="5"/>
                    <w:bidi w:val="0"/>
                    <w:rPr>
                      <w:rFonts w:hint="default"/>
                      <w:highlight w:val="none"/>
                      <w:lang w:val="en-US" w:eastAsia="zh-CN"/>
                    </w:rPr>
                  </w:pPr>
                  <w:r>
                    <w:rPr>
                      <w:rFonts w:hint="eastAsia"/>
                      <w:highlight w:val="none"/>
                      <w:lang w:val="en-US" w:eastAsia="zh-CN"/>
                    </w:rPr>
                    <w:t>卸车废气</w:t>
                  </w:r>
                </w:p>
              </w:tc>
              <w:tc>
                <w:tcPr>
                  <w:tcW w:w="400" w:type="pct"/>
                  <w:vAlign w:val="center"/>
                </w:tcPr>
                <w:p w14:paraId="08F13DF8">
                  <w:pPr>
                    <w:pStyle w:val="5"/>
                    <w:bidi w:val="0"/>
                    <w:rPr>
                      <w:highlight w:val="none"/>
                      <w:lang w:val="en-US" w:eastAsia="zh-CN"/>
                    </w:rPr>
                  </w:pPr>
                  <w:r>
                    <w:rPr>
                      <w:highlight w:val="none"/>
                      <w:lang w:val="en-US" w:eastAsia="zh-CN"/>
                    </w:rPr>
                    <w:t>非甲烷总烃</w:t>
                  </w:r>
                </w:p>
              </w:tc>
              <w:tc>
                <w:tcPr>
                  <w:tcW w:w="163" w:type="pct"/>
                  <w:vMerge w:val="restart"/>
                  <w:vAlign w:val="center"/>
                </w:tcPr>
                <w:p w14:paraId="6C16A66A">
                  <w:pPr>
                    <w:pStyle w:val="5"/>
                    <w:bidi w:val="0"/>
                    <w:rPr>
                      <w:rFonts w:hint="default"/>
                      <w:highlight w:val="none"/>
                      <w:lang w:val="en-US" w:eastAsia="zh-CN"/>
                    </w:rPr>
                  </w:pPr>
                  <w:r>
                    <w:rPr>
                      <w:rFonts w:hint="eastAsia"/>
                      <w:highlight w:val="none"/>
                      <w:lang w:val="en-US" w:eastAsia="zh-CN"/>
                    </w:rPr>
                    <w:t>有组织</w:t>
                  </w:r>
                </w:p>
              </w:tc>
              <w:tc>
                <w:tcPr>
                  <w:tcW w:w="567" w:type="pct"/>
                  <w:shd w:val="clear" w:color="auto" w:fill="auto"/>
                  <w:vAlign w:val="center"/>
                </w:tcPr>
                <w:p w14:paraId="527F071B">
                  <w:pPr>
                    <w:pStyle w:val="5"/>
                    <w:bidi w:val="0"/>
                    <w:rPr>
                      <w:rFonts w:hint="default"/>
                      <w:highlight w:val="none"/>
                      <w:lang w:val="en-US" w:eastAsia="zh-CN"/>
                    </w:rPr>
                  </w:pPr>
                  <w:r>
                    <w:rPr>
                      <w:rFonts w:hint="eastAsia"/>
                      <w:highlight w:val="none"/>
                      <w:lang w:val="en-US" w:eastAsia="zh-CN"/>
                    </w:rPr>
                    <w:t>2.29</w:t>
                  </w:r>
                </w:p>
              </w:tc>
              <w:tc>
                <w:tcPr>
                  <w:tcW w:w="602" w:type="pct"/>
                  <w:vAlign w:val="center"/>
                </w:tcPr>
                <w:p w14:paraId="429A5D11">
                  <w:pPr>
                    <w:pStyle w:val="5"/>
                    <w:bidi w:val="0"/>
                    <w:rPr>
                      <w:rFonts w:hint="default"/>
                      <w:highlight w:val="none"/>
                      <w:lang w:val="en-US" w:eastAsia="zh-CN"/>
                    </w:rPr>
                  </w:pPr>
                  <w:r>
                    <w:rPr>
                      <w:rFonts w:hint="eastAsia"/>
                      <w:highlight w:val="none"/>
                      <w:lang w:val="en-US" w:eastAsia="zh-CN"/>
                    </w:rPr>
                    <w:t>0.286</w:t>
                  </w:r>
                </w:p>
              </w:tc>
              <w:tc>
                <w:tcPr>
                  <w:tcW w:w="491" w:type="pct"/>
                  <w:vAlign w:val="center"/>
                </w:tcPr>
                <w:p w14:paraId="5C6C3B4F">
                  <w:pPr>
                    <w:pStyle w:val="5"/>
                    <w:bidi w:val="0"/>
                    <w:rPr>
                      <w:rFonts w:hint="default"/>
                      <w:highlight w:val="none"/>
                      <w:lang w:val="en-US" w:eastAsia="zh-CN"/>
                    </w:rPr>
                  </w:pPr>
                  <w:r>
                    <w:rPr>
                      <w:rFonts w:hint="eastAsia"/>
                      <w:highlight w:val="none"/>
                      <w:lang w:val="en-US" w:eastAsia="zh-CN"/>
                    </w:rPr>
                    <w:t>47.71</w:t>
                  </w:r>
                </w:p>
              </w:tc>
              <w:tc>
                <w:tcPr>
                  <w:tcW w:w="563" w:type="pct"/>
                  <w:vMerge w:val="restart"/>
                  <w:vAlign w:val="center"/>
                </w:tcPr>
                <w:p w14:paraId="7242F7B7">
                  <w:pPr>
                    <w:pStyle w:val="5"/>
                    <w:bidi w:val="0"/>
                    <w:rPr>
                      <w:highlight w:val="none"/>
                      <w:lang w:val="en-US" w:eastAsia="zh-CN"/>
                    </w:rPr>
                  </w:pPr>
                  <w:r>
                    <w:rPr>
                      <w:rFonts w:hint="eastAsia"/>
                      <w:highlight w:val="none"/>
                      <w:lang w:val="en-US" w:eastAsia="zh-CN"/>
                    </w:rPr>
                    <w:t>管道收集(95%)+</w:t>
                  </w:r>
                  <w:r>
                    <w:rPr>
                      <w:highlight w:val="none"/>
                      <w:lang w:val="en-US" w:eastAsia="zh-CN"/>
                    </w:rPr>
                    <w:t>导热油炉</w:t>
                  </w:r>
                  <w:r>
                    <w:rPr>
                      <w:rFonts w:hint="eastAsia"/>
                      <w:highlight w:val="none"/>
                      <w:lang w:val="en-US" w:eastAsia="zh-CN"/>
                    </w:rPr>
                    <w:t>(95%)</w:t>
                  </w:r>
                </w:p>
              </w:tc>
              <w:tc>
                <w:tcPr>
                  <w:tcW w:w="686" w:type="pct"/>
                  <w:vAlign w:val="center"/>
                </w:tcPr>
                <w:p w14:paraId="13841E55">
                  <w:pPr>
                    <w:pStyle w:val="5"/>
                    <w:bidi w:val="0"/>
                    <w:rPr>
                      <w:highlight w:val="none"/>
                      <w:lang w:val="en-US" w:eastAsia="zh-CN"/>
                    </w:rPr>
                  </w:pPr>
                  <w:r>
                    <w:rPr>
                      <w:rFonts w:hint="eastAsia"/>
                      <w:highlight w:val="none"/>
                      <w:lang w:val="en-US" w:eastAsia="zh-CN"/>
                    </w:rPr>
                    <w:t>0.115</w:t>
                  </w:r>
                </w:p>
              </w:tc>
              <w:tc>
                <w:tcPr>
                  <w:tcW w:w="519" w:type="pct"/>
                  <w:vAlign w:val="center"/>
                </w:tcPr>
                <w:p w14:paraId="2B34F10A">
                  <w:pPr>
                    <w:pStyle w:val="5"/>
                    <w:bidi w:val="0"/>
                    <w:rPr>
                      <w:highlight w:val="none"/>
                      <w:lang w:val="en-US" w:eastAsia="zh-CN"/>
                    </w:rPr>
                  </w:pPr>
                  <w:r>
                    <w:rPr>
                      <w:rFonts w:hint="eastAsia"/>
                      <w:highlight w:val="none"/>
                      <w:lang w:val="en-US" w:eastAsia="zh-CN"/>
                    </w:rPr>
                    <w:t>0.014</w:t>
                  </w:r>
                </w:p>
              </w:tc>
              <w:tc>
                <w:tcPr>
                  <w:tcW w:w="482" w:type="pct"/>
                  <w:vAlign w:val="center"/>
                </w:tcPr>
                <w:p w14:paraId="0C1D1AC9">
                  <w:pPr>
                    <w:pStyle w:val="5"/>
                    <w:bidi w:val="0"/>
                    <w:rPr>
                      <w:lang w:val="en-US" w:eastAsia="zh-CN"/>
                    </w:rPr>
                  </w:pPr>
                  <w:r>
                    <w:rPr>
                      <w:rFonts w:hint="eastAsia"/>
                      <w:lang w:val="en-US" w:eastAsia="zh-CN"/>
                    </w:rPr>
                    <w:t>2.386</w:t>
                  </w:r>
                </w:p>
              </w:tc>
              <w:tc>
                <w:tcPr>
                  <w:tcW w:w="289" w:type="pct"/>
                  <w:vMerge w:val="restart"/>
                  <w:shd w:val="clear" w:color="auto" w:fill="auto"/>
                  <w:vAlign w:val="center"/>
                </w:tcPr>
                <w:p w14:paraId="059CA7FD">
                  <w:pPr>
                    <w:pStyle w:val="5"/>
                    <w:bidi w:val="0"/>
                    <w:rPr>
                      <w:rFonts w:hint="eastAsia"/>
                      <w:lang w:val="en-US" w:eastAsia="zh-CN"/>
                    </w:rPr>
                  </w:pPr>
                  <w:r>
                    <w:rPr>
                      <w:lang w:val="en-US" w:eastAsia="zh-CN"/>
                    </w:rPr>
                    <w:t>DA00</w:t>
                  </w:r>
                  <w:r>
                    <w:rPr>
                      <w:rFonts w:hint="eastAsia"/>
                      <w:lang w:val="en-US" w:eastAsia="zh-CN"/>
                    </w:rPr>
                    <w:t>2</w:t>
                  </w:r>
                </w:p>
                <w:p w14:paraId="3110B6D4">
                  <w:pPr>
                    <w:pStyle w:val="5"/>
                    <w:bidi w:val="0"/>
                    <w:rPr>
                      <w:lang w:val="en-US" w:eastAsia="zh-CN"/>
                    </w:rPr>
                  </w:pPr>
                  <w:r>
                    <w:rPr>
                      <w:rFonts w:hint="eastAsia"/>
                      <w:lang w:val="en-US" w:eastAsia="zh-CN"/>
                    </w:rPr>
                    <w:t>20</w:t>
                  </w:r>
                  <w:r>
                    <w:rPr>
                      <w:lang w:val="en-US" w:eastAsia="zh-CN"/>
                    </w:rPr>
                    <w:t>m</w:t>
                  </w:r>
                </w:p>
              </w:tc>
            </w:tr>
            <w:tr w14:paraId="355C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0C7C2CB5">
                  <w:pPr>
                    <w:pStyle w:val="5"/>
                    <w:bidi w:val="0"/>
                    <w:rPr>
                      <w:highlight w:val="none"/>
                      <w:lang w:val="en-US" w:eastAsia="zh-CN"/>
                    </w:rPr>
                  </w:pPr>
                </w:p>
              </w:tc>
              <w:tc>
                <w:tcPr>
                  <w:tcW w:w="400" w:type="pct"/>
                  <w:vAlign w:val="center"/>
                </w:tcPr>
                <w:p w14:paraId="4D342FCC">
                  <w:pPr>
                    <w:pStyle w:val="5"/>
                    <w:bidi w:val="0"/>
                    <w:rPr>
                      <w:highlight w:val="none"/>
                      <w:lang w:val="en-US" w:eastAsia="zh-CN"/>
                    </w:rPr>
                  </w:pPr>
                  <w:r>
                    <w:rPr>
                      <w:highlight w:val="none"/>
                      <w:lang w:val="en-US" w:eastAsia="zh-CN"/>
                    </w:rPr>
                    <w:t>苯</w:t>
                  </w:r>
                </w:p>
              </w:tc>
              <w:tc>
                <w:tcPr>
                  <w:tcW w:w="163" w:type="pct"/>
                  <w:vMerge w:val="continue"/>
                  <w:vAlign w:val="center"/>
                </w:tcPr>
                <w:p w14:paraId="2D4F454B">
                  <w:pPr>
                    <w:pStyle w:val="5"/>
                    <w:bidi w:val="0"/>
                    <w:rPr>
                      <w:highlight w:val="none"/>
                      <w:lang w:val="en-US" w:eastAsia="zh-CN"/>
                    </w:rPr>
                  </w:pPr>
                </w:p>
              </w:tc>
              <w:tc>
                <w:tcPr>
                  <w:tcW w:w="567" w:type="pct"/>
                  <w:shd w:val="clear" w:color="auto" w:fill="auto"/>
                  <w:vAlign w:val="center"/>
                </w:tcPr>
                <w:p w14:paraId="7D794795">
                  <w:pPr>
                    <w:pStyle w:val="5"/>
                    <w:bidi w:val="0"/>
                    <w:rPr>
                      <w:rFonts w:hint="default"/>
                      <w:highlight w:val="none"/>
                      <w:lang w:val="en-US" w:eastAsia="zh-CN"/>
                    </w:rPr>
                  </w:pPr>
                  <w:r>
                    <w:rPr>
                      <w:rFonts w:hint="eastAsia"/>
                      <w:highlight w:val="none"/>
                      <w:lang w:val="en-US" w:eastAsia="zh-CN"/>
                    </w:rPr>
                    <w:t>0.0008</w:t>
                  </w:r>
                </w:p>
              </w:tc>
              <w:tc>
                <w:tcPr>
                  <w:tcW w:w="602" w:type="pct"/>
                  <w:vAlign w:val="center"/>
                </w:tcPr>
                <w:p w14:paraId="6802248A">
                  <w:pPr>
                    <w:pStyle w:val="5"/>
                    <w:bidi w:val="0"/>
                    <w:rPr>
                      <w:rFonts w:hint="default"/>
                      <w:highlight w:val="none"/>
                      <w:lang w:val="en-US" w:eastAsia="zh-CN"/>
                    </w:rPr>
                  </w:pPr>
                  <w:r>
                    <w:rPr>
                      <w:rFonts w:hint="eastAsia"/>
                      <w:highlight w:val="none"/>
                      <w:lang w:val="en-US" w:eastAsia="zh-CN"/>
                    </w:rPr>
                    <w:t>0.0001</w:t>
                  </w:r>
                </w:p>
              </w:tc>
              <w:tc>
                <w:tcPr>
                  <w:tcW w:w="491" w:type="pct"/>
                  <w:vAlign w:val="center"/>
                </w:tcPr>
                <w:p w14:paraId="331E6D97">
                  <w:pPr>
                    <w:pStyle w:val="5"/>
                    <w:bidi w:val="0"/>
                    <w:rPr>
                      <w:rFonts w:hint="default"/>
                      <w:highlight w:val="none"/>
                      <w:lang w:val="en-US" w:eastAsia="zh-CN"/>
                    </w:rPr>
                  </w:pPr>
                  <w:r>
                    <w:rPr>
                      <w:rFonts w:hint="eastAsia"/>
                      <w:highlight w:val="none"/>
                      <w:lang w:val="en-US" w:eastAsia="zh-CN"/>
                    </w:rPr>
                    <w:t>0.017</w:t>
                  </w:r>
                </w:p>
              </w:tc>
              <w:tc>
                <w:tcPr>
                  <w:tcW w:w="563" w:type="pct"/>
                  <w:vMerge w:val="continue"/>
                  <w:vAlign w:val="center"/>
                </w:tcPr>
                <w:p w14:paraId="5DD6F5C9">
                  <w:pPr>
                    <w:pStyle w:val="5"/>
                    <w:bidi w:val="0"/>
                    <w:rPr>
                      <w:highlight w:val="none"/>
                      <w:lang w:val="en-US" w:eastAsia="zh-CN"/>
                    </w:rPr>
                  </w:pPr>
                </w:p>
              </w:tc>
              <w:tc>
                <w:tcPr>
                  <w:tcW w:w="686" w:type="pct"/>
                  <w:vAlign w:val="center"/>
                </w:tcPr>
                <w:p w14:paraId="13D06AB1">
                  <w:pPr>
                    <w:pStyle w:val="5"/>
                    <w:bidi w:val="0"/>
                    <w:rPr>
                      <w:rFonts w:hint="default"/>
                      <w:highlight w:val="none"/>
                      <w:lang w:val="en-US" w:eastAsia="zh-CN"/>
                    </w:rPr>
                  </w:pPr>
                  <w:r>
                    <w:rPr>
                      <w:rFonts w:hint="eastAsia"/>
                      <w:highlight w:val="none"/>
                      <w:lang w:val="en-US" w:eastAsia="zh-CN"/>
                    </w:rPr>
                    <w:t>4.01</w:t>
                  </w:r>
                  <w:r>
                    <w:rPr>
                      <w:rFonts w:hint="default" w:ascii="Arial" w:hAnsi="Arial" w:cs="Arial"/>
                      <w:highlight w:val="none"/>
                      <w:lang w:val="en-US" w:eastAsia="zh-CN"/>
                    </w:rPr>
                    <w:t>×</w:t>
                  </w:r>
                  <w:r>
                    <w:rPr>
                      <w:rFonts w:hint="eastAsia"/>
                      <w:highlight w:val="none"/>
                      <w:lang w:val="en-US" w:eastAsia="zh-CN"/>
                    </w:rPr>
                    <w:t>10</w:t>
                  </w:r>
                  <w:r>
                    <w:rPr>
                      <w:rFonts w:hint="eastAsia"/>
                      <w:highlight w:val="none"/>
                      <w:vertAlign w:val="superscript"/>
                      <w:lang w:val="en-US" w:eastAsia="zh-CN"/>
                    </w:rPr>
                    <w:t>-5</w:t>
                  </w:r>
                </w:p>
              </w:tc>
              <w:tc>
                <w:tcPr>
                  <w:tcW w:w="519" w:type="pct"/>
                  <w:vAlign w:val="center"/>
                </w:tcPr>
                <w:p w14:paraId="1F0CF47A">
                  <w:pPr>
                    <w:pStyle w:val="5"/>
                    <w:bidi w:val="0"/>
                    <w:rPr>
                      <w:highlight w:val="none"/>
                      <w:lang w:val="en-US" w:eastAsia="zh-CN"/>
                    </w:rPr>
                  </w:pPr>
                  <w:r>
                    <w:rPr>
                      <w:rFonts w:hint="eastAsia"/>
                      <w:highlight w:val="none"/>
                      <w:lang w:val="en-US" w:eastAsia="zh-CN"/>
                    </w:rPr>
                    <w:t>5×10</w:t>
                  </w:r>
                  <w:r>
                    <w:rPr>
                      <w:rFonts w:hint="eastAsia"/>
                      <w:highlight w:val="none"/>
                      <w:vertAlign w:val="superscript"/>
                      <w:lang w:val="en-US" w:eastAsia="zh-CN"/>
                    </w:rPr>
                    <w:t>-6</w:t>
                  </w:r>
                </w:p>
              </w:tc>
              <w:tc>
                <w:tcPr>
                  <w:tcW w:w="482" w:type="pct"/>
                  <w:vAlign w:val="center"/>
                </w:tcPr>
                <w:p w14:paraId="2DB29D39">
                  <w:pPr>
                    <w:pStyle w:val="5"/>
                    <w:bidi w:val="0"/>
                    <w:rPr>
                      <w:rFonts w:hint="default"/>
                      <w:lang w:val="en-US" w:eastAsia="zh-CN"/>
                    </w:rPr>
                  </w:pPr>
                  <w:r>
                    <w:rPr>
                      <w:rFonts w:hint="eastAsia"/>
                      <w:lang w:val="en-US" w:eastAsia="zh-CN"/>
                    </w:rPr>
                    <w:t>0.0008</w:t>
                  </w:r>
                </w:p>
              </w:tc>
              <w:tc>
                <w:tcPr>
                  <w:tcW w:w="289" w:type="pct"/>
                  <w:vMerge w:val="continue"/>
                  <w:vAlign w:val="center"/>
                </w:tcPr>
                <w:p w14:paraId="45D46B9C">
                  <w:pPr>
                    <w:pStyle w:val="5"/>
                    <w:bidi w:val="0"/>
                    <w:rPr>
                      <w:lang w:val="en-US" w:eastAsia="zh-CN"/>
                    </w:rPr>
                  </w:pPr>
                </w:p>
              </w:tc>
            </w:tr>
            <w:tr w14:paraId="7B73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0D3A183B">
                  <w:pPr>
                    <w:pStyle w:val="5"/>
                    <w:bidi w:val="0"/>
                    <w:rPr>
                      <w:highlight w:val="none"/>
                      <w:lang w:val="en-US" w:eastAsia="zh-CN"/>
                    </w:rPr>
                  </w:pPr>
                </w:p>
              </w:tc>
              <w:tc>
                <w:tcPr>
                  <w:tcW w:w="400" w:type="pct"/>
                  <w:vAlign w:val="center"/>
                </w:tcPr>
                <w:p w14:paraId="37C67DD9">
                  <w:pPr>
                    <w:pStyle w:val="5"/>
                    <w:bidi w:val="0"/>
                    <w:rPr>
                      <w:highlight w:val="none"/>
                      <w:lang w:val="en-US" w:eastAsia="zh-CN"/>
                    </w:rPr>
                  </w:pPr>
                  <w:r>
                    <w:rPr>
                      <w:highlight w:val="none"/>
                      <w:lang w:val="en-US" w:eastAsia="zh-CN"/>
                    </w:rPr>
                    <w:t>甲苯</w:t>
                  </w:r>
                </w:p>
              </w:tc>
              <w:tc>
                <w:tcPr>
                  <w:tcW w:w="163" w:type="pct"/>
                  <w:vMerge w:val="continue"/>
                  <w:vAlign w:val="center"/>
                </w:tcPr>
                <w:p w14:paraId="628BC7F2">
                  <w:pPr>
                    <w:pStyle w:val="5"/>
                    <w:bidi w:val="0"/>
                    <w:rPr>
                      <w:highlight w:val="none"/>
                      <w:lang w:val="en-US" w:eastAsia="zh-CN"/>
                    </w:rPr>
                  </w:pPr>
                </w:p>
              </w:tc>
              <w:tc>
                <w:tcPr>
                  <w:tcW w:w="567" w:type="pct"/>
                  <w:shd w:val="clear" w:color="auto" w:fill="auto"/>
                  <w:vAlign w:val="center"/>
                </w:tcPr>
                <w:p w14:paraId="0293B29C">
                  <w:pPr>
                    <w:pStyle w:val="5"/>
                    <w:bidi w:val="0"/>
                    <w:rPr>
                      <w:rFonts w:hint="default"/>
                      <w:highlight w:val="none"/>
                      <w:lang w:val="en-US" w:eastAsia="zh-CN"/>
                    </w:rPr>
                  </w:pPr>
                  <w:r>
                    <w:rPr>
                      <w:rFonts w:hint="eastAsia"/>
                      <w:highlight w:val="none"/>
                      <w:lang w:val="en-US" w:eastAsia="zh-CN"/>
                    </w:rPr>
                    <w:t>0.0024</w:t>
                  </w:r>
                </w:p>
              </w:tc>
              <w:tc>
                <w:tcPr>
                  <w:tcW w:w="602" w:type="pct"/>
                  <w:vAlign w:val="center"/>
                </w:tcPr>
                <w:p w14:paraId="406C95D2">
                  <w:pPr>
                    <w:pStyle w:val="5"/>
                    <w:bidi w:val="0"/>
                    <w:rPr>
                      <w:rFonts w:hint="default"/>
                      <w:highlight w:val="none"/>
                      <w:lang w:val="en-US" w:eastAsia="zh-CN"/>
                    </w:rPr>
                  </w:pPr>
                  <w:r>
                    <w:rPr>
                      <w:rFonts w:hint="eastAsia"/>
                      <w:highlight w:val="none"/>
                      <w:lang w:val="en-US" w:eastAsia="zh-CN"/>
                    </w:rPr>
                    <w:t>0.0003</w:t>
                  </w:r>
                </w:p>
              </w:tc>
              <w:tc>
                <w:tcPr>
                  <w:tcW w:w="491" w:type="pct"/>
                  <w:vAlign w:val="center"/>
                </w:tcPr>
                <w:p w14:paraId="41122DC7">
                  <w:pPr>
                    <w:pStyle w:val="5"/>
                    <w:bidi w:val="0"/>
                    <w:rPr>
                      <w:rFonts w:hint="default"/>
                      <w:highlight w:val="none"/>
                      <w:lang w:val="en-US" w:eastAsia="zh-CN"/>
                    </w:rPr>
                  </w:pPr>
                  <w:r>
                    <w:rPr>
                      <w:rFonts w:hint="eastAsia"/>
                      <w:highlight w:val="none"/>
                      <w:lang w:val="en-US" w:eastAsia="zh-CN"/>
                    </w:rPr>
                    <w:t>0.139</w:t>
                  </w:r>
                </w:p>
              </w:tc>
              <w:tc>
                <w:tcPr>
                  <w:tcW w:w="563" w:type="pct"/>
                  <w:vMerge w:val="continue"/>
                  <w:vAlign w:val="center"/>
                </w:tcPr>
                <w:p w14:paraId="698B89AF">
                  <w:pPr>
                    <w:pStyle w:val="5"/>
                    <w:bidi w:val="0"/>
                    <w:rPr>
                      <w:highlight w:val="none"/>
                      <w:lang w:val="en-US" w:eastAsia="zh-CN"/>
                    </w:rPr>
                  </w:pPr>
                </w:p>
              </w:tc>
              <w:tc>
                <w:tcPr>
                  <w:tcW w:w="686" w:type="pct"/>
                  <w:vAlign w:val="center"/>
                </w:tcPr>
                <w:p w14:paraId="707FE07F">
                  <w:pPr>
                    <w:pStyle w:val="5"/>
                    <w:bidi w:val="0"/>
                    <w:ind w:firstLine="0" w:firstLineChars="0"/>
                    <w:rPr>
                      <w:highlight w:val="none"/>
                      <w:lang w:val="en-US" w:eastAsia="zh-CN"/>
                    </w:rPr>
                  </w:pPr>
                  <w:r>
                    <w:rPr>
                      <w:rFonts w:hint="eastAsia"/>
                      <w:highlight w:val="none"/>
                      <w:lang w:val="en-US" w:eastAsia="zh-CN"/>
                    </w:rPr>
                    <w:t>1.204</w:t>
                  </w:r>
                  <w:r>
                    <w:rPr>
                      <w:rFonts w:hint="default" w:ascii="Arial" w:hAnsi="Arial" w:cs="Arial"/>
                      <w:highlight w:val="none"/>
                      <w:lang w:val="en-US" w:eastAsia="zh-CN"/>
                    </w:rPr>
                    <w:t>×</w:t>
                  </w:r>
                  <w:r>
                    <w:rPr>
                      <w:rFonts w:hint="eastAsia"/>
                      <w:highlight w:val="none"/>
                      <w:lang w:val="en-US" w:eastAsia="zh-CN"/>
                    </w:rPr>
                    <w:t>10</w:t>
                  </w:r>
                  <w:r>
                    <w:rPr>
                      <w:rFonts w:hint="eastAsia"/>
                      <w:highlight w:val="none"/>
                      <w:vertAlign w:val="superscript"/>
                      <w:lang w:val="en-US" w:eastAsia="zh-CN"/>
                    </w:rPr>
                    <w:t>-4</w:t>
                  </w:r>
                </w:p>
              </w:tc>
              <w:tc>
                <w:tcPr>
                  <w:tcW w:w="519" w:type="pct"/>
                  <w:vAlign w:val="center"/>
                </w:tcPr>
                <w:p w14:paraId="65DFD96E">
                  <w:pPr>
                    <w:pStyle w:val="5"/>
                    <w:bidi w:val="0"/>
                    <w:ind w:firstLine="0" w:firstLineChars="0"/>
                    <w:rPr>
                      <w:highlight w:val="none"/>
                      <w:lang w:val="en-US" w:eastAsia="zh-CN"/>
                    </w:rPr>
                  </w:pPr>
                  <w:r>
                    <w:rPr>
                      <w:rFonts w:hint="eastAsia"/>
                      <w:highlight w:val="none"/>
                      <w:lang w:val="en-US" w:eastAsia="zh-CN"/>
                    </w:rPr>
                    <w:t>1.51×10</w:t>
                  </w:r>
                  <w:r>
                    <w:rPr>
                      <w:rFonts w:hint="eastAsia"/>
                      <w:highlight w:val="none"/>
                      <w:vertAlign w:val="superscript"/>
                      <w:lang w:val="en-US" w:eastAsia="zh-CN"/>
                    </w:rPr>
                    <w:t>-5</w:t>
                  </w:r>
                </w:p>
              </w:tc>
              <w:tc>
                <w:tcPr>
                  <w:tcW w:w="482" w:type="pct"/>
                  <w:vAlign w:val="center"/>
                </w:tcPr>
                <w:p w14:paraId="006D67A3">
                  <w:pPr>
                    <w:pStyle w:val="5"/>
                    <w:bidi w:val="0"/>
                    <w:rPr>
                      <w:rFonts w:hint="default"/>
                      <w:lang w:val="en-US" w:eastAsia="zh-CN"/>
                    </w:rPr>
                  </w:pPr>
                  <w:r>
                    <w:rPr>
                      <w:rFonts w:hint="eastAsia"/>
                      <w:lang w:val="en-US" w:eastAsia="zh-CN"/>
                    </w:rPr>
                    <w:t>0.00697</w:t>
                  </w:r>
                </w:p>
              </w:tc>
              <w:tc>
                <w:tcPr>
                  <w:tcW w:w="289" w:type="pct"/>
                  <w:vMerge w:val="continue"/>
                  <w:vAlign w:val="center"/>
                </w:tcPr>
                <w:p w14:paraId="71D6B12C">
                  <w:pPr>
                    <w:pStyle w:val="5"/>
                    <w:bidi w:val="0"/>
                    <w:rPr>
                      <w:lang w:val="en-US" w:eastAsia="zh-CN"/>
                    </w:rPr>
                  </w:pPr>
                </w:p>
              </w:tc>
            </w:tr>
            <w:tr w14:paraId="193C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2E5817E9">
                  <w:pPr>
                    <w:pStyle w:val="5"/>
                    <w:bidi w:val="0"/>
                    <w:rPr>
                      <w:highlight w:val="none"/>
                      <w:lang w:val="en-US" w:eastAsia="zh-CN"/>
                    </w:rPr>
                  </w:pPr>
                </w:p>
              </w:tc>
              <w:tc>
                <w:tcPr>
                  <w:tcW w:w="400" w:type="pct"/>
                  <w:vAlign w:val="center"/>
                </w:tcPr>
                <w:p w14:paraId="5532707D">
                  <w:pPr>
                    <w:pStyle w:val="5"/>
                    <w:bidi w:val="0"/>
                    <w:rPr>
                      <w:rFonts w:hint="default"/>
                      <w:highlight w:val="none"/>
                      <w:lang w:val="en-US" w:eastAsia="zh-CN"/>
                    </w:rPr>
                  </w:pPr>
                  <w:r>
                    <w:rPr>
                      <w:rFonts w:hint="eastAsia"/>
                      <w:highlight w:val="none"/>
                      <w:lang w:val="en-US" w:eastAsia="zh-CN"/>
                    </w:rPr>
                    <w:t>正己烷</w:t>
                  </w:r>
                </w:p>
              </w:tc>
              <w:tc>
                <w:tcPr>
                  <w:tcW w:w="163" w:type="pct"/>
                  <w:vMerge w:val="continue"/>
                  <w:vAlign w:val="center"/>
                </w:tcPr>
                <w:p w14:paraId="401B102C">
                  <w:pPr>
                    <w:pStyle w:val="5"/>
                    <w:bidi w:val="0"/>
                    <w:rPr>
                      <w:highlight w:val="none"/>
                      <w:lang w:val="en-US" w:eastAsia="zh-CN"/>
                    </w:rPr>
                  </w:pPr>
                </w:p>
              </w:tc>
              <w:tc>
                <w:tcPr>
                  <w:tcW w:w="567" w:type="pct"/>
                  <w:shd w:val="clear" w:color="auto" w:fill="auto"/>
                  <w:vAlign w:val="center"/>
                </w:tcPr>
                <w:p w14:paraId="692490BF">
                  <w:pPr>
                    <w:pStyle w:val="5"/>
                    <w:bidi w:val="0"/>
                    <w:rPr>
                      <w:rFonts w:hint="default"/>
                      <w:highlight w:val="none"/>
                      <w:lang w:val="en-US" w:eastAsia="zh-CN"/>
                    </w:rPr>
                  </w:pPr>
                  <w:r>
                    <w:rPr>
                      <w:rFonts w:hint="eastAsia"/>
                      <w:highlight w:val="none"/>
                      <w:lang w:val="en-US" w:eastAsia="zh-CN"/>
                    </w:rPr>
                    <w:t>0.015</w:t>
                  </w:r>
                </w:p>
              </w:tc>
              <w:tc>
                <w:tcPr>
                  <w:tcW w:w="602" w:type="pct"/>
                  <w:vAlign w:val="center"/>
                </w:tcPr>
                <w:p w14:paraId="1042680F">
                  <w:pPr>
                    <w:pStyle w:val="5"/>
                    <w:bidi w:val="0"/>
                    <w:rPr>
                      <w:rFonts w:hint="default"/>
                      <w:highlight w:val="none"/>
                      <w:lang w:val="en-US" w:eastAsia="zh-CN"/>
                    </w:rPr>
                  </w:pPr>
                  <w:r>
                    <w:rPr>
                      <w:rFonts w:hint="eastAsia"/>
                      <w:highlight w:val="none"/>
                      <w:lang w:val="en-US" w:eastAsia="zh-CN"/>
                    </w:rPr>
                    <w:t>0.002</w:t>
                  </w:r>
                </w:p>
              </w:tc>
              <w:tc>
                <w:tcPr>
                  <w:tcW w:w="491" w:type="pct"/>
                  <w:vAlign w:val="center"/>
                </w:tcPr>
                <w:p w14:paraId="6049F913">
                  <w:pPr>
                    <w:pStyle w:val="5"/>
                    <w:bidi w:val="0"/>
                    <w:rPr>
                      <w:rFonts w:hint="default"/>
                      <w:highlight w:val="none"/>
                      <w:lang w:val="en-US" w:eastAsia="zh-CN"/>
                    </w:rPr>
                  </w:pPr>
                  <w:r>
                    <w:rPr>
                      <w:rFonts w:hint="eastAsia"/>
                      <w:highlight w:val="none"/>
                      <w:lang w:val="en-US" w:eastAsia="zh-CN"/>
                    </w:rPr>
                    <w:t>0.856</w:t>
                  </w:r>
                </w:p>
              </w:tc>
              <w:tc>
                <w:tcPr>
                  <w:tcW w:w="563" w:type="pct"/>
                  <w:vMerge w:val="continue"/>
                  <w:vAlign w:val="center"/>
                </w:tcPr>
                <w:p w14:paraId="5FE11E56">
                  <w:pPr>
                    <w:pStyle w:val="5"/>
                    <w:bidi w:val="0"/>
                    <w:rPr>
                      <w:highlight w:val="none"/>
                      <w:lang w:val="en-US" w:eastAsia="zh-CN"/>
                    </w:rPr>
                  </w:pPr>
                </w:p>
              </w:tc>
              <w:tc>
                <w:tcPr>
                  <w:tcW w:w="686" w:type="pct"/>
                  <w:vAlign w:val="center"/>
                </w:tcPr>
                <w:p w14:paraId="138C106B">
                  <w:pPr>
                    <w:pStyle w:val="5"/>
                    <w:bidi w:val="0"/>
                    <w:ind w:firstLine="0" w:firstLineChars="0"/>
                    <w:rPr>
                      <w:rFonts w:hint="default"/>
                      <w:highlight w:val="none"/>
                      <w:lang w:val="en-US" w:eastAsia="zh-CN"/>
                    </w:rPr>
                  </w:pPr>
                  <w:r>
                    <w:rPr>
                      <w:rFonts w:hint="eastAsia"/>
                      <w:highlight w:val="none"/>
                      <w:lang w:val="en-US" w:eastAsia="zh-CN"/>
                    </w:rPr>
                    <w:t>7.4×10</w:t>
                  </w:r>
                  <w:r>
                    <w:rPr>
                      <w:rFonts w:hint="eastAsia"/>
                      <w:highlight w:val="none"/>
                      <w:vertAlign w:val="superscript"/>
                      <w:lang w:val="en-US" w:eastAsia="zh-CN"/>
                    </w:rPr>
                    <w:t>-4</w:t>
                  </w:r>
                </w:p>
              </w:tc>
              <w:tc>
                <w:tcPr>
                  <w:tcW w:w="519" w:type="pct"/>
                  <w:vAlign w:val="center"/>
                </w:tcPr>
                <w:p w14:paraId="6A1DE8B4">
                  <w:pPr>
                    <w:pStyle w:val="5"/>
                    <w:bidi w:val="0"/>
                    <w:ind w:firstLine="0" w:firstLineChars="0"/>
                    <w:rPr>
                      <w:rFonts w:hint="default"/>
                      <w:highlight w:val="none"/>
                      <w:lang w:val="en-US" w:eastAsia="zh-CN"/>
                    </w:rPr>
                  </w:pPr>
                  <w:r>
                    <w:rPr>
                      <w:rFonts w:hint="eastAsia"/>
                      <w:highlight w:val="none"/>
                      <w:lang w:val="en-US" w:eastAsia="zh-CN"/>
                    </w:rPr>
                    <w:t>9.25×10</w:t>
                  </w:r>
                  <w:r>
                    <w:rPr>
                      <w:rFonts w:hint="eastAsia"/>
                      <w:highlight w:val="none"/>
                      <w:vertAlign w:val="superscript"/>
                      <w:lang w:val="en-US" w:eastAsia="zh-CN"/>
                    </w:rPr>
                    <w:t>-5</w:t>
                  </w:r>
                </w:p>
              </w:tc>
              <w:tc>
                <w:tcPr>
                  <w:tcW w:w="482" w:type="pct"/>
                  <w:vAlign w:val="center"/>
                </w:tcPr>
                <w:p w14:paraId="385C266D">
                  <w:pPr>
                    <w:pStyle w:val="5"/>
                    <w:bidi w:val="0"/>
                    <w:rPr>
                      <w:rFonts w:hint="default"/>
                      <w:lang w:val="en-US" w:eastAsia="zh-CN"/>
                    </w:rPr>
                  </w:pPr>
                  <w:r>
                    <w:rPr>
                      <w:rFonts w:hint="eastAsia"/>
                      <w:lang w:val="en-US" w:eastAsia="zh-CN"/>
                    </w:rPr>
                    <w:t>0.043</w:t>
                  </w:r>
                </w:p>
              </w:tc>
              <w:tc>
                <w:tcPr>
                  <w:tcW w:w="289" w:type="pct"/>
                  <w:vMerge w:val="continue"/>
                  <w:vAlign w:val="center"/>
                </w:tcPr>
                <w:p w14:paraId="40358C21">
                  <w:pPr>
                    <w:pStyle w:val="5"/>
                    <w:bidi w:val="0"/>
                    <w:rPr>
                      <w:lang w:val="en-US" w:eastAsia="zh-CN"/>
                    </w:rPr>
                  </w:pPr>
                </w:p>
              </w:tc>
            </w:tr>
            <w:tr w14:paraId="368C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66B066FF">
                  <w:pPr>
                    <w:pStyle w:val="5"/>
                    <w:bidi w:val="0"/>
                    <w:rPr>
                      <w:highlight w:val="none"/>
                      <w:lang w:val="en-US" w:eastAsia="zh-CN"/>
                    </w:rPr>
                  </w:pPr>
                </w:p>
              </w:tc>
              <w:tc>
                <w:tcPr>
                  <w:tcW w:w="400" w:type="pct"/>
                  <w:shd w:val="clear" w:color="auto" w:fill="auto"/>
                  <w:vAlign w:val="center"/>
                </w:tcPr>
                <w:p w14:paraId="2F8C5643">
                  <w:pPr>
                    <w:pStyle w:val="5"/>
                    <w:bidi w:val="0"/>
                    <w:rPr>
                      <w:highlight w:val="none"/>
                      <w:lang w:val="en-US" w:eastAsia="zh-CN"/>
                    </w:rPr>
                  </w:pPr>
                  <w:r>
                    <w:rPr>
                      <w:highlight w:val="none"/>
                      <w:lang w:val="en-US" w:eastAsia="zh-CN"/>
                    </w:rPr>
                    <w:t>非甲烷总烃</w:t>
                  </w:r>
                </w:p>
              </w:tc>
              <w:tc>
                <w:tcPr>
                  <w:tcW w:w="163" w:type="pct"/>
                  <w:vMerge w:val="restart"/>
                  <w:vAlign w:val="center"/>
                </w:tcPr>
                <w:p w14:paraId="45049BBE">
                  <w:pPr>
                    <w:pStyle w:val="5"/>
                    <w:bidi w:val="0"/>
                    <w:rPr>
                      <w:rFonts w:hint="default"/>
                      <w:highlight w:val="none"/>
                      <w:lang w:val="en-US" w:eastAsia="zh-CN"/>
                    </w:rPr>
                  </w:pPr>
                  <w:r>
                    <w:rPr>
                      <w:rFonts w:hint="eastAsia"/>
                      <w:highlight w:val="none"/>
                      <w:lang w:val="en-US" w:eastAsia="zh-CN"/>
                    </w:rPr>
                    <w:t>无组织</w:t>
                  </w:r>
                </w:p>
              </w:tc>
              <w:tc>
                <w:tcPr>
                  <w:tcW w:w="567" w:type="pct"/>
                  <w:shd w:val="clear" w:color="auto" w:fill="auto"/>
                  <w:vAlign w:val="center"/>
                </w:tcPr>
                <w:p w14:paraId="5369752B">
                  <w:pPr>
                    <w:pStyle w:val="5"/>
                    <w:bidi w:val="0"/>
                    <w:rPr>
                      <w:rFonts w:hint="eastAsia"/>
                      <w:highlight w:val="none"/>
                      <w:lang w:val="en-US" w:eastAsia="zh-CN"/>
                    </w:rPr>
                  </w:pPr>
                  <w:r>
                    <w:rPr>
                      <w:rFonts w:hint="eastAsia"/>
                      <w:highlight w:val="none"/>
                      <w:lang w:val="en-US" w:eastAsia="zh-CN"/>
                    </w:rPr>
                    <w:t>0.121</w:t>
                  </w:r>
                </w:p>
              </w:tc>
              <w:tc>
                <w:tcPr>
                  <w:tcW w:w="602" w:type="pct"/>
                  <w:vAlign w:val="center"/>
                </w:tcPr>
                <w:p w14:paraId="7C37F4DD">
                  <w:pPr>
                    <w:pStyle w:val="5"/>
                    <w:bidi w:val="0"/>
                    <w:rPr>
                      <w:highlight w:val="none"/>
                      <w:lang w:val="en-US" w:eastAsia="zh-CN"/>
                    </w:rPr>
                  </w:pPr>
                  <w:r>
                    <w:rPr>
                      <w:rFonts w:hint="eastAsia"/>
                      <w:highlight w:val="none"/>
                      <w:lang w:val="en-US" w:eastAsia="zh-CN"/>
                    </w:rPr>
                    <w:t>0.015</w:t>
                  </w:r>
                </w:p>
              </w:tc>
              <w:tc>
                <w:tcPr>
                  <w:tcW w:w="491" w:type="pct"/>
                  <w:vMerge w:val="restart"/>
                  <w:vAlign w:val="center"/>
                </w:tcPr>
                <w:p w14:paraId="2B07FEEA">
                  <w:pPr>
                    <w:pStyle w:val="5"/>
                    <w:bidi w:val="0"/>
                    <w:rPr>
                      <w:rFonts w:hint="default"/>
                      <w:highlight w:val="none"/>
                      <w:lang w:val="en-US" w:eastAsia="zh-CN"/>
                    </w:rPr>
                  </w:pPr>
                  <w:r>
                    <w:rPr>
                      <w:rFonts w:hint="eastAsia"/>
                      <w:highlight w:val="none"/>
                      <w:lang w:val="en-US" w:eastAsia="zh-CN"/>
                    </w:rPr>
                    <w:t>/</w:t>
                  </w:r>
                </w:p>
              </w:tc>
              <w:tc>
                <w:tcPr>
                  <w:tcW w:w="563" w:type="pct"/>
                  <w:vMerge w:val="restart"/>
                  <w:vAlign w:val="center"/>
                </w:tcPr>
                <w:p w14:paraId="1ECF9CA2">
                  <w:pPr>
                    <w:pStyle w:val="5"/>
                    <w:bidi w:val="0"/>
                    <w:rPr>
                      <w:rFonts w:hint="default"/>
                      <w:highlight w:val="none"/>
                      <w:lang w:val="en-US" w:eastAsia="zh-CN"/>
                    </w:rPr>
                  </w:pPr>
                  <w:r>
                    <w:rPr>
                      <w:rFonts w:hint="eastAsia"/>
                      <w:highlight w:val="none"/>
                      <w:lang w:val="en-US" w:eastAsia="zh-CN"/>
                    </w:rPr>
                    <w:t>/</w:t>
                  </w:r>
                </w:p>
              </w:tc>
              <w:tc>
                <w:tcPr>
                  <w:tcW w:w="686" w:type="pct"/>
                  <w:vAlign w:val="center"/>
                </w:tcPr>
                <w:p w14:paraId="31EC4061">
                  <w:pPr>
                    <w:pStyle w:val="5"/>
                    <w:bidi w:val="0"/>
                    <w:ind w:firstLine="0" w:firstLineChars="0"/>
                    <w:rPr>
                      <w:highlight w:val="none"/>
                      <w:lang w:val="en-US" w:eastAsia="zh-CN"/>
                    </w:rPr>
                  </w:pPr>
                  <w:r>
                    <w:rPr>
                      <w:rFonts w:hint="eastAsia"/>
                      <w:highlight w:val="none"/>
                      <w:lang w:val="en-US" w:eastAsia="zh-CN"/>
                    </w:rPr>
                    <w:t>0.121</w:t>
                  </w:r>
                </w:p>
              </w:tc>
              <w:tc>
                <w:tcPr>
                  <w:tcW w:w="519" w:type="pct"/>
                  <w:vAlign w:val="center"/>
                </w:tcPr>
                <w:p w14:paraId="08500ADA">
                  <w:pPr>
                    <w:pStyle w:val="5"/>
                    <w:bidi w:val="0"/>
                    <w:ind w:firstLine="0" w:firstLineChars="0"/>
                    <w:rPr>
                      <w:highlight w:val="none"/>
                      <w:lang w:val="en-US" w:eastAsia="zh-CN"/>
                    </w:rPr>
                  </w:pPr>
                  <w:r>
                    <w:rPr>
                      <w:rFonts w:hint="eastAsia"/>
                      <w:highlight w:val="none"/>
                      <w:lang w:val="en-US" w:eastAsia="zh-CN"/>
                    </w:rPr>
                    <w:t>0.015</w:t>
                  </w:r>
                </w:p>
              </w:tc>
              <w:tc>
                <w:tcPr>
                  <w:tcW w:w="482" w:type="pct"/>
                  <w:vMerge w:val="restart"/>
                  <w:vAlign w:val="center"/>
                </w:tcPr>
                <w:p w14:paraId="04594DC7">
                  <w:pPr>
                    <w:pStyle w:val="5"/>
                    <w:bidi w:val="0"/>
                    <w:rPr>
                      <w:lang w:val="en-US" w:eastAsia="zh-CN"/>
                    </w:rPr>
                  </w:pPr>
                  <w:r>
                    <w:rPr>
                      <w:rFonts w:hint="eastAsia"/>
                      <w:lang w:val="en-US" w:eastAsia="zh-CN"/>
                    </w:rPr>
                    <w:t>/</w:t>
                  </w:r>
                </w:p>
              </w:tc>
              <w:tc>
                <w:tcPr>
                  <w:tcW w:w="289" w:type="pct"/>
                  <w:vMerge w:val="restart"/>
                  <w:vAlign w:val="center"/>
                </w:tcPr>
                <w:p w14:paraId="61FCCABC">
                  <w:pPr>
                    <w:pStyle w:val="5"/>
                    <w:bidi w:val="0"/>
                    <w:rPr>
                      <w:lang w:val="en-US" w:eastAsia="zh-CN"/>
                    </w:rPr>
                  </w:pPr>
                  <w:r>
                    <w:rPr>
                      <w:rFonts w:hint="eastAsia"/>
                      <w:lang w:val="en-US" w:eastAsia="zh-CN"/>
                    </w:rPr>
                    <w:t>/</w:t>
                  </w:r>
                </w:p>
              </w:tc>
            </w:tr>
            <w:tr w14:paraId="6C81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5408266F">
                  <w:pPr>
                    <w:pStyle w:val="5"/>
                    <w:bidi w:val="0"/>
                    <w:rPr>
                      <w:highlight w:val="none"/>
                      <w:lang w:val="en-US" w:eastAsia="zh-CN"/>
                    </w:rPr>
                  </w:pPr>
                </w:p>
              </w:tc>
              <w:tc>
                <w:tcPr>
                  <w:tcW w:w="400" w:type="pct"/>
                  <w:shd w:val="clear" w:color="auto" w:fill="auto"/>
                  <w:vAlign w:val="center"/>
                </w:tcPr>
                <w:p w14:paraId="4A9688F9">
                  <w:pPr>
                    <w:pStyle w:val="5"/>
                    <w:bidi w:val="0"/>
                    <w:rPr>
                      <w:highlight w:val="none"/>
                      <w:lang w:val="en-US" w:eastAsia="zh-CN"/>
                    </w:rPr>
                  </w:pPr>
                  <w:r>
                    <w:rPr>
                      <w:highlight w:val="none"/>
                      <w:lang w:val="en-US" w:eastAsia="zh-CN"/>
                    </w:rPr>
                    <w:t>苯</w:t>
                  </w:r>
                </w:p>
              </w:tc>
              <w:tc>
                <w:tcPr>
                  <w:tcW w:w="163" w:type="pct"/>
                  <w:vMerge w:val="continue"/>
                  <w:vAlign w:val="center"/>
                </w:tcPr>
                <w:p w14:paraId="746CEF09">
                  <w:pPr>
                    <w:pStyle w:val="5"/>
                    <w:bidi w:val="0"/>
                    <w:rPr>
                      <w:highlight w:val="none"/>
                      <w:lang w:val="en-US" w:eastAsia="zh-CN"/>
                    </w:rPr>
                  </w:pPr>
                </w:p>
              </w:tc>
              <w:tc>
                <w:tcPr>
                  <w:tcW w:w="567" w:type="pct"/>
                  <w:shd w:val="clear" w:color="auto" w:fill="auto"/>
                  <w:vAlign w:val="center"/>
                </w:tcPr>
                <w:p w14:paraId="3F03A514">
                  <w:pPr>
                    <w:pStyle w:val="5"/>
                    <w:bidi w:val="0"/>
                    <w:rPr>
                      <w:rFonts w:hint="default"/>
                      <w:highlight w:val="none"/>
                      <w:lang w:val="en-US" w:eastAsia="zh-CN"/>
                    </w:rPr>
                  </w:pPr>
                  <w:r>
                    <w:rPr>
                      <w:rFonts w:hint="eastAsia"/>
                      <w:highlight w:val="none"/>
                      <w:lang w:val="en-US" w:eastAsia="zh-CN"/>
                    </w:rPr>
                    <w:t>4.23×10</w:t>
                  </w:r>
                  <w:r>
                    <w:rPr>
                      <w:rFonts w:hint="eastAsia"/>
                      <w:highlight w:val="none"/>
                      <w:vertAlign w:val="superscript"/>
                      <w:lang w:val="en-US" w:eastAsia="zh-CN"/>
                    </w:rPr>
                    <w:t>-5</w:t>
                  </w:r>
                </w:p>
              </w:tc>
              <w:tc>
                <w:tcPr>
                  <w:tcW w:w="602" w:type="pct"/>
                  <w:vAlign w:val="center"/>
                </w:tcPr>
                <w:p w14:paraId="7B33D698">
                  <w:pPr>
                    <w:pStyle w:val="5"/>
                    <w:bidi w:val="0"/>
                    <w:rPr>
                      <w:rFonts w:hint="default"/>
                      <w:highlight w:val="none"/>
                      <w:lang w:val="en-US" w:eastAsia="zh-CN"/>
                    </w:rPr>
                  </w:pPr>
                  <w:r>
                    <w:rPr>
                      <w:rFonts w:hint="eastAsia"/>
                      <w:highlight w:val="none"/>
                      <w:lang w:val="en-US" w:eastAsia="zh-CN"/>
                    </w:rPr>
                    <w:t>5.3×10</w:t>
                  </w:r>
                  <w:r>
                    <w:rPr>
                      <w:rFonts w:hint="eastAsia"/>
                      <w:highlight w:val="none"/>
                      <w:vertAlign w:val="superscript"/>
                      <w:lang w:val="en-US" w:eastAsia="zh-CN"/>
                    </w:rPr>
                    <w:t>-6</w:t>
                  </w:r>
                </w:p>
              </w:tc>
              <w:tc>
                <w:tcPr>
                  <w:tcW w:w="491" w:type="pct"/>
                  <w:vMerge w:val="continue"/>
                  <w:vAlign w:val="center"/>
                </w:tcPr>
                <w:p w14:paraId="66FF3AB1">
                  <w:pPr>
                    <w:pStyle w:val="5"/>
                    <w:bidi w:val="0"/>
                    <w:rPr>
                      <w:rFonts w:hint="default"/>
                      <w:highlight w:val="none"/>
                      <w:lang w:val="en-US" w:eastAsia="zh-CN"/>
                    </w:rPr>
                  </w:pPr>
                </w:p>
              </w:tc>
              <w:tc>
                <w:tcPr>
                  <w:tcW w:w="563" w:type="pct"/>
                  <w:vMerge w:val="continue"/>
                  <w:vAlign w:val="center"/>
                </w:tcPr>
                <w:p w14:paraId="4E596D7C">
                  <w:pPr>
                    <w:pStyle w:val="5"/>
                    <w:bidi w:val="0"/>
                    <w:rPr>
                      <w:highlight w:val="none"/>
                      <w:lang w:val="en-US" w:eastAsia="zh-CN"/>
                    </w:rPr>
                  </w:pPr>
                </w:p>
              </w:tc>
              <w:tc>
                <w:tcPr>
                  <w:tcW w:w="686" w:type="pct"/>
                  <w:vAlign w:val="center"/>
                </w:tcPr>
                <w:p w14:paraId="39067B41">
                  <w:pPr>
                    <w:pStyle w:val="5"/>
                    <w:bidi w:val="0"/>
                    <w:ind w:firstLine="0" w:firstLineChars="0"/>
                    <w:rPr>
                      <w:highlight w:val="none"/>
                      <w:lang w:val="en-US" w:eastAsia="zh-CN"/>
                    </w:rPr>
                  </w:pPr>
                  <w:r>
                    <w:rPr>
                      <w:rFonts w:hint="eastAsia"/>
                      <w:highlight w:val="none"/>
                      <w:lang w:val="en-US" w:eastAsia="zh-CN"/>
                    </w:rPr>
                    <w:t>4.23×10</w:t>
                  </w:r>
                  <w:r>
                    <w:rPr>
                      <w:rFonts w:hint="eastAsia"/>
                      <w:highlight w:val="none"/>
                      <w:vertAlign w:val="superscript"/>
                      <w:lang w:val="en-US" w:eastAsia="zh-CN"/>
                    </w:rPr>
                    <w:t>-5</w:t>
                  </w:r>
                </w:p>
              </w:tc>
              <w:tc>
                <w:tcPr>
                  <w:tcW w:w="519" w:type="pct"/>
                  <w:vAlign w:val="center"/>
                </w:tcPr>
                <w:p w14:paraId="40A709A3">
                  <w:pPr>
                    <w:pStyle w:val="5"/>
                    <w:bidi w:val="0"/>
                    <w:ind w:firstLine="0" w:firstLineChars="0"/>
                    <w:rPr>
                      <w:highlight w:val="none"/>
                      <w:lang w:val="en-US" w:eastAsia="zh-CN"/>
                    </w:rPr>
                  </w:pPr>
                  <w:r>
                    <w:rPr>
                      <w:rFonts w:hint="eastAsia"/>
                      <w:highlight w:val="none"/>
                      <w:lang w:val="en-US" w:eastAsia="zh-CN"/>
                    </w:rPr>
                    <w:t>5.3×10</w:t>
                  </w:r>
                  <w:r>
                    <w:rPr>
                      <w:rFonts w:hint="eastAsia"/>
                      <w:highlight w:val="none"/>
                      <w:vertAlign w:val="superscript"/>
                      <w:lang w:val="en-US" w:eastAsia="zh-CN"/>
                    </w:rPr>
                    <w:t>-6</w:t>
                  </w:r>
                </w:p>
              </w:tc>
              <w:tc>
                <w:tcPr>
                  <w:tcW w:w="482" w:type="pct"/>
                  <w:vMerge w:val="continue"/>
                  <w:vAlign w:val="center"/>
                </w:tcPr>
                <w:p w14:paraId="7BD0A529">
                  <w:pPr>
                    <w:pStyle w:val="5"/>
                    <w:bidi w:val="0"/>
                    <w:rPr>
                      <w:lang w:val="en-US" w:eastAsia="zh-CN"/>
                    </w:rPr>
                  </w:pPr>
                </w:p>
              </w:tc>
              <w:tc>
                <w:tcPr>
                  <w:tcW w:w="289" w:type="pct"/>
                  <w:vMerge w:val="continue"/>
                  <w:vAlign w:val="center"/>
                </w:tcPr>
                <w:p w14:paraId="137A636C">
                  <w:pPr>
                    <w:pStyle w:val="5"/>
                    <w:bidi w:val="0"/>
                    <w:rPr>
                      <w:lang w:val="en-US" w:eastAsia="zh-CN"/>
                    </w:rPr>
                  </w:pPr>
                </w:p>
              </w:tc>
            </w:tr>
            <w:tr w14:paraId="22B9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0A34D33B">
                  <w:pPr>
                    <w:pStyle w:val="5"/>
                    <w:bidi w:val="0"/>
                    <w:rPr>
                      <w:highlight w:val="none"/>
                      <w:lang w:val="en-US" w:eastAsia="zh-CN"/>
                    </w:rPr>
                  </w:pPr>
                </w:p>
              </w:tc>
              <w:tc>
                <w:tcPr>
                  <w:tcW w:w="400" w:type="pct"/>
                  <w:shd w:val="clear" w:color="auto" w:fill="auto"/>
                  <w:vAlign w:val="center"/>
                </w:tcPr>
                <w:p w14:paraId="305F3E5C">
                  <w:pPr>
                    <w:pStyle w:val="5"/>
                    <w:bidi w:val="0"/>
                    <w:rPr>
                      <w:highlight w:val="none"/>
                      <w:lang w:val="en-US" w:eastAsia="zh-CN"/>
                    </w:rPr>
                  </w:pPr>
                  <w:r>
                    <w:rPr>
                      <w:highlight w:val="none"/>
                      <w:lang w:val="en-US" w:eastAsia="zh-CN"/>
                    </w:rPr>
                    <w:t>甲苯</w:t>
                  </w:r>
                </w:p>
              </w:tc>
              <w:tc>
                <w:tcPr>
                  <w:tcW w:w="163" w:type="pct"/>
                  <w:vMerge w:val="continue"/>
                  <w:vAlign w:val="center"/>
                </w:tcPr>
                <w:p w14:paraId="307D202B">
                  <w:pPr>
                    <w:pStyle w:val="5"/>
                    <w:bidi w:val="0"/>
                    <w:rPr>
                      <w:highlight w:val="none"/>
                      <w:lang w:val="en-US" w:eastAsia="zh-CN"/>
                    </w:rPr>
                  </w:pPr>
                </w:p>
              </w:tc>
              <w:tc>
                <w:tcPr>
                  <w:tcW w:w="567" w:type="pct"/>
                  <w:shd w:val="clear" w:color="auto" w:fill="auto"/>
                  <w:vAlign w:val="center"/>
                </w:tcPr>
                <w:p w14:paraId="30751101">
                  <w:pPr>
                    <w:pStyle w:val="5"/>
                    <w:bidi w:val="0"/>
                    <w:rPr>
                      <w:rFonts w:hint="default"/>
                      <w:highlight w:val="none"/>
                      <w:lang w:val="en-US" w:eastAsia="zh-CN"/>
                    </w:rPr>
                  </w:pPr>
                  <w:r>
                    <w:rPr>
                      <w:rFonts w:hint="eastAsia"/>
                      <w:highlight w:val="none"/>
                      <w:lang w:val="en-US" w:eastAsia="zh-CN"/>
                    </w:rPr>
                    <w:t>1.27×10</w:t>
                  </w:r>
                  <w:r>
                    <w:rPr>
                      <w:rFonts w:hint="eastAsia"/>
                      <w:highlight w:val="none"/>
                      <w:vertAlign w:val="superscript"/>
                      <w:lang w:val="en-US" w:eastAsia="zh-CN"/>
                    </w:rPr>
                    <w:t>-4</w:t>
                  </w:r>
                </w:p>
              </w:tc>
              <w:tc>
                <w:tcPr>
                  <w:tcW w:w="602" w:type="pct"/>
                  <w:vAlign w:val="center"/>
                </w:tcPr>
                <w:p w14:paraId="6203703D">
                  <w:pPr>
                    <w:pStyle w:val="5"/>
                    <w:bidi w:val="0"/>
                    <w:rPr>
                      <w:rFonts w:hint="default"/>
                      <w:highlight w:val="none"/>
                      <w:lang w:val="en-US" w:eastAsia="zh-CN"/>
                    </w:rPr>
                  </w:pPr>
                  <w:r>
                    <w:rPr>
                      <w:rFonts w:hint="eastAsia"/>
                      <w:highlight w:val="none"/>
                      <w:lang w:val="en-US" w:eastAsia="zh-CN"/>
                    </w:rPr>
                    <w:t>1.6×10</w:t>
                  </w:r>
                  <w:r>
                    <w:rPr>
                      <w:rFonts w:hint="eastAsia"/>
                      <w:highlight w:val="none"/>
                      <w:vertAlign w:val="superscript"/>
                      <w:lang w:val="en-US" w:eastAsia="zh-CN"/>
                    </w:rPr>
                    <w:t>-5</w:t>
                  </w:r>
                </w:p>
              </w:tc>
              <w:tc>
                <w:tcPr>
                  <w:tcW w:w="491" w:type="pct"/>
                  <w:vMerge w:val="continue"/>
                  <w:vAlign w:val="center"/>
                </w:tcPr>
                <w:p w14:paraId="4224C143">
                  <w:pPr>
                    <w:pStyle w:val="5"/>
                    <w:bidi w:val="0"/>
                    <w:rPr>
                      <w:rFonts w:hint="default"/>
                      <w:highlight w:val="none"/>
                      <w:lang w:val="en-US" w:eastAsia="zh-CN"/>
                    </w:rPr>
                  </w:pPr>
                </w:p>
              </w:tc>
              <w:tc>
                <w:tcPr>
                  <w:tcW w:w="563" w:type="pct"/>
                  <w:vMerge w:val="continue"/>
                  <w:vAlign w:val="center"/>
                </w:tcPr>
                <w:p w14:paraId="73D503B7">
                  <w:pPr>
                    <w:pStyle w:val="5"/>
                    <w:bidi w:val="0"/>
                    <w:rPr>
                      <w:highlight w:val="none"/>
                      <w:lang w:val="en-US" w:eastAsia="zh-CN"/>
                    </w:rPr>
                  </w:pPr>
                </w:p>
              </w:tc>
              <w:tc>
                <w:tcPr>
                  <w:tcW w:w="686" w:type="pct"/>
                  <w:vAlign w:val="center"/>
                </w:tcPr>
                <w:p w14:paraId="7A51E0BA">
                  <w:pPr>
                    <w:pStyle w:val="5"/>
                    <w:bidi w:val="0"/>
                    <w:ind w:firstLine="0" w:firstLineChars="0"/>
                    <w:rPr>
                      <w:highlight w:val="none"/>
                      <w:lang w:val="en-US" w:eastAsia="zh-CN"/>
                    </w:rPr>
                  </w:pPr>
                  <w:r>
                    <w:rPr>
                      <w:rFonts w:hint="eastAsia"/>
                      <w:highlight w:val="none"/>
                      <w:lang w:val="en-US" w:eastAsia="zh-CN"/>
                    </w:rPr>
                    <w:t>1.27×10</w:t>
                  </w:r>
                  <w:r>
                    <w:rPr>
                      <w:rFonts w:hint="eastAsia"/>
                      <w:highlight w:val="none"/>
                      <w:vertAlign w:val="superscript"/>
                      <w:lang w:val="en-US" w:eastAsia="zh-CN"/>
                    </w:rPr>
                    <w:t>-4</w:t>
                  </w:r>
                </w:p>
              </w:tc>
              <w:tc>
                <w:tcPr>
                  <w:tcW w:w="519" w:type="pct"/>
                  <w:vAlign w:val="center"/>
                </w:tcPr>
                <w:p w14:paraId="333BC58C">
                  <w:pPr>
                    <w:pStyle w:val="5"/>
                    <w:bidi w:val="0"/>
                    <w:ind w:firstLine="0" w:firstLineChars="0"/>
                    <w:rPr>
                      <w:highlight w:val="none"/>
                      <w:lang w:val="en-US" w:eastAsia="zh-CN"/>
                    </w:rPr>
                  </w:pPr>
                  <w:r>
                    <w:rPr>
                      <w:rFonts w:hint="eastAsia"/>
                      <w:highlight w:val="none"/>
                      <w:lang w:val="en-US" w:eastAsia="zh-CN"/>
                    </w:rPr>
                    <w:t>1.6×10</w:t>
                  </w:r>
                  <w:r>
                    <w:rPr>
                      <w:rFonts w:hint="eastAsia"/>
                      <w:highlight w:val="none"/>
                      <w:vertAlign w:val="superscript"/>
                      <w:lang w:val="en-US" w:eastAsia="zh-CN"/>
                    </w:rPr>
                    <w:t>-5</w:t>
                  </w:r>
                </w:p>
              </w:tc>
              <w:tc>
                <w:tcPr>
                  <w:tcW w:w="482" w:type="pct"/>
                  <w:vMerge w:val="continue"/>
                  <w:vAlign w:val="center"/>
                </w:tcPr>
                <w:p w14:paraId="4B392D3C">
                  <w:pPr>
                    <w:pStyle w:val="5"/>
                    <w:bidi w:val="0"/>
                    <w:rPr>
                      <w:lang w:val="en-US" w:eastAsia="zh-CN"/>
                    </w:rPr>
                  </w:pPr>
                </w:p>
              </w:tc>
              <w:tc>
                <w:tcPr>
                  <w:tcW w:w="289" w:type="pct"/>
                  <w:vMerge w:val="continue"/>
                  <w:vAlign w:val="center"/>
                </w:tcPr>
                <w:p w14:paraId="7968AD33">
                  <w:pPr>
                    <w:pStyle w:val="5"/>
                    <w:bidi w:val="0"/>
                    <w:rPr>
                      <w:lang w:val="en-US" w:eastAsia="zh-CN"/>
                    </w:rPr>
                  </w:pPr>
                </w:p>
              </w:tc>
            </w:tr>
            <w:tr w14:paraId="621B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4617D711">
                  <w:pPr>
                    <w:pStyle w:val="5"/>
                    <w:bidi w:val="0"/>
                    <w:rPr>
                      <w:highlight w:val="none"/>
                      <w:lang w:val="en-US" w:eastAsia="zh-CN"/>
                    </w:rPr>
                  </w:pPr>
                </w:p>
              </w:tc>
              <w:tc>
                <w:tcPr>
                  <w:tcW w:w="400" w:type="pct"/>
                  <w:shd w:val="clear" w:color="auto" w:fill="auto"/>
                  <w:vAlign w:val="center"/>
                </w:tcPr>
                <w:p w14:paraId="3360D71A">
                  <w:pPr>
                    <w:pStyle w:val="5"/>
                    <w:bidi w:val="0"/>
                    <w:rPr>
                      <w:rFonts w:hint="default"/>
                      <w:highlight w:val="none"/>
                      <w:lang w:val="en-US" w:eastAsia="zh-CN"/>
                    </w:rPr>
                  </w:pPr>
                  <w:r>
                    <w:rPr>
                      <w:rFonts w:hint="eastAsia"/>
                      <w:highlight w:val="none"/>
                      <w:lang w:val="en-US" w:eastAsia="zh-CN"/>
                    </w:rPr>
                    <w:t>正己烷</w:t>
                  </w:r>
                </w:p>
              </w:tc>
              <w:tc>
                <w:tcPr>
                  <w:tcW w:w="163" w:type="pct"/>
                  <w:vMerge w:val="continue"/>
                  <w:vAlign w:val="center"/>
                </w:tcPr>
                <w:p w14:paraId="3AAF3A64">
                  <w:pPr>
                    <w:pStyle w:val="5"/>
                    <w:bidi w:val="0"/>
                    <w:rPr>
                      <w:highlight w:val="none"/>
                      <w:lang w:val="en-US" w:eastAsia="zh-CN"/>
                    </w:rPr>
                  </w:pPr>
                </w:p>
              </w:tc>
              <w:tc>
                <w:tcPr>
                  <w:tcW w:w="567" w:type="pct"/>
                  <w:shd w:val="clear" w:color="auto" w:fill="auto"/>
                  <w:vAlign w:val="center"/>
                </w:tcPr>
                <w:p w14:paraId="25905F3B">
                  <w:pPr>
                    <w:pStyle w:val="5"/>
                    <w:bidi w:val="0"/>
                    <w:rPr>
                      <w:rFonts w:hint="default"/>
                      <w:highlight w:val="none"/>
                      <w:lang w:val="en-US" w:eastAsia="zh-CN"/>
                    </w:rPr>
                  </w:pPr>
                  <w:r>
                    <w:rPr>
                      <w:rFonts w:hint="eastAsia"/>
                      <w:highlight w:val="none"/>
                      <w:lang w:val="en-US" w:eastAsia="zh-CN"/>
                    </w:rPr>
                    <w:t>7.79×10</w:t>
                  </w:r>
                  <w:r>
                    <w:rPr>
                      <w:rFonts w:hint="eastAsia"/>
                      <w:highlight w:val="none"/>
                      <w:vertAlign w:val="superscript"/>
                      <w:lang w:val="en-US" w:eastAsia="zh-CN"/>
                    </w:rPr>
                    <w:t>-3</w:t>
                  </w:r>
                </w:p>
              </w:tc>
              <w:tc>
                <w:tcPr>
                  <w:tcW w:w="602" w:type="pct"/>
                  <w:vAlign w:val="center"/>
                </w:tcPr>
                <w:p w14:paraId="203A7851">
                  <w:pPr>
                    <w:pStyle w:val="5"/>
                    <w:bidi w:val="0"/>
                    <w:rPr>
                      <w:rFonts w:hint="default"/>
                      <w:highlight w:val="none"/>
                      <w:lang w:val="en-US" w:eastAsia="zh-CN"/>
                    </w:rPr>
                  </w:pPr>
                  <w:r>
                    <w:rPr>
                      <w:rFonts w:hint="eastAsia"/>
                      <w:highlight w:val="none"/>
                      <w:lang w:val="en-US" w:eastAsia="zh-CN"/>
                    </w:rPr>
                    <w:t>9.74×10</w:t>
                  </w:r>
                  <w:r>
                    <w:rPr>
                      <w:rFonts w:hint="eastAsia"/>
                      <w:highlight w:val="none"/>
                      <w:vertAlign w:val="superscript"/>
                      <w:lang w:val="en-US" w:eastAsia="zh-CN"/>
                    </w:rPr>
                    <w:t>-4</w:t>
                  </w:r>
                </w:p>
              </w:tc>
              <w:tc>
                <w:tcPr>
                  <w:tcW w:w="491" w:type="pct"/>
                  <w:vMerge w:val="continue"/>
                  <w:vAlign w:val="center"/>
                </w:tcPr>
                <w:p w14:paraId="683485C4">
                  <w:pPr>
                    <w:pStyle w:val="5"/>
                    <w:bidi w:val="0"/>
                    <w:rPr>
                      <w:rFonts w:hint="default"/>
                      <w:highlight w:val="none"/>
                      <w:lang w:val="en-US" w:eastAsia="zh-CN"/>
                    </w:rPr>
                  </w:pPr>
                </w:p>
              </w:tc>
              <w:tc>
                <w:tcPr>
                  <w:tcW w:w="563" w:type="pct"/>
                  <w:vMerge w:val="continue"/>
                  <w:vAlign w:val="center"/>
                </w:tcPr>
                <w:p w14:paraId="00BBAF8A">
                  <w:pPr>
                    <w:pStyle w:val="5"/>
                    <w:bidi w:val="0"/>
                    <w:rPr>
                      <w:highlight w:val="none"/>
                      <w:lang w:val="en-US" w:eastAsia="zh-CN"/>
                    </w:rPr>
                  </w:pPr>
                </w:p>
              </w:tc>
              <w:tc>
                <w:tcPr>
                  <w:tcW w:w="686" w:type="pct"/>
                  <w:vAlign w:val="center"/>
                </w:tcPr>
                <w:p w14:paraId="7869A3FF">
                  <w:pPr>
                    <w:pStyle w:val="5"/>
                    <w:bidi w:val="0"/>
                    <w:ind w:firstLine="0" w:firstLineChars="0"/>
                    <w:rPr>
                      <w:rFonts w:hint="eastAsia"/>
                      <w:highlight w:val="none"/>
                      <w:lang w:val="en-US" w:eastAsia="zh-CN"/>
                    </w:rPr>
                  </w:pPr>
                  <w:r>
                    <w:rPr>
                      <w:rFonts w:hint="eastAsia"/>
                      <w:highlight w:val="none"/>
                      <w:lang w:val="en-US" w:eastAsia="zh-CN"/>
                    </w:rPr>
                    <w:t>7.79×10</w:t>
                  </w:r>
                  <w:r>
                    <w:rPr>
                      <w:rFonts w:hint="eastAsia"/>
                      <w:highlight w:val="none"/>
                      <w:vertAlign w:val="superscript"/>
                      <w:lang w:val="en-US" w:eastAsia="zh-CN"/>
                    </w:rPr>
                    <w:t>-3</w:t>
                  </w:r>
                </w:p>
              </w:tc>
              <w:tc>
                <w:tcPr>
                  <w:tcW w:w="519" w:type="pct"/>
                  <w:vAlign w:val="center"/>
                </w:tcPr>
                <w:p w14:paraId="7B0A0831">
                  <w:pPr>
                    <w:pStyle w:val="5"/>
                    <w:bidi w:val="0"/>
                    <w:ind w:firstLine="0" w:firstLineChars="0"/>
                    <w:rPr>
                      <w:rFonts w:hint="eastAsia"/>
                      <w:highlight w:val="none"/>
                      <w:lang w:val="en-US" w:eastAsia="zh-CN"/>
                    </w:rPr>
                  </w:pPr>
                  <w:r>
                    <w:rPr>
                      <w:rFonts w:hint="eastAsia"/>
                      <w:highlight w:val="none"/>
                      <w:lang w:val="en-US" w:eastAsia="zh-CN"/>
                    </w:rPr>
                    <w:t>9.74×10</w:t>
                  </w:r>
                  <w:r>
                    <w:rPr>
                      <w:rFonts w:hint="eastAsia"/>
                      <w:highlight w:val="none"/>
                      <w:vertAlign w:val="superscript"/>
                      <w:lang w:val="en-US" w:eastAsia="zh-CN"/>
                    </w:rPr>
                    <w:t>-4</w:t>
                  </w:r>
                </w:p>
              </w:tc>
              <w:tc>
                <w:tcPr>
                  <w:tcW w:w="482" w:type="pct"/>
                  <w:vMerge w:val="continue"/>
                  <w:vAlign w:val="center"/>
                </w:tcPr>
                <w:p w14:paraId="0B5609E2">
                  <w:pPr>
                    <w:pStyle w:val="5"/>
                    <w:bidi w:val="0"/>
                    <w:rPr>
                      <w:lang w:val="en-US" w:eastAsia="zh-CN"/>
                    </w:rPr>
                  </w:pPr>
                </w:p>
              </w:tc>
              <w:tc>
                <w:tcPr>
                  <w:tcW w:w="289" w:type="pct"/>
                  <w:vMerge w:val="continue"/>
                  <w:vAlign w:val="center"/>
                </w:tcPr>
                <w:p w14:paraId="107258B6">
                  <w:pPr>
                    <w:pStyle w:val="5"/>
                    <w:bidi w:val="0"/>
                    <w:rPr>
                      <w:lang w:val="en-US" w:eastAsia="zh-CN"/>
                    </w:rPr>
                  </w:pPr>
                </w:p>
              </w:tc>
            </w:tr>
            <w:tr w14:paraId="1E77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restart"/>
                  <w:vAlign w:val="center"/>
                </w:tcPr>
                <w:p w14:paraId="7D93A519">
                  <w:pPr>
                    <w:pStyle w:val="5"/>
                    <w:bidi w:val="0"/>
                    <w:rPr>
                      <w:highlight w:val="none"/>
                      <w:lang w:val="en-US" w:eastAsia="zh-CN"/>
                    </w:rPr>
                  </w:pPr>
                  <w:r>
                    <w:rPr>
                      <w:rFonts w:hint="eastAsia"/>
                      <w:highlight w:val="none"/>
                      <w:lang w:val="en-US" w:eastAsia="zh-CN"/>
                    </w:rPr>
                    <w:t>装车</w:t>
                  </w:r>
                  <w:r>
                    <w:rPr>
                      <w:highlight w:val="none"/>
                      <w:lang w:val="en-US" w:eastAsia="zh-CN"/>
                    </w:rPr>
                    <w:t>卸车</w:t>
                  </w:r>
                </w:p>
              </w:tc>
              <w:tc>
                <w:tcPr>
                  <w:tcW w:w="400" w:type="pct"/>
                  <w:shd w:val="clear" w:color="auto" w:fill="auto"/>
                  <w:vAlign w:val="center"/>
                </w:tcPr>
                <w:p w14:paraId="7F31E717">
                  <w:pPr>
                    <w:pStyle w:val="5"/>
                    <w:bidi w:val="0"/>
                    <w:rPr>
                      <w:highlight w:val="none"/>
                      <w:lang w:val="en-US" w:eastAsia="zh-CN"/>
                    </w:rPr>
                  </w:pPr>
                  <w:r>
                    <w:rPr>
                      <w:highlight w:val="none"/>
                      <w:lang w:val="en-US" w:eastAsia="zh-CN"/>
                    </w:rPr>
                    <w:t>非甲烷总烃</w:t>
                  </w:r>
                </w:p>
              </w:tc>
              <w:tc>
                <w:tcPr>
                  <w:tcW w:w="163" w:type="pct"/>
                  <w:vMerge w:val="restart"/>
                  <w:shd w:val="clear" w:color="auto" w:fill="auto"/>
                  <w:vAlign w:val="center"/>
                </w:tcPr>
                <w:p w14:paraId="7CF723BB">
                  <w:pPr>
                    <w:pStyle w:val="5"/>
                    <w:bidi w:val="0"/>
                    <w:rPr>
                      <w:highlight w:val="none"/>
                      <w:lang w:val="en-US" w:eastAsia="zh-CN"/>
                    </w:rPr>
                  </w:pPr>
                  <w:r>
                    <w:rPr>
                      <w:rFonts w:hint="eastAsia"/>
                      <w:highlight w:val="none"/>
                      <w:lang w:val="en-US" w:eastAsia="zh-CN"/>
                    </w:rPr>
                    <w:t>有组织</w:t>
                  </w:r>
                </w:p>
              </w:tc>
              <w:tc>
                <w:tcPr>
                  <w:tcW w:w="567" w:type="pct"/>
                  <w:shd w:val="clear" w:color="auto" w:fill="auto"/>
                  <w:vAlign w:val="center"/>
                </w:tcPr>
                <w:p w14:paraId="64276157">
                  <w:pPr>
                    <w:pStyle w:val="5"/>
                    <w:bidi w:val="0"/>
                    <w:rPr>
                      <w:rFonts w:hint="default"/>
                      <w:highlight w:val="none"/>
                      <w:lang w:val="en-US" w:eastAsia="zh-CN"/>
                    </w:rPr>
                  </w:pPr>
                  <w:r>
                    <w:rPr>
                      <w:rFonts w:hint="eastAsia"/>
                      <w:highlight w:val="none"/>
                      <w:lang w:val="en-US" w:eastAsia="zh-CN"/>
                    </w:rPr>
                    <w:t>0.15</w:t>
                  </w:r>
                </w:p>
              </w:tc>
              <w:tc>
                <w:tcPr>
                  <w:tcW w:w="602" w:type="pct"/>
                  <w:vAlign w:val="center"/>
                </w:tcPr>
                <w:p w14:paraId="66234209">
                  <w:pPr>
                    <w:pStyle w:val="5"/>
                    <w:bidi w:val="0"/>
                    <w:rPr>
                      <w:rFonts w:hint="default"/>
                      <w:highlight w:val="none"/>
                      <w:lang w:val="en-US" w:eastAsia="zh-CN"/>
                    </w:rPr>
                  </w:pPr>
                  <w:r>
                    <w:rPr>
                      <w:rFonts w:hint="eastAsia"/>
                      <w:highlight w:val="none"/>
                      <w:lang w:val="en-US" w:eastAsia="zh-CN"/>
                    </w:rPr>
                    <w:t>0.0188</w:t>
                  </w:r>
                </w:p>
              </w:tc>
              <w:tc>
                <w:tcPr>
                  <w:tcW w:w="491" w:type="pct"/>
                  <w:vAlign w:val="center"/>
                </w:tcPr>
                <w:p w14:paraId="1921492E">
                  <w:pPr>
                    <w:pStyle w:val="5"/>
                    <w:bidi w:val="0"/>
                    <w:rPr>
                      <w:rFonts w:hint="default"/>
                      <w:highlight w:val="none"/>
                      <w:lang w:val="en-US" w:eastAsia="zh-CN"/>
                    </w:rPr>
                  </w:pPr>
                  <w:r>
                    <w:rPr>
                      <w:rFonts w:hint="eastAsia"/>
                      <w:highlight w:val="none"/>
                      <w:lang w:val="en-US" w:eastAsia="zh-CN"/>
                    </w:rPr>
                    <w:t>16.205</w:t>
                  </w:r>
                </w:p>
              </w:tc>
              <w:tc>
                <w:tcPr>
                  <w:tcW w:w="563" w:type="pct"/>
                  <w:vMerge w:val="restart"/>
                  <w:vAlign w:val="center"/>
                </w:tcPr>
                <w:p w14:paraId="771BC7C6">
                  <w:pPr>
                    <w:pStyle w:val="5"/>
                    <w:bidi w:val="0"/>
                    <w:rPr>
                      <w:highlight w:val="none"/>
                      <w:lang w:val="en-US" w:eastAsia="zh-CN"/>
                    </w:rPr>
                  </w:pPr>
                  <w:r>
                    <w:rPr>
                      <w:rFonts w:hint="eastAsia"/>
                      <w:highlight w:val="none"/>
                      <w:lang w:val="en-US" w:eastAsia="zh-CN"/>
                    </w:rPr>
                    <w:t>管道收集(95%)+</w:t>
                  </w:r>
                  <w:r>
                    <w:rPr>
                      <w:highlight w:val="none"/>
                      <w:lang w:val="en-US" w:eastAsia="zh-CN"/>
                    </w:rPr>
                    <w:t>油气回收装置</w:t>
                  </w:r>
                  <w:r>
                    <w:rPr>
                      <w:rFonts w:hint="eastAsia"/>
                      <w:highlight w:val="none"/>
                      <w:lang w:val="en-US" w:eastAsia="zh-CN"/>
                    </w:rPr>
                    <w:t>(95%)</w:t>
                  </w:r>
                </w:p>
              </w:tc>
              <w:tc>
                <w:tcPr>
                  <w:tcW w:w="686" w:type="pct"/>
                  <w:vAlign w:val="center"/>
                </w:tcPr>
                <w:p w14:paraId="646EB8CE">
                  <w:pPr>
                    <w:pStyle w:val="5"/>
                    <w:bidi w:val="0"/>
                    <w:ind w:firstLine="0" w:firstLineChars="0"/>
                    <w:rPr>
                      <w:rFonts w:hint="default"/>
                      <w:highlight w:val="none"/>
                      <w:lang w:val="en-US" w:eastAsia="zh-CN"/>
                    </w:rPr>
                  </w:pPr>
                  <w:r>
                    <w:rPr>
                      <w:rFonts w:hint="eastAsia"/>
                      <w:highlight w:val="none"/>
                      <w:lang w:val="en-US" w:eastAsia="zh-CN"/>
                    </w:rPr>
                    <w:t>0.0075</w:t>
                  </w:r>
                </w:p>
              </w:tc>
              <w:tc>
                <w:tcPr>
                  <w:tcW w:w="519" w:type="pct"/>
                  <w:vAlign w:val="center"/>
                </w:tcPr>
                <w:p w14:paraId="44727428">
                  <w:pPr>
                    <w:pStyle w:val="5"/>
                    <w:bidi w:val="0"/>
                    <w:ind w:firstLine="0" w:firstLineChars="0"/>
                    <w:rPr>
                      <w:rFonts w:hint="default"/>
                      <w:highlight w:val="none"/>
                      <w:lang w:val="en-US" w:eastAsia="zh-CN"/>
                    </w:rPr>
                  </w:pPr>
                  <w:r>
                    <w:rPr>
                      <w:rFonts w:hint="eastAsia"/>
                      <w:highlight w:val="none"/>
                      <w:lang w:val="en-US" w:eastAsia="zh-CN"/>
                    </w:rPr>
                    <w:t>0.0009</w:t>
                  </w:r>
                </w:p>
              </w:tc>
              <w:tc>
                <w:tcPr>
                  <w:tcW w:w="482" w:type="pct"/>
                  <w:vAlign w:val="center"/>
                </w:tcPr>
                <w:p w14:paraId="658B5D08">
                  <w:pPr>
                    <w:pStyle w:val="5"/>
                    <w:bidi w:val="0"/>
                    <w:ind w:firstLine="0" w:firstLineChars="0"/>
                    <w:rPr>
                      <w:rFonts w:hint="default"/>
                      <w:lang w:val="en-US" w:eastAsia="zh-CN"/>
                    </w:rPr>
                  </w:pPr>
                  <w:r>
                    <w:rPr>
                      <w:rFonts w:hint="eastAsia"/>
                      <w:lang w:val="en-US" w:eastAsia="zh-CN"/>
                    </w:rPr>
                    <w:t>0.435</w:t>
                  </w:r>
                </w:p>
              </w:tc>
              <w:tc>
                <w:tcPr>
                  <w:tcW w:w="289" w:type="pct"/>
                  <w:vMerge w:val="restart"/>
                  <w:shd w:val="clear" w:color="auto" w:fill="auto"/>
                  <w:vAlign w:val="center"/>
                </w:tcPr>
                <w:p w14:paraId="08EAA213">
                  <w:pPr>
                    <w:pStyle w:val="5"/>
                    <w:bidi w:val="0"/>
                    <w:rPr>
                      <w:lang w:val="en-US" w:eastAsia="zh-CN"/>
                    </w:rPr>
                  </w:pPr>
                  <w:r>
                    <w:rPr>
                      <w:lang w:val="en-US" w:eastAsia="zh-CN"/>
                    </w:rPr>
                    <w:t>DA003</w:t>
                  </w:r>
                </w:p>
                <w:p w14:paraId="11644B86">
                  <w:pPr>
                    <w:pStyle w:val="5"/>
                    <w:bidi w:val="0"/>
                    <w:rPr>
                      <w:rFonts w:hint="eastAsia"/>
                      <w:lang w:val="en-US" w:eastAsia="zh-CN"/>
                    </w:rPr>
                  </w:pPr>
                  <w:r>
                    <w:rPr>
                      <w:lang w:val="en-US" w:eastAsia="zh-CN"/>
                    </w:rPr>
                    <w:t>15m</w:t>
                  </w:r>
                </w:p>
              </w:tc>
            </w:tr>
            <w:tr w14:paraId="4235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2BC35CD9">
                  <w:pPr>
                    <w:pStyle w:val="5"/>
                    <w:bidi w:val="0"/>
                    <w:rPr>
                      <w:highlight w:val="none"/>
                      <w:lang w:val="en-US" w:eastAsia="zh-CN"/>
                    </w:rPr>
                  </w:pPr>
                </w:p>
              </w:tc>
              <w:tc>
                <w:tcPr>
                  <w:tcW w:w="400" w:type="pct"/>
                  <w:shd w:val="clear" w:color="auto" w:fill="auto"/>
                  <w:vAlign w:val="center"/>
                </w:tcPr>
                <w:p w14:paraId="06B8CF5F">
                  <w:pPr>
                    <w:pStyle w:val="5"/>
                    <w:bidi w:val="0"/>
                    <w:rPr>
                      <w:highlight w:val="none"/>
                      <w:lang w:val="en-US" w:eastAsia="zh-CN"/>
                    </w:rPr>
                  </w:pPr>
                  <w:r>
                    <w:rPr>
                      <w:highlight w:val="none"/>
                      <w:lang w:val="en-US" w:eastAsia="zh-CN"/>
                    </w:rPr>
                    <w:t>苯</w:t>
                  </w:r>
                </w:p>
              </w:tc>
              <w:tc>
                <w:tcPr>
                  <w:tcW w:w="163" w:type="pct"/>
                  <w:vMerge w:val="continue"/>
                  <w:vAlign w:val="center"/>
                </w:tcPr>
                <w:p w14:paraId="2ED31D45">
                  <w:pPr>
                    <w:pStyle w:val="5"/>
                    <w:bidi w:val="0"/>
                    <w:rPr>
                      <w:highlight w:val="none"/>
                      <w:lang w:val="en-US" w:eastAsia="zh-CN"/>
                    </w:rPr>
                  </w:pPr>
                </w:p>
              </w:tc>
              <w:tc>
                <w:tcPr>
                  <w:tcW w:w="567" w:type="pct"/>
                  <w:shd w:val="clear" w:color="auto" w:fill="auto"/>
                  <w:vAlign w:val="center"/>
                </w:tcPr>
                <w:p w14:paraId="603F6BE8">
                  <w:pPr>
                    <w:pStyle w:val="5"/>
                    <w:bidi w:val="0"/>
                    <w:rPr>
                      <w:rFonts w:hint="default"/>
                      <w:highlight w:val="none"/>
                      <w:lang w:val="en-US" w:eastAsia="zh-CN"/>
                    </w:rPr>
                  </w:pPr>
                  <w:r>
                    <w:rPr>
                      <w:rFonts w:hint="eastAsia"/>
                      <w:highlight w:val="none"/>
                      <w:lang w:val="en-US" w:eastAsia="zh-CN"/>
                    </w:rPr>
                    <w:t>1.42×10</w:t>
                  </w:r>
                  <w:r>
                    <w:rPr>
                      <w:rFonts w:hint="eastAsia"/>
                      <w:highlight w:val="none"/>
                      <w:vertAlign w:val="superscript"/>
                      <w:lang w:val="en-US" w:eastAsia="zh-CN"/>
                    </w:rPr>
                    <w:t>-4</w:t>
                  </w:r>
                </w:p>
              </w:tc>
              <w:tc>
                <w:tcPr>
                  <w:tcW w:w="602" w:type="pct"/>
                  <w:vAlign w:val="center"/>
                </w:tcPr>
                <w:p w14:paraId="72EB2FD2">
                  <w:pPr>
                    <w:pStyle w:val="5"/>
                    <w:bidi w:val="0"/>
                    <w:rPr>
                      <w:rFonts w:hint="default"/>
                      <w:highlight w:val="none"/>
                      <w:lang w:val="en-US" w:eastAsia="zh-CN"/>
                    </w:rPr>
                  </w:pPr>
                  <w:r>
                    <w:rPr>
                      <w:rFonts w:hint="eastAsia"/>
                      <w:highlight w:val="none"/>
                      <w:lang w:val="en-US" w:eastAsia="zh-CN"/>
                    </w:rPr>
                    <w:t>1.77×10</w:t>
                  </w:r>
                  <w:r>
                    <w:rPr>
                      <w:rFonts w:hint="eastAsia"/>
                      <w:highlight w:val="none"/>
                      <w:vertAlign w:val="superscript"/>
                      <w:lang w:val="en-US" w:eastAsia="zh-CN"/>
                    </w:rPr>
                    <w:t>-5</w:t>
                  </w:r>
                </w:p>
              </w:tc>
              <w:tc>
                <w:tcPr>
                  <w:tcW w:w="491" w:type="pct"/>
                  <w:vAlign w:val="center"/>
                </w:tcPr>
                <w:p w14:paraId="67F8F77F">
                  <w:pPr>
                    <w:pStyle w:val="5"/>
                    <w:bidi w:val="0"/>
                    <w:rPr>
                      <w:rFonts w:hint="default"/>
                      <w:highlight w:val="none"/>
                      <w:lang w:val="en-US" w:eastAsia="zh-CN"/>
                    </w:rPr>
                  </w:pPr>
                  <w:r>
                    <w:rPr>
                      <w:rFonts w:hint="eastAsia"/>
                      <w:highlight w:val="none"/>
                      <w:lang w:val="en-US" w:eastAsia="zh-CN"/>
                    </w:rPr>
                    <w:t>0.015</w:t>
                  </w:r>
                </w:p>
              </w:tc>
              <w:tc>
                <w:tcPr>
                  <w:tcW w:w="563" w:type="pct"/>
                  <w:vMerge w:val="continue"/>
                  <w:vAlign w:val="center"/>
                </w:tcPr>
                <w:p w14:paraId="57445031">
                  <w:pPr>
                    <w:pStyle w:val="5"/>
                    <w:bidi w:val="0"/>
                    <w:rPr>
                      <w:highlight w:val="none"/>
                      <w:lang w:val="en-US" w:eastAsia="zh-CN"/>
                    </w:rPr>
                  </w:pPr>
                </w:p>
              </w:tc>
              <w:tc>
                <w:tcPr>
                  <w:tcW w:w="686" w:type="pct"/>
                  <w:vAlign w:val="center"/>
                </w:tcPr>
                <w:p w14:paraId="7B517AAC">
                  <w:pPr>
                    <w:pStyle w:val="5"/>
                    <w:bidi w:val="0"/>
                    <w:ind w:firstLine="0" w:firstLineChars="0"/>
                    <w:rPr>
                      <w:rFonts w:hint="eastAsia"/>
                      <w:highlight w:val="none"/>
                      <w:lang w:val="en-US" w:eastAsia="zh-CN"/>
                    </w:rPr>
                  </w:pPr>
                  <w:r>
                    <w:rPr>
                      <w:rFonts w:hint="eastAsia"/>
                      <w:highlight w:val="none"/>
                      <w:lang w:val="en-US" w:eastAsia="zh-CN"/>
                    </w:rPr>
                    <w:t>7.1×10</w:t>
                  </w:r>
                  <w:r>
                    <w:rPr>
                      <w:rFonts w:hint="eastAsia"/>
                      <w:highlight w:val="none"/>
                      <w:vertAlign w:val="superscript"/>
                      <w:lang w:val="en-US" w:eastAsia="zh-CN"/>
                    </w:rPr>
                    <w:t>-6</w:t>
                  </w:r>
                </w:p>
              </w:tc>
              <w:tc>
                <w:tcPr>
                  <w:tcW w:w="519" w:type="pct"/>
                  <w:vAlign w:val="center"/>
                </w:tcPr>
                <w:p w14:paraId="6BB5C36A">
                  <w:pPr>
                    <w:pStyle w:val="5"/>
                    <w:bidi w:val="0"/>
                    <w:ind w:firstLine="0" w:firstLineChars="0"/>
                    <w:rPr>
                      <w:rFonts w:hint="default"/>
                      <w:highlight w:val="none"/>
                      <w:lang w:val="en-US" w:eastAsia="zh-CN"/>
                    </w:rPr>
                  </w:pPr>
                  <w:r>
                    <w:rPr>
                      <w:rFonts w:hint="eastAsia"/>
                      <w:highlight w:val="none"/>
                      <w:lang w:val="en-US" w:eastAsia="zh-CN"/>
                    </w:rPr>
                    <w:t>9×10</w:t>
                  </w:r>
                  <w:r>
                    <w:rPr>
                      <w:rFonts w:hint="eastAsia"/>
                      <w:highlight w:val="none"/>
                      <w:vertAlign w:val="superscript"/>
                      <w:lang w:val="en-US" w:eastAsia="zh-CN"/>
                    </w:rPr>
                    <w:t>-7</w:t>
                  </w:r>
                </w:p>
              </w:tc>
              <w:tc>
                <w:tcPr>
                  <w:tcW w:w="482" w:type="pct"/>
                  <w:vAlign w:val="center"/>
                </w:tcPr>
                <w:p w14:paraId="218CD8C4">
                  <w:pPr>
                    <w:pStyle w:val="5"/>
                    <w:bidi w:val="0"/>
                    <w:ind w:firstLine="0" w:firstLineChars="0"/>
                    <w:rPr>
                      <w:rFonts w:hint="default"/>
                      <w:lang w:val="en-US" w:eastAsia="zh-CN"/>
                    </w:rPr>
                  </w:pPr>
                  <w:r>
                    <w:rPr>
                      <w:rFonts w:hint="eastAsia"/>
                      <w:lang w:val="en-US" w:eastAsia="zh-CN"/>
                    </w:rPr>
                    <w:t>4.1×10</w:t>
                  </w:r>
                  <w:r>
                    <w:rPr>
                      <w:rFonts w:hint="eastAsia"/>
                      <w:vertAlign w:val="superscript"/>
                      <w:lang w:val="en-US" w:eastAsia="zh-CN"/>
                    </w:rPr>
                    <w:t>-4</w:t>
                  </w:r>
                </w:p>
              </w:tc>
              <w:tc>
                <w:tcPr>
                  <w:tcW w:w="289" w:type="pct"/>
                  <w:vMerge w:val="continue"/>
                  <w:vAlign w:val="center"/>
                </w:tcPr>
                <w:p w14:paraId="5B0D8B01">
                  <w:pPr>
                    <w:pStyle w:val="5"/>
                    <w:bidi w:val="0"/>
                    <w:rPr>
                      <w:rFonts w:hint="eastAsia"/>
                      <w:lang w:val="en-US" w:eastAsia="zh-CN"/>
                    </w:rPr>
                  </w:pPr>
                </w:p>
              </w:tc>
            </w:tr>
            <w:tr w14:paraId="38DC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5EC48424">
                  <w:pPr>
                    <w:pStyle w:val="5"/>
                    <w:bidi w:val="0"/>
                    <w:rPr>
                      <w:highlight w:val="none"/>
                      <w:lang w:val="en-US" w:eastAsia="zh-CN"/>
                    </w:rPr>
                  </w:pPr>
                </w:p>
              </w:tc>
              <w:tc>
                <w:tcPr>
                  <w:tcW w:w="400" w:type="pct"/>
                  <w:shd w:val="clear" w:color="auto" w:fill="auto"/>
                  <w:vAlign w:val="center"/>
                </w:tcPr>
                <w:p w14:paraId="03A60337">
                  <w:pPr>
                    <w:pStyle w:val="5"/>
                    <w:bidi w:val="0"/>
                    <w:rPr>
                      <w:rFonts w:hint="default"/>
                      <w:highlight w:val="none"/>
                      <w:lang w:val="en-US" w:eastAsia="zh-CN"/>
                    </w:rPr>
                  </w:pPr>
                  <w:r>
                    <w:rPr>
                      <w:rFonts w:hint="eastAsia"/>
                      <w:highlight w:val="none"/>
                      <w:lang w:val="en-US" w:eastAsia="zh-CN"/>
                    </w:rPr>
                    <w:t>正己烷</w:t>
                  </w:r>
                </w:p>
              </w:tc>
              <w:tc>
                <w:tcPr>
                  <w:tcW w:w="163" w:type="pct"/>
                  <w:vMerge w:val="continue"/>
                  <w:vAlign w:val="center"/>
                </w:tcPr>
                <w:p w14:paraId="132163F9">
                  <w:pPr>
                    <w:pStyle w:val="5"/>
                    <w:bidi w:val="0"/>
                    <w:rPr>
                      <w:highlight w:val="none"/>
                      <w:lang w:val="en-US" w:eastAsia="zh-CN"/>
                    </w:rPr>
                  </w:pPr>
                </w:p>
              </w:tc>
              <w:tc>
                <w:tcPr>
                  <w:tcW w:w="567" w:type="pct"/>
                  <w:shd w:val="clear" w:color="auto" w:fill="auto"/>
                  <w:vAlign w:val="center"/>
                </w:tcPr>
                <w:p w14:paraId="42A3D17B">
                  <w:pPr>
                    <w:pStyle w:val="5"/>
                    <w:bidi w:val="0"/>
                    <w:rPr>
                      <w:rFonts w:hint="default"/>
                      <w:highlight w:val="none"/>
                      <w:lang w:val="en-US" w:eastAsia="zh-CN"/>
                    </w:rPr>
                  </w:pPr>
                  <w:r>
                    <w:rPr>
                      <w:rFonts w:hint="eastAsia"/>
                      <w:highlight w:val="none"/>
                      <w:lang w:val="en-US" w:eastAsia="zh-CN"/>
                    </w:rPr>
                    <w:t>0.0007</w:t>
                  </w:r>
                </w:p>
              </w:tc>
              <w:tc>
                <w:tcPr>
                  <w:tcW w:w="602" w:type="pct"/>
                  <w:vAlign w:val="center"/>
                </w:tcPr>
                <w:p w14:paraId="31D68D5C">
                  <w:pPr>
                    <w:pStyle w:val="5"/>
                    <w:bidi w:val="0"/>
                    <w:rPr>
                      <w:rFonts w:hint="default"/>
                      <w:highlight w:val="none"/>
                      <w:lang w:val="en-US" w:eastAsia="zh-CN"/>
                    </w:rPr>
                  </w:pPr>
                  <w:r>
                    <w:rPr>
                      <w:rFonts w:hint="eastAsia"/>
                      <w:highlight w:val="none"/>
                      <w:lang w:val="en-US" w:eastAsia="zh-CN"/>
                    </w:rPr>
                    <w:t>9.3×10</w:t>
                  </w:r>
                  <w:r>
                    <w:rPr>
                      <w:rFonts w:hint="eastAsia"/>
                      <w:highlight w:val="none"/>
                      <w:vertAlign w:val="superscript"/>
                      <w:lang w:val="en-US" w:eastAsia="zh-CN"/>
                    </w:rPr>
                    <w:t>-5</w:t>
                  </w:r>
                </w:p>
              </w:tc>
              <w:tc>
                <w:tcPr>
                  <w:tcW w:w="491" w:type="pct"/>
                  <w:vAlign w:val="center"/>
                </w:tcPr>
                <w:p w14:paraId="178F67BF">
                  <w:pPr>
                    <w:pStyle w:val="5"/>
                    <w:bidi w:val="0"/>
                    <w:rPr>
                      <w:rFonts w:hint="default"/>
                      <w:highlight w:val="none"/>
                      <w:lang w:val="en-US" w:eastAsia="zh-CN"/>
                    </w:rPr>
                  </w:pPr>
                  <w:r>
                    <w:rPr>
                      <w:rFonts w:hint="eastAsia"/>
                      <w:highlight w:val="none"/>
                      <w:lang w:val="en-US" w:eastAsia="zh-CN"/>
                    </w:rPr>
                    <w:t>0.08</w:t>
                  </w:r>
                </w:p>
              </w:tc>
              <w:tc>
                <w:tcPr>
                  <w:tcW w:w="563" w:type="pct"/>
                  <w:vMerge w:val="continue"/>
                  <w:vAlign w:val="center"/>
                </w:tcPr>
                <w:p w14:paraId="244DAE2D">
                  <w:pPr>
                    <w:pStyle w:val="5"/>
                    <w:bidi w:val="0"/>
                    <w:rPr>
                      <w:highlight w:val="none"/>
                      <w:lang w:val="en-US" w:eastAsia="zh-CN"/>
                    </w:rPr>
                  </w:pPr>
                </w:p>
              </w:tc>
              <w:tc>
                <w:tcPr>
                  <w:tcW w:w="686" w:type="pct"/>
                  <w:vAlign w:val="center"/>
                </w:tcPr>
                <w:p w14:paraId="038A4679">
                  <w:pPr>
                    <w:pStyle w:val="5"/>
                    <w:bidi w:val="0"/>
                    <w:ind w:firstLine="0" w:firstLineChars="0"/>
                    <w:rPr>
                      <w:rFonts w:hint="default"/>
                      <w:highlight w:val="none"/>
                      <w:lang w:val="en-US" w:eastAsia="zh-CN"/>
                    </w:rPr>
                  </w:pPr>
                  <w:r>
                    <w:rPr>
                      <w:rFonts w:hint="eastAsia"/>
                      <w:highlight w:val="none"/>
                      <w:lang w:val="en-US" w:eastAsia="zh-CN"/>
                    </w:rPr>
                    <w:t>3.71×10</w:t>
                  </w:r>
                  <w:r>
                    <w:rPr>
                      <w:rFonts w:hint="eastAsia"/>
                      <w:highlight w:val="none"/>
                      <w:vertAlign w:val="superscript"/>
                      <w:lang w:val="en-US" w:eastAsia="zh-CN"/>
                    </w:rPr>
                    <w:t>-5</w:t>
                  </w:r>
                </w:p>
              </w:tc>
              <w:tc>
                <w:tcPr>
                  <w:tcW w:w="519" w:type="pct"/>
                  <w:vAlign w:val="center"/>
                </w:tcPr>
                <w:p w14:paraId="6F18BDAC">
                  <w:pPr>
                    <w:pStyle w:val="5"/>
                    <w:bidi w:val="0"/>
                    <w:ind w:firstLine="0" w:firstLineChars="0"/>
                    <w:rPr>
                      <w:rFonts w:hint="default"/>
                      <w:highlight w:val="none"/>
                      <w:lang w:val="en-US" w:eastAsia="zh-CN"/>
                    </w:rPr>
                  </w:pPr>
                  <w:r>
                    <w:rPr>
                      <w:rFonts w:hint="eastAsia"/>
                      <w:highlight w:val="none"/>
                      <w:lang w:val="en-US" w:eastAsia="zh-CN"/>
                    </w:rPr>
                    <w:t>4.64×10</w:t>
                  </w:r>
                  <w:r>
                    <w:rPr>
                      <w:rFonts w:hint="eastAsia"/>
                      <w:highlight w:val="none"/>
                      <w:vertAlign w:val="superscript"/>
                      <w:lang w:val="en-US" w:eastAsia="zh-CN"/>
                    </w:rPr>
                    <w:t>-6</w:t>
                  </w:r>
                </w:p>
              </w:tc>
              <w:tc>
                <w:tcPr>
                  <w:tcW w:w="482" w:type="pct"/>
                  <w:vAlign w:val="center"/>
                </w:tcPr>
                <w:p w14:paraId="4F8C3C19">
                  <w:pPr>
                    <w:pStyle w:val="5"/>
                    <w:bidi w:val="0"/>
                    <w:ind w:firstLine="0" w:firstLineChars="0"/>
                    <w:rPr>
                      <w:rFonts w:hint="default"/>
                      <w:lang w:val="en-US" w:eastAsia="zh-CN"/>
                    </w:rPr>
                  </w:pPr>
                  <w:r>
                    <w:rPr>
                      <w:rFonts w:hint="eastAsia"/>
                      <w:lang w:val="en-US" w:eastAsia="zh-CN"/>
                    </w:rPr>
                    <w:t>2.15×10</w:t>
                  </w:r>
                  <w:r>
                    <w:rPr>
                      <w:rFonts w:hint="eastAsia"/>
                      <w:vertAlign w:val="superscript"/>
                      <w:lang w:val="en-US" w:eastAsia="zh-CN"/>
                    </w:rPr>
                    <w:t>-3</w:t>
                  </w:r>
                </w:p>
              </w:tc>
              <w:tc>
                <w:tcPr>
                  <w:tcW w:w="289" w:type="pct"/>
                  <w:vMerge w:val="continue"/>
                  <w:vAlign w:val="center"/>
                </w:tcPr>
                <w:p w14:paraId="5EE4E76E">
                  <w:pPr>
                    <w:pStyle w:val="5"/>
                    <w:bidi w:val="0"/>
                    <w:rPr>
                      <w:rFonts w:hint="eastAsia"/>
                      <w:lang w:val="en-US" w:eastAsia="zh-CN"/>
                    </w:rPr>
                  </w:pPr>
                </w:p>
              </w:tc>
            </w:tr>
            <w:tr w14:paraId="0004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3" w:type="pct"/>
                  <w:vMerge w:val="continue"/>
                  <w:vAlign w:val="center"/>
                </w:tcPr>
                <w:p w14:paraId="68BCA939">
                  <w:pPr>
                    <w:pStyle w:val="5"/>
                    <w:bidi w:val="0"/>
                    <w:rPr>
                      <w:highlight w:val="none"/>
                      <w:lang w:val="en-US" w:eastAsia="zh-CN"/>
                    </w:rPr>
                  </w:pPr>
                </w:p>
              </w:tc>
              <w:tc>
                <w:tcPr>
                  <w:tcW w:w="400" w:type="pct"/>
                  <w:shd w:val="clear" w:color="auto" w:fill="auto"/>
                  <w:vAlign w:val="center"/>
                </w:tcPr>
                <w:p w14:paraId="665AF9A6">
                  <w:pPr>
                    <w:pStyle w:val="5"/>
                    <w:bidi w:val="0"/>
                    <w:rPr>
                      <w:highlight w:val="none"/>
                      <w:lang w:val="en-US" w:eastAsia="zh-CN"/>
                    </w:rPr>
                  </w:pPr>
                  <w:r>
                    <w:rPr>
                      <w:highlight w:val="none"/>
                      <w:lang w:val="en-US" w:eastAsia="zh-CN"/>
                    </w:rPr>
                    <w:t>非甲烷总烃</w:t>
                  </w:r>
                </w:p>
              </w:tc>
              <w:tc>
                <w:tcPr>
                  <w:tcW w:w="163" w:type="pct"/>
                  <w:vMerge w:val="restart"/>
                  <w:vAlign w:val="center"/>
                </w:tcPr>
                <w:p w14:paraId="6F62D9F9">
                  <w:pPr>
                    <w:pStyle w:val="5"/>
                    <w:bidi w:val="0"/>
                    <w:rPr>
                      <w:highlight w:val="none"/>
                      <w:lang w:val="en-US" w:eastAsia="zh-CN"/>
                    </w:rPr>
                  </w:pPr>
                  <w:r>
                    <w:rPr>
                      <w:rFonts w:hint="eastAsia"/>
                      <w:highlight w:val="none"/>
                      <w:lang w:val="en-US" w:eastAsia="zh-CN"/>
                    </w:rPr>
                    <w:t>无组织</w:t>
                  </w:r>
                </w:p>
              </w:tc>
              <w:tc>
                <w:tcPr>
                  <w:tcW w:w="567" w:type="pct"/>
                  <w:shd w:val="clear" w:color="auto" w:fill="auto"/>
                  <w:vAlign w:val="center"/>
                </w:tcPr>
                <w:p w14:paraId="2FED92F0">
                  <w:pPr>
                    <w:pStyle w:val="5"/>
                    <w:bidi w:val="0"/>
                    <w:rPr>
                      <w:rFonts w:hint="default"/>
                      <w:highlight w:val="none"/>
                      <w:lang w:val="en-US" w:eastAsia="zh-CN"/>
                    </w:rPr>
                  </w:pPr>
                  <w:r>
                    <w:rPr>
                      <w:rFonts w:hint="eastAsia"/>
                      <w:highlight w:val="none"/>
                      <w:lang w:val="en-US" w:eastAsia="zh-CN"/>
                    </w:rPr>
                    <w:t>0.008</w:t>
                  </w:r>
                </w:p>
              </w:tc>
              <w:tc>
                <w:tcPr>
                  <w:tcW w:w="602" w:type="pct"/>
                  <w:shd w:val="clear" w:color="auto" w:fill="auto"/>
                  <w:vAlign w:val="center"/>
                </w:tcPr>
                <w:p w14:paraId="782E4271">
                  <w:pPr>
                    <w:pStyle w:val="5"/>
                    <w:bidi w:val="0"/>
                    <w:rPr>
                      <w:rFonts w:hint="default"/>
                      <w:highlight w:val="none"/>
                      <w:lang w:val="en-US" w:eastAsia="zh-CN"/>
                    </w:rPr>
                  </w:pPr>
                  <w:r>
                    <w:rPr>
                      <w:rFonts w:hint="eastAsia"/>
                      <w:highlight w:val="none"/>
                      <w:lang w:val="en-US" w:eastAsia="zh-CN"/>
                    </w:rPr>
                    <w:t>9.9×10</w:t>
                  </w:r>
                  <w:r>
                    <w:rPr>
                      <w:rFonts w:hint="eastAsia"/>
                      <w:highlight w:val="none"/>
                      <w:vertAlign w:val="superscript"/>
                      <w:lang w:val="en-US" w:eastAsia="zh-CN"/>
                    </w:rPr>
                    <w:t>-4</w:t>
                  </w:r>
                </w:p>
              </w:tc>
              <w:tc>
                <w:tcPr>
                  <w:tcW w:w="491" w:type="pct"/>
                  <w:vMerge w:val="restart"/>
                  <w:shd w:val="clear" w:color="auto" w:fill="auto"/>
                  <w:vAlign w:val="center"/>
                </w:tcPr>
                <w:p w14:paraId="0CF6AB86">
                  <w:pPr>
                    <w:pStyle w:val="5"/>
                    <w:bidi w:val="0"/>
                    <w:rPr>
                      <w:rFonts w:hint="eastAsia"/>
                      <w:highlight w:val="none"/>
                      <w:lang w:val="en-US" w:eastAsia="zh-CN"/>
                    </w:rPr>
                  </w:pPr>
                  <w:r>
                    <w:rPr>
                      <w:rFonts w:hint="eastAsia"/>
                      <w:highlight w:val="none"/>
                      <w:lang w:val="en-US" w:eastAsia="zh-CN"/>
                    </w:rPr>
                    <w:t>/</w:t>
                  </w:r>
                </w:p>
              </w:tc>
              <w:tc>
                <w:tcPr>
                  <w:tcW w:w="563" w:type="pct"/>
                  <w:vMerge w:val="restart"/>
                  <w:vAlign w:val="center"/>
                </w:tcPr>
                <w:p w14:paraId="67D4AA50">
                  <w:pPr>
                    <w:pStyle w:val="5"/>
                    <w:bidi w:val="0"/>
                    <w:rPr>
                      <w:highlight w:val="none"/>
                      <w:lang w:val="en-US" w:eastAsia="zh-CN"/>
                    </w:rPr>
                  </w:pPr>
                  <w:r>
                    <w:rPr>
                      <w:rFonts w:hint="eastAsia"/>
                      <w:highlight w:val="none"/>
                      <w:lang w:val="en-US" w:eastAsia="zh-CN"/>
                    </w:rPr>
                    <w:t>/</w:t>
                  </w:r>
                </w:p>
              </w:tc>
              <w:tc>
                <w:tcPr>
                  <w:tcW w:w="686" w:type="pct"/>
                  <w:shd w:val="clear" w:color="auto" w:fill="auto"/>
                  <w:vAlign w:val="center"/>
                </w:tcPr>
                <w:p w14:paraId="7DC4918A">
                  <w:pPr>
                    <w:pStyle w:val="5"/>
                    <w:bidi w:val="0"/>
                    <w:ind w:firstLine="0" w:firstLineChars="0"/>
                    <w:rPr>
                      <w:rFonts w:hint="eastAsia"/>
                      <w:highlight w:val="none"/>
                      <w:lang w:val="en-US" w:eastAsia="zh-CN"/>
                    </w:rPr>
                  </w:pPr>
                  <w:r>
                    <w:rPr>
                      <w:rFonts w:hint="eastAsia"/>
                      <w:highlight w:val="none"/>
                      <w:lang w:val="en-US" w:eastAsia="zh-CN"/>
                    </w:rPr>
                    <w:t>0.008</w:t>
                  </w:r>
                </w:p>
              </w:tc>
              <w:tc>
                <w:tcPr>
                  <w:tcW w:w="519" w:type="pct"/>
                  <w:shd w:val="clear" w:color="auto" w:fill="auto"/>
                  <w:vAlign w:val="center"/>
                </w:tcPr>
                <w:p w14:paraId="1ACA62CF">
                  <w:pPr>
                    <w:pStyle w:val="5"/>
                    <w:bidi w:val="0"/>
                    <w:ind w:firstLine="0" w:firstLineChars="0"/>
                    <w:rPr>
                      <w:rFonts w:hint="eastAsia"/>
                      <w:highlight w:val="none"/>
                      <w:lang w:val="en-US" w:eastAsia="zh-CN"/>
                    </w:rPr>
                  </w:pPr>
                  <w:r>
                    <w:rPr>
                      <w:rFonts w:hint="eastAsia"/>
                      <w:highlight w:val="none"/>
                      <w:lang w:val="en-US" w:eastAsia="zh-CN"/>
                    </w:rPr>
                    <w:t>9.9×10</w:t>
                  </w:r>
                  <w:r>
                    <w:rPr>
                      <w:rFonts w:hint="eastAsia"/>
                      <w:highlight w:val="none"/>
                      <w:vertAlign w:val="superscript"/>
                      <w:lang w:val="en-US" w:eastAsia="zh-CN"/>
                    </w:rPr>
                    <w:t>-4</w:t>
                  </w:r>
                </w:p>
              </w:tc>
              <w:tc>
                <w:tcPr>
                  <w:tcW w:w="482" w:type="pct"/>
                  <w:vMerge w:val="restart"/>
                  <w:shd w:val="clear" w:color="auto" w:fill="auto"/>
                  <w:vAlign w:val="center"/>
                </w:tcPr>
                <w:p w14:paraId="12A78883">
                  <w:pPr>
                    <w:pStyle w:val="5"/>
                    <w:bidi w:val="0"/>
                    <w:rPr>
                      <w:rFonts w:hint="eastAsia"/>
                      <w:lang w:val="en-US" w:eastAsia="zh-CN"/>
                    </w:rPr>
                  </w:pPr>
                  <w:r>
                    <w:rPr>
                      <w:rFonts w:hint="eastAsia"/>
                      <w:lang w:val="en-US" w:eastAsia="zh-CN"/>
                    </w:rPr>
                    <w:t>/</w:t>
                  </w:r>
                </w:p>
              </w:tc>
              <w:tc>
                <w:tcPr>
                  <w:tcW w:w="289" w:type="pct"/>
                  <w:vMerge w:val="restart"/>
                  <w:shd w:val="clear" w:color="auto" w:fill="auto"/>
                  <w:vAlign w:val="center"/>
                </w:tcPr>
                <w:p w14:paraId="42B14B95">
                  <w:pPr>
                    <w:pStyle w:val="5"/>
                    <w:bidi w:val="0"/>
                    <w:rPr>
                      <w:rFonts w:hint="eastAsia"/>
                      <w:lang w:val="en-US" w:eastAsia="zh-CN"/>
                    </w:rPr>
                  </w:pPr>
                  <w:r>
                    <w:rPr>
                      <w:rFonts w:hint="eastAsia"/>
                      <w:lang w:val="en-US" w:eastAsia="zh-CN"/>
                    </w:rPr>
                    <w:t>/</w:t>
                  </w:r>
                </w:p>
              </w:tc>
            </w:tr>
            <w:tr w14:paraId="07B70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15C7508A">
                  <w:pPr>
                    <w:pStyle w:val="5"/>
                    <w:bidi w:val="0"/>
                    <w:rPr>
                      <w:highlight w:val="none"/>
                      <w:lang w:val="en-US" w:eastAsia="zh-CN"/>
                    </w:rPr>
                  </w:pPr>
                </w:p>
              </w:tc>
              <w:tc>
                <w:tcPr>
                  <w:tcW w:w="400" w:type="pct"/>
                  <w:shd w:val="clear" w:color="auto" w:fill="auto"/>
                  <w:vAlign w:val="center"/>
                </w:tcPr>
                <w:p w14:paraId="66052C51">
                  <w:pPr>
                    <w:pStyle w:val="5"/>
                    <w:bidi w:val="0"/>
                    <w:rPr>
                      <w:highlight w:val="none"/>
                      <w:lang w:val="en-US" w:eastAsia="zh-CN"/>
                    </w:rPr>
                  </w:pPr>
                  <w:r>
                    <w:rPr>
                      <w:highlight w:val="none"/>
                      <w:lang w:val="en-US" w:eastAsia="zh-CN"/>
                    </w:rPr>
                    <w:t>苯</w:t>
                  </w:r>
                </w:p>
              </w:tc>
              <w:tc>
                <w:tcPr>
                  <w:tcW w:w="163" w:type="pct"/>
                  <w:vMerge w:val="continue"/>
                  <w:shd w:val="clear" w:color="auto" w:fill="auto"/>
                  <w:vAlign w:val="center"/>
                </w:tcPr>
                <w:p w14:paraId="42CB689F">
                  <w:pPr>
                    <w:pStyle w:val="5"/>
                    <w:bidi w:val="0"/>
                    <w:rPr>
                      <w:rFonts w:hint="default"/>
                      <w:highlight w:val="none"/>
                      <w:lang w:val="en-US" w:eastAsia="zh-CN"/>
                    </w:rPr>
                  </w:pPr>
                </w:p>
              </w:tc>
              <w:tc>
                <w:tcPr>
                  <w:tcW w:w="567" w:type="pct"/>
                  <w:shd w:val="clear" w:color="auto" w:fill="auto"/>
                  <w:vAlign w:val="center"/>
                </w:tcPr>
                <w:p w14:paraId="684FE167">
                  <w:pPr>
                    <w:pStyle w:val="5"/>
                    <w:bidi w:val="0"/>
                    <w:rPr>
                      <w:rFonts w:hint="default"/>
                      <w:highlight w:val="none"/>
                      <w:lang w:val="en-US" w:eastAsia="zh-CN"/>
                    </w:rPr>
                  </w:pPr>
                  <w:r>
                    <w:rPr>
                      <w:rFonts w:hint="eastAsia"/>
                      <w:highlight w:val="none"/>
                      <w:lang w:val="en-US" w:eastAsia="zh-CN"/>
                    </w:rPr>
                    <w:t>7.5×10</w:t>
                  </w:r>
                  <w:r>
                    <w:rPr>
                      <w:rFonts w:hint="eastAsia"/>
                      <w:highlight w:val="none"/>
                      <w:vertAlign w:val="superscript"/>
                      <w:lang w:val="en-US" w:eastAsia="zh-CN"/>
                    </w:rPr>
                    <w:t>-6</w:t>
                  </w:r>
                </w:p>
              </w:tc>
              <w:tc>
                <w:tcPr>
                  <w:tcW w:w="602" w:type="pct"/>
                  <w:shd w:val="clear" w:color="auto" w:fill="auto"/>
                  <w:vAlign w:val="center"/>
                </w:tcPr>
                <w:p w14:paraId="1ED130EF">
                  <w:pPr>
                    <w:pStyle w:val="5"/>
                    <w:bidi w:val="0"/>
                    <w:rPr>
                      <w:rFonts w:hint="default"/>
                      <w:highlight w:val="none"/>
                      <w:lang w:val="en-US" w:eastAsia="zh-CN"/>
                    </w:rPr>
                  </w:pPr>
                  <w:r>
                    <w:rPr>
                      <w:rFonts w:hint="eastAsia"/>
                      <w:highlight w:val="none"/>
                      <w:lang w:val="en-US" w:eastAsia="zh-CN"/>
                    </w:rPr>
                    <w:t>9×10</w:t>
                  </w:r>
                  <w:r>
                    <w:rPr>
                      <w:rFonts w:hint="eastAsia"/>
                      <w:highlight w:val="none"/>
                      <w:vertAlign w:val="superscript"/>
                      <w:lang w:val="en-US" w:eastAsia="zh-CN"/>
                    </w:rPr>
                    <w:t>-7</w:t>
                  </w:r>
                </w:p>
              </w:tc>
              <w:tc>
                <w:tcPr>
                  <w:tcW w:w="491" w:type="pct"/>
                  <w:vMerge w:val="continue"/>
                  <w:shd w:val="clear" w:color="auto" w:fill="auto"/>
                  <w:vAlign w:val="center"/>
                </w:tcPr>
                <w:p w14:paraId="102B10D0">
                  <w:pPr>
                    <w:pStyle w:val="5"/>
                    <w:bidi w:val="0"/>
                    <w:rPr>
                      <w:rFonts w:hint="eastAsia"/>
                      <w:highlight w:val="none"/>
                      <w:lang w:val="en-US" w:eastAsia="zh-CN"/>
                    </w:rPr>
                  </w:pPr>
                </w:p>
              </w:tc>
              <w:tc>
                <w:tcPr>
                  <w:tcW w:w="563" w:type="pct"/>
                  <w:vMerge w:val="continue"/>
                  <w:vAlign w:val="center"/>
                </w:tcPr>
                <w:p w14:paraId="6F1E76F0">
                  <w:pPr>
                    <w:pStyle w:val="5"/>
                    <w:bidi w:val="0"/>
                    <w:rPr>
                      <w:highlight w:val="none"/>
                      <w:lang w:val="en-US" w:eastAsia="zh-CN"/>
                    </w:rPr>
                  </w:pPr>
                </w:p>
              </w:tc>
              <w:tc>
                <w:tcPr>
                  <w:tcW w:w="686" w:type="pct"/>
                  <w:shd w:val="clear" w:color="auto" w:fill="auto"/>
                  <w:vAlign w:val="center"/>
                </w:tcPr>
                <w:p w14:paraId="1C0164AC">
                  <w:pPr>
                    <w:pStyle w:val="5"/>
                    <w:bidi w:val="0"/>
                    <w:ind w:firstLine="0" w:firstLineChars="0"/>
                    <w:rPr>
                      <w:rFonts w:hint="eastAsia"/>
                      <w:highlight w:val="none"/>
                      <w:lang w:val="en-US" w:eastAsia="zh-CN"/>
                    </w:rPr>
                  </w:pPr>
                  <w:r>
                    <w:rPr>
                      <w:rFonts w:hint="eastAsia"/>
                      <w:highlight w:val="none"/>
                      <w:lang w:val="en-US" w:eastAsia="zh-CN"/>
                    </w:rPr>
                    <w:t>7.5×10</w:t>
                  </w:r>
                  <w:r>
                    <w:rPr>
                      <w:rFonts w:hint="eastAsia"/>
                      <w:highlight w:val="none"/>
                      <w:vertAlign w:val="superscript"/>
                      <w:lang w:val="en-US" w:eastAsia="zh-CN"/>
                    </w:rPr>
                    <w:t>-6</w:t>
                  </w:r>
                </w:p>
              </w:tc>
              <w:tc>
                <w:tcPr>
                  <w:tcW w:w="519" w:type="pct"/>
                  <w:shd w:val="clear" w:color="auto" w:fill="auto"/>
                  <w:vAlign w:val="center"/>
                </w:tcPr>
                <w:p w14:paraId="01CC3331">
                  <w:pPr>
                    <w:pStyle w:val="5"/>
                    <w:bidi w:val="0"/>
                    <w:ind w:firstLine="0" w:firstLineChars="0"/>
                    <w:rPr>
                      <w:rFonts w:hint="eastAsia"/>
                      <w:highlight w:val="none"/>
                      <w:lang w:val="en-US" w:eastAsia="zh-CN"/>
                    </w:rPr>
                  </w:pPr>
                  <w:r>
                    <w:rPr>
                      <w:rFonts w:hint="eastAsia"/>
                      <w:highlight w:val="none"/>
                      <w:lang w:val="en-US" w:eastAsia="zh-CN"/>
                    </w:rPr>
                    <w:t>9×10</w:t>
                  </w:r>
                  <w:r>
                    <w:rPr>
                      <w:rFonts w:hint="eastAsia"/>
                      <w:highlight w:val="none"/>
                      <w:vertAlign w:val="superscript"/>
                      <w:lang w:val="en-US" w:eastAsia="zh-CN"/>
                    </w:rPr>
                    <w:t>-7</w:t>
                  </w:r>
                </w:p>
              </w:tc>
              <w:tc>
                <w:tcPr>
                  <w:tcW w:w="482" w:type="pct"/>
                  <w:vMerge w:val="continue"/>
                  <w:shd w:val="clear" w:color="auto" w:fill="auto"/>
                  <w:vAlign w:val="center"/>
                </w:tcPr>
                <w:p w14:paraId="6B84CA6B">
                  <w:pPr>
                    <w:pStyle w:val="5"/>
                    <w:bidi w:val="0"/>
                    <w:rPr>
                      <w:rFonts w:hint="eastAsia"/>
                      <w:lang w:val="en-US" w:eastAsia="zh-CN"/>
                    </w:rPr>
                  </w:pPr>
                </w:p>
              </w:tc>
              <w:tc>
                <w:tcPr>
                  <w:tcW w:w="289" w:type="pct"/>
                  <w:vMerge w:val="continue"/>
                  <w:shd w:val="clear" w:color="auto" w:fill="auto"/>
                  <w:vAlign w:val="center"/>
                </w:tcPr>
                <w:p w14:paraId="156A230A">
                  <w:pPr>
                    <w:pStyle w:val="5"/>
                    <w:bidi w:val="0"/>
                    <w:rPr>
                      <w:rFonts w:hint="eastAsia"/>
                      <w:lang w:val="en-US" w:eastAsia="zh-CN"/>
                    </w:rPr>
                  </w:pPr>
                </w:p>
              </w:tc>
            </w:tr>
            <w:tr w14:paraId="00A1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Merge w:val="continue"/>
                  <w:vAlign w:val="center"/>
                </w:tcPr>
                <w:p w14:paraId="1D20086E">
                  <w:pPr>
                    <w:pStyle w:val="5"/>
                    <w:bidi w:val="0"/>
                    <w:rPr>
                      <w:highlight w:val="none"/>
                      <w:lang w:val="en-US" w:eastAsia="zh-CN"/>
                    </w:rPr>
                  </w:pPr>
                </w:p>
              </w:tc>
              <w:tc>
                <w:tcPr>
                  <w:tcW w:w="400" w:type="pct"/>
                  <w:shd w:val="clear" w:color="auto" w:fill="auto"/>
                  <w:vAlign w:val="center"/>
                </w:tcPr>
                <w:p w14:paraId="7D39E8D8">
                  <w:pPr>
                    <w:pStyle w:val="5"/>
                    <w:bidi w:val="0"/>
                    <w:rPr>
                      <w:rFonts w:hint="default"/>
                      <w:highlight w:val="none"/>
                      <w:lang w:val="en-US" w:eastAsia="zh-CN"/>
                    </w:rPr>
                  </w:pPr>
                  <w:r>
                    <w:rPr>
                      <w:rFonts w:hint="eastAsia"/>
                      <w:highlight w:val="none"/>
                      <w:lang w:val="en-US" w:eastAsia="zh-CN"/>
                    </w:rPr>
                    <w:t>正己烷</w:t>
                  </w:r>
                </w:p>
              </w:tc>
              <w:tc>
                <w:tcPr>
                  <w:tcW w:w="163" w:type="pct"/>
                  <w:vMerge w:val="continue"/>
                  <w:shd w:val="clear" w:color="auto" w:fill="auto"/>
                  <w:vAlign w:val="center"/>
                </w:tcPr>
                <w:p w14:paraId="099119C6">
                  <w:pPr>
                    <w:pStyle w:val="5"/>
                    <w:bidi w:val="0"/>
                    <w:rPr>
                      <w:rFonts w:hint="default"/>
                      <w:highlight w:val="none"/>
                      <w:lang w:val="en-US" w:eastAsia="zh-CN"/>
                    </w:rPr>
                  </w:pPr>
                </w:p>
              </w:tc>
              <w:tc>
                <w:tcPr>
                  <w:tcW w:w="567" w:type="pct"/>
                  <w:shd w:val="clear" w:color="auto" w:fill="auto"/>
                  <w:vAlign w:val="center"/>
                </w:tcPr>
                <w:p w14:paraId="47C9F40B">
                  <w:pPr>
                    <w:pStyle w:val="5"/>
                    <w:bidi w:val="0"/>
                    <w:rPr>
                      <w:rFonts w:hint="default"/>
                      <w:highlight w:val="none"/>
                      <w:lang w:val="en-US" w:eastAsia="zh-CN"/>
                    </w:rPr>
                  </w:pPr>
                  <w:r>
                    <w:rPr>
                      <w:rFonts w:hint="eastAsia"/>
                      <w:highlight w:val="none"/>
                      <w:lang w:val="en-US" w:eastAsia="zh-CN"/>
                    </w:rPr>
                    <w:t>3.9×10</w:t>
                  </w:r>
                  <w:r>
                    <w:rPr>
                      <w:rFonts w:hint="eastAsia"/>
                      <w:highlight w:val="none"/>
                      <w:vertAlign w:val="superscript"/>
                      <w:lang w:val="en-US" w:eastAsia="zh-CN"/>
                    </w:rPr>
                    <w:t>-5</w:t>
                  </w:r>
                </w:p>
              </w:tc>
              <w:tc>
                <w:tcPr>
                  <w:tcW w:w="602" w:type="pct"/>
                  <w:shd w:val="clear" w:color="auto" w:fill="auto"/>
                  <w:vAlign w:val="center"/>
                </w:tcPr>
                <w:p w14:paraId="7E82D3AC">
                  <w:pPr>
                    <w:pStyle w:val="5"/>
                    <w:bidi w:val="0"/>
                    <w:rPr>
                      <w:rFonts w:hint="default"/>
                      <w:highlight w:val="none"/>
                      <w:lang w:val="en-US" w:eastAsia="zh-CN"/>
                    </w:rPr>
                  </w:pPr>
                  <w:r>
                    <w:rPr>
                      <w:rFonts w:hint="eastAsia"/>
                      <w:highlight w:val="none"/>
                      <w:lang w:val="en-US" w:eastAsia="zh-CN"/>
                    </w:rPr>
                    <w:t>4.9×10</w:t>
                  </w:r>
                  <w:r>
                    <w:rPr>
                      <w:rFonts w:hint="eastAsia"/>
                      <w:highlight w:val="none"/>
                      <w:vertAlign w:val="superscript"/>
                      <w:lang w:val="en-US" w:eastAsia="zh-CN"/>
                    </w:rPr>
                    <w:t>-6</w:t>
                  </w:r>
                </w:p>
              </w:tc>
              <w:tc>
                <w:tcPr>
                  <w:tcW w:w="491" w:type="pct"/>
                  <w:vMerge w:val="continue"/>
                  <w:shd w:val="clear" w:color="auto" w:fill="auto"/>
                  <w:vAlign w:val="center"/>
                </w:tcPr>
                <w:p w14:paraId="64C828D6">
                  <w:pPr>
                    <w:pStyle w:val="5"/>
                    <w:bidi w:val="0"/>
                    <w:rPr>
                      <w:rFonts w:hint="eastAsia"/>
                      <w:highlight w:val="none"/>
                      <w:lang w:val="en-US" w:eastAsia="zh-CN"/>
                    </w:rPr>
                  </w:pPr>
                </w:p>
              </w:tc>
              <w:tc>
                <w:tcPr>
                  <w:tcW w:w="563" w:type="pct"/>
                  <w:vMerge w:val="continue"/>
                  <w:vAlign w:val="center"/>
                </w:tcPr>
                <w:p w14:paraId="490697EE">
                  <w:pPr>
                    <w:pStyle w:val="5"/>
                    <w:bidi w:val="0"/>
                    <w:rPr>
                      <w:highlight w:val="none"/>
                      <w:lang w:val="en-US" w:eastAsia="zh-CN"/>
                    </w:rPr>
                  </w:pPr>
                </w:p>
              </w:tc>
              <w:tc>
                <w:tcPr>
                  <w:tcW w:w="686" w:type="pct"/>
                  <w:shd w:val="clear" w:color="auto" w:fill="auto"/>
                  <w:vAlign w:val="center"/>
                </w:tcPr>
                <w:p w14:paraId="2D062467">
                  <w:pPr>
                    <w:pStyle w:val="5"/>
                    <w:bidi w:val="0"/>
                    <w:ind w:firstLine="0" w:firstLineChars="0"/>
                    <w:rPr>
                      <w:rFonts w:hint="eastAsia"/>
                      <w:highlight w:val="none"/>
                      <w:lang w:val="en-US" w:eastAsia="zh-CN"/>
                    </w:rPr>
                  </w:pPr>
                  <w:r>
                    <w:rPr>
                      <w:rFonts w:hint="eastAsia"/>
                      <w:highlight w:val="none"/>
                      <w:lang w:val="en-US" w:eastAsia="zh-CN"/>
                    </w:rPr>
                    <w:t>3.9×10</w:t>
                  </w:r>
                  <w:r>
                    <w:rPr>
                      <w:rFonts w:hint="eastAsia"/>
                      <w:highlight w:val="none"/>
                      <w:vertAlign w:val="superscript"/>
                      <w:lang w:val="en-US" w:eastAsia="zh-CN"/>
                    </w:rPr>
                    <w:t>-5</w:t>
                  </w:r>
                </w:p>
              </w:tc>
              <w:tc>
                <w:tcPr>
                  <w:tcW w:w="519" w:type="pct"/>
                  <w:shd w:val="clear" w:color="auto" w:fill="auto"/>
                  <w:vAlign w:val="center"/>
                </w:tcPr>
                <w:p w14:paraId="6B33C7C9">
                  <w:pPr>
                    <w:pStyle w:val="5"/>
                    <w:bidi w:val="0"/>
                    <w:ind w:firstLine="0" w:firstLineChars="0"/>
                    <w:rPr>
                      <w:rFonts w:hint="eastAsia"/>
                      <w:highlight w:val="none"/>
                      <w:lang w:val="en-US" w:eastAsia="zh-CN"/>
                    </w:rPr>
                  </w:pPr>
                  <w:r>
                    <w:rPr>
                      <w:rFonts w:hint="eastAsia"/>
                      <w:highlight w:val="none"/>
                      <w:lang w:val="en-US" w:eastAsia="zh-CN"/>
                    </w:rPr>
                    <w:t>4.9×10</w:t>
                  </w:r>
                  <w:r>
                    <w:rPr>
                      <w:rFonts w:hint="eastAsia"/>
                      <w:highlight w:val="none"/>
                      <w:vertAlign w:val="superscript"/>
                      <w:lang w:val="en-US" w:eastAsia="zh-CN"/>
                    </w:rPr>
                    <w:t>-6</w:t>
                  </w:r>
                </w:p>
              </w:tc>
              <w:tc>
                <w:tcPr>
                  <w:tcW w:w="482" w:type="pct"/>
                  <w:vMerge w:val="continue"/>
                  <w:shd w:val="clear" w:color="auto" w:fill="auto"/>
                  <w:vAlign w:val="center"/>
                </w:tcPr>
                <w:p w14:paraId="3AA3C6DA">
                  <w:pPr>
                    <w:pStyle w:val="5"/>
                    <w:bidi w:val="0"/>
                    <w:rPr>
                      <w:rFonts w:hint="eastAsia"/>
                      <w:lang w:val="en-US" w:eastAsia="zh-CN"/>
                    </w:rPr>
                  </w:pPr>
                </w:p>
              </w:tc>
              <w:tc>
                <w:tcPr>
                  <w:tcW w:w="289" w:type="pct"/>
                  <w:vMerge w:val="continue"/>
                  <w:shd w:val="clear" w:color="auto" w:fill="auto"/>
                  <w:vAlign w:val="center"/>
                </w:tcPr>
                <w:p w14:paraId="069C5D48">
                  <w:pPr>
                    <w:pStyle w:val="5"/>
                    <w:bidi w:val="0"/>
                    <w:rPr>
                      <w:rFonts w:hint="eastAsia"/>
                      <w:lang w:val="en-US" w:eastAsia="zh-CN"/>
                    </w:rPr>
                  </w:pPr>
                </w:p>
              </w:tc>
            </w:tr>
          </w:tbl>
          <w:p w14:paraId="58FB6196">
            <w:pPr>
              <w:widowControl w:val="0"/>
              <w:adjustRightInd w:val="0"/>
              <w:snapToGrid w:val="0"/>
              <w:spacing w:line="360" w:lineRule="auto"/>
              <w:jc w:val="both"/>
              <w:rPr>
                <w:rFonts w:eastAsia="宋体"/>
                <w:b/>
                <w:sz w:val="28"/>
                <w:szCs w:val="28"/>
                <w:vertAlign w:val="baseline"/>
                <w:lang w:val="en-US" w:eastAsia="zh-CN" w:bidi="ar-SA"/>
              </w:rPr>
            </w:pPr>
          </w:p>
        </w:tc>
      </w:tr>
    </w:tbl>
    <w:p w14:paraId="0536D1A4">
      <w:pPr>
        <w:widowControl w:val="0"/>
        <w:adjustRightInd w:val="0"/>
        <w:snapToGrid w:val="0"/>
        <w:spacing w:line="360" w:lineRule="auto"/>
        <w:jc w:val="both"/>
        <w:rPr>
          <w:rFonts w:eastAsia="宋体"/>
          <w:b/>
          <w:sz w:val="28"/>
          <w:szCs w:val="28"/>
          <w:lang w:val="en-US" w:eastAsia="zh-CN" w:bidi="ar-SA"/>
        </w:rPr>
        <w:sectPr>
          <w:pgSz w:w="16840" w:h="11907" w:orient="landscape"/>
          <w:pgMar w:top="1531" w:right="1701" w:bottom="1531" w:left="1592" w:header="851" w:footer="850" w:gutter="0"/>
          <w:pgBorders>
            <w:top w:val="none" w:sz="0" w:space="0"/>
            <w:left w:val="none" w:sz="0" w:space="0"/>
            <w:bottom w:val="none" w:sz="0" w:space="0"/>
            <w:right w:val="none" w:sz="0" w:space="0"/>
          </w:pgBorders>
          <w:pgNumType w:fmt="decimal"/>
          <w:cols w:space="720" w:num="1"/>
          <w:docGrid w:linePitch="312" w:charSpace="0"/>
        </w:sect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8406"/>
      </w:tblGrid>
      <w:tr w14:paraId="6893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14:paraId="6AFEB319">
            <w:pPr>
              <w:widowControl w:val="0"/>
              <w:adjustRightInd w:val="0"/>
              <w:snapToGrid w:val="0"/>
              <w:spacing w:line="360" w:lineRule="auto"/>
              <w:jc w:val="both"/>
              <w:rPr>
                <w:rFonts w:eastAsia="宋体"/>
                <w:b/>
                <w:sz w:val="28"/>
                <w:szCs w:val="28"/>
                <w:vertAlign w:val="baseline"/>
                <w:lang w:val="en-US" w:eastAsia="zh-CN" w:bidi="ar-SA"/>
              </w:rPr>
            </w:pPr>
          </w:p>
        </w:tc>
        <w:tc>
          <w:tcPr>
            <w:tcW w:w="8406" w:type="dxa"/>
          </w:tcPr>
          <w:p w14:paraId="719552F7">
            <w:pPr>
              <w:keepNext w:val="0"/>
              <w:keepLines w:val="0"/>
              <w:pageBreakBefore w:val="0"/>
              <w:widowControl w:val="0"/>
              <w:kinsoku/>
              <w:wordWrap w:val="0"/>
              <w:overflowPunct/>
              <w:topLinePunct w:val="0"/>
              <w:autoSpaceDE/>
              <w:autoSpaceDN/>
              <w:bidi w:val="0"/>
              <w:adjustRightInd/>
              <w:snapToGrid/>
              <w:spacing w:line="520" w:lineRule="exact"/>
              <w:ind w:left="0" w:firstLine="480" w:firstLineChars="200"/>
              <w:jc w:val="left"/>
              <w:textAlignment w:val="auto"/>
              <w:rPr>
                <w:rFonts w:hint="eastAsia" w:eastAsia="宋体"/>
                <w:bCs/>
                <w:kern w:val="2"/>
                <w:lang w:val="en-US" w:eastAsia="zh-CN" w:bidi="ar-SA"/>
              </w:rPr>
            </w:pPr>
            <w:r>
              <w:rPr>
                <w:rFonts w:eastAsia="宋体"/>
                <w:bCs/>
                <w:kern w:val="2"/>
                <w:lang w:val="en-US" w:eastAsia="zh-CN" w:bidi="ar-SA"/>
              </w:rPr>
              <w:t>由上表可知，</w:t>
            </w:r>
            <w:r>
              <w:rPr>
                <w:rFonts w:hint="eastAsia" w:eastAsia="宋体"/>
                <w:bCs/>
                <w:kern w:val="2"/>
                <w:lang w:val="en-US" w:eastAsia="zh-CN" w:bidi="ar-SA"/>
              </w:rPr>
              <w:t>物料</w:t>
            </w:r>
            <w:r>
              <w:rPr>
                <w:rFonts w:hint="eastAsia"/>
                <w:bCs/>
                <w:kern w:val="2"/>
                <w:lang w:val="en-US" w:eastAsia="zh-CN" w:bidi="ar-SA"/>
              </w:rPr>
              <w:t>卸车</w:t>
            </w:r>
            <w:r>
              <w:rPr>
                <w:rFonts w:hint="eastAsia" w:eastAsia="宋体"/>
                <w:bCs/>
                <w:kern w:val="2"/>
                <w:lang w:val="en-US" w:eastAsia="zh-CN" w:bidi="ar-SA"/>
              </w:rPr>
              <w:t>废气经管道收集后进入导热油炉处理后，经现有1根20m高排气筒（DA002），</w:t>
            </w:r>
            <w:r>
              <w:rPr>
                <w:rFonts w:eastAsia="宋体"/>
                <w:bCs/>
                <w:kern w:val="2"/>
                <w:lang w:val="en-US" w:eastAsia="zh-CN" w:bidi="ar-SA"/>
              </w:rPr>
              <w:t>物料装车废气经油气回收装置处理后，一并经现有1根15m高排气筒（DA003）排放</w:t>
            </w:r>
            <w:r>
              <w:rPr>
                <w:rFonts w:hint="eastAsia" w:eastAsia="宋体"/>
                <w:bCs/>
                <w:kern w:val="2"/>
                <w:lang w:val="en-US" w:eastAsia="zh-CN" w:bidi="ar-SA"/>
              </w:rPr>
              <w:t>。</w:t>
            </w:r>
          </w:p>
          <w:p w14:paraId="3F8DA266">
            <w:pPr>
              <w:keepNext w:val="0"/>
              <w:keepLines w:val="0"/>
              <w:pageBreakBefore w:val="0"/>
              <w:widowControl w:val="0"/>
              <w:kinsoku/>
              <w:wordWrap w:val="0"/>
              <w:overflowPunct/>
              <w:topLinePunct w:val="0"/>
              <w:autoSpaceDE/>
              <w:autoSpaceDN/>
              <w:bidi w:val="0"/>
              <w:adjustRightInd/>
              <w:snapToGrid/>
              <w:spacing w:line="520" w:lineRule="exact"/>
              <w:ind w:left="0" w:firstLine="480" w:firstLineChars="200"/>
              <w:jc w:val="left"/>
              <w:textAlignment w:val="auto"/>
              <w:rPr>
                <w:rFonts w:eastAsia="宋体"/>
                <w:bCs/>
                <w:kern w:val="2"/>
                <w:lang w:val="en-US" w:eastAsia="zh-CN" w:bidi="ar-SA"/>
              </w:rPr>
            </w:pPr>
            <w:r>
              <w:rPr>
                <w:rFonts w:eastAsia="宋体"/>
                <w:bCs/>
                <w:kern w:val="2"/>
                <w:lang w:val="en-US" w:eastAsia="zh-CN" w:bidi="ar-SA"/>
              </w:rPr>
              <w:t>非甲烷总烃去除效率满足《石油化学工业污染物排放标准》（GB31571-2015）</w:t>
            </w:r>
            <w:r>
              <w:rPr>
                <w:rFonts w:hint="eastAsia" w:eastAsia="宋体"/>
                <w:kern w:val="2"/>
                <w:lang w:val="en-US" w:eastAsia="zh-CN" w:bidi="ar-SA"/>
              </w:rPr>
              <w:t>（含2024年修改单）</w:t>
            </w:r>
            <w:r>
              <w:rPr>
                <w:rFonts w:eastAsia="宋体"/>
                <w:bCs/>
                <w:kern w:val="2"/>
                <w:lang w:val="en-US" w:eastAsia="zh-CN" w:bidi="ar-SA"/>
              </w:rPr>
              <w:t>表4中非甲烷总烃排放限值（去除效率≥95%）；</w:t>
            </w:r>
            <w:r>
              <w:rPr>
                <w:rFonts w:hint="eastAsia"/>
                <w:bCs/>
                <w:kern w:val="2"/>
                <w:lang w:val="en-US" w:eastAsia="zh-CN" w:bidi="ar-SA"/>
              </w:rPr>
              <w:t>正己烷、</w:t>
            </w:r>
            <w:r>
              <w:rPr>
                <w:rFonts w:eastAsia="宋体"/>
                <w:bCs/>
                <w:kern w:val="2"/>
                <w:lang w:val="en-US" w:eastAsia="zh-CN" w:bidi="ar-SA"/>
              </w:rPr>
              <w:t>苯、甲苯排放浓度满足《石油化学工业污染物排放标准》（GB31571-2015）</w:t>
            </w:r>
            <w:r>
              <w:rPr>
                <w:rFonts w:hint="eastAsia" w:eastAsia="宋体"/>
                <w:kern w:val="2"/>
                <w:lang w:val="en-US" w:eastAsia="zh-CN" w:bidi="ar-SA"/>
              </w:rPr>
              <w:t>（含2024年修改单）</w:t>
            </w:r>
            <w:r>
              <w:rPr>
                <w:rFonts w:eastAsia="宋体"/>
                <w:bCs/>
                <w:kern w:val="2"/>
                <w:lang w:val="en-US" w:eastAsia="zh-CN" w:bidi="ar-SA"/>
              </w:rPr>
              <w:t>表6限值要求。</w:t>
            </w:r>
          </w:p>
          <w:p w14:paraId="12850222">
            <w:pPr>
              <w:keepNext w:val="0"/>
              <w:keepLines w:val="0"/>
              <w:pageBreakBefore w:val="0"/>
              <w:kinsoku/>
              <w:overflowPunct/>
              <w:topLinePunct w:val="0"/>
              <w:autoSpaceDE/>
              <w:autoSpaceDN/>
              <w:bidi w:val="0"/>
              <w:adjustRightInd/>
              <w:snapToGrid/>
              <w:spacing w:line="520" w:lineRule="exact"/>
              <w:textAlignment w:val="auto"/>
              <w:rPr>
                <w:lang w:val="en-US" w:eastAsia="zh-CN"/>
              </w:rPr>
            </w:pPr>
            <w:r>
              <w:rPr>
                <w:lang w:val="en-US" w:eastAsia="zh-CN"/>
              </w:rPr>
              <w:t>（</w:t>
            </w:r>
            <w:r>
              <w:rPr>
                <w:rFonts w:hint="eastAsia"/>
                <w:lang w:val="en-US" w:eastAsia="zh-CN"/>
              </w:rPr>
              <w:t>3</w:t>
            </w:r>
            <w:r>
              <w:rPr>
                <w:lang w:val="en-US" w:eastAsia="zh-CN"/>
              </w:rPr>
              <w:t>）设备动静密封点废气源强</w:t>
            </w:r>
          </w:p>
          <w:p w14:paraId="67419E0D">
            <w:pPr>
              <w:keepNext w:val="0"/>
              <w:keepLines w:val="0"/>
              <w:pageBreakBefore w:val="0"/>
              <w:kinsoku/>
              <w:overflowPunct/>
              <w:topLinePunct w:val="0"/>
              <w:autoSpaceDE/>
              <w:autoSpaceDN/>
              <w:bidi w:val="0"/>
              <w:adjustRightInd/>
              <w:snapToGrid/>
              <w:spacing w:line="520" w:lineRule="exact"/>
              <w:textAlignment w:val="auto"/>
              <w:rPr>
                <w:rFonts w:hint="eastAsia"/>
                <w:lang w:val="en-US" w:eastAsia="zh-CN"/>
              </w:rPr>
            </w:pPr>
            <w:r>
              <w:rPr>
                <w:rFonts w:hint="eastAsia"/>
                <w:lang w:val="en-US" w:eastAsia="zh-CN"/>
              </w:rPr>
              <w:t>本项目动静密封点泄漏废气为装置内物料经泵、压缩机、阀门、法兰等密封部位逸散产生。项目通过规范设备操作流程，强化人员环保管理，加大密封点巡检排查力度；出现渗液、滴液、漏气等可见泄漏时及时停机检修，可有效控制物料泄漏水平。经采取上述管理及运维措施后，动静密封点泄漏废气排放量小，环境影响有限，本次评价不对该部分废气进行定量核算。</w:t>
            </w:r>
          </w:p>
          <w:p w14:paraId="4DD8F784">
            <w:pPr>
              <w:pStyle w:val="2"/>
              <w:bidi w:val="0"/>
              <w:rPr>
                <w:lang w:val="en-US" w:eastAsia="zh-CN"/>
              </w:rPr>
            </w:pPr>
            <w:r>
              <w:rPr>
                <w:lang w:val="en-US" w:eastAsia="zh-CN"/>
              </w:rPr>
              <w:t>1.</w:t>
            </w:r>
            <w:r>
              <w:rPr>
                <w:rFonts w:hint="eastAsia"/>
                <w:lang w:val="en-US" w:eastAsia="zh-CN"/>
              </w:rPr>
              <w:t>2项目排气筒信息</w:t>
            </w:r>
          </w:p>
          <w:p w14:paraId="6E1A5AF4">
            <w:pPr>
              <w:bidi w:val="0"/>
              <w:rPr>
                <w:lang w:val="en-US" w:eastAsia="zh-CN"/>
              </w:rPr>
            </w:pPr>
            <w:r>
              <w:rPr>
                <w:lang w:val="en-US" w:eastAsia="zh-CN"/>
              </w:rPr>
              <w:t>项目大气排放口基本情况详见表4-</w:t>
            </w:r>
            <w:r>
              <w:rPr>
                <w:rFonts w:hint="eastAsia"/>
                <w:lang w:val="en-US" w:eastAsia="zh-CN"/>
              </w:rPr>
              <w:t>3</w:t>
            </w:r>
            <w:r>
              <w:rPr>
                <w:lang w:val="en-US" w:eastAsia="zh-CN"/>
              </w:rPr>
              <w:t>。</w:t>
            </w:r>
          </w:p>
          <w:p w14:paraId="167BCE8D">
            <w:pPr>
              <w:widowControl w:val="0"/>
              <w:spacing w:before="120" w:beforeLines="50" w:line="240" w:lineRule="auto"/>
              <w:jc w:val="center"/>
              <w:rPr>
                <w:rFonts w:eastAsia="宋体"/>
                <w:kern w:val="2"/>
                <w:lang w:val="en-US" w:eastAsia="zh-CN" w:bidi="ar-SA"/>
              </w:rPr>
            </w:pPr>
            <w:r>
              <w:rPr>
                <w:rFonts w:eastAsia="宋体"/>
                <w:b/>
                <w:bCs/>
                <w:kern w:val="2"/>
                <w:lang w:val="en-US" w:eastAsia="zh-CN" w:bidi="ar-SA"/>
              </w:rPr>
              <w:t>表4-</w:t>
            </w:r>
            <w:r>
              <w:rPr>
                <w:rFonts w:hint="eastAsia" w:eastAsia="宋体"/>
                <w:b/>
                <w:bCs/>
                <w:kern w:val="2"/>
                <w:lang w:val="en-US" w:eastAsia="zh-CN" w:bidi="ar-SA"/>
              </w:rPr>
              <w:t>3</w:t>
            </w:r>
            <w:r>
              <w:rPr>
                <w:rFonts w:eastAsia="宋体"/>
                <w:b/>
                <w:bCs/>
                <w:kern w:val="2"/>
                <w:lang w:val="en-US" w:eastAsia="zh-CN" w:bidi="ar-SA"/>
              </w:rPr>
              <w:t xml:space="preserve">  大气排放口基本情况表</w:t>
            </w:r>
          </w:p>
          <w:tbl>
            <w:tblPr>
              <w:tblStyle w:val="29"/>
              <w:tblW w:w="4997" w:type="pct"/>
              <w:tblInd w:w="1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924"/>
              <w:gridCol w:w="1607"/>
              <w:gridCol w:w="1872"/>
              <w:gridCol w:w="836"/>
              <w:gridCol w:w="1100"/>
              <w:gridCol w:w="897"/>
              <w:gridCol w:w="939"/>
            </w:tblGrid>
            <w:tr w14:paraId="1ABBFC4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565" w:type="pct"/>
                  <w:vAlign w:val="center"/>
                </w:tcPr>
                <w:p w14:paraId="756CEAAE">
                  <w:pPr>
                    <w:pStyle w:val="5"/>
                    <w:bidi w:val="0"/>
                    <w:rPr>
                      <w:lang w:val="en-US" w:eastAsia="zh-CN"/>
                    </w:rPr>
                  </w:pPr>
                  <w:r>
                    <w:rPr>
                      <w:lang w:val="en-US" w:eastAsia="zh-CN"/>
                    </w:rPr>
                    <w:t>排放口编号</w:t>
                  </w:r>
                </w:p>
              </w:tc>
              <w:tc>
                <w:tcPr>
                  <w:tcW w:w="982" w:type="pct"/>
                  <w:vAlign w:val="center"/>
                </w:tcPr>
                <w:p w14:paraId="0E582B23">
                  <w:pPr>
                    <w:pStyle w:val="5"/>
                    <w:bidi w:val="0"/>
                    <w:rPr>
                      <w:lang w:val="en-US" w:eastAsia="zh-CN"/>
                    </w:rPr>
                  </w:pPr>
                  <w:r>
                    <w:rPr>
                      <w:lang w:val="en-US" w:eastAsia="zh-CN"/>
                    </w:rPr>
                    <w:t>排放口名称</w:t>
                  </w:r>
                </w:p>
              </w:tc>
              <w:tc>
                <w:tcPr>
                  <w:tcW w:w="1144" w:type="pct"/>
                  <w:vAlign w:val="center"/>
                </w:tcPr>
                <w:p w14:paraId="39997DD0">
                  <w:pPr>
                    <w:pStyle w:val="5"/>
                    <w:bidi w:val="0"/>
                    <w:rPr>
                      <w:lang w:val="en-US" w:eastAsia="zh-CN"/>
                    </w:rPr>
                  </w:pPr>
                  <w:r>
                    <w:rPr>
                      <w:lang w:val="en-US" w:eastAsia="zh-CN"/>
                    </w:rPr>
                    <w:t>排气筒地理坐标</w:t>
                  </w:r>
                </w:p>
              </w:tc>
              <w:tc>
                <w:tcPr>
                  <w:tcW w:w="511" w:type="pct"/>
                  <w:vAlign w:val="center"/>
                </w:tcPr>
                <w:p w14:paraId="5E31EC58">
                  <w:pPr>
                    <w:pStyle w:val="5"/>
                    <w:bidi w:val="0"/>
                    <w:rPr>
                      <w:lang w:val="en-US" w:eastAsia="zh-CN"/>
                    </w:rPr>
                  </w:pPr>
                  <w:r>
                    <w:rPr>
                      <w:lang w:val="en-US" w:eastAsia="zh-CN"/>
                    </w:rPr>
                    <w:t>排气筒高度/m</w:t>
                  </w:r>
                </w:p>
              </w:tc>
              <w:tc>
                <w:tcPr>
                  <w:tcW w:w="672" w:type="pct"/>
                  <w:vAlign w:val="center"/>
                </w:tcPr>
                <w:p w14:paraId="5E00FF0E">
                  <w:pPr>
                    <w:pStyle w:val="5"/>
                    <w:bidi w:val="0"/>
                    <w:rPr>
                      <w:lang w:val="en-US" w:eastAsia="zh-CN"/>
                    </w:rPr>
                  </w:pPr>
                  <w:r>
                    <w:rPr>
                      <w:lang w:val="en-US" w:eastAsia="zh-CN"/>
                    </w:rPr>
                    <w:t>排气筒出口内径/m</w:t>
                  </w:r>
                </w:p>
              </w:tc>
              <w:tc>
                <w:tcPr>
                  <w:tcW w:w="548" w:type="pct"/>
                  <w:vAlign w:val="center"/>
                </w:tcPr>
                <w:p w14:paraId="75F5AC20">
                  <w:pPr>
                    <w:pStyle w:val="5"/>
                    <w:bidi w:val="0"/>
                    <w:rPr>
                      <w:lang w:val="en-US" w:eastAsia="zh-CN"/>
                    </w:rPr>
                  </w:pPr>
                  <w:r>
                    <w:rPr>
                      <w:lang w:val="en-US" w:eastAsia="zh-CN"/>
                    </w:rPr>
                    <w:t>排气温度/℃</w:t>
                  </w:r>
                </w:p>
              </w:tc>
              <w:tc>
                <w:tcPr>
                  <w:tcW w:w="574" w:type="pct"/>
                  <w:vAlign w:val="center"/>
                </w:tcPr>
                <w:p w14:paraId="62D46B32">
                  <w:pPr>
                    <w:pStyle w:val="5"/>
                    <w:bidi w:val="0"/>
                    <w:rPr>
                      <w:lang w:val="en-US" w:eastAsia="zh-CN"/>
                    </w:rPr>
                  </w:pPr>
                  <w:r>
                    <w:rPr>
                      <w:lang w:val="en-US" w:eastAsia="zh-CN"/>
                    </w:rPr>
                    <w:t>排放口类型</w:t>
                  </w:r>
                </w:p>
              </w:tc>
            </w:tr>
            <w:tr w14:paraId="3D0AD80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565" w:type="pct"/>
                  <w:vAlign w:val="center"/>
                </w:tcPr>
                <w:p w14:paraId="1DF001C2">
                  <w:pPr>
                    <w:pStyle w:val="5"/>
                    <w:bidi w:val="0"/>
                    <w:rPr>
                      <w:lang w:val="en-US" w:eastAsia="zh-CN"/>
                    </w:rPr>
                  </w:pPr>
                  <w:r>
                    <w:rPr>
                      <w:lang w:val="en-US" w:eastAsia="zh-CN"/>
                    </w:rPr>
                    <w:t>DA002</w:t>
                  </w:r>
                </w:p>
              </w:tc>
              <w:tc>
                <w:tcPr>
                  <w:tcW w:w="982" w:type="pct"/>
                  <w:vAlign w:val="center"/>
                </w:tcPr>
                <w:p w14:paraId="3B9F4828">
                  <w:pPr>
                    <w:pStyle w:val="5"/>
                    <w:bidi w:val="0"/>
                    <w:rPr>
                      <w:lang w:val="en-US" w:eastAsia="zh-CN"/>
                    </w:rPr>
                  </w:pPr>
                  <w:r>
                    <w:rPr>
                      <w:lang w:val="en-US" w:eastAsia="zh-CN"/>
                    </w:rPr>
                    <w:t>导热油炉废气排放口</w:t>
                  </w:r>
                </w:p>
              </w:tc>
              <w:tc>
                <w:tcPr>
                  <w:tcW w:w="1144" w:type="pct"/>
                  <w:vAlign w:val="center"/>
                </w:tcPr>
                <w:p w14:paraId="70768F99">
                  <w:pPr>
                    <w:pStyle w:val="5"/>
                    <w:bidi w:val="0"/>
                    <w:rPr>
                      <w:lang w:val="en-US" w:eastAsia="zh-CN"/>
                    </w:rPr>
                  </w:pPr>
                  <w:r>
                    <w:rPr>
                      <w:lang w:val="en-US" w:eastAsia="zh-CN"/>
                    </w:rPr>
                    <w:t>E:84°01'18.668"</w:t>
                  </w:r>
                </w:p>
                <w:p w14:paraId="5ED09F98">
                  <w:pPr>
                    <w:pStyle w:val="5"/>
                    <w:bidi w:val="0"/>
                    <w:rPr>
                      <w:lang w:val="en-US" w:eastAsia="zh-CN"/>
                    </w:rPr>
                  </w:pPr>
                  <w:r>
                    <w:rPr>
                      <w:lang w:val="en-US" w:eastAsia="zh-CN"/>
                    </w:rPr>
                    <w:t>N:41°49'30.427"</w:t>
                  </w:r>
                </w:p>
              </w:tc>
              <w:tc>
                <w:tcPr>
                  <w:tcW w:w="511" w:type="pct"/>
                  <w:vAlign w:val="center"/>
                </w:tcPr>
                <w:p w14:paraId="66354886">
                  <w:pPr>
                    <w:pStyle w:val="5"/>
                    <w:bidi w:val="0"/>
                    <w:rPr>
                      <w:lang w:val="en-US" w:eastAsia="zh-CN"/>
                    </w:rPr>
                  </w:pPr>
                  <w:r>
                    <w:rPr>
                      <w:rFonts w:hint="eastAsia"/>
                      <w:lang w:val="en-US" w:eastAsia="zh-CN"/>
                    </w:rPr>
                    <w:t>20</w:t>
                  </w:r>
                </w:p>
              </w:tc>
              <w:tc>
                <w:tcPr>
                  <w:tcW w:w="672" w:type="pct"/>
                  <w:vAlign w:val="center"/>
                </w:tcPr>
                <w:p w14:paraId="411797FE">
                  <w:pPr>
                    <w:pStyle w:val="5"/>
                    <w:bidi w:val="0"/>
                    <w:rPr>
                      <w:lang w:val="en-US" w:eastAsia="zh-CN"/>
                    </w:rPr>
                  </w:pPr>
                  <w:r>
                    <w:rPr>
                      <w:lang w:val="en-US" w:eastAsia="zh-CN"/>
                    </w:rPr>
                    <w:t>1.0</w:t>
                  </w:r>
                </w:p>
              </w:tc>
              <w:tc>
                <w:tcPr>
                  <w:tcW w:w="548" w:type="pct"/>
                  <w:vAlign w:val="center"/>
                </w:tcPr>
                <w:p w14:paraId="67B6E4F4">
                  <w:pPr>
                    <w:pStyle w:val="5"/>
                    <w:bidi w:val="0"/>
                    <w:rPr>
                      <w:lang w:val="en-US" w:eastAsia="zh-CN"/>
                    </w:rPr>
                  </w:pPr>
                  <w:r>
                    <w:rPr>
                      <w:lang w:val="en-US" w:eastAsia="zh-CN"/>
                    </w:rPr>
                    <w:t>160</w:t>
                  </w:r>
                </w:p>
              </w:tc>
              <w:tc>
                <w:tcPr>
                  <w:tcW w:w="574" w:type="pct"/>
                  <w:vAlign w:val="center"/>
                </w:tcPr>
                <w:p w14:paraId="06BCDB31">
                  <w:pPr>
                    <w:pStyle w:val="5"/>
                    <w:bidi w:val="0"/>
                    <w:rPr>
                      <w:lang w:val="en-US" w:eastAsia="zh-CN"/>
                    </w:rPr>
                  </w:pPr>
                  <w:r>
                    <w:rPr>
                      <w:lang w:val="en-US" w:eastAsia="zh-CN"/>
                    </w:rPr>
                    <w:t>主要排放口</w:t>
                  </w:r>
                </w:p>
              </w:tc>
            </w:tr>
            <w:tr w14:paraId="47371E4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565" w:type="pct"/>
                  <w:vAlign w:val="center"/>
                </w:tcPr>
                <w:p w14:paraId="765CBE48">
                  <w:pPr>
                    <w:pStyle w:val="5"/>
                    <w:bidi w:val="0"/>
                    <w:rPr>
                      <w:lang w:val="en-US" w:eastAsia="zh-CN"/>
                    </w:rPr>
                  </w:pPr>
                  <w:r>
                    <w:rPr>
                      <w:lang w:val="en-US" w:eastAsia="zh-CN"/>
                    </w:rPr>
                    <w:t>DA003</w:t>
                  </w:r>
                </w:p>
              </w:tc>
              <w:tc>
                <w:tcPr>
                  <w:tcW w:w="982" w:type="pct"/>
                  <w:vAlign w:val="center"/>
                </w:tcPr>
                <w:p w14:paraId="1A819551">
                  <w:pPr>
                    <w:pStyle w:val="5"/>
                    <w:bidi w:val="0"/>
                    <w:rPr>
                      <w:lang w:val="en-US" w:eastAsia="zh-CN"/>
                    </w:rPr>
                  </w:pPr>
                  <w:r>
                    <w:rPr>
                      <w:lang w:val="en-US" w:eastAsia="zh-CN"/>
                    </w:rPr>
                    <w:t>油气回收装置废气排放口</w:t>
                  </w:r>
                </w:p>
              </w:tc>
              <w:tc>
                <w:tcPr>
                  <w:tcW w:w="1144" w:type="pct"/>
                  <w:vAlign w:val="center"/>
                </w:tcPr>
                <w:p w14:paraId="056CC797">
                  <w:pPr>
                    <w:pStyle w:val="5"/>
                    <w:bidi w:val="0"/>
                    <w:rPr>
                      <w:lang w:val="en-US" w:eastAsia="zh-CN"/>
                    </w:rPr>
                  </w:pPr>
                  <w:r>
                    <w:rPr>
                      <w:lang w:val="en-US" w:eastAsia="zh-CN"/>
                    </w:rPr>
                    <w:t>E：84°01′ 15.129″</w:t>
                  </w:r>
                </w:p>
                <w:p w14:paraId="5B13FE6B">
                  <w:pPr>
                    <w:pStyle w:val="5"/>
                    <w:bidi w:val="0"/>
                    <w:rPr>
                      <w:lang w:val="en-US" w:eastAsia="zh-CN"/>
                    </w:rPr>
                  </w:pPr>
                  <w:r>
                    <w:rPr>
                      <w:lang w:val="en-US" w:eastAsia="zh-CN"/>
                    </w:rPr>
                    <w:t>N：41°49′31.537″</w:t>
                  </w:r>
                </w:p>
              </w:tc>
              <w:tc>
                <w:tcPr>
                  <w:tcW w:w="511" w:type="pct"/>
                  <w:vAlign w:val="center"/>
                </w:tcPr>
                <w:p w14:paraId="26809C8F">
                  <w:pPr>
                    <w:pStyle w:val="5"/>
                    <w:bidi w:val="0"/>
                    <w:rPr>
                      <w:lang w:val="en-US" w:eastAsia="zh-CN"/>
                    </w:rPr>
                  </w:pPr>
                  <w:r>
                    <w:rPr>
                      <w:lang w:val="en-US" w:eastAsia="zh-CN"/>
                    </w:rPr>
                    <w:t>15</w:t>
                  </w:r>
                </w:p>
              </w:tc>
              <w:tc>
                <w:tcPr>
                  <w:tcW w:w="672" w:type="pct"/>
                  <w:vAlign w:val="center"/>
                </w:tcPr>
                <w:p w14:paraId="3992C0A2">
                  <w:pPr>
                    <w:pStyle w:val="5"/>
                    <w:bidi w:val="0"/>
                    <w:rPr>
                      <w:lang w:val="en-US" w:eastAsia="zh-CN"/>
                    </w:rPr>
                  </w:pPr>
                  <w:r>
                    <w:rPr>
                      <w:lang w:val="en-US" w:eastAsia="zh-CN"/>
                    </w:rPr>
                    <w:t>0.2</w:t>
                  </w:r>
                </w:p>
              </w:tc>
              <w:tc>
                <w:tcPr>
                  <w:tcW w:w="548" w:type="pct"/>
                  <w:vAlign w:val="center"/>
                </w:tcPr>
                <w:p w14:paraId="2A24428B">
                  <w:pPr>
                    <w:pStyle w:val="5"/>
                    <w:bidi w:val="0"/>
                    <w:rPr>
                      <w:lang w:val="en-US" w:eastAsia="zh-CN"/>
                    </w:rPr>
                  </w:pPr>
                  <w:r>
                    <w:rPr>
                      <w:lang w:val="en-US" w:eastAsia="zh-CN"/>
                    </w:rPr>
                    <w:t>常温</w:t>
                  </w:r>
                </w:p>
              </w:tc>
              <w:tc>
                <w:tcPr>
                  <w:tcW w:w="574" w:type="pct"/>
                  <w:vAlign w:val="center"/>
                </w:tcPr>
                <w:p w14:paraId="05638F0C">
                  <w:pPr>
                    <w:pStyle w:val="5"/>
                    <w:bidi w:val="0"/>
                    <w:rPr>
                      <w:lang w:val="en-US" w:eastAsia="zh-CN"/>
                    </w:rPr>
                  </w:pPr>
                  <w:r>
                    <w:rPr>
                      <w:lang w:val="en-US" w:eastAsia="zh-CN"/>
                    </w:rPr>
                    <w:t>主要排放口</w:t>
                  </w:r>
                </w:p>
              </w:tc>
            </w:tr>
          </w:tbl>
          <w:p w14:paraId="0837EE79">
            <w:pPr>
              <w:pStyle w:val="2"/>
              <w:bidi w:val="0"/>
              <w:rPr>
                <w:lang w:val="en-US" w:eastAsia="zh-CN"/>
              </w:rPr>
            </w:pPr>
            <w:r>
              <w:rPr>
                <w:lang w:val="en-US" w:eastAsia="zh-CN"/>
              </w:rPr>
              <w:t>1.</w:t>
            </w:r>
            <w:r>
              <w:rPr>
                <w:rFonts w:hint="eastAsia"/>
                <w:lang w:val="en-US" w:eastAsia="zh-CN"/>
              </w:rPr>
              <w:t>3</w:t>
            </w:r>
            <w:r>
              <w:rPr>
                <w:lang w:val="en-US" w:eastAsia="zh-CN"/>
              </w:rPr>
              <w:t xml:space="preserve"> </w:t>
            </w:r>
            <w:r>
              <w:rPr>
                <w:rFonts w:hint="default"/>
                <w:lang w:val="en-US" w:eastAsia="zh-CN"/>
              </w:rPr>
              <w:t>废气治理措施可行性分析</w:t>
            </w:r>
          </w:p>
          <w:p w14:paraId="32E11D48">
            <w:pPr>
              <w:bidi w:val="0"/>
              <w:rPr>
                <w:lang w:val="en-US" w:eastAsia="zh-CN"/>
              </w:rPr>
            </w:pPr>
            <w:r>
              <w:rPr>
                <w:lang w:val="en-US" w:eastAsia="zh-CN"/>
              </w:rPr>
              <w:t>技术可行性参照《排污许可证申请与核发技术规范</w:t>
            </w:r>
            <w:r>
              <w:rPr>
                <w:rFonts w:hint="eastAsia"/>
                <w:lang w:val="en-US" w:eastAsia="zh-CN"/>
              </w:rPr>
              <w:t xml:space="preserve"> </w:t>
            </w:r>
            <w:r>
              <w:rPr>
                <w:lang w:val="en-US" w:eastAsia="zh-CN"/>
              </w:rPr>
              <w:t>石化工业》（HJ853-</w:t>
            </w:r>
            <w:r>
              <w:rPr>
                <w:rFonts w:hint="eastAsia"/>
                <w:lang w:val="en-US" w:eastAsia="zh-CN"/>
              </w:rPr>
              <w:t>2026</w:t>
            </w:r>
            <w:r>
              <w:rPr>
                <w:lang w:val="en-US" w:eastAsia="zh-CN"/>
              </w:rPr>
              <w:t>）中废气污染防治可行技术参考表，具体详见表4-</w:t>
            </w:r>
            <w:r>
              <w:rPr>
                <w:rFonts w:hint="eastAsia"/>
                <w:lang w:val="en-US" w:eastAsia="zh-CN"/>
              </w:rPr>
              <w:t>4</w:t>
            </w:r>
            <w:r>
              <w:rPr>
                <w:lang w:val="en-US" w:eastAsia="zh-CN"/>
              </w:rPr>
              <w:t>。</w:t>
            </w:r>
          </w:p>
          <w:p w14:paraId="4C9977EE">
            <w:pPr>
              <w:pStyle w:val="4"/>
              <w:bidi w:val="0"/>
              <w:rPr>
                <w:lang w:val="en-US" w:eastAsia="zh-CN"/>
              </w:rPr>
            </w:pPr>
            <w:r>
              <w:rPr>
                <w:lang w:val="en-US" w:eastAsia="zh-CN"/>
              </w:rPr>
              <w:t>表4</w:t>
            </w:r>
            <w:r>
              <w:rPr>
                <w:rFonts w:hint="eastAsia"/>
                <w:lang w:val="en-US" w:eastAsia="zh-CN"/>
              </w:rPr>
              <w:t>-4</w:t>
            </w:r>
            <w:r>
              <w:rPr>
                <w:lang w:val="en-US" w:eastAsia="zh-CN"/>
              </w:rPr>
              <w:t xml:space="preserve">  石化工业废气治理可行技术参照表（节选）</w:t>
            </w:r>
          </w:p>
          <w:tbl>
            <w:tblPr>
              <w:tblStyle w:val="29"/>
              <w:tblW w:w="4999"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1224"/>
              <w:gridCol w:w="1072"/>
              <w:gridCol w:w="5882"/>
            </w:tblGrid>
            <w:tr w14:paraId="2ED8D2A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72" w:hRule="atLeast"/>
                <w:jc w:val="center"/>
              </w:trPr>
              <w:tc>
                <w:tcPr>
                  <w:tcW w:w="748" w:type="pct"/>
                  <w:vAlign w:val="center"/>
                </w:tcPr>
                <w:p w14:paraId="41CBAA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产排污环节</w:t>
                  </w:r>
                </w:p>
              </w:tc>
              <w:tc>
                <w:tcPr>
                  <w:tcW w:w="655" w:type="pct"/>
                  <w:vAlign w:val="center"/>
                </w:tcPr>
                <w:p w14:paraId="720D8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污染物</w:t>
                  </w:r>
                </w:p>
              </w:tc>
              <w:tc>
                <w:tcPr>
                  <w:tcW w:w="3595" w:type="pct"/>
                  <w:vAlign w:val="center"/>
                </w:tcPr>
                <w:p w14:paraId="6F5717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可行技术</w:t>
                  </w:r>
                </w:p>
              </w:tc>
            </w:tr>
            <w:tr w14:paraId="2CBF0CD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49" w:hRule="atLeast"/>
                <w:jc w:val="center"/>
              </w:trPr>
              <w:tc>
                <w:tcPr>
                  <w:tcW w:w="748" w:type="pct"/>
                  <w:vAlign w:val="center"/>
                </w:tcPr>
                <w:p w14:paraId="0D73BC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储罐</w:t>
                  </w:r>
                </w:p>
              </w:tc>
              <w:tc>
                <w:tcPr>
                  <w:tcW w:w="655" w:type="pct"/>
                  <w:vAlign w:val="center"/>
                </w:tcPr>
                <w:p w14:paraId="06E882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挥发性</w:t>
                  </w:r>
                </w:p>
                <w:p w14:paraId="5F8B51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有机物</w:t>
                  </w:r>
                </w:p>
              </w:tc>
              <w:tc>
                <w:tcPr>
                  <w:tcW w:w="3595" w:type="pct"/>
                  <w:vAlign w:val="center"/>
                </w:tcPr>
                <w:p w14:paraId="6690B8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油气平衡、油气回收（</w:t>
                  </w:r>
                  <w:r>
                    <w:rPr>
                      <w:rFonts w:eastAsia="宋体"/>
                      <w:b/>
                      <w:bCs/>
                      <w:kern w:val="2"/>
                      <w:sz w:val="21"/>
                      <w:szCs w:val="21"/>
                      <w:lang w:val="en-US" w:eastAsia="zh-CN" w:bidi="ar-SA"/>
                    </w:rPr>
                    <w:t>冷凝</w:t>
                  </w:r>
                  <w:r>
                    <w:rPr>
                      <w:rFonts w:eastAsia="宋体"/>
                      <w:kern w:val="2"/>
                      <w:sz w:val="21"/>
                      <w:szCs w:val="21"/>
                      <w:lang w:val="en-US" w:eastAsia="zh-CN" w:bidi="ar-SA"/>
                    </w:rPr>
                    <w:t>、</w:t>
                  </w:r>
                  <w:r>
                    <w:rPr>
                      <w:rFonts w:eastAsia="宋体"/>
                      <w:b/>
                      <w:bCs/>
                      <w:kern w:val="2"/>
                      <w:sz w:val="21"/>
                      <w:szCs w:val="21"/>
                      <w:lang w:val="en-US" w:eastAsia="zh-CN" w:bidi="ar-SA"/>
                    </w:rPr>
                    <w:t>吸附</w:t>
                  </w:r>
                  <w:r>
                    <w:rPr>
                      <w:rFonts w:eastAsia="宋体"/>
                      <w:kern w:val="2"/>
                      <w:sz w:val="21"/>
                      <w:szCs w:val="21"/>
                      <w:lang w:val="en-US" w:eastAsia="zh-CN" w:bidi="ar-SA"/>
                    </w:rPr>
                    <w:t>、吸收、膜分离或组合技术等）、燃烧净化</w:t>
                  </w:r>
                  <w:r>
                    <w:rPr>
                      <w:rFonts w:hint="eastAsia" w:eastAsia="宋体"/>
                      <w:kern w:val="2"/>
                      <w:sz w:val="21"/>
                      <w:szCs w:val="21"/>
                      <w:lang w:val="en-US" w:eastAsia="zh-CN" w:bidi="ar-SA"/>
                    </w:rPr>
                    <w:t>(热力焚烧、催化燃烧、蓄热燃烧、通入锅炉、工业炉窑、固废焚烧炉火焰区燃烧)</w:t>
                  </w:r>
                  <w:r>
                    <w:rPr>
                      <w:rFonts w:eastAsia="宋体"/>
                      <w:kern w:val="2"/>
                      <w:sz w:val="21"/>
                      <w:szCs w:val="21"/>
                      <w:lang w:val="en-US" w:eastAsia="zh-CN" w:bidi="ar-SA"/>
                    </w:rPr>
                    <w:t>）</w:t>
                  </w:r>
                </w:p>
              </w:tc>
            </w:tr>
            <w:tr w14:paraId="166BDCA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53" w:hRule="atLeast"/>
                <w:jc w:val="center"/>
              </w:trPr>
              <w:tc>
                <w:tcPr>
                  <w:tcW w:w="748" w:type="pct"/>
                  <w:vAlign w:val="center"/>
                </w:tcPr>
                <w:p w14:paraId="54ED40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装载</w:t>
                  </w:r>
                </w:p>
              </w:tc>
              <w:tc>
                <w:tcPr>
                  <w:tcW w:w="655" w:type="pct"/>
                  <w:vAlign w:val="center"/>
                </w:tcPr>
                <w:p w14:paraId="6B9D59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挥发性有机物、其他</w:t>
                  </w:r>
                </w:p>
              </w:tc>
              <w:tc>
                <w:tcPr>
                  <w:tcW w:w="3595" w:type="pct"/>
                  <w:vAlign w:val="center"/>
                </w:tcPr>
                <w:p w14:paraId="531B02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sz w:val="21"/>
                      <w:szCs w:val="21"/>
                      <w:lang w:val="en-US" w:eastAsia="zh-CN" w:bidi="ar-SA"/>
                    </w:rPr>
                  </w:pPr>
                  <w:r>
                    <w:rPr>
                      <w:rFonts w:eastAsia="宋体"/>
                      <w:kern w:val="2"/>
                      <w:sz w:val="21"/>
                      <w:szCs w:val="21"/>
                      <w:lang w:val="en-US" w:eastAsia="zh-CN" w:bidi="ar-SA"/>
                    </w:rPr>
                    <w:t>顶部浸没式</w:t>
                  </w:r>
                  <w:r>
                    <w:rPr>
                      <w:rFonts w:hint="eastAsia"/>
                      <w:kern w:val="2"/>
                      <w:sz w:val="21"/>
                      <w:szCs w:val="21"/>
                      <w:lang w:val="en-US" w:eastAsia="zh-CN" w:bidi="ar-SA"/>
                    </w:rPr>
                    <w:t>/</w:t>
                  </w:r>
                  <w:r>
                    <w:rPr>
                      <w:rFonts w:eastAsia="宋体"/>
                      <w:b/>
                      <w:bCs/>
                      <w:kern w:val="2"/>
                      <w:sz w:val="21"/>
                      <w:szCs w:val="21"/>
                      <w:lang w:val="en-US" w:eastAsia="zh-CN" w:bidi="ar-SA"/>
                    </w:rPr>
                    <w:t>底部装载方式</w:t>
                  </w:r>
                  <w:r>
                    <w:rPr>
                      <w:rFonts w:eastAsia="宋体"/>
                      <w:kern w:val="2"/>
                      <w:sz w:val="21"/>
                      <w:szCs w:val="21"/>
                      <w:lang w:val="en-US" w:eastAsia="zh-CN" w:bidi="ar-SA"/>
                    </w:rPr>
                    <w:t>+油气回收或</w:t>
                  </w:r>
                  <w:r>
                    <w:rPr>
                      <w:rFonts w:eastAsia="宋体"/>
                      <w:b/>
                      <w:bCs/>
                      <w:kern w:val="2"/>
                      <w:sz w:val="21"/>
                      <w:szCs w:val="21"/>
                      <w:lang w:val="en-US" w:eastAsia="zh-CN" w:bidi="ar-SA"/>
                    </w:rPr>
                    <w:t>燃烧净化</w:t>
                  </w:r>
                </w:p>
              </w:tc>
            </w:tr>
          </w:tbl>
          <w:p w14:paraId="31A9F864">
            <w:pPr>
              <w:bidi w:val="0"/>
              <w:rPr>
                <w:lang w:val="en-US" w:eastAsia="zh-CN"/>
              </w:rPr>
            </w:pPr>
            <w:r>
              <w:rPr>
                <w:rFonts w:hint="eastAsia"/>
                <w:lang w:val="en-US" w:eastAsia="zh-CN"/>
              </w:rPr>
              <w:t>综上，本项目采取的废气治理措施属于上表中可行技术参照中的冷凝、吸附、底部装载和燃烧净化，因此本项目采取的</w:t>
            </w:r>
            <w:r>
              <w:rPr>
                <w:lang w:val="en-US" w:eastAsia="zh-CN"/>
              </w:rPr>
              <w:t>废气治理措施属于《排污许可证申请与核发技术规范 石化工业》（HJ853-</w:t>
            </w:r>
            <w:r>
              <w:rPr>
                <w:rFonts w:hint="eastAsia"/>
                <w:lang w:val="en-US" w:eastAsia="zh-CN"/>
              </w:rPr>
              <w:t>2026</w:t>
            </w:r>
            <w:r>
              <w:rPr>
                <w:lang w:val="en-US" w:eastAsia="zh-CN"/>
              </w:rPr>
              <w:t>）中废气治理可行性技术方案，措施合理可行。</w:t>
            </w:r>
          </w:p>
          <w:p w14:paraId="5EB935E3">
            <w:pPr>
              <w:pStyle w:val="2"/>
              <w:bidi w:val="0"/>
              <w:rPr>
                <w:lang w:val="en-US" w:eastAsia="zh-CN"/>
              </w:rPr>
            </w:pPr>
            <w:r>
              <w:rPr>
                <w:rFonts w:hint="eastAsia"/>
                <w:lang w:val="en-US" w:eastAsia="zh-CN"/>
              </w:rPr>
              <w:t>1.4本项目依托现有废气治理措施可行性分析</w:t>
            </w:r>
          </w:p>
          <w:p w14:paraId="7AE40707">
            <w:pPr>
              <w:bidi w:val="0"/>
              <w:rPr>
                <w:rFonts w:hint="default"/>
                <w:lang w:val="en-US" w:eastAsia="zh-CN"/>
              </w:rPr>
            </w:pPr>
            <w:r>
              <w:rPr>
                <w:rFonts w:hint="eastAsia"/>
                <w:lang w:val="en-US" w:eastAsia="zh-CN"/>
              </w:rPr>
              <w:t>物料装车废气依托现有油气回收装置（冷凝+活性炭吸附）可行性：本项目新增2个球罐，暂时停用现有6个储罐，储罐总规模和类型均发生调整，储罐废气较现有项目有少量减少。根据表4-2，本项目物料装车挥发性有机物经油气回收装置处理后，非甲烷总烃去除效率满足《石油化学工业污染物排放标准》（GB31571</w:t>
            </w:r>
            <w:r>
              <w:rPr>
                <w:rFonts w:hint="eastAsia"/>
                <w:lang w:val="en-US" w:eastAsia="zh-CN"/>
              </w:rPr>
              <w:noBreakHyphen/>
            </w:r>
            <w:r>
              <w:rPr>
                <w:rFonts w:hint="eastAsia"/>
                <w:lang w:val="en-US" w:eastAsia="zh-CN"/>
              </w:rPr>
              <w:t>2015）（含 2024 年修改单）表 4 中非甲烷总烃排放限值（去除效率≥95%）；苯、甲苯排放浓度满足《石油化学工业污染物排放标准》（GB31571</w:t>
            </w:r>
            <w:r>
              <w:rPr>
                <w:rFonts w:hint="eastAsia"/>
                <w:lang w:val="en-US" w:eastAsia="zh-CN"/>
              </w:rPr>
              <w:noBreakHyphen/>
            </w:r>
            <w:r>
              <w:rPr>
                <w:rFonts w:hint="eastAsia"/>
                <w:lang w:val="en-US" w:eastAsia="zh-CN"/>
              </w:rPr>
              <w:t>2015）（含 2024 年修改单）表6限值要求。因此物料装车废气依托现有油气回收装置（冷凝+活性炭吸附）可行。</w:t>
            </w:r>
          </w:p>
          <w:p w14:paraId="1FF273BF">
            <w:pPr>
              <w:bidi w:val="0"/>
              <w:rPr>
                <w:rFonts w:hint="eastAsia"/>
                <w:highlight w:val="none"/>
                <w:lang w:val="en-US" w:eastAsia="zh-CN"/>
              </w:rPr>
            </w:pPr>
            <w:r>
              <w:rPr>
                <w:rFonts w:hint="eastAsia"/>
                <w:highlight w:val="none"/>
                <w:lang w:val="en-US" w:eastAsia="zh-CN"/>
              </w:rPr>
              <w:t>卸车废气依托现有导热油炉进行处理的可行性：根据现场踏勘，导热油炉燃料包括天然气、现有装置不凝气及物料卸车废气，其中1#轻烃组分主要为碳氢化合物，不含氮、硫元素，进入导热油炉燃烧后完全转化为二氧化碳和水，不会造成燃烧废气中二氧化氮、二氧化硫污染物排放量的增加；现有导热油炉炉膛设计温度不低于850℃、烟气在炉内停留时间不小于2s、炉内过剩氧含量充足，能够满足烷烃类有机废气充分氧化分解对温度、停留时间及氧含量的要求，符合《石油化学工业污染物排放标准》（GB31571-2015）（含 2024 年修改单）中关于有机废气引入火焰燃烧区焚烧处理、视为满足非甲烷总烃去除效率不低于95% 的豁免条件；卸车废气属间歇性排放废气，产生总量较小，可作为辅助可燃废气送入炉膛燃烧处置，其接入管线上设置阻火器、回火防止器，并配套设置压力、流量报警装置，以防范回火风险，同时设置安全联锁系统，当导热油炉发生故障熄火或炉膛温度低于 850℃时，联锁系统自动切断卸车废气进气管路，废气自动切换导入厂区现有地面火炬系统进行燃烧处置，避免低温工况下不完全燃烧。综上，在落实阻火、回火保护及熄火联锁切换至火炬等安全措施的前提下，卸车废气依托现有导热油炉焚烧处理在技术上是可行的；根据表4-2，本次扩建后物料卸车废气经导热油炉燃烧处理后，非甲烷总烃去除效率满足《石油化学工业污染物排放标准》（GB31571-2015）（含2024年修改单）表4中非甲烷总烃排放限值（去除效率≥95%）；苯排放浓度满足《石油化学工业污染物排放标准》（GB31571-2015）（含2024年修改单）表6限值要求。因此卸车废气依托现有导热油炉进行处理可行。</w:t>
            </w:r>
          </w:p>
          <w:p w14:paraId="17296F5F">
            <w:pPr>
              <w:pStyle w:val="2"/>
              <w:bidi w:val="0"/>
              <w:rPr>
                <w:rFonts w:hint="eastAsia"/>
                <w:lang w:val="en-US" w:eastAsia="zh-CN"/>
              </w:rPr>
            </w:pPr>
            <w:r>
              <w:rPr>
                <w:rFonts w:hint="eastAsia"/>
                <w:lang w:val="en-US" w:eastAsia="zh-CN"/>
              </w:rPr>
              <w:t>1.5 大气环境影响分析</w:t>
            </w:r>
          </w:p>
          <w:p w14:paraId="64E00CC2">
            <w:pPr>
              <w:bidi w:val="0"/>
              <w:rPr>
                <w:lang w:val="en-US" w:eastAsia="zh-CN"/>
              </w:rPr>
            </w:pPr>
            <w:r>
              <w:rPr>
                <w:rFonts w:hint="eastAsia"/>
                <w:lang w:val="en-US" w:eastAsia="zh-CN"/>
              </w:rPr>
              <w:t>物料装车废气经油气回收装置处理后，与其他有机废气一并经现有1根15m高排气筒（DA003）排放，物料卸车废气经管道收集后进入导热油炉处理后，与其他有机废气一并经现有1根20m高排气筒（DA002）排放。非甲烷总烃去除效率满足《石油化学工业污染物排放标准》（GB31571-2015）（含2024年修改单）表4中非甲烷总烃排放限值（去除效率≥95%）；苯、甲苯排放浓度满足《石油化学工业污染物排放标准》（GB31571-2015）（含2024年修改单）表6限值要求。运营期厂界1km内无居民区等敏感点，营运期废气经处理后对其影响较小。</w:t>
            </w:r>
          </w:p>
          <w:p w14:paraId="46837F74">
            <w:pPr>
              <w:pStyle w:val="2"/>
              <w:bidi w:val="0"/>
              <w:rPr>
                <w:lang w:val="en-US" w:eastAsia="zh-CN"/>
              </w:rPr>
            </w:pPr>
            <w:r>
              <w:rPr>
                <w:lang w:val="en-US" w:eastAsia="zh-CN"/>
              </w:rPr>
              <w:t>1.</w:t>
            </w:r>
            <w:r>
              <w:rPr>
                <w:rFonts w:hint="eastAsia"/>
                <w:lang w:val="en-US" w:eastAsia="zh-CN"/>
              </w:rPr>
              <w:t xml:space="preserve">6 </w:t>
            </w:r>
            <w:r>
              <w:rPr>
                <w:lang w:val="en-US" w:eastAsia="zh-CN"/>
              </w:rPr>
              <w:t>非正常工况废气环境影响</w:t>
            </w:r>
          </w:p>
          <w:p w14:paraId="61E755D3">
            <w:pPr>
              <w:bidi w:val="0"/>
              <w:rPr>
                <w:lang w:val="en-US" w:eastAsia="zh-CN"/>
              </w:rPr>
            </w:pPr>
            <w:r>
              <w:rPr>
                <w:lang w:val="en-US" w:eastAsia="zh-CN"/>
              </w:rPr>
              <w:t>现有项目已设置一座地面火炬设施用于接受事故状态紧急放空可燃气体的安全处理，可保证气体需要排放时能够及时安全可靠的放空燃烧。根据火炬的设计资料，项目建设封闭式地面火炬设施由地面燃烧炉、地面燃烧炉支柱、地面燃烧器、防风墙、分级燃烧系统以及长明灯自动点火装置组成。结构直径9.5m，高30m。火炬气等燃烧是在圆柱形地面燃烧炉的本体内完成，燃烧过程完全封闭，外界看不见火光，没有污染，低热辐射。圆柱形地面燃烧炉的外壳采用碳钢支撑，内衬有轻质耐火耐高温材料，不受下雨或筒体内部温度急速变化的影响，同时具有良好的吸音降噪特性。</w:t>
            </w:r>
          </w:p>
          <w:p w14:paraId="7904191A">
            <w:pPr>
              <w:bidi w:val="0"/>
              <w:rPr>
                <w:lang w:val="en-US" w:eastAsia="zh-CN"/>
              </w:rPr>
            </w:pPr>
            <w:r>
              <w:rPr>
                <w:rFonts w:hint="eastAsia"/>
                <w:lang w:val="en-US" w:eastAsia="zh-CN"/>
              </w:rPr>
              <w:t>本项目</w:t>
            </w:r>
            <w:r>
              <w:rPr>
                <w:lang w:val="en-US" w:eastAsia="zh-CN"/>
              </w:rPr>
              <w:t>单台球罐安全阀最大泄放速率1200 kg/h，两台球罐同时超压起跳，最大总泄放速率2400 kg/h；厂区现有封闭式地面火炬设计额定燃烧处理能力40000 kg/h，火炬处理能力远大于球罐安全阀最大总泄放量，火炬接纳能力可满足本项目球罐事故泄放介质处理需求。如果因员工操作失误造成超温超压时，假设排放量最大的安全阀起跳，其瞬时进入火炬的最大量为</w:t>
            </w:r>
            <w:r>
              <w:rPr>
                <w:rFonts w:hint="eastAsia"/>
                <w:lang w:val="en-US" w:eastAsia="zh-CN"/>
              </w:rPr>
              <w:t>120</w:t>
            </w:r>
            <w:r>
              <w:rPr>
                <w:lang w:val="en-US" w:eastAsia="zh-CN"/>
              </w:rPr>
              <w:t>0kg/h，持续时间按</w:t>
            </w:r>
            <w:r>
              <w:rPr>
                <w:rFonts w:hint="eastAsia"/>
                <w:lang w:val="en-US" w:eastAsia="zh-CN"/>
              </w:rPr>
              <w:t>30min</w:t>
            </w:r>
            <w:r>
              <w:rPr>
                <w:lang w:val="en-US" w:eastAsia="zh-CN"/>
              </w:rPr>
              <w:t>计</w:t>
            </w:r>
            <w:r>
              <w:rPr>
                <w:rFonts w:hint="eastAsia"/>
                <w:lang w:val="en-US" w:eastAsia="zh-CN"/>
              </w:rPr>
              <w:t>，总泄放量为0.6t</w:t>
            </w:r>
            <w:r>
              <w:rPr>
                <w:lang w:val="en-US" w:eastAsia="zh-CN"/>
              </w:rPr>
              <w:t>。事故状态下火炬污染物排放详见表4-</w:t>
            </w:r>
            <w:r>
              <w:rPr>
                <w:rFonts w:hint="eastAsia"/>
                <w:lang w:val="en-US" w:eastAsia="zh-CN"/>
              </w:rPr>
              <w:t>5</w:t>
            </w:r>
            <w:r>
              <w:rPr>
                <w:lang w:val="en-US" w:eastAsia="zh-CN"/>
              </w:rPr>
              <w:t>。</w:t>
            </w:r>
          </w:p>
          <w:p w14:paraId="7C334CDA">
            <w:pPr>
              <w:widowControl w:val="0"/>
              <w:spacing w:before="120" w:beforeLines="50" w:line="240" w:lineRule="auto"/>
              <w:jc w:val="center"/>
              <w:rPr>
                <w:rFonts w:eastAsia="宋体"/>
                <w:b/>
                <w:bCs/>
                <w:kern w:val="2"/>
                <w:lang w:val="en-US" w:eastAsia="zh-CN" w:bidi="ar-SA"/>
              </w:rPr>
            </w:pPr>
            <w:r>
              <w:rPr>
                <w:rFonts w:eastAsia="宋体"/>
                <w:b/>
                <w:bCs/>
                <w:kern w:val="2"/>
                <w:lang w:val="en-US" w:eastAsia="zh-CN" w:bidi="ar-SA"/>
              </w:rPr>
              <w:t>表4-</w:t>
            </w:r>
            <w:r>
              <w:rPr>
                <w:rFonts w:hint="eastAsia"/>
                <w:b/>
                <w:bCs/>
                <w:kern w:val="2"/>
                <w:lang w:val="en-US" w:eastAsia="zh-CN" w:bidi="ar-SA"/>
              </w:rPr>
              <w:t>5</w:t>
            </w:r>
            <w:r>
              <w:rPr>
                <w:rFonts w:eastAsia="宋体"/>
                <w:b/>
                <w:bCs/>
                <w:kern w:val="2"/>
                <w:lang w:val="en-US" w:eastAsia="zh-CN" w:bidi="ar-SA"/>
              </w:rPr>
              <w:t xml:space="preserve">  项目事故状态下地面火炬污染物排放表</w:t>
            </w:r>
          </w:p>
          <w:tbl>
            <w:tblPr>
              <w:tblStyle w:val="29"/>
              <w:tblW w:w="4998" w:type="pct"/>
              <w:tblInd w:w="1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1669"/>
              <w:gridCol w:w="2508"/>
              <w:gridCol w:w="1256"/>
              <w:gridCol w:w="841"/>
              <w:gridCol w:w="841"/>
              <w:gridCol w:w="1062"/>
            </w:tblGrid>
            <w:tr w14:paraId="319EF97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020" w:type="pct"/>
                  <w:vMerge w:val="restart"/>
                  <w:tcBorders>
                    <w:bottom w:val="nil"/>
                  </w:tcBorders>
                  <w:vAlign w:val="center"/>
                </w:tcPr>
                <w:p w14:paraId="7641EB1B">
                  <w:pPr>
                    <w:pStyle w:val="5"/>
                    <w:bidi w:val="0"/>
                    <w:rPr>
                      <w:lang w:val="en-US" w:eastAsia="zh-CN"/>
                    </w:rPr>
                  </w:pPr>
                  <w:r>
                    <w:rPr>
                      <w:lang w:val="en-US" w:eastAsia="zh-CN"/>
                    </w:rPr>
                    <w:t>污染源</w:t>
                  </w:r>
                </w:p>
              </w:tc>
              <w:tc>
                <w:tcPr>
                  <w:tcW w:w="1533" w:type="pct"/>
                  <w:vMerge w:val="restart"/>
                  <w:tcBorders>
                    <w:bottom w:val="nil"/>
                  </w:tcBorders>
                  <w:vAlign w:val="center"/>
                </w:tcPr>
                <w:p w14:paraId="314EAA81">
                  <w:pPr>
                    <w:pStyle w:val="5"/>
                    <w:bidi w:val="0"/>
                    <w:rPr>
                      <w:lang w:val="en-US" w:eastAsia="zh-CN"/>
                    </w:rPr>
                  </w:pPr>
                  <w:r>
                    <w:rPr>
                      <w:lang w:val="en-US" w:eastAsia="zh-CN"/>
                    </w:rPr>
                    <w:t>污染物</w:t>
                  </w:r>
                </w:p>
              </w:tc>
              <w:tc>
                <w:tcPr>
                  <w:tcW w:w="2445" w:type="pct"/>
                  <w:gridSpan w:val="4"/>
                  <w:vAlign w:val="center"/>
                </w:tcPr>
                <w:p w14:paraId="4DEA7186">
                  <w:pPr>
                    <w:pStyle w:val="5"/>
                    <w:bidi w:val="0"/>
                    <w:rPr>
                      <w:lang w:val="en-US" w:eastAsia="zh-CN"/>
                    </w:rPr>
                  </w:pPr>
                  <w:r>
                    <w:rPr>
                      <w:lang w:val="en-US" w:eastAsia="zh-CN"/>
                    </w:rPr>
                    <w:t>排放情况</w:t>
                  </w:r>
                </w:p>
              </w:tc>
            </w:tr>
            <w:tr w14:paraId="6EFCC75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1020" w:type="pct"/>
                  <w:vMerge w:val="continue"/>
                  <w:tcBorders>
                    <w:top w:val="nil"/>
                  </w:tcBorders>
                  <w:vAlign w:val="center"/>
                </w:tcPr>
                <w:p w14:paraId="0FB692D4">
                  <w:pPr>
                    <w:pStyle w:val="5"/>
                    <w:bidi w:val="0"/>
                    <w:rPr>
                      <w:lang w:val="en-US" w:eastAsia="zh-CN"/>
                    </w:rPr>
                  </w:pPr>
                </w:p>
              </w:tc>
              <w:tc>
                <w:tcPr>
                  <w:tcW w:w="1533" w:type="pct"/>
                  <w:vMerge w:val="continue"/>
                  <w:tcBorders>
                    <w:top w:val="nil"/>
                  </w:tcBorders>
                  <w:vAlign w:val="center"/>
                </w:tcPr>
                <w:p w14:paraId="763A50BA">
                  <w:pPr>
                    <w:pStyle w:val="5"/>
                    <w:bidi w:val="0"/>
                    <w:rPr>
                      <w:lang w:val="en-US" w:eastAsia="zh-CN"/>
                    </w:rPr>
                  </w:pPr>
                </w:p>
              </w:tc>
              <w:tc>
                <w:tcPr>
                  <w:tcW w:w="768" w:type="pct"/>
                  <w:vAlign w:val="center"/>
                </w:tcPr>
                <w:p w14:paraId="666CD79A">
                  <w:pPr>
                    <w:pStyle w:val="5"/>
                    <w:bidi w:val="0"/>
                    <w:rPr>
                      <w:lang w:val="en-US" w:eastAsia="zh-CN"/>
                    </w:rPr>
                  </w:pPr>
                  <w:r>
                    <w:rPr>
                      <w:lang w:val="en-US" w:eastAsia="zh-CN"/>
                    </w:rPr>
                    <w:t>排放量</w:t>
                  </w:r>
                </w:p>
              </w:tc>
              <w:tc>
                <w:tcPr>
                  <w:tcW w:w="514" w:type="pct"/>
                  <w:tcBorders>
                    <w:bottom w:val="single" w:color="auto" w:sz="4" w:space="0"/>
                  </w:tcBorders>
                  <w:vAlign w:val="center"/>
                </w:tcPr>
                <w:p w14:paraId="3B891F73">
                  <w:pPr>
                    <w:pStyle w:val="5"/>
                    <w:bidi w:val="0"/>
                    <w:rPr>
                      <w:lang w:val="en-US" w:eastAsia="zh-CN"/>
                    </w:rPr>
                  </w:pPr>
                  <w:r>
                    <w:rPr>
                      <w:lang w:val="en-US" w:eastAsia="zh-CN"/>
                    </w:rPr>
                    <w:t>高度</w:t>
                  </w:r>
                </w:p>
              </w:tc>
              <w:tc>
                <w:tcPr>
                  <w:tcW w:w="514" w:type="pct"/>
                  <w:tcBorders>
                    <w:bottom w:val="single" w:color="auto" w:sz="4" w:space="0"/>
                  </w:tcBorders>
                  <w:vAlign w:val="center"/>
                </w:tcPr>
                <w:p w14:paraId="23905EB1">
                  <w:pPr>
                    <w:pStyle w:val="5"/>
                    <w:bidi w:val="0"/>
                    <w:rPr>
                      <w:lang w:val="en-US" w:eastAsia="zh-CN"/>
                    </w:rPr>
                  </w:pPr>
                  <w:r>
                    <w:rPr>
                      <w:lang w:val="en-US" w:eastAsia="zh-CN"/>
                    </w:rPr>
                    <w:t>直径</w:t>
                  </w:r>
                </w:p>
              </w:tc>
              <w:tc>
                <w:tcPr>
                  <w:tcW w:w="649" w:type="pct"/>
                  <w:tcBorders>
                    <w:bottom w:val="single" w:color="auto" w:sz="4" w:space="0"/>
                  </w:tcBorders>
                  <w:vAlign w:val="center"/>
                </w:tcPr>
                <w:p w14:paraId="6DE82124">
                  <w:pPr>
                    <w:pStyle w:val="5"/>
                    <w:bidi w:val="0"/>
                    <w:rPr>
                      <w:lang w:val="en-US" w:eastAsia="zh-CN"/>
                    </w:rPr>
                  </w:pPr>
                  <w:r>
                    <w:rPr>
                      <w:lang w:val="en-US" w:eastAsia="zh-CN"/>
                    </w:rPr>
                    <w:t>温度</w:t>
                  </w:r>
                </w:p>
              </w:tc>
            </w:tr>
            <w:tr w14:paraId="6AB320E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1020" w:type="pct"/>
                  <w:vMerge w:val="restart"/>
                  <w:vAlign w:val="center"/>
                </w:tcPr>
                <w:p w14:paraId="24C8AA37">
                  <w:pPr>
                    <w:pStyle w:val="5"/>
                    <w:bidi w:val="0"/>
                    <w:rPr>
                      <w:lang w:val="en-US" w:eastAsia="zh-CN"/>
                    </w:rPr>
                  </w:pPr>
                  <w:r>
                    <w:rPr>
                      <w:rFonts w:hint="eastAsia"/>
                      <w:lang w:val="en-US" w:eastAsia="zh-CN"/>
                    </w:rPr>
                    <w:t>1#轻烃泄漏</w:t>
                  </w:r>
                </w:p>
              </w:tc>
              <w:tc>
                <w:tcPr>
                  <w:tcW w:w="1533" w:type="pct"/>
                  <w:vAlign w:val="center"/>
                </w:tcPr>
                <w:p w14:paraId="38470E4D">
                  <w:pPr>
                    <w:pStyle w:val="5"/>
                    <w:bidi w:val="0"/>
                    <w:rPr>
                      <w:lang w:val="en-US" w:eastAsia="zh-CN"/>
                    </w:rPr>
                  </w:pPr>
                  <w:r>
                    <w:rPr>
                      <w:rFonts w:hint="eastAsia"/>
                      <w:lang w:val="en-US" w:eastAsia="zh-CN"/>
                    </w:rPr>
                    <w:t>非甲烷总烃</w:t>
                  </w:r>
                </w:p>
              </w:tc>
              <w:tc>
                <w:tcPr>
                  <w:tcW w:w="768" w:type="pct"/>
                  <w:tcBorders>
                    <w:right w:val="single" w:color="auto" w:sz="4" w:space="0"/>
                  </w:tcBorders>
                  <w:vAlign w:val="center"/>
                </w:tcPr>
                <w:p w14:paraId="04CF60D4">
                  <w:pPr>
                    <w:pStyle w:val="5"/>
                    <w:bidi w:val="0"/>
                    <w:rPr>
                      <w:rFonts w:hint="eastAsia"/>
                      <w:lang w:val="en-US" w:eastAsia="zh-CN"/>
                    </w:rPr>
                  </w:pPr>
                  <w:r>
                    <w:rPr>
                      <w:lang w:val="en-US" w:eastAsia="zh-CN"/>
                    </w:rPr>
                    <w:t>0.00</w:t>
                  </w:r>
                  <w:r>
                    <w:rPr>
                      <w:rFonts w:hint="eastAsia"/>
                      <w:lang w:val="en-US" w:eastAsia="zh-CN"/>
                    </w:rPr>
                    <w:t>6t</w:t>
                  </w:r>
                </w:p>
              </w:tc>
              <w:tc>
                <w:tcPr>
                  <w:tcW w:w="514" w:type="pct"/>
                  <w:vMerge w:val="restart"/>
                  <w:tcBorders>
                    <w:top w:val="single" w:color="auto" w:sz="4" w:space="0"/>
                    <w:left w:val="single" w:color="auto" w:sz="4" w:space="0"/>
                    <w:right w:val="single" w:color="auto" w:sz="4" w:space="0"/>
                  </w:tcBorders>
                  <w:vAlign w:val="center"/>
                </w:tcPr>
                <w:p w14:paraId="285D8303">
                  <w:pPr>
                    <w:pStyle w:val="5"/>
                    <w:bidi w:val="0"/>
                    <w:rPr>
                      <w:lang w:val="en-US" w:eastAsia="zh-CN"/>
                    </w:rPr>
                  </w:pPr>
                  <w:r>
                    <w:rPr>
                      <w:lang w:val="en-US" w:eastAsia="zh-CN"/>
                    </w:rPr>
                    <w:t>30m</w:t>
                  </w:r>
                </w:p>
              </w:tc>
              <w:tc>
                <w:tcPr>
                  <w:tcW w:w="514" w:type="pct"/>
                  <w:vMerge w:val="restart"/>
                  <w:tcBorders>
                    <w:top w:val="single" w:color="auto" w:sz="4" w:space="0"/>
                    <w:left w:val="single" w:color="auto" w:sz="4" w:space="0"/>
                    <w:right w:val="single" w:color="auto" w:sz="4" w:space="0"/>
                  </w:tcBorders>
                  <w:vAlign w:val="center"/>
                </w:tcPr>
                <w:p w14:paraId="2A0B55C0">
                  <w:pPr>
                    <w:pStyle w:val="5"/>
                    <w:bidi w:val="0"/>
                    <w:rPr>
                      <w:lang w:val="en-US" w:eastAsia="zh-CN"/>
                    </w:rPr>
                  </w:pPr>
                  <w:r>
                    <w:rPr>
                      <w:lang w:val="en-US" w:eastAsia="zh-CN"/>
                    </w:rPr>
                    <w:t>9.5m</w:t>
                  </w:r>
                </w:p>
              </w:tc>
              <w:tc>
                <w:tcPr>
                  <w:tcW w:w="649" w:type="pct"/>
                  <w:vMerge w:val="restart"/>
                  <w:tcBorders>
                    <w:top w:val="single" w:color="auto" w:sz="4" w:space="0"/>
                    <w:left w:val="single" w:color="auto" w:sz="4" w:space="0"/>
                  </w:tcBorders>
                  <w:vAlign w:val="center"/>
                </w:tcPr>
                <w:p w14:paraId="48D0B589">
                  <w:pPr>
                    <w:pStyle w:val="5"/>
                    <w:bidi w:val="0"/>
                    <w:rPr>
                      <w:lang w:val="en-US" w:eastAsia="zh-CN"/>
                    </w:rPr>
                  </w:pPr>
                  <w:r>
                    <w:rPr>
                      <w:lang w:val="en-US" w:eastAsia="zh-CN"/>
                    </w:rPr>
                    <w:t>120℃</w:t>
                  </w:r>
                </w:p>
              </w:tc>
            </w:tr>
            <w:tr w14:paraId="210F619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1020" w:type="pct"/>
                  <w:vMerge w:val="continue"/>
                  <w:vAlign w:val="center"/>
                </w:tcPr>
                <w:p w14:paraId="5A16293D">
                  <w:pPr>
                    <w:pStyle w:val="5"/>
                    <w:bidi w:val="0"/>
                    <w:rPr>
                      <w:lang w:val="en-US" w:eastAsia="zh-CN"/>
                    </w:rPr>
                  </w:pPr>
                </w:p>
              </w:tc>
              <w:tc>
                <w:tcPr>
                  <w:tcW w:w="1533" w:type="pct"/>
                  <w:vAlign w:val="center"/>
                </w:tcPr>
                <w:p w14:paraId="00114006">
                  <w:pPr>
                    <w:pStyle w:val="5"/>
                    <w:bidi w:val="0"/>
                    <w:rPr>
                      <w:lang w:val="en-US" w:eastAsia="zh-CN"/>
                    </w:rPr>
                  </w:pPr>
                  <w:r>
                    <w:rPr>
                      <w:rFonts w:hint="eastAsia"/>
                      <w:lang w:val="en-US" w:eastAsia="zh-CN"/>
                    </w:rPr>
                    <w:t>苯</w:t>
                  </w:r>
                </w:p>
              </w:tc>
              <w:tc>
                <w:tcPr>
                  <w:tcW w:w="768" w:type="pct"/>
                  <w:tcBorders>
                    <w:right w:val="single" w:color="auto" w:sz="4" w:space="0"/>
                  </w:tcBorders>
                  <w:vAlign w:val="center"/>
                </w:tcPr>
                <w:p w14:paraId="6A7D8A4E">
                  <w:pPr>
                    <w:pStyle w:val="5"/>
                    <w:bidi w:val="0"/>
                    <w:rPr>
                      <w:rFonts w:hint="eastAsia"/>
                      <w:lang w:val="en-US" w:eastAsia="zh-CN"/>
                    </w:rPr>
                  </w:pPr>
                  <w:r>
                    <w:rPr>
                      <w:rFonts w:hint="eastAsia"/>
                      <w:lang w:val="en-US" w:eastAsia="zh-CN"/>
                    </w:rPr>
                    <w:t>1.83×10</w:t>
                  </w:r>
                  <w:r>
                    <w:rPr>
                      <w:rFonts w:hint="eastAsia"/>
                      <w:vertAlign w:val="superscript"/>
                      <w:lang w:val="en-US" w:eastAsia="zh-CN"/>
                    </w:rPr>
                    <w:t>-5</w:t>
                  </w:r>
                  <w:r>
                    <w:rPr>
                      <w:rFonts w:hint="eastAsia"/>
                      <w:lang w:val="en-US" w:eastAsia="zh-CN"/>
                    </w:rPr>
                    <w:t>t</w:t>
                  </w:r>
                </w:p>
              </w:tc>
              <w:tc>
                <w:tcPr>
                  <w:tcW w:w="514" w:type="pct"/>
                  <w:vMerge w:val="continue"/>
                  <w:tcBorders>
                    <w:left w:val="single" w:color="auto" w:sz="4" w:space="0"/>
                    <w:right w:val="single" w:color="auto" w:sz="4" w:space="0"/>
                  </w:tcBorders>
                  <w:vAlign w:val="center"/>
                </w:tcPr>
                <w:p w14:paraId="6F856DE4">
                  <w:pPr>
                    <w:pStyle w:val="5"/>
                    <w:bidi w:val="0"/>
                    <w:rPr>
                      <w:lang w:val="en-US" w:eastAsia="zh-CN"/>
                    </w:rPr>
                  </w:pPr>
                </w:p>
              </w:tc>
              <w:tc>
                <w:tcPr>
                  <w:tcW w:w="514" w:type="pct"/>
                  <w:vMerge w:val="continue"/>
                  <w:tcBorders>
                    <w:left w:val="single" w:color="auto" w:sz="4" w:space="0"/>
                    <w:right w:val="single" w:color="auto" w:sz="4" w:space="0"/>
                  </w:tcBorders>
                  <w:vAlign w:val="center"/>
                </w:tcPr>
                <w:p w14:paraId="0A1EF36E">
                  <w:pPr>
                    <w:pStyle w:val="5"/>
                    <w:bidi w:val="0"/>
                    <w:rPr>
                      <w:lang w:val="en-US" w:eastAsia="zh-CN"/>
                    </w:rPr>
                  </w:pPr>
                </w:p>
              </w:tc>
              <w:tc>
                <w:tcPr>
                  <w:tcW w:w="649" w:type="pct"/>
                  <w:vMerge w:val="continue"/>
                  <w:tcBorders>
                    <w:left w:val="single" w:color="auto" w:sz="4" w:space="0"/>
                  </w:tcBorders>
                  <w:vAlign w:val="center"/>
                </w:tcPr>
                <w:p w14:paraId="4D2EB020">
                  <w:pPr>
                    <w:pStyle w:val="5"/>
                    <w:bidi w:val="0"/>
                    <w:rPr>
                      <w:lang w:val="en-US" w:eastAsia="zh-CN"/>
                    </w:rPr>
                  </w:pPr>
                </w:p>
              </w:tc>
            </w:tr>
            <w:tr w14:paraId="2188C3F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1020" w:type="pct"/>
                  <w:vMerge w:val="continue"/>
                  <w:vAlign w:val="center"/>
                </w:tcPr>
                <w:p w14:paraId="2104A323">
                  <w:pPr>
                    <w:pStyle w:val="5"/>
                    <w:bidi w:val="0"/>
                    <w:rPr>
                      <w:lang w:val="en-US" w:eastAsia="zh-CN"/>
                    </w:rPr>
                  </w:pPr>
                </w:p>
              </w:tc>
              <w:tc>
                <w:tcPr>
                  <w:tcW w:w="1533" w:type="pct"/>
                  <w:vAlign w:val="center"/>
                </w:tcPr>
                <w:p w14:paraId="17B2CF47">
                  <w:pPr>
                    <w:pStyle w:val="5"/>
                    <w:bidi w:val="0"/>
                    <w:rPr>
                      <w:lang w:val="en-US" w:eastAsia="zh-CN"/>
                    </w:rPr>
                  </w:pPr>
                  <w:r>
                    <w:rPr>
                      <w:rFonts w:hint="eastAsia"/>
                      <w:lang w:val="en-US" w:eastAsia="zh-CN"/>
                    </w:rPr>
                    <w:t>甲苯</w:t>
                  </w:r>
                </w:p>
              </w:tc>
              <w:tc>
                <w:tcPr>
                  <w:tcW w:w="768" w:type="pct"/>
                  <w:tcBorders>
                    <w:right w:val="single" w:color="auto" w:sz="4" w:space="0"/>
                  </w:tcBorders>
                  <w:vAlign w:val="center"/>
                </w:tcPr>
                <w:p w14:paraId="1C9EEC60">
                  <w:pPr>
                    <w:pStyle w:val="5"/>
                    <w:bidi w:val="0"/>
                    <w:rPr>
                      <w:rFonts w:hint="eastAsia"/>
                      <w:lang w:val="en-US" w:eastAsia="zh-CN"/>
                    </w:rPr>
                  </w:pPr>
                  <w:r>
                    <w:rPr>
                      <w:lang w:val="en-US" w:eastAsia="zh-CN"/>
                    </w:rPr>
                    <w:t>6</w:t>
                  </w:r>
                  <w:r>
                    <w:rPr>
                      <w:rFonts w:hint="eastAsia"/>
                      <w:lang w:val="en-US" w:eastAsia="zh-CN"/>
                    </w:rPr>
                    <w:t>.</w:t>
                  </w:r>
                  <w:r>
                    <w:rPr>
                      <w:lang w:val="en-US" w:eastAsia="zh-CN"/>
                    </w:rPr>
                    <w:t>3</w:t>
                  </w:r>
                  <w:r>
                    <w:rPr>
                      <w:rFonts w:hint="default"/>
                      <w:lang w:val="en-US" w:eastAsia="zh-CN"/>
                    </w:rPr>
                    <w:t>×</w:t>
                  </w:r>
                  <w:r>
                    <w:rPr>
                      <w:rFonts w:hint="eastAsia"/>
                      <w:lang w:val="en-US" w:eastAsia="zh-CN"/>
                    </w:rPr>
                    <w:t>10</w:t>
                  </w:r>
                  <w:r>
                    <w:rPr>
                      <w:rFonts w:hint="eastAsia"/>
                      <w:vertAlign w:val="superscript"/>
                      <w:lang w:val="en-US" w:eastAsia="zh-CN"/>
                    </w:rPr>
                    <w:t>-6</w:t>
                  </w:r>
                  <w:r>
                    <w:rPr>
                      <w:rFonts w:hint="eastAsia"/>
                      <w:lang w:val="en-US" w:eastAsia="zh-CN"/>
                    </w:rPr>
                    <w:t>t</w:t>
                  </w:r>
                </w:p>
              </w:tc>
              <w:tc>
                <w:tcPr>
                  <w:tcW w:w="514" w:type="pct"/>
                  <w:vMerge w:val="continue"/>
                  <w:tcBorders>
                    <w:left w:val="single" w:color="auto" w:sz="4" w:space="0"/>
                    <w:right w:val="single" w:color="auto" w:sz="4" w:space="0"/>
                  </w:tcBorders>
                  <w:vAlign w:val="center"/>
                </w:tcPr>
                <w:p w14:paraId="27E88F5A">
                  <w:pPr>
                    <w:pStyle w:val="5"/>
                    <w:bidi w:val="0"/>
                    <w:rPr>
                      <w:lang w:val="en-US" w:eastAsia="zh-CN"/>
                    </w:rPr>
                  </w:pPr>
                </w:p>
              </w:tc>
              <w:tc>
                <w:tcPr>
                  <w:tcW w:w="514" w:type="pct"/>
                  <w:vMerge w:val="continue"/>
                  <w:tcBorders>
                    <w:left w:val="single" w:color="auto" w:sz="4" w:space="0"/>
                    <w:right w:val="single" w:color="auto" w:sz="4" w:space="0"/>
                  </w:tcBorders>
                  <w:vAlign w:val="center"/>
                </w:tcPr>
                <w:p w14:paraId="1F41D7ED">
                  <w:pPr>
                    <w:pStyle w:val="5"/>
                    <w:bidi w:val="0"/>
                    <w:rPr>
                      <w:lang w:val="en-US" w:eastAsia="zh-CN"/>
                    </w:rPr>
                  </w:pPr>
                </w:p>
              </w:tc>
              <w:tc>
                <w:tcPr>
                  <w:tcW w:w="649" w:type="pct"/>
                  <w:vMerge w:val="continue"/>
                  <w:tcBorders>
                    <w:left w:val="single" w:color="auto" w:sz="4" w:space="0"/>
                  </w:tcBorders>
                  <w:vAlign w:val="center"/>
                </w:tcPr>
                <w:p w14:paraId="74F34E75">
                  <w:pPr>
                    <w:pStyle w:val="5"/>
                    <w:bidi w:val="0"/>
                    <w:rPr>
                      <w:lang w:val="en-US" w:eastAsia="zh-CN"/>
                    </w:rPr>
                  </w:pPr>
                </w:p>
              </w:tc>
            </w:tr>
            <w:tr w14:paraId="7CB6BE8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1020" w:type="pct"/>
                  <w:vMerge w:val="continue"/>
                  <w:vAlign w:val="center"/>
                </w:tcPr>
                <w:p w14:paraId="438ACC1C">
                  <w:pPr>
                    <w:pStyle w:val="5"/>
                    <w:bidi w:val="0"/>
                    <w:rPr>
                      <w:lang w:val="en-US" w:eastAsia="zh-CN"/>
                    </w:rPr>
                  </w:pPr>
                </w:p>
              </w:tc>
              <w:tc>
                <w:tcPr>
                  <w:tcW w:w="1533" w:type="pct"/>
                  <w:vAlign w:val="center"/>
                </w:tcPr>
                <w:p w14:paraId="31E2B6EC">
                  <w:pPr>
                    <w:pStyle w:val="5"/>
                    <w:bidi w:val="0"/>
                    <w:rPr>
                      <w:rFonts w:hint="default"/>
                      <w:lang w:val="en-US" w:eastAsia="zh-CN"/>
                    </w:rPr>
                  </w:pPr>
                  <w:r>
                    <w:rPr>
                      <w:rFonts w:hint="eastAsia"/>
                      <w:lang w:val="en-US" w:eastAsia="zh-CN"/>
                    </w:rPr>
                    <w:t>正己烷</w:t>
                  </w:r>
                </w:p>
              </w:tc>
              <w:tc>
                <w:tcPr>
                  <w:tcW w:w="768" w:type="pct"/>
                  <w:tcBorders>
                    <w:right w:val="single" w:color="auto" w:sz="4" w:space="0"/>
                  </w:tcBorders>
                  <w:vAlign w:val="center"/>
                </w:tcPr>
                <w:p w14:paraId="5063C1B0">
                  <w:pPr>
                    <w:pStyle w:val="5"/>
                    <w:bidi w:val="0"/>
                    <w:rPr>
                      <w:lang w:val="en-US" w:eastAsia="zh-CN"/>
                    </w:rPr>
                  </w:pPr>
                  <w:r>
                    <w:rPr>
                      <w:lang w:val="en-US" w:eastAsia="zh-CN"/>
                    </w:rPr>
                    <w:t>3</w:t>
                  </w:r>
                  <w:r>
                    <w:rPr>
                      <w:rFonts w:hint="eastAsia"/>
                      <w:lang w:val="en-US" w:eastAsia="zh-CN"/>
                    </w:rPr>
                    <w:t>.</w:t>
                  </w:r>
                  <w:r>
                    <w:rPr>
                      <w:lang w:val="en-US" w:eastAsia="zh-CN"/>
                    </w:rPr>
                    <w:t>714</w:t>
                  </w:r>
                  <w:r>
                    <w:rPr>
                      <w:rFonts w:hint="default"/>
                      <w:lang w:val="en-US" w:eastAsia="zh-CN"/>
                    </w:rPr>
                    <w:t>×</w:t>
                  </w:r>
                  <w:r>
                    <w:rPr>
                      <w:rFonts w:hint="eastAsia"/>
                      <w:lang w:val="en-US" w:eastAsia="zh-CN"/>
                    </w:rPr>
                    <w:t>10</w:t>
                  </w:r>
                  <w:r>
                    <w:rPr>
                      <w:rFonts w:hint="eastAsia"/>
                      <w:vertAlign w:val="superscript"/>
                      <w:lang w:val="en-US" w:eastAsia="zh-CN"/>
                    </w:rPr>
                    <w:t>-4</w:t>
                  </w:r>
                  <w:r>
                    <w:rPr>
                      <w:rFonts w:hint="eastAsia"/>
                      <w:lang w:val="en-US" w:eastAsia="zh-CN"/>
                    </w:rPr>
                    <w:t>t</w:t>
                  </w:r>
                </w:p>
              </w:tc>
              <w:tc>
                <w:tcPr>
                  <w:tcW w:w="514" w:type="pct"/>
                  <w:vMerge w:val="continue"/>
                  <w:tcBorders>
                    <w:left w:val="single" w:color="auto" w:sz="4" w:space="0"/>
                    <w:right w:val="single" w:color="auto" w:sz="4" w:space="0"/>
                  </w:tcBorders>
                  <w:vAlign w:val="center"/>
                </w:tcPr>
                <w:p w14:paraId="554D4E4E">
                  <w:pPr>
                    <w:pStyle w:val="5"/>
                    <w:bidi w:val="0"/>
                    <w:rPr>
                      <w:lang w:val="en-US" w:eastAsia="zh-CN"/>
                    </w:rPr>
                  </w:pPr>
                </w:p>
              </w:tc>
              <w:tc>
                <w:tcPr>
                  <w:tcW w:w="514" w:type="pct"/>
                  <w:vMerge w:val="continue"/>
                  <w:tcBorders>
                    <w:left w:val="single" w:color="auto" w:sz="4" w:space="0"/>
                    <w:right w:val="single" w:color="auto" w:sz="4" w:space="0"/>
                  </w:tcBorders>
                  <w:vAlign w:val="center"/>
                </w:tcPr>
                <w:p w14:paraId="0E4C376A">
                  <w:pPr>
                    <w:pStyle w:val="5"/>
                    <w:bidi w:val="0"/>
                    <w:rPr>
                      <w:lang w:val="en-US" w:eastAsia="zh-CN"/>
                    </w:rPr>
                  </w:pPr>
                </w:p>
              </w:tc>
              <w:tc>
                <w:tcPr>
                  <w:tcW w:w="649" w:type="pct"/>
                  <w:vMerge w:val="continue"/>
                  <w:tcBorders>
                    <w:left w:val="single" w:color="auto" w:sz="4" w:space="0"/>
                  </w:tcBorders>
                  <w:vAlign w:val="center"/>
                </w:tcPr>
                <w:p w14:paraId="3D46F25E">
                  <w:pPr>
                    <w:pStyle w:val="5"/>
                    <w:bidi w:val="0"/>
                    <w:rPr>
                      <w:lang w:val="en-US" w:eastAsia="zh-CN"/>
                    </w:rPr>
                  </w:pPr>
                </w:p>
              </w:tc>
            </w:tr>
            <w:tr w14:paraId="5C84908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1020" w:type="pct"/>
                  <w:vMerge w:val="restart"/>
                  <w:vAlign w:val="center"/>
                </w:tcPr>
                <w:p w14:paraId="0BE69956">
                  <w:pPr>
                    <w:pStyle w:val="5"/>
                    <w:bidi w:val="0"/>
                    <w:rPr>
                      <w:rFonts w:hint="default"/>
                      <w:lang w:val="en-US" w:eastAsia="zh-CN"/>
                    </w:rPr>
                  </w:pPr>
                  <w:r>
                    <w:rPr>
                      <w:rFonts w:hint="eastAsia"/>
                      <w:lang w:val="en-US" w:eastAsia="zh-CN"/>
                    </w:rPr>
                    <w:t>碳五烷烃泄漏</w:t>
                  </w:r>
                </w:p>
              </w:tc>
              <w:tc>
                <w:tcPr>
                  <w:tcW w:w="1533" w:type="pct"/>
                  <w:shd w:val="clear" w:color="auto" w:fill="auto"/>
                  <w:vAlign w:val="center"/>
                </w:tcPr>
                <w:p w14:paraId="14744CC8">
                  <w:pPr>
                    <w:pStyle w:val="5"/>
                    <w:bidi w:val="0"/>
                    <w:ind w:firstLine="0" w:firstLineChars="0"/>
                    <w:rPr>
                      <w:rFonts w:hint="eastAsia" w:ascii="Times New Roman" w:hAnsi="Times New Roman" w:eastAsia="宋体" w:cs="Times New Roman"/>
                      <w:sz w:val="21"/>
                      <w:szCs w:val="21"/>
                      <w:highlight w:val="none"/>
                      <w:lang w:val="en-US" w:eastAsia="zh-CN" w:bidi="ar-SA"/>
                    </w:rPr>
                  </w:pPr>
                  <w:r>
                    <w:rPr>
                      <w:highlight w:val="none"/>
                      <w:lang w:val="en-US" w:eastAsia="zh-CN"/>
                    </w:rPr>
                    <w:t>非甲烷总烃</w:t>
                  </w:r>
                </w:p>
              </w:tc>
              <w:tc>
                <w:tcPr>
                  <w:tcW w:w="768" w:type="pct"/>
                  <w:tcBorders>
                    <w:right w:val="single" w:color="auto" w:sz="4" w:space="0"/>
                  </w:tcBorders>
                  <w:vAlign w:val="center"/>
                </w:tcPr>
                <w:p w14:paraId="523132A6">
                  <w:pPr>
                    <w:pStyle w:val="5"/>
                    <w:bidi w:val="0"/>
                    <w:rPr>
                      <w:rFonts w:hint="default"/>
                      <w:lang w:val="en-US" w:eastAsia="zh-CN"/>
                    </w:rPr>
                  </w:pPr>
                  <w:r>
                    <w:rPr>
                      <w:rFonts w:hint="eastAsia"/>
                      <w:lang w:val="en-US" w:eastAsia="zh-CN"/>
                    </w:rPr>
                    <w:t>0.006</w:t>
                  </w:r>
                </w:p>
              </w:tc>
              <w:tc>
                <w:tcPr>
                  <w:tcW w:w="514" w:type="pct"/>
                  <w:vMerge w:val="continue"/>
                  <w:tcBorders>
                    <w:left w:val="single" w:color="auto" w:sz="4" w:space="0"/>
                    <w:right w:val="single" w:color="auto" w:sz="4" w:space="0"/>
                  </w:tcBorders>
                  <w:vAlign w:val="center"/>
                </w:tcPr>
                <w:p w14:paraId="5B1EBDCB">
                  <w:pPr>
                    <w:pStyle w:val="5"/>
                    <w:bidi w:val="0"/>
                    <w:rPr>
                      <w:lang w:val="en-US" w:eastAsia="zh-CN"/>
                    </w:rPr>
                  </w:pPr>
                </w:p>
              </w:tc>
              <w:tc>
                <w:tcPr>
                  <w:tcW w:w="514" w:type="pct"/>
                  <w:vMerge w:val="continue"/>
                  <w:tcBorders>
                    <w:left w:val="single" w:color="auto" w:sz="4" w:space="0"/>
                    <w:right w:val="single" w:color="auto" w:sz="4" w:space="0"/>
                  </w:tcBorders>
                  <w:vAlign w:val="center"/>
                </w:tcPr>
                <w:p w14:paraId="522583A1">
                  <w:pPr>
                    <w:pStyle w:val="5"/>
                    <w:bidi w:val="0"/>
                    <w:rPr>
                      <w:lang w:val="en-US" w:eastAsia="zh-CN"/>
                    </w:rPr>
                  </w:pPr>
                </w:p>
              </w:tc>
              <w:tc>
                <w:tcPr>
                  <w:tcW w:w="649" w:type="pct"/>
                  <w:vMerge w:val="continue"/>
                  <w:tcBorders>
                    <w:left w:val="single" w:color="auto" w:sz="4" w:space="0"/>
                  </w:tcBorders>
                  <w:vAlign w:val="center"/>
                </w:tcPr>
                <w:p w14:paraId="39A4983B">
                  <w:pPr>
                    <w:pStyle w:val="5"/>
                    <w:bidi w:val="0"/>
                    <w:rPr>
                      <w:lang w:val="en-US" w:eastAsia="zh-CN"/>
                    </w:rPr>
                  </w:pPr>
                </w:p>
              </w:tc>
            </w:tr>
            <w:tr w14:paraId="6DE488F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1020" w:type="pct"/>
                  <w:vMerge w:val="continue"/>
                  <w:vAlign w:val="center"/>
                </w:tcPr>
                <w:p w14:paraId="127A8BC5">
                  <w:pPr>
                    <w:pStyle w:val="5"/>
                    <w:bidi w:val="0"/>
                    <w:rPr>
                      <w:rFonts w:hint="eastAsia"/>
                      <w:lang w:val="en-US" w:eastAsia="zh-CN"/>
                    </w:rPr>
                  </w:pPr>
                </w:p>
              </w:tc>
              <w:tc>
                <w:tcPr>
                  <w:tcW w:w="1533" w:type="pct"/>
                  <w:shd w:val="clear" w:color="auto" w:fill="auto"/>
                  <w:vAlign w:val="center"/>
                </w:tcPr>
                <w:p w14:paraId="512FAD7C">
                  <w:pPr>
                    <w:pStyle w:val="5"/>
                    <w:bidi w:val="0"/>
                    <w:ind w:firstLine="0" w:firstLineChars="0"/>
                    <w:rPr>
                      <w:rFonts w:hint="eastAsia" w:ascii="Times New Roman" w:hAnsi="Times New Roman" w:eastAsia="宋体" w:cs="Times New Roman"/>
                      <w:sz w:val="21"/>
                      <w:szCs w:val="21"/>
                      <w:highlight w:val="none"/>
                      <w:lang w:val="en-US" w:eastAsia="zh-CN" w:bidi="ar-SA"/>
                    </w:rPr>
                  </w:pPr>
                  <w:r>
                    <w:rPr>
                      <w:highlight w:val="none"/>
                      <w:lang w:val="en-US" w:eastAsia="zh-CN"/>
                    </w:rPr>
                    <w:t>苯</w:t>
                  </w:r>
                </w:p>
              </w:tc>
              <w:tc>
                <w:tcPr>
                  <w:tcW w:w="768" w:type="pct"/>
                  <w:tcBorders>
                    <w:right w:val="single" w:color="auto" w:sz="4" w:space="0"/>
                  </w:tcBorders>
                  <w:vAlign w:val="center"/>
                </w:tcPr>
                <w:p w14:paraId="10FD35DC">
                  <w:pPr>
                    <w:pStyle w:val="5"/>
                    <w:bidi w:val="0"/>
                    <w:rPr>
                      <w:rFonts w:hint="default"/>
                      <w:lang w:val="en-US" w:eastAsia="zh-CN"/>
                    </w:rPr>
                  </w:pPr>
                  <w:r>
                    <w:rPr>
                      <w:rFonts w:hint="eastAsia"/>
                      <w:lang w:val="en-US" w:eastAsia="zh-CN"/>
                    </w:rPr>
                    <w:t>5.64</w:t>
                  </w:r>
                  <w:r>
                    <w:rPr>
                      <w:rFonts w:hint="default" w:ascii="Arial" w:hAnsi="Arial" w:cs="Arial"/>
                      <w:lang w:val="en-US" w:eastAsia="zh-CN"/>
                    </w:rPr>
                    <w:t>×</w:t>
                  </w:r>
                  <w:r>
                    <w:rPr>
                      <w:rFonts w:hint="eastAsia"/>
                      <w:lang w:val="en-US" w:eastAsia="zh-CN"/>
                    </w:rPr>
                    <w:t>10</w:t>
                  </w:r>
                  <w:r>
                    <w:rPr>
                      <w:rFonts w:hint="eastAsia"/>
                      <w:vertAlign w:val="superscript"/>
                      <w:lang w:val="en-US" w:eastAsia="zh-CN"/>
                    </w:rPr>
                    <w:t>-6</w:t>
                  </w:r>
                  <w:r>
                    <w:rPr>
                      <w:rFonts w:hint="eastAsia"/>
                      <w:lang w:val="en-US" w:eastAsia="zh-CN"/>
                    </w:rPr>
                    <w:t>t</w:t>
                  </w:r>
                </w:p>
              </w:tc>
              <w:tc>
                <w:tcPr>
                  <w:tcW w:w="514" w:type="pct"/>
                  <w:vMerge w:val="continue"/>
                  <w:tcBorders>
                    <w:left w:val="single" w:color="auto" w:sz="4" w:space="0"/>
                    <w:right w:val="single" w:color="auto" w:sz="4" w:space="0"/>
                  </w:tcBorders>
                  <w:vAlign w:val="center"/>
                </w:tcPr>
                <w:p w14:paraId="4BF5C6DC">
                  <w:pPr>
                    <w:pStyle w:val="5"/>
                    <w:bidi w:val="0"/>
                    <w:rPr>
                      <w:lang w:val="en-US" w:eastAsia="zh-CN"/>
                    </w:rPr>
                  </w:pPr>
                </w:p>
              </w:tc>
              <w:tc>
                <w:tcPr>
                  <w:tcW w:w="514" w:type="pct"/>
                  <w:vMerge w:val="continue"/>
                  <w:tcBorders>
                    <w:left w:val="single" w:color="auto" w:sz="4" w:space="0"/>
                    <w:right w:val="single" w:color="auto" w:sz="4" w:space="0"/>
                  </w:tcBorders>
                  <w:vAlign w:val="center"/>
                </w:tcPr>
                <w:p w14:paraId="7CCAABEA">
                  <w:pPr>
                    <w:pStyle w:val="5"/>
                    <w:bidi w:val="0"/>
                    <w:rPr>
                      <w:lang w:val="en-US" w:eastAsia="zh-CN"/>
                    </w:rPr>
                  </w:pPr>
                </w:p>
              </w:tc>
              <w:tc>
                <w:tcPr>
                  <w:tcW w:w="649" w:type="pct"/>
                  <w:vMerge w:val="continue"/>
                  <w:tcBorders>
                    <w:left w:val="single" w:color="auto" w:sz="4" w:space="0"/>
                  </w:tcBorders>
                  <w:vAlign w:val="center"/>
                </w:tcPr>
                <w:p w14:paraId="02808150">
                  <w:pPr>
                    <w:pStyle w:val="5"/>
                    <w:bidi w:val="0"/>
                    <w:rPr>
                      <w:lang w:val="en-US" w:eastAsia="zh-CN"/>
                    </w:rPr>
                  </w:pPr>
                </w:p>
              </w:tc>
            </w:tr>
            <w:tr w14:paraId="4C3153D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1020" w:type="pct"/>
                  <w:vMerge w:val="continue"/>
                  <w:vAlign w:val="center"/>
                </w:tcPr>
                <w:p w14:paraId="2D06E28B">
                  <w:pPr>
                    <w:pStyle w:val="5"/>
                    <w:bidi w:val="0"/>
                    <w:rPr>
                      <w:rFonts w:hint="eastAsia"/>
                      <w:lang w:val="en-US" w:eastAsia="zh-CN"/>
                    </w:rPr>
                  </w:pPr>
                </w:p>
              </w:tc>
              <w:tc>
                <w:tcPr>
                  <w:tcW w:w="1533" w:type="pct"/>
                  <w:shd w:val="clear" w:color="auto" w:fill="auto"/>
                  <w:vAlign w:val="center"/>
                </w:tcPr>
                <w:p w14:paraId="079B647B">
                  <w:pPr>
                    <w:pStyle w:val="5"/>
                    <w:bidi w:val="0"/>
                    <w:ind w:firstLine="0" w:firstLineChars="0"/>
                    <w:rPr>
                      <w:rFonts w:hint="eastAsia" w:ascii="Times New Roman" w:hAnsi="Times New Roman" w:eastAsia="宋体" w:cs="Times New Roman"/>
                      <w:sz w:val="21"/>
                      <w:szCs w:val="21"/>
                      <w:highlight w:val="none"/>
                      <w:lang w:val="en-US" w:eastAsia="zh-CN" w:bidi="ar-SA"/>
                    </w:rPr>
                  </w:pPr>
                  <w:r>
                    <w:rPr>
                      <w:rFonts w:hint="eastAsia"/>
                      <w:highlight w:val="none"/>
                      <w:lang w:val="en-US" w:eastAsia="zh-CN"/>
                    </w:rPr>
                    <w:t>正己烷</w:t>
                  </w:r>
                </w:p>
              </w:tc>
              <w:tc>
                <w:tcPr>
                  <w:tcW w:w="768" w:type="pct"/>
                  <w:tcBorders>
                    <w:right w:val="single" w:color="auto" w:sz="4" w:space="0"/>
                  </w:tcBorders>
                  <w:vAlign w:val="center"/>
                </w:tcPr>
                <w:p w14:paraId="69DE7070">
                  <w:pPr>
                    <w:pStyle w:val="5"/>
                    <w:bidi w:val="0"/>
                    <w:rPr>
                      <w:rFonts w:hint="default"/>
                      <w:lang w:val="en-US" w:eastAsia="zh-CN"/>
                    </w:rPr>
                  </w:pPr>
                  <w:r>
                    <w:rPr>
                      <w:rFonts w:hint="eastAsia"/>
                      <w:lang w:val="en-US" w:eastAsia="zh-CN"/>
                    </w:rPr>
                    <w:t>2.958×10</w:t>
                  </w:r>
                  <w:r>
                    <w:rPr>
                      <w:rFonts w:hint="eastAsia"/>
                      <w:vertAlign w:val="superscript"/>
                      <w:lang w:val="en-US" w:eastAsia="zh-CN"/>
                    </w:rPr>
                    <w:t>-5</w:t>
                  </w:r>
                  <w:r>
                    <w:rPr>
                      <w:rFonts w:hint="eastAsia"/>
                      <w:lang w:val="en-US" w:eastAsia="zh-CN"/>
                    </w:rPr>
                    <w:t>t</w:t>
                  </w:r>
                </w:p>
              </w:tc>
              <w:tc>
                <w:tcPr>
                  <w:tcW w:w="514" w:type="pct"/>
                  <w:vMerge w:val="continue"/>
                  <w:tcBorders>
                    <w:left w:val="single" w:color="auto" w:sz="4" w:space="0"/>
                    <w:right w:val="single" w:color="auto" w:sz="4" w:space="0"/>
                  </w:tcBorders>
                  <w:vAlign w:val="center"/>
                </w:tcPr>
                <w:p w14:paraId="3504BD26">
                  <w:pPr>
                    <w:pStyle w:val="5"/>
                    <w:bidi w:val="0"/>
                    <w:rPr>
                      <w:lang w:val="en-US" w:eastAsia="zh-CN"/>
                    </w:rPr>
                  </w:pPr>
                </w:p>
              </w:tc>
              <w:tc>
                <w:tcPr>
                  <w:tcW w:w="514" w:type="pct"/>
                  <w:vMerge w:val="continue"/>
                  <w:tcBorders>
                    <w:left w:val="single" w:color="auto" w:sz="4" w:space="0"/>
                    <w:right w:val="single" w:color="auto" w:sz="4" w:space="0"/>
                  </w:tcBorders>
                  <w:vAlign w:val="center"/>
                </w:tcPr>
                <w:p w14:paraId="632EFCF5">
                  <w:pPr>
                    <w:pStyle w:val="5"/>
                    <w:bidi w:val="0"/>
                    <w:rPr>
                      <w:lang w:val="en-US" w:eastAsia="zh-CN"/>
                    </w:rPr>
                  </w:pPr>
                </w:p>
              </w:tc>
              <w:tc>
                <w:tcPr>
                  <w:tcW w:w="649" w:type="pct"/>
                  <w:vMerge w:val="continue"/>
                  <w:tcBorders>
                    <w:left w:val="single" w:color="auto" w:sz="4" w:space="0"/>
                  </w:tcBorders>
                  <w:vAlign w:val="center"/>
                </w:tcPr>
                <w:p w14:paraId="42CDB2C6">
                  <w:pPr>
                    <w:pStyle w:val="5"/>
                    <w:bidi w:val="0"/>
                    <w:rPr>
                      <w:lang w:val="en-US" w:eastAsia="zh-CN"/>
                    </w:rPr>
                  </w:pPr>
                </w:p>
              </w:tc>
            </w:tr>
          </w:tbl>
          <w:p w14:paraId="45ED8538">
            <w:pPr>
              <w:widowControl w:val="0"/>
              <w:spacing w:line="360" w:lineRule="auto"/>
              <w:ind w:firstLine="480" w:firstLineChars="200"/>
              <w:jc w:val="left"/>
              <w:rPr>
                <w:rFonts w:eastAsia="宋体"/>
                <w:kern w:val="2"/>
                <w:position w:val="1"/>
                <w:lang w:val="en-US" w:eastAsia="zh-CN" w:bidi="ar-SA"/>
              </w:rPr>
            </w:pPr>
            <w:r>
              <w:rPr>
                <w:rFonts w:eastAsia="宋体"/>
                <w:kern w:val="2"/>
                <w:position w:val="1"/>
                <w:lang w:val="en-US" w:eastAsia="zh-CN" w:bidi="ar-SA"/>
              </w:rPr>
              <w:t>项目非正常排放主要为装置开停车、检修，突然停电、超负荷跳闸，设备故障等因素引起的工艺气放散。为应对以上情况，项目采取的措施如下：</w:t>
            </w:r>
          </w:p>
          <w:p w14:paraId="2869CE25">
            <w:pPr>
              <w:widowControl w:val="0"/>
              <w:spacing w:line="360" w:lineRule="auto"/>
              <w:ind w:firstLine="480" w:firstLineChars="200"/>
              <w:jc w:val="left"/>
              <w:rPr>
                <w:rFonts w:eastAsia="宋体"/>
                <w:kern w:val="2"/>
                <w:position w:val="1"/>
                <w:lang w:val="en-US" w:eastAsia="zh-CN" w:bidi="ar-SA"/>
              </w:rPr>
            </w:pPr>
            <w:r>
              <w:rPr>
                <w:rFonts w:eastAsia="宋体"/>
                <w:kern w:val="2"/>
                <w:position w:val="1"/>
                <w:lang w:val="en-US" w:eastAsia="zh-CN" w:bidi="ar-SA"/>
              </w:rPr>
              <w:t>①长明灯中至少有1个保持常燃，保证火炬头火焰可立即点燃来自各装置的放散气。</w:t>
            </w:r>
          </w:p>
          <w:p w14:paraId="58F6127D">
            <w:pPr>
              <w:widowControl w:val="0"/>
              <w:spacing w:line="360" w:lineRule="auto"/>
              <w:ind w:firstLine="480" w:firstLineChars="200"/>
              <w:jc w:val="left"/>
              <w:rPr>
                <w:rFonts w:eastAsia="宋体"/>
                <w:kern w:val="2"/>
                <w:position w:val="1"/>
                <w:lang w:val="en-US" w:eastAsia="zh-CN" w:bidi="ar-SA"/>
              </w:rPr>
            </w:pPr>
            <w:r>
              <w:rPr>
                <w:rFonts w:eastAsia="宋体"/>
                <w:kern w:val="2"/>
                <w:position w:val="1"/>
                <w:lang w:val="en-US" w:eastAsia="zh-CN" w:bidi="ar-SA"/>
              </w:rPr>
              <w:t>②采用双回路电源，可防止停电、超负荷跳闸等事故。从而加强工程对停电事故发生的防范能力。</w:t>
            </w:r>
          </w:p>
          <w:p w14:paraId="72B42494">
            <w:pPr>
              <w:widowControl w:val="0"/>
              <w:spacing w:line="360" w:lineRule="auto"/>
              <w:ind w:firstLine="480" w:firstLineChars="200"/>
              <w:jc w:val="left"/>
              <w:rPr>
                <w:rFonts w:eastAsia="宋体"/>
                <w:kern w:val="2"/>
                <w:position w:val="1"/>
                <w:lang w:val="en-US" w:eastAsia="zh-CN" w:bidi="ar-SA"/>
              </w:rPr>
            </w:pPr>
            <w:r>
              <w:rPr>
                <w:rFonts w:eastAsia="宋体"/>
                <w:kern w:val="2"/>
                <w:position w:val="1"/>
                <w:lang w:val="en-US" w:eastAsia="zh-CN" w:bidi="ar-SA"/>
              </w:rPr>
              <w:t>③设置备用设备，以保证运行设备产生故障时，可及时换用备用设备，保证非正常的持续时间不会太长，减轻非正常的危害。</w:t>
            </w:r>
          </w:p>
          <w:p w14:paraId="74970663">
            <w:pPr>
              <w:widowControl w:val="0"/>
              <w:spacing w:line="360" w:lineRule="auto"/>
              <w:ind w:firstLine="480" w:firstLineChars="200"/>
              <w:jc w:val="left"/>
              <w:rPr>
                <w:rFonts w:eastAsia="宋体"/>
                <w:kern w:val="2"/>
                <w:position w:val="1"/>
                <w:lang w:val="en-US" w:eastAsia="zh-CN" w:bidi="ar-SA"/>
              </w:rPr>
            </w:pPr>
            <w:r>
              <w:rPr>
                <w:rFonts w:eastAsia="宋体"/>
                <w:kern w:val="2"/>
                <w:position w:val="1"/>
                <w:lang w:val="en-US" w:eastAsia="zh-CN" w:bidi="ar-SA"/>
              </w:rPr>
              <w:t>④设置备用设备及报警系统，可使事故发生时能及时报警，以便操作人员能及时开启备用设备，最大限度地减轻事故产生的危害。</w:t>
            </w:r>
          </w:p>
          <w:p w14:paraId="4B9D8DB8">
            <w:pPr>
              <w:widowControl w:val="0"/>
              <w:spacing w:line="360" w:lineRule="auto"/>
              <w:ind w:firstLine="480" w:firstLineChars="200"/>
              <w:jc w:val="left"/>
              <w:rPr>
                <w:rFonts w:eastAsia="宋体"/>
                <w:kern w:val="2"/>
                <w:position w:val="1"/>
                <w:lang w:val="en-US" w:eastAsia="zh-CN" w:bidi="ar-SA"/>
              </w:rPr>
            </w:pPr>
            <w:r>
              <w:rPr>
                <w:rFonts w:eastAsia="宋体"/>
                <w:kern w:val="2"/>
                <w:position w:val="1"/>
                <w:lang w:val="en-US" w:eastAsia="zh-CN" w:bidi="ar-SA"/>
              </w:rPr>
              <w:t>⑤定期检查和维护各类废气治理设施，确保治理设施的正常运行。</w:t>
            </w:r>
          </w:p>
          <w:p w14:paraId="5D7A44C9">
            <w:pPr>
              <w:widowControl w:val="0"/>
              <w:spacing w:line="360" w:lineRule="auto"/>
              <w:ind w:firstLine="480" w:firstLineChars="200"/>
              <w:jc w:val="left"/>
              <w:rPr>
                <w:rFonts w:eastAsia="宋体"/>
                <w:kern w:val="2"/>
                <w:position w:val="1"/>
                <w:lang w:val="en-US" w:eastAsia="zh-CN" w:bidi="ar-SA"/>
              </w:rPr>
            </w:pPr>
            <w:r>
              <w:rPr>
                <w:rFonts w:eastAsia="宋体"/>
                <w:kern w:val="2"/>
                <w:position w:val="1"/>
                <w:lang w:val="en-US" w:eastAsia="zh-CN" w:bidi="ar-SA"/>
              </w:rPr>
              <w:t>⑥在任何时候，挥发性有机物进入火炬都应能点燃并充分燃烧。应连续监测、记录引燃设施和火炬的工作状态（火炬气流量、火炬头温度、火种气流量、火种温度等）。</w:t>
            </w:r>
          </w:p>
          <w:p w14:paraId="7C00E3F5">
            <w:pPr>
              <w:widowControl w:val="0"/>
              <w:spacing w:line="360" w:lineRule="auto"/>
              <w:ind w:firstLine="480" w:firstLineChars="200"/>
              <w:jc w:val="left"/>
              <w:rPr>
                <w:rFonts w:eastAsia="宋体"/>
                <w:kern w:val="2"/>
                <w:position w:val="1"/>
                <w:lang w:val="en-US" w:eastAsia="zh-CN" w:bidi="ar-SA"/>
              </w:rPr>
            </w:pPr>
            <w:r>
              <w:rPr>
                <w:rFonts w:eastAsia="宋体"/>
                <w:kern w:val="2"/>
                <w:position w:val="1"/>
                <w:lang w:val="en-US" w:eastAsia="zh-CN" w:bidi="ar-SA"/>
              </w:rPr>
              <w:t>通过以上措施可有效防范废气事故发生，或及时将工艺放散气点燃后排放，并可减轻非正常状态下污染物对大气环境造成的污染。</w:t>
            </w:r>
          </w:p>
          <w:p w14:paraId="74E99AFE">
            <w:pPr>
              <w:widowControl w:val="0"/>
              <w:spacing w:line="360" w:lineRule="auto"/>
              <w:ind w:firstLine="480" w:firstLineChars="200"/>
              <w:jc w:val="left"/>
              <w:rPr>
                <w:rFonts w:eastAsia="宋体"/>
                <w:kern w:val="2"/>
                <w:position w:val="1"/>
                <w:lang w:val="en-US" w:eastAsia="zh-CN" w:bidi="ar-SA"/>
              </w:rPr>
            </w:pPr>
            <w:r>
              <w:rPr>
                <w:rFonts w:eastAsia="宋体"/>
                <w:kern w:val="2"/>
                <w:position w:val="1"/>
                <w:lang w:val="en-US" w:eastAsia="zh-CN" w:bidi="ar-SA"/>
              </w:rPr>
              <w:t>海祥化工火炬设计额定燃烧量为40000kg/h，是瞬时可能进入火炬最大量的2倍多，完全满足事故排放物料燃烧的需要。</w:t>
            </w:r>
          </w:p>
          <w:p w14:paraId="57FD6412">
            <w:pPr>
              <w:pStyle w:val="2"/>
              <w:bidi w:val="0"/>
              <w:rPr>
                <w:lang w:val="en-US" w:eastAsia="zh-CN"/>
              </w:rPr>
            </w:pPr>
            <w:r>
              <w:rPr>
                <w:lang w:val="en-US" w:eastAsia="zh-CN"/>
              </w:rPr>
              <w:t>1.</w:t>
            </w:r>
            <w:r>
              <w:rPr>
                <w:rFonts w:hint="eastAsia"/>
                <w:lang w:val="en-US" w:eastAsia="zh-CN"/>
              </w:rPr>
              <w:t>7</w:t>
            </w:r>
            <w:r>
              <w:rPr>
                <w:lang w:val="en-US" w:eastAsia="zh-CN"/>
              </w:rPr>
              <w:t xml:space="preserve"> 监测要求</w:t>
            </w:r>
          </w:p>
          <w:p w14:paraId="46C5AE58">
            <w:pPr>
              <w:bidi w:val="0"/>
              <w:rPr>
                <w:lang w:val="en-US" w:eastAsia="zh-CN"/>
              </w:rPr>
            </w:pPr>
            <w:r>
              <w:rPr>
                <w:lang w:val="en-US" w:eastAsia="zh-CN"/>
              </w:rPr>
              <w:t>根据《排污许可证申请与核发技术规范 石化工业》（HJ 853-20</w:t>
            </w:r>
            <w:r>
              <w:rPr>
                <w:rFonts w:hint="eastAsia"/>
                <w:lang w:val="en-US" w:eastAsia="zh-CN"/>
              </w:rPr>
              <w:t>26</w:t>
            </w:r>
            <w:r>
              <w:rPr>
                <w:lang w:val="en-US" w:eastAsia="zh-CN"/>
              </w:rPr>
              <w:t>）、《排污单位自行监测技术指南 石油化学工业》（HJ947-2018）、《排污单位自行监测技术指南 火力发电及锅炉》（HJ820-2017）、《挥发性有机物无组织排放控制标准》（GB37822-2019），项目废气监测工作内容</w:t>
            </w:r>
            <w:r>
              <w:rPr>
                <w:rFonts w:hint="eastAsia"/>
                <w:lang w:val="en-US" w:eastAsia="zh-CN"/>
              </w:rPr>
              <w:t>在现有监测内容基础上新增正己烷监测</w:t>
            </w:r>
            <w:r>
              <w:rPr>
                <w:lang w:val="en-US" w:eastAsia="zh-CN"/>
              </w:rPr>
              <w:t>，详见表4-</w:t>
            </w:r>
            <w:r>
              <w:rPr>
                <w:rFonts w:hint="eastAsia"/>
                <w:lang w:val="en-US" w:eastAsia="zh-CN"/>
              </w:rPr>
              <w:t>7</w:t>
            </w:r>
            <w:r>
              <w:rPr>
                <w:lang w:val="en-US" w:eastAsia="zh-CN"/>
              </w:rPr>
              <w:t>。</w:t>
            </w:r>
          </w:p>
          <w:p w14:paraId="51280A97">
            <w:pPr>
              <w:pStyle w:val="4"/>
              <w:bidi w:val="0"/>
              <w:rPr>
                <w:lang w:val="en-US" w:eastAsia="zh-CN"/>
              </w:rPr>
            </w:pPr>
            <w:r>
              <w:rPr>
                <w:lang w:val="en-US" w:eastAsia="zh-CN"/>
              </w:rPr>
              <w:t>表4-</w:t>
            </w:r>
            <w:r>
              <w:rPr>
                <w:rFonts w:hint="eastAsia"/>
                <w:lang w:val="en-US" w:eastAsia="zh-CN"/>
              </w:rPr>
              <w:t>7</w:t>
            </w:r>
            <w:r>
              <w:rPr>
                <w:lang w:val="en-US" w:eastAsia="zh-CN"/>
              </w:rPr>
              <w:t xml:space="preserve">  废气自行监测要求一览表</w:t>
            </w:r>
          </w:p>
          <w:tbl>
            <w:tblPr>
              <w:tblStyle w:val="29"/>
              <w:tblW w:w="4998" w:type="pct"/>
              <w:tblInd w:w="1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4079"/>
              <w:gridCol w:w="3092"/>
              <w:gridCol w:w="1006"/>
            </w:tblGrid>
            <w:tr w14:paraId="2DDC91B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493" w:type="pct"/>
                  <w:tcBorders>
                    <w:bottom w:val="single" w:color="auto" w:sz="4" w:space="0"/>
                  </w:tcBorders>
                  <w:vAlign w:val="center"/>
                </w:tcPr>
                <w:p w14:paraId="47A28D56">
                  <w:pPr>
                    <w:pStyle w:val="5"/>
                    <w:bidi w:val="0"/>
                    <w:rPr>
                      <w:lang w:val="en-US" w:eastAsia="zh-CN"/>
                    </w:rPr>
                  </w:pPr>
                  <w:r>
                    <w:rPr>
                      <w:lang w:val="en-US" w:eastAsia="zh-CN"/>
                    </w:rPr>
                    <w:t>监测点位</w:t>
                  </w:r>
                </w:p>
              </w:tc>
              <w:tc>
                <w:tcPr>
                  <w:tcW w:w="1890" w:type="pct"/>
                  <w:vAlign w:val="center"/>
                </w:tcPr>
                <w:p w14:paraId="7611C027">
                  <w:pPr>
                    <w:pStyle w:val="5"/>
                    <w:bidi w:val="0"/>
                    <w:rPr>
                      <w:lang w:val="en-US" w:eastAsia="zh-CN"/>
                    </w:rPr>
                  </w:pPr>
                  <w:r>
                    <w:rPr>
                      <w:lang w:val="en-US" w:eastAsia="zh-CN"/>
                    </w:rPr>
                    <w:t>监测指标</w:t>
                  </w:r>
                </w:p>
              </w:tc>
              <w:tc>
                <w:tcPr>
                  <w:tcW w:w="615" w:type="pct"/>
                  <w:vAlign w:val="center"/>
                </w:tcPr>
                <w:p w14:paraId="6B158EA8">
                  <w:pPr>
                    <w:pStyle w:val="5"/>
                    <w:bidi w:val="0"/>
                    <w:rPr>
                      <w:lang w:val="en-US" w:eastAsia="zh-CN"/>
                    </w:rPr>
                  </w:pPr>
                  <w:r>
                    <w:rPr>
                      <w:lang w:val="en-US" w:eastAsia="zh-CN"/>
                    </w:rPr>
                    <w:t>监测频次</w:t>
                  </w:r>
                </w:p>
              </w:tc>
            </w:tr>
            <w:tr w14:paraId="1DFD6F5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2493" w:type="pct"/>
                  <w:vMerge w:val="restart"/>
                  <w:tcBorders>
                    <w:top w:val="single" w:color="auto" w:sz="4" w:space="0"/>
                    <w:left w:val="single" w:color="auto" w:sz="4" w:space="0"/>
                    <w:bottom w:val="single" w:color="auto" w:sz="4" w:space="0"/>
                    <w:right w:val="single" w:color="auto" w:sz="4" w:space="0"/>
                  </w:tcBorders>
                  <w:vAlign w:val="center"/>
                </w:tcPr>
                <w:p w14:paraId="1DB5F1A5">
                  <w:pPr>
                    <w:pStyle w:val="5"/>
                    <w:bidi w:val="0"/>
                    <w:rPr>
                      <w:lang w:val="en-US" w:eastAsia="zh-CN"/>
                    </w:rPr>
                  </w:pPr>
                  <w:r>
                    <w:rPr>
                      <w:lang w:val="en-US" w:eastAsia="zh-CN"/>
                    </w:rPr>
                    <w:t>导热油炉排气筒-DA002</w:t>
                  </w:r>
                </w:p>
              </w:tc>
              <w:tc>
                <w:tcPr>
                  <w:tcW w:w="1890" w:type="pct"/>
                  <w:tcBorders>
                    <w:left w:val="single" w:color="auto" w:sz="4" w:space="0"/>
                  </w:tcBorders>
                  <w:vAlign w:val="center"/>
                </w:tcPr>
                <w:p w14:paraId="68F3ED1C">
                  <w:pPr>
                    <w:pStyle w:val="5"/>
                    <w:bidi w:val="0"/>
                    <w:rPr>
                      <w:lang w:val="en-US" w:eastAsia="zh-CN"/>
                    </w:rPr>
                  </w:pPr>
                  <w:r>
                    <w:rPr>
                      <w:lang w:val="en-US" w:eastAsia="zh-CN"/>
                    </w:rPr>
                    <w:t>NOx、非甲烷总烃</w:t>
                  </w:r>
                </w:p>
              </w:tc>
              <w:tc>
                <w:tcPr>
                  <w:tcW w:w="615" w:type="pct"/>
                  <w:vAlign w:val="center"/>
                </w:tcPr>
                <w:p w14:paraId="6AC05F85">
                  <w:pPr>
                    <w:pStyle w:val="5"/>
                    <w:bidi w:val="0"/>
                    <w:rPr>
                      <w:lang w:val="en-US" w:eastAsia="zh-CN"/>
                    </w:rPr>
                  </w:pPr>
                  <w:r>
                    <w:rPr>
                      <w:lang w:val="en-US" w:eastAsia="zh-CN"/>
                    </w:rPr>
                    <w:t>1次/月</w:t>
                  </w:r>
                </w:p>
              </w:tc>
            </w:tr>
            <w:tr w14:paraId="7C3BF45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2493" w:type="pct"/>
                  <w:vMerge w:val="continue"/>
                  <w:tcBorders>
                    <w:top w:val="single" w:color="auto" w:sz="4" w:space="0"/>
                    <w:left w:val="single" w:color="auto" w:sz="4" w:space="0"/>
                    <w:bottom w:val="single" w:color="auto" w:sz="4" w:space="0"/>
                    <w:right w:val="single" w:color="auto" w:sz="4" w:space="0"/>
                  </w:tcBorders>
                  <w:vAlign w:val="center"/>
                </w:tcPr>
                <w:p w14:paraId="285033AF">
                  <w:pPr>
                    <w:pStyle w:val="5"/>
                    <w:bidi w:val="0"/>
                    <w:rPr>
                      <w:lang w:val="en-US" w:eastAsia="zh-CN"/>
                    </w:rPr>
                  </w:pPr>
                </w:p>
              </w:tc>
              <w:tc>
                <w:tcPr>
                  <w:tcW w:w="1890" w:type="pct"/>
                  <w:tcBorders>
                    <w:left w:val="single" w:color="auto" w:sz="4" w:space="0"/>
                  </w:tcBorders>
                  <w:shd w:val="clear" w:color="auto" w:fill="auto"/>
                  <w:vAlign w:val="center"/>
                </w:tcPr>
                <w:p w14:paraId="06BB6D9A">
                  <w:pPr>
                    <w:pStyle w:val="5"/>
                    <w:bidi w:val="0"/>
                    <w:rPr>
                      <w:rFonts w:hint="default"/>
                      <w:lang w:val="en-US" w:eastAsia="zh-CN"/>
                    </w:rPr>
                  </w:pPr>
                  <w:r>
                    <w:rPr>
                      <w:lang w:val="en-US" w:eastAsia="zh-CN"/>
                    </w:rPr>
                    <w:t>苯、甲苯、二甲苯</w:t>
                  </w:r>
                  <w:r>
                    <w:rPr>
                      <w:rFonts w:hint="eastAsia"/>
                      <w:lang w:val="en-US" w:eastAsia="zh-CN"/>
                    </w:rPr>
                    <w:t>、正己烷</w:t>
                  </w:r>
                </w:p>
              </w:tc>
              <w:tc>
                <w:tcPr>
                  <w:tcW w:w="615" w:type="pct"/>
                  <w:shd w:val="clear" w:color="auto" w:fill="auto"/>
                  <w:vAlign w:val="center"/>
                </w:tcPr>
                <w:p w14:paraId="3B004927">
                  <w:pPr>
                    <w:pStyle w:val="5"/>
                    <w:bidi w:val="0"/>
                    <w:rPr>
                      <w:lang w:val="en-US" w:eastAsia="zh-CN"/>
                    </w:rPr>
                  </w:pPr>
                  <w:r>
                    <w:rPr>
                      <w:lang w:val="en-US" w:eastAsia="zh-CN"/>
                    </w:rPr>
                    <w:t>1次/半年</w:t>
                  </w:r>
                </w:p>
              </w:tc>
            </w:tr>
            <w:tr w14:paraId="05D477C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2493" w:type="pct"/>
                  <w:vMerge w:val="continue"/>
                  <w:tcBorders>
                    <w:top w:val="single" w:color="auto" w:sz="4" w:space="0"/>
                    <w:left w:val="single" w:color="auto" w:sz="4" w:space="0"/>
                    <w:bottom w:val="single" w:color="auto" w:sz="4" w:space="0"/>
                    <w:right w:val="single" w:color="auto" w:sz="4" w:space="0"/>
                  </w:tcBorders>
                  <w:vAlign w:val="center"/>
                </w:tcPr>
                <w:p w14:paraId="57A92A78">
                  <w:pPr>
                    <w:pStyle w:val="5"/>
                    <w:bidi w:val="0"/>
                    <w:rPr>
                      <w:lang w:val="en-US" w:eastAsia="zh-CN"/>
                    </w:rPr>
                  </w:pPr>
                </w:p>
              </w:tc>
              <w:tc>
                <w:tcPr>
                  <w:tcW w:w="1890" w:type="pct"/>
                  <w:tcBorders>
                    <w:left w:val="single" w:color="auto" w:sz="4" w:space="0"/>
                  </w:tcBorders>
                  <w:vAlign w:val="center"/>
                </w:tcPr>
                <w:p w14:paraId="531120E6">
                  <w:pPr>
                    <w:pStyle w:val="5"/>
                    <w:bidi w:val="0"/>
                    <w:rPr>
                      <w:lang w:val="en-US" w:eastAsia="zh-CN"/>
                    </w:rPr>
                  </w:pPr>
                  <w:r>
                    <w:rPr>
                      <w:lang w:val="en-US" w:eastAsia="zh-CN"/>
                    </w:rPr>
                    <w:t>颗粒物、SO</w:t>
                  </w:r>
                  <w:r>
                    <w:rPr>
                      <w:vertAlign w:val="subscript"/>
                      <w:lang w:val="en-US" w:eastAsia="zh-CN"/>
                    </w:rPr>
                    <w:t>2</w:t>
                  </w:r>
                  <w:r>
                    <w:rPr>
                      <w:lang w:val="en-US" w:eastAsia="zh-CN"/>
                    </w:rPr>
                    <w:t>、林格曼黑度</w:t>
                  </w:r>
                </w:p>
              </w:tc>
              <w:tc>
                <w:tcPr>
                  <w:tcW w:w="615" w:type="pct"/>
                  <w:vAlign w:val="center"/>
                </w:tcPr>
                <w:p w14:paraId="20450AC0">
                  <w:pPr>
                    <w:pStyle w:val="5"/>
                    <w:bidi w:val="0"/>
                    <w:rPr>
                      <w:lang w:val="en-US" w:eastAsia="zh-CN"/>
                    </w:rPr>
                  </w:pPr>
                  <w:r>
                    <w:rPr>
                      <w:lang w:val="en-US" w:eastAsia="zh-CN"/>
                    </w:rPr>
                    <w:t>1次/年</w:t>
                  </w:r>
                </w:p>
              </w:tc>
            </w:tr>
            <w:tr w14:paraId="2E00034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2493" w:type="pct"/>
                  <w:vMerge w:val="restart"/>
                  <w:tcBorders>
                    <w:top w:val="single" w:color="auto" w:sz="4" w:space="0"/>
                    <w:bottom w:val="single" w:color="auto" w:sz="4" w:space="0"/>
                  </w:tcBorders>
                  <w:vAlign w:val="center"/>
                </w:tcPr>
                <w:p w14:paraId="4DA82415">
                  <w:pPr>
                    <w:pStyle w:val="5"/>
                    <w:bidi w:val="0"/>
                    <w:rPr>
                      <w:lang w:val="en-US" w:eastAsia="zh-CN"/>
                    </w:rPr>
                  </w:pPr>
                  <w:r>
                    <w:rPr>
                      <w:lang w:val="en-US" w:eastAsia="zh-CN"/>
                    </w:rPr>
                    <w:t>油气回收装置-DA003</w:t>
                  </w:r>
                </w:p>
              </w:tc>
              <w:tc>
                <w:tcPr>
                  <w:tcW w:w="1890" w:type="pct"/>
                  <w:vAlign w:val="center"/>
                </w:tcPr>
                <w:p w14:paraId="6E4C28A3">
                  <w:pPr>
                    <w:pStyle w:val="5"/>
                    <w:bidi w:val="0"/>
                    <w:rPr>
                      <w:lang w:val="en-US" w:eastAsia="zh-CN"/>
                    </w:rPr>
                  </w:pPr>
                  <w:r>
                    <w:rPr>
                      <w:lang w:val="en-US" w:eastAsia="zh-CN"/>
                    </w:rPr>
                    <w:t>非甲烷总烃</w:t>
                  </w:r>
                </w:p>
              </w:tc>
              <w:tc>
                <w:tcPr>
                  <w:tcW w:w="615" w:type="pct"/>
                  <w:vAlign w:val="center"/>
                </w:tcPr>
                <w:p w14:paraId="1B74DCD5">
                  <w:pPr>
                    <w:pStyle w:val="5"/>
                    <w:bidi w:val="0"/>
                    <w:rPr>
                      <w:lang w:val="en-US" w:eastAsia="zh-CN"/>
                    </w:rPr>
                  </w:pPr>
                  <w:r>
                    <w:rPr>
                      <w:lang w:val="en-US" w:eastAsia="zh-CN"/>
                    </w:rPr>
                    <w:t>1次/月</w:t>
                  </w:r>
                </w:p>
              </w:tc>
            </w:tr>
            <w:tr w14:paraId="5362FAF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2493" w:type="pct"/>
                  <w:vMerge w:val="continue"/>
                  <w:tcBorders>
                    <w:top w:val="single" w:color="auto" w:sz="4" w:space="0"/>
                    <w:bottom w:val="single" w:color="auto" w:sz="4" w:space="0"/>
                  </w:tcBorders>
                  <w:vAlign w:val="center"/>
                </w:tcPr>
                <w:p w14:paraId="485F5F69">
                  <w:pPr>
                    <w:pStyle w:val="5"/>
                    <w:bidi w:val="0"/>
                    <w:rPr>
                      <w:lang w:val="en-US" w:eastAsia="zh-CN"/>
                    </w:rPr>
                  </w:pPr>
                </w:p>
              </w:tc>
              <w:tc>
                <w:tcPr>
                  <w:tcW w:w="1890" w:type="pct"/>
                  <w:vAlign w:val="center"/>
                </w:tcPr>
                <w:p w14:paraId="08388BED">
                  <w:pPr>
                    <w:pStyle w:val="5"/>
                    <w:bidi w:val="0"/>
                    <w:rPr>
                      <w:rFonts w:hint="default"/>
                      <w:lang w:val="en-US" w:eastAsia="zh-CN"/>
                    </w:rPr>
                  </w:pPr>
                  <w:r>
                    <w:rPr>
                      <w:lang w:val="en-US" w:eastAsia="zh-CN"/>
                    </w:rPr>
                    <w:t>苯、甲苯、二甲苯</w:t>
                  </w:r>
                  <w:r>
                    <w:rPr>
                      <w:rFonts w:hint="eastAsia"/>
                      <w:lang w:val="en-US" w:eastAsia="zh-CN"/>
                    </w:rPr>
                    <w:t>、正己烷</w:t>
                  </w:r>
                </w:p>
              </w:tc>
              <w:tc>
                <w:tcPr>
                  <w:tcW w:w="615" w:type="pct"/>
                  <w:vAlign w:val="center"/>
                </w:tcPr>
                <w:p w14:paraId="48934BAA">
                  <w:pPr>
                    <w:pStyle w:val="5"/>
                    <w:bidi w:val="0"/>
                    <w:rPr>
                      <w:lang w:val="en-US" w:eastAsia="zh-CN"/>
                    </w:rPr>
                  </w:pPr>
                  <w:r>
                    <w:rPr>
                      <w:lang w:val="en-US" w:eastAsia="zh-CN"/>
                    </w:rPr>
                    <w:t>1次/半年</w:t>
                  </w:r>
                </w:p>
              </w:tc>
            </w:tr>
            <w:tr w14:paraId="0344ACF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2493" w:type="pct"/>
                  <w:tcBorders>
                    <w:top w:val="single" w:color="auto" w:sz="4" w:space="0"/>
                  </w:tcBorders>
                  <w:vAlign w:val="center"/>
                </w:tcPr>
                <w:p w14:paraId="69060FB4">
                  <w:pPr>
                    <w:pStyle w:val="5"/>
                    <w:bidi w:val="0"/>
                    <w:rPr>
                      <w:lang w:val="en-US" w:eastAsia="zh-CN"/>
                    </w:rPr>
                  </w:pPr>
                  <w:r>
                    <w:rPr>
                      <w:lang w:val="en-US" w:eastAsia="zh-CN"/>
                    </w:rPr>
                    <w:t>企业边界</w:t>
                  </w:r>
                </w:p>
              </w:tc>
              <w:tc>
                <w:tcPr>
                  <w:tcW w:w="1890" w:type="pct"/>
                  <w:vAlign w:val="center"/>
                </w:tcPr>
                <w:p w14:paraId="49B33BDB">
                  <w:pPr>
                    <w:pStyle w:val="5"/>
                    <w:bidi w:val="0"/>
                    <w:rPr>
                      <w:rFonts w:hint="default"/>
                      <w:lang w:val="en-US" w:eastAsia="zh-CN"/>
                    </w:rPr>
                  </w:pPr>
                  <w:r>
                    <w:rPr>
                      <w:lang w:val="en-US" w:eastAsia="zh-CN"/>
                    </w:rPr>
                    <w:t>非甲烷总烃、苯、甲苯、二甲苯</w:t>
                  </w:r>
                  <w:r>
                    <w:rPr>
                      <w:rFonts w:hint="eastAsia"/>
                      <w:lang w:val="en-US" w:eastAsia="zh-CN"/>
                    </w:rPr>
                    <w:t>、正己烷</w:t>
                  </w:r>
                </w:p>
              </w:tc>
              <w:tc>
                <w:tcPr>
                  <w:tcW w:w="615" w:type="pct"/>
                  <w:vAlign w:val="center"/>
                </w:tcPr>
                <w:p w14:paraId="57355538">
                  <w:pPr>
                    <w:pStyle w:val="5"/>
                    <w:bidi w:val="0"/>
                    <w:rPr>
                      <w:lang w:val="en-US" w:eastAsia="zh-CN"/>
                    </w:rPr>
                  </w:pPr>
                  <w:r>
                    <w:rPr>
                      <w:lang w:val="en-US" w:eastAsia="zh-CN"/>
                    </w:rPr>
                    <w:t>1次/季度</w:t>
                  </w:r>
                </w:p>
              </w:tc>
            </w:tr>
            <w:tr w14:paraId="595312D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2493" w:type="pct"/>
                  <w:vAlign w:val="center"/>
                </w:tcPr>
                <w:p w14:paraId="306B35AC">
                  <w:pPr>
                    <w:pStyle w:val="5"/>
                    <w:bidi w:val="0"/>
                    <w:rPr>
                      <w:lang w:val="en-US" w:eastAsia="zh-CN"/>
                    </w:rPr>
                  </w:pPr>
                  <w:r>
                    <w:rPr>
                      <w:lang w:val="en-US" w:eastAsia="zh-CN"/>
                    </w:rPr>
                    <w:t>泵、压缩机、阀门、开口阀或开口管线、气体/蒸汽泄压设备、取样连接系统</w:t>
                  </w:r>
                  <w:r>
                    <w:rPr>
                      <w:rFonts w:hint="eastAsia"/>
                      <w:lang w:val="en-US" w:eastAsia="zh-CN"/>
                    </w:rPr>
                    <w:t>泄漏检测</w:t>
                  </w:r>
                </w:p>
              </w:tc>
              <w:tc>
                <w:tcPr>
                  <w:tcW w:w="1890" w:type="pct"/>
                  <w:vAlign w:val="center"/>
                </w:tcPr>
                <w:p w14:paraId="14253528">
                  <w:pPr>
                    <w:pStyle w:val="5"/>
                    <w:bidi w:val="0"/>
                    <w:rPr>
                      <w:lang w:val="en-US" w:eastAsia="zh-CN"/>
                    </w:rPr>
                  </w:pPr>
                  <w:r>
                    <w:rPr>
                      <w:lang w:val="en-US" w:eastAsia="zh-CN"/>
                    </w:rPr>
                    <w:t>挥发性有机物</w:t>
                  </w:r>
                </w:p>
              </w:tc>
              <w:tc>
                <w:tcPr>
                  <w:tcW w:w="615" w:type="pct"/>
                  <w:vAlign w:val="center"/>
                </w:tcPr>
                <w:p w14:paraId="7154B7FF">
                  <w:pPr>
                    <w:pStyle w:val="5"/>
                    <w:bidi w:val="0"/>
                    <w:rPr>
                      <w:rFonts w:hint="eastAsia"/>
                      <w:lang w:val="en-US" w:eastAsia="zh-CN"/>
                    </w:rPr>
                  </w:pPr>
                  <w:r>
                    <w:rPr>
                      <w:lang w:val="en-US" w:eastAsia="zh-CN"/>
                    </w:rPr>
                    <w:t>1次/</w:t>
                  </w:r>
                  <w:r>
                    <w:rPr>
                      <w:rFonts w:hint="eastAsia"/>
                      <w:lang w:val="en-US" w:eastAsia="zh-CN"/>
                    </w:rPr>
                    <w:t>半年</w:t>
                  </w:r>
                </w:p>
              </w:tc>
            </w:tr>
            <w:tr w14:paraId="771967B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2493" w:type="pct"/>
                  <w:vAlign w:val="center"/>
                </w:tcPr>
                <w:p w14:paraId="5624871D">
                  <w:pPr>
                    <w:pStyle w:val="5"/>
                    <w:bidi w:val="0"/>
                    <w:rPr>
                      <w:lang w:val="en-US" w:eastAsia="zh-CN"/>
                    </w:rPr>
                  </w:pPr>
                  <w:r>
                    <w:rPr>
                      <w:lang w:val="en-US" w:eastAsia="zh-CN"/>
                    </w:rPr>
                    <w:t>法兰</w:t>
                  </w:r>
                  <w:r>
                    <w:rPr>
                      <w:rFonts w:hint="eastAsia"/>
                      <w:lang w:val="en-US" w:eastAsia="zh-CN"/>
                    </w:rPr>
                    <w:t>及其</w:t>
                  </w:r>
                  <w:r>
                    <w:rPr>
                      <w:lang w:val="en-US" w:eastAsia="zh-CN"/>
                    </w:rPr>
                    <w:t>他连接件、其他密封设备</w:t>
                  </w:r>
                  <w:r>
                    <w:rPr>
                      <w:rFonts w:hint="eastAsia"/>
                      <w:lang w:val="en-US" w:eastAsia="zh-CN"/>
                    </w:rPr>
                    <w:t>泄漏检测</w:t>
                  </w:r>
                </w:p>
              </w:tc>
              <w:tc>
                <w:tcPr>
                  <w:tcW w:w="1890" w:type="pct"/>
                  <w:vAlign w:val="center"/>
                </w:tcPr>
                <w:p w14:paraId="1CA72C8D">
                  <w:pPr>
                    <w:pStyle w:val="5"/>
                    <w:bidi w:val="0"/>
                    <w:rPr>
                      <w:lang w:val="en-US" w:eastAsia="zh-CN"/>
                    </w:rPr>
                  </w:pPr>
                  <w:r>
                    <w:rPr>
                      <w:lang w:val="en-US" w:eastAsia="zh-CN"/>
                    </w:rPr>
                    <w:t>挥发性有机物</w:t>
                  </w:r>
                </w:p>
              </w:tc>
              <w:tc>
                <w:tcPr>
                  <w:tcW w:w="615" w:type="pct"/>
                  <w:vAlign w:val="center"/>
                </w:tcPr>
                <w:p w14:paraId="360722FC">
                  <w:pPr>
                    <w:pStyle w:val="5"/>
                    <w:bidi w:val="0"/>
                    <w:rPr>
                      <w:lang w:val="en-US" w:eastAsia="zh-CN"/>
                    </w:rPr>
                  </w:pPr>
                  <w:r>
                    <w:rPr>
                      <w:lang w:val="en-US" w:eastAsia="zh-CN"/>
                    </w:rPr>
                    <w:t>1次/年</w:t>
                  </w:r>
                </w:p>
              </w:tc>
            </w:tr>
            <w:tr w14:paraId="69CFB1E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493" w:type="pct"/>
                  <w:vAlign w:val="center"/>
                </w:tcPr>
                <w:p w14:paraId="031FFDE7">
                  <w:pPr>
                    <w:pStyle w:val="5"/>
                    <w:bidi w:val="0"/>
                    <w:rPr>
                      <w:lang w:val="en-US" w:eastAsia="zh-CN"/>
                    </w:rPr>
                  </w:pPr>
                  <w:r>
                    <w:rPr>
                      <w:lang w:val="en-US" w:eastAsia="zh-CN"/>
                    </w:rPr>
                    <w:t>装置区、装卸区和罐区下风向</w:t>
                  </w:r>
                </w:p>
              </w:tc>
              <w:tc>
                <w:tcPr>
                  <w:tcW w:w="1890" w:type="pct"/>
                  <w:vAlign w:val="center"/>
                </w:tcPr>
                <w:p w14:paraId="37706BBE">
                  <w:pPr>
                    <w:pStyle w:val="5"/>
                    <w:bidi w:val="0"/>
                    <w:rPr>
                      <w:lang w:val="en-US" w:eastAsia="zh-CN"/>
                    </w:rPr>
                  </w:pPr>
                  <w:r>
                    <w:rPr>
                      <w:lang w:val="en-US" w:eastAsia="zh-CN"/>
                    </w:rPr>
                    <w:t>NMHC</w:t>
                  </w:r>
                </w:p>
              </w:tc>
              <w:tc>
                <w:tcPr>
                  <w:tcW w:w="615" w:type="pct"/>
                  <w:vAlign w:val="center"/>
                </w:tcPr>
                <w:p w14:paraId="31DB7A26">
                  <w:pPr>
                    <w:pStyle w:val="5"/>
                    <w:bidi w:val="0"/>
                    <w:rPr>
                      <w:lang w:val="en-US" w:eastAsia="zh-CN"/>
                    </w:rPr>
                  </w:pPr>
                  <w:r>
                    <w:rPr>
                      <w:lang w:val="en-US" w:eastAsia="zh-CN"/>
                    </w:rPr>
                    <w:t>1次/半年</w:t>
                  </w:r>
                </w:p>
              </w:tc>
            </w:tr>
          </w:tbl>
          <w:p w14:paraId="51C625B1">
            <w:pPr>
              <w:pStyle w:val="2"/>
              <w:bidi w:val="0"/>
              <w:rPr>
                <w:lang w:val="en-US" w:eastAsia="zh-CN"/>
              </w:rPr>
            </w:pPr>
            <w:r>
              <w:rPr>
                <w:lang w:val="en-US" w:eastAsia="zh-CN"/>
              </w:rPr>
              <w:t>2</w:t>
            </w:r>
            <w:r>
              <w:rPr>
                <w:rFonts w:hint="eastAsia"/>
                <w:lang w:val="en-US" w:eastAsia="zh-CN"/>
              </w:rPr>
              <w:t xml:space="preserve"> </w:t>
            </w:r>
            <w:r>
              <w:rPr>
                <w:lang w:val="en-US" w:eastAsia="zh-CN"/>
              </w:rPr>
              <w:t>水环境影响分析</w:t>
            </w:r>
          </w:p>
          <w:p w14:paraId="4EAEA9A4">
            <w:pPr>
              <w:bidi w:val="0"/>
              <w:rPr>
                <w:lang w:val="en-US" w:eastAsia="zh-CN"/>
              </w:rPr>
            </w:pPr>
            <w:r>
              <w:rPr>
                <w:lang w:val="en-US" w:eastAsia="zh-CN"/>
              </w:rPr>
              <w:t>根据工程分析，</w:t>
            </w:r>
            <w:r>
              <w:rPr>
                <w:rFonts w:hint="eastAsia"/>
                <w:lang w:val="en-US" w:eastAsia="zh-CN"/>
              </w:rPr>
              <w:t>本</w:t>
            </w:r>
            <w:r>
              <w:rPr>
                <w:lang w:val="en-US" w:eastAsia="zh-CN"/>
              </w:rPr>
              <w:t>项目不新增废水。</w:t>
            </w:r>
          </w:p>
          <w:p w14:paraId="0611B965">
            <w:pPr>
              <w:pStyle w:val="2"/>
              <w:bidi w:val="0"/>
              <w:rPr>
                <w:rFonts w:hint="eastAsia"/>
                <w:lang w:val="en-US" w:eastAsia="zh-CN"/>
              </w:rPr>
            </w:pPr>
            <w:r>
              <w:rPr>
                <w:rFonts w:hint="eastAsia"/>
                <w:lang w:val="en-US" w:eastAsia="zh-CN"/>
              </w:rPr>
              <w:t>3 噪声</w:t>
            </w:r>
          </w:p>
          <w:p w14:paraId="05117ACB">
            <w:pPr>
              <w:pStyle w:val="2"/>
              <w:bidi w:val="0"/>
              <w:rPr>
                <w:rFonts w:hint="eastAsia"/>
                <w:lang w:val="en-US" w:eastAsia="zh-CN"/>
              </w:rPr>
            </w:pPr>
            <w:r>
              <w:rPr>
                <w:rFonts w:hint="eastAsia"/>
                <w:lang w:val="en-US" w:eastAsia="zh-CN"/>
              </w:rPr>
              <w:t>3.1 预测模型</w:t>
            </w:r>
          </w:p>
          <w:p w14:paraId="345F789E">
            <w:pPr>
              <w:bidi w:val="0"/>
              <w:rPr>
                <w:rFonts w:hint="eastAsia"/>
                <w:lang w:val="en-US" w:eastAsia="zh-CN"/>
              </w:rPr>
            </w:pPr>
            <w:r>
              <w:rPr>
                <w:rFonts w:hint="eastAsia"/>
                <w:lang w:val="en-US" w:eastAsia="zh-CN"/>
              </w:rPr>
              <w:t>根据项目建设内容及《环境影响评价技术导则—声环境》（HJ2.4-2021）的要求，项目环评采用的模型为《环境影响评价技术导则 声环境》（HJ2.4.2021）附录A（规范性附录）户外声传播的衰减和附录B（规范性附录）中“B.1工业噪声预测计算模型”。</w:t>
            </w:r>
          </w:p>
          <w:p w14:paraId="4EC8E18E">
            <w:pPr>
              <w:pStyle w:val="2"/>
              <w:bidi w:val="0"/>
              <w:rPr>
                <w:rFonts w:hint="eastAsia"/>
                <w:lang w:val="en-US" w:eastAsia="zh-CN"/>
              </w:rPr>
            </w:pPr>
            <w:r>
              <w:rPr>
                <w:rFonts w:hint="eastAsia"/>
                <w:lang w:val="en-US" w:eastAsia="zh-CN"/>
              </w:rPr>
              <w:t>3.2 噪声参数</w:t>
            </w:r>
          </w:p>
          <w:p w14:paraId="6B5ED4BE">
            <w:pPr>
              <w:bidi w:val="0"/>
              <w:rPr>
                <w:lang w:val="en-US" w:eastAsia="zh-CN"/>
              </w:rPr>
            </w:pPr>
            <w:r>
              <w:rPr>
                <w:rFonts w:hint="eastAsia"/>
                <w:lang w:val="en-US" w:eastAsia="zh-CN"/>
              </w:rPr>
              <w:t>项目在生产过程中产生的噪声主要源于1台1#轻烃原料卸车泵，2台1#轻烃原料/碳五烷烃输送泵1，2台1#轻烃原料/碳五烷烃输送泵2等，这些设备产生的噪声声级一般在75-85dB(A）以上，均属于室外声源。项目产生噪声的噪声源强调查清单见表4-8。</w:t>
            </w:r>
          </w:p>
          <w:p w14:paraId="27AA5253">
            <w:pPr>
              <w:pStyle w:val="4"/>
              <w:bidi w:val="0"/>
              <w:rPr>
                <w:lang w:val="en-US" w:eastAsia="zh-CN"/>
              </w:rPr>
            </w:pPr>
            <w:r>
              <w:rPr>
                <w:lang w:val="en-US" w:eastAsia="zh-CN"/>
              </w:rPr>
              <w:t>表4-</w:t>
            </w:r>
            <w:r>
              <w:rPr>
                <w:rFonts w:hint="eastAsia"/>
                <w:lang w:val="en-US" w:eastAsia="zh-CN"/>
              </w:rPr>
              <w:t xml:space="preserve">8  </w:t>
            </w:r>
            <w:r>
              <w:rPr>
                <w:lang w:val="en-US" w:eastAsia="zh-CN"/>
              </w:rPr>
              <w:t>工业企业噪声源强调查清单（室外声源）</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
              <w:gridCol w:w="2833"/>
              <w:gridCol w:w="700"/>
              <w:gridCol w:w="700"/>
              <w:gridCol w:w="517"/>
              <w:gridCol w:w="1733"/>
              <w:gridCol w:w="683"/>
              <w:gridCol w:w="682"/>
            </w:tblGrid>
            <w:tr w14:paraId="3812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exact"/>
              </w:trPr>
              <w:tc>
                <w:tcPr>
                  <w:tcW w:w="201" w:type="pct"/>
                  <w:vMerge w:val="restart"/>
                  <w:vAlign w:val="center"/>
                </w:tcPr>
                <w:p w14:paraId="33FF952D">
                  <w:pPr>
                    <w:pStyle w:val="5"/>
                    <w:bidi w:val="0"/>
                  </w:pPr>
                  <w:r>
                    <w:t>序号</w:t>
                  </w:r>
                </w:p>
              </w:tc>
              <w:tc>
                <w:tcPr>
                  <w:tcW w:w="1732" w:type="pct"/>
                  <w:vMerge w:val="restart"/>
                  <w:vAlign w:val="center"/>
                </w:tcPr>
                <w:p w14:paraId="2F1232FE">
                  <w:pPr>
                    <w:pStyle w:val="5"/>
                    <w:bidi w:val="0"/>
                  </w:pPr>
                  <w:r>
                    <w:t>声源名称</w:t>
                  </w:r>
                </w:p>
              </w:tc>
              <w:tc>
                <w:tcPr>
                  <w:tcW w:w="1172" w:type="pct"/>
                  <w:gridSpan w:val="3"/>
                  <w:vAlign w:val="center"/>
                </w:tcPr>
                <w:p w14:paraId="0E4D83BB">
                  <w:pPr>
                    <w:pStyle w:val="5"/>
                    <w:bidi w:val="0"/>
                  </w:pPr>
                  <w:r>
                    <w:t>空间相对位置/m</w:t>
                  </w:r>
                </w:p>
              </w:tc>
              <w:tc>
                <w:tcPr>
                  <w:tcW w:w="1059" w:type="pct"/>
                  <w:vAlign w:val="center"/>
                </w:tcPr>
                <w:p w14:paraId="47B222F8">
                  <w:pPr>
                    <w:pStyle w:val="5"/>
                    <w:bidi w:val="0"/>
                    <w:rPr>
                      <w:lang w:eastAsia="zh-CN"/>
                    </w:rPr>
                  </w:pPr>
                  <w:r>
                    <w:rPr>
                      <w:lang w:eastAsia="zh-CN"/>
                    </w:rPr>
                    <w:t>声源源强</w:t>
                  </w:r>
                </w:p>
              </w:tc>
              <w:tc>
                <w:tcPr>
                  <w:tcW w:w="417" w:type="pct"/>
                  <w:vMerge w:val="restart"/>
                  <w:vAlign w:val="center"/>
                </w:tcPr>
                <w:p w14:paraId="75ADB5BF">
                  <w:pPr>
                    <w:pStyle w:val="5"/>
                    <w:bidi w:val="0"/>
                  </w:pPr>
                  <w:r>
                    <w:t>声源控制措施</w:t>
                  </w:r>
                </w:p>
              </w:tc>
              <w:tc>
                <w:tcPr>
                  <w:tcW w:w="417" w:type="pct"/>
                  <w:vMerge w:val="restart"/>
                  <w:vAlign w:val="center"/>
                </w:tcPr>
                <w:p w14:paraId="5E6C61A9">
                  <w:pPr>
                    <w:pStyle w:val="5"/>
                    <w:bidi w:val="0"/>
                  </w:pPr>
                  <w:r>
                    <w:t>运行时段</w:t>
                  </w:r>
                </w:p>
              </w:tc>
            </w:tr>
            <w:tr w14:paraId="1E8D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1" w:type="pct"/>
                  <w:vMerge w:val="continue"/>
                  <w:shd w:val="clear" w:color="auto" w:fill="FFFFFF"/>
                  <w:vAlign w:val="center"/>
                </w:tcPr>
                <w:p w14:paraId="6D362F0B">
                  <w:pPr>
                    <w:pStyle w:val="5"/>
                    <w:bidi w:val="0"/>
                  </w:pPr>
                </w:p>
              </w:tc>
              <w:tc>
                <w:tcPr>
                  <w:tcW w:w="1732" w:type="pct"/>
                  <w:vMerge w:val="continue"/>
                  <w:shd w:val="clear" w:color="auto" w:fill="FFFFFF"/>
                  <w:vAlign w:val="center"/>
                </w:tcPr>
                <w:p w14:paraId="172F3D6E">
                  <w:pPr>
                    <w:pStyle w:val="5"/>
                    <w:bidi w:val="0"/>
                  </w:pPr>
                </w:p>
              </w:tc>
              <w:tc>
                <w:tcPr>
                  <w:tcW w:w="428" w:type="pct"/>
                  <w:shd w:val="clear" w:color="auto" w:fill="FFFFFF"/>
                  <w:vAlign w:val="center"/>
                </w:tcPr>
                <w:p w14:paraId="02ECB9FE">
                  <w:pPr>
                    <w:pStyle w:val="5"/>
                    <w:bidi w:val="0"/>
                  </w:pPr>
                  <w:r>
                    <w:t>X</w:t>
                  </w:r>
                </w:p>
              </w:tc>
              <w:tc>
                <w:tcPr>
                  <w:tcW w:w="428" w:type="pct"/>
                  <w:shd w:val="clear" w:color="auto" w:fill="FFFFFF"/>
                  <w:vAlign w:val="center"/>
                </w:tcPr>
                <w:p w14:paraId="27F2C929">
                  <w:pPr>
                    <w:pStyle w:val="5"/>
                    <w:bidi w:val="0"/>
                  </w:pPr>
                  <w:r>
                    <w:t>Y</w:t>
                  </w:r>
                </w:p>
              </w:tc>
              <w:tc>
                <w:tcPr>
                  <w:tcW w:w="316" w:type="pct"/>
                  <w:shd w:val="clear" w:color="auto" w:fill="FFFFFF"/>
                  <w:vAlign w:val="center"/>
                </w:tcPr>
                <w:p w14:paraId="69CC5446">
                  <w:pPr>
                    <w:pStyle w:val="5"/>
                    <w:bidi w:val="0"/>
                  </w:pPr>
                  <w:r>
                    <w:t>Z</w:t>
                  </w:r>
                </w:p>
              </w:tc>
              <w:tc>
                <w:tcPr>
                  <w:tcW w:w="1059" w:type="pct"/>
                  <w:shd w:val="clear" w:color="auto" w:fill="FFFFFF"/>
                  <w:vAlign w:val="center"/>
                </w:tcPr>
                <w:p w14:paraId="78ED3432">
                  <w:pPr>
                    <w:pStyle w:val="5"/>
                    <w:bidi w:val="0"/>
                  </w:pPr>
                  <w:r>
                    <w:t>声功率级/dB(A)</w:t>
                  </w:r>
                </w:p>
              </w:tc>
              <w:tc>
                <w:tcPr>
                  <w:tcW w:w="417" w:type="pct"/>
                  <w:vMerge w:val="continue"/>
                  <w:shd w:val="clear" w:color="auto" w:fill="FFFFFF"/>
                  <w:vAlign w:val="center"/>
                </w:tcPr>
                <w:p w14:paraId="4BB88BEC">
                  <w:pPr>
                    <w:pStyle w:val="5"/>
                    <w:bidi w:val="0"/>
                  </w:pPr>
                </w:p>
              </w:tc>
              <w:tc>
                <w:tcPr>
                  <w:tcW w:w="417" w:type="pct"/>
                  <w:vMerge w:val="continue"/>
                  <w:shd w:val="clear" w:color="auto" w:fill="FFFFFF"/>
                  <w:vAlign w:val="center"/>
                </w:tcPr>
                <w:p w14:paraId="2C65398E">
                  <w:pPr>
                    <w:pStyle w:val="5"/>
                    <w:bidi w:val="0"/>
                  </w:pPr>
                </w:p>
              </w:tc>
            </w:tr>
            <w:tr w14:paraId="5B4F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82" w:hRule="exact"/>
              </w:trPr>
              <w:tc>
                <w:tcPr>
                  <w:tcW w:w="201" w:type="pct"/>
                  <w:shd w:val="clear" w:color="auto" w:fill="FFFFFF"/>
                  <w:vAlign w:val="center"/>
                </w:tcPr>
                <w:p w14:paraId="1FB6C313">
                  <w:pPr>
                    <w:pStyle w:val="5"/>
                    <w:bidi w:val="0"/>
                  </w:pPr>
                  <w:r>
                    <w:t>1</w:t>
                  </w:r>
                </w:p>
              </w:tc>
              <w:tc>
                <w:tcPr>
                  <w:tcW w:w="1732" w:type="pct"/>
                  <w:shd w:val="clear" w:color="auto" w:fill="FFFFFF"/>
                  <w:vAlign w:val="center"/>
                </w:tcPr>
                <w:p w14:paraId="21015FB1">
                  <w:pPr>
                    <w:pStyle w:val="5"/>
                    <w:bidi w:val="0"/>
                  </w:pPr>
                  <w:r>
                    <w:t>1#轻烃原料卸车泵</w:t>
                  </w:r>
                </w:p>
              </w:tc>
              <w:tc>
                <w:tcPr>
                  <w:tcW w:w="428" w:type="pct"/>
                  <w:shd w:val="clear" w:color="auto" w:fill="FFFFFF"/>
                  <w:vAlign w:val="center"/>
                </w:tcPr>
                <w:p w14:paraId="6682F195">
                  <w:pPr>
                    <w:pStyle w:val="5"/>
                    <w:bidi w:val="0"/>
                  </w:pPr>
                  <w:r>
                    <w:t>-11.8</w:t>
                  </w:r>
                </w:p>
              </w:tc>
              <w:tc>
                <w:tcPr>
                  <w:tcW w:w="428" w:type="pct"/>
                  <w:shd w:val="clear" w:color="auto" w:fill="FFFFFF"/>
                  <w:vAlign w:val="center"/>
                </w:tcPr>
                <w:p w14:paraId="04258951">
                  <w:pPr>
                    <w:pStyle w:val="5"/>
                    <w:bidi w:val="0"/>
                  </w:pPr>
                  <w:r>
                    <w:t>71.2</w:t>
                  </w:r>
                </w:p>
              </w:tc>
              <w:tc>
                <w:tcPr>
                  <w:tcW w:w="316" w:type="pct"/>
                  <w:shd w:val="clear" w:color="auto" w:fill="FFFFFF"/>
                  <w:vAlign w:val="center"/>
                </w:tcPr>
                <w:p w14:paraId="6CD1F704">
                  <w:pPr>
                    <w:pStyle w:val="5"/>
                    <w:bidi w:val="0"/>
                  </w:pPr>
                  <w:r>
                    <w:t>1.2</w:t>
                  </w:r>
                </w:p>
              </w:tc>
              <w:tc>
                <w:tcPr>
                  <w:tcW w:w="1059" w:type="pct"/>
                  <w:shd w:val="clear" w:color="auto" w:fill="FFFFFF"/>
                  <w:vAlign w:val="center"/>
                </w:tcPr>
                <w:p w14:paraId="622431FB">
                  <w:pPr>
                    <w:pStyle w:val="5"/>
                    <w:bidi w:val="0"/>
                  </w:pPr>
                  <w:r>
                    <w:t>85</w:t>
                  </w:r>
                </w:p>
              </w:tc>
              <w:tc>
                <w:tcPr>
                  <w:tcW w:w="417" w:type="pct"/>
                  <w:vMerge w:val="restart"/>
                  <w:shd w:val="clear" w:color="auto" w:fill="FFFFFF"/>
                  <w:vAlign w:val="center"/>
                </w:tcPr>
                <w:p w14:paraId="7B606BB2">
                  <w:pPr>
                    <w:pStyle w:val="5"/>
                    <w:bidi w:val="0"/>
                  </w:pPr>
                  <w:r>
                    <w:rPr>
                      <w:lang w:val="en-US" w:eastAsia="zh-CN"/>
                    </w:rPr>
                    <w:t>低噪声设备、基座减振</w:t>
                  </w:r>
                </w:p>
              </w:tc>
              <w:tc>
                <w:tcPr>
                  <w:tcW w:w="417" w:type="pct"/>
                  <w:vMerge w:val="restart"/>
                  <w:shd w:val="clear" w:color="auto" w:fill="FFFFFF"/>
                  <w:vAlign w:val="center"/>
                </w:tcPr>
                <w:p w14:paraId="4A78921E">
                  <w:pPr>
                    <w:pStyle w:val="5"/>
                    <w:bidi w:val="0"/>
                    <w:rPr>
                      <w:rFonts w:hint="default"/>
                      <w:lang w:val="en-US" w:eastAsia="zh-CN"/>
                    </w:rPr>
                  </w:pPr>
                  <w:r>
                    <w:rPr>
                      <w:rFonts w:hint="eastAsia"/>
                      <w:lang w:val="en-US" w:eastAsia="zh-CN"/>
                    </w:rPr>
                    <w:t>24h</w:t>
                  </w:r>
                </w:p>
              </w:tc>
            </w:tr>
            <w:tr w14:paraId="427C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27" w:hRule="exact"/>
              </w:trPr>
              <w:tc>
                <w:tcPr>
                  <w:tcW w:w="201" w:type="pct"/>
                  <w:shd w:val="clear" w:color="auto" w:fill="FFFFFF"/>
                  <w:vAlign w:val="center"/>
                </w:tcPr>
                <w:p w14:paraId="76D3D2DD">
                  <w:pPr>
                    <w:pStyle w:val="5"/>
                    <w:bidi w:val="0"/>
                  </w:pPr>
                  <w:r>
                    <w:t>2</w:t>
                  </w:r>
                </w:p>
              </w:tc>
              <w:tc>
                <w:tcPr>
                  <w:tcW w:w="1732" w:type="pct"/>
                  <w:shd w:val="clear" w:color="auto" w:fill="FFFFFF"/>
                  <w:vAlign w:val="center"/>
                </w:tcPr>
                <w:p w14:paraId="012A011D">
                  <w:pPr>
                    <w:pStyle w:val="5"/>
                    <w:bidi w:val="0"/>
                  </w:pPr>
                  <w:r>
                    <w:t>1#轻烃原料/碳五烷烃输送泵</w:t>
                  </w:r>
                  <w:r>
                    <w:rPr>
                      <w:rFonts w:hint="eastAsia"/>
                      <w:lang w:val="en-US" w:eastAsia="zh-CN"/>
                    </w:rPr>
                    <w:t>A</w:t>
                  </w:r>
                  <w:r>
                    <w:t>,2台（按点声源组预测）</w:t>
                  </w:r>
                </w:p>
              </w:tc>
              <w:tc>
                <w:tcPr>
                  <w:tcW w:w="428" w:type="pct"/>
                  <w:shd w:val="clear" w:color="auto" w:fill="FFFFFF"/>
                  <w:vAlign w:val="center"/>
                </w:tcPr>
                <w:p w14:paraId="7F78C029">
                  <w:pPr>
                    <w:pStyle w:val="5"/>
                    <w:bidi w:val="0"/>
                  </w:pPr>
                  <w:r>
                    <w:t>94.1</w:t>
                  </w:r>
                </w:p>
              </w:tc>
              <w:tc>
                <w:tcPr>
                  <w:tcW w:w="428" w:type="pct"/>
                  <w:shd w:val="clear" w:color="auto" w:fill="FFFFFF"/>
                  <w:vAlign w:val="center"/>
                </w:tcPr>
                <w:p w14:paraId="140B7181">
                  <w:pPr>
                    <w:pStyle w:val="5"/>
                    <w:bidi w:val="0"/>
                  </w:pPr>
                  <w:r>
                    <w:t>0.9</w:t>
                  </w:r>
                </w:p>
              </w:tc>
              <w:tc>
                <w:tcPr>
                  <w:tcW w:w="316" w:type="pct"/>
                  <w:shd w:val="clear" w:color="auto" w:fill="FFFFFF"/>
                  <w:vAlign w:val="center"/>
                </w:tcPr>
                <w:p w14:paraId="53DCD105">
                  <w:pPr>
                    <w:pStyle w:val="5"/>
                    <w:bidi w:val="0"/>
                  </w:pPr>
                  <w:r>
                    <w:t>1.2</w:t>
                  </w:r>
                </w:p>
              </w:tc>
              <w:tc>
                <w:tcPr>
                  <w:tcW w:w="1059" w:type="pct"/>
                  <w:shd w:val="clear" w:color="auto" w:fill="FFFFFF"/>
                  <w:vAlign w:val="center"/>
                </w:tcPr>
                <w:p w14:paraId="56885352">
                  <w:pPr>
                    <w:pStyle w:val="5"/>
                    <w:bidi w:val="0"/>
                  </w:pPr>
                  <w:r>
                    <w:t>85（等效后：88.0)</w:t>
                  </w:r>
                </w:p>
              </w:tc>
              <w:tc>
                <w:tcPr>
                  <w:tcW w:w="417" w:type="pct"/>
                  <w:vMerge w:val="continue"/>
                  <w:shd w:val="clear" w:color="auto" w:fill="FFFFFF"/>
                  <w:vAlign w:val="center"/>
                </w:tcPr>
                <w:p w14:paraId="72CB65F4">
                  <w:pPr>
                    <w:pStyle w:val="5"/>
                    <w:bidi w:val="0"/>
                  </w:pPr>
                </w:p>
              </w:tc>
              <w:tc>
                <w:tcPr>
                  <w:tcW w:w="417" w:type="pct"/>
                  <w:vMerge w:val="continue"/>
                  <w:shd w:val="clear" w:color="auto" w:fill="FFFFFF"/>
                  <w:vAlign w:val="center"/>
                </w:tcPr>
                <w:p w14:paraId="5307741B">
                  <w:pPr>
                    <w:pStyle w:val="5"/>
                    <w:bidi w:val="0"/>
                  </w:pPr>
                </w:p>
              </w:tc>
            </w:tr>
            <w:tr w14:paraId="0CB5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37" w:hRule="exact"/>
              </w:trPr>
              <w:tc>
                <w:tcPr>
                  <w:tcW w:w="201" w:type="pct"/>
                  <w:shd w:val="clear" w:color="auto" w:fill="FFFFFF"/>
                  <w:vAlign w:val="center"/>
                </w:tcPr>
                <w:p w14:paraId="4AD81762">
                  <w:pPr>
                    <w:pStyle w:val="5"/>
                    <w:bidi w:val="0"/>
                  </w:pPr>
                  <w:r>
                    <w:t>3</w:t>
                  </w:r>
                </w:p>
              </w:tc>
              <w:tc>
                <w:tcPr>
                  <w:tcW w:w="1732" w:type="pct"/>
                  <w:shd w:val="clear" w:color="auto" w:fill="FFFFFF"/>
                  <w:vAlign w:val="center"/>
                </w:tcPr>
                <w:p w14:paraId="171E706E">
                  <w:pPr>
                    <w:pStyle w:val="5"/>
                    <w:bidi w:val="0"/>
                  </w:pPr>
                  <w:r>
                    <w:t>1#轻烃原料/碳五烷烃输送泵</w:t>
                  </w:r>
                  <w:r>
                    <w:rPr>
                      <w:rFonts w:hint="eastAsia"/>
                      <w:lang w:val="en-US" w:eastAsia="zh-CN"/>
                    </w:rPr>
                    <w:t>B</w:t>
                  </w:r>
                  <w:r>
                    <w:t>,2台（按点声源组预测）</w:t>
                  </w:r>
                </w:p>
              </w:tc>
              <w:tc>
                <w:tcPr>
                  <w:tcW w:w="428" w:type="pct"/>
                  <w:shd w:val="clear" w:color="auto" w:fill="FFFFFF"/>
                  <w:vAlign w:val="center"/>
                </w:tcPr>
                <w:p w14:paraId="2CC55933">
                  <w:pPr>
                    <w:pStyle w:val="5"/>
                    <w:bidi w:val="0"/>
                  </w:pPr>
                  <w:r>
                    <w:t>96.8</w:t>
                  </w:r>
                </w:p>
              </w:tc>
              <w:tc>
                <w:tcPr>
                  <w:tcW w:w="428" w:type="pct"/>
                  <w:shd w:val="clear" w:color="auto" w:fill="FFFFFF"/>
                  <w:vAlign w:val="center"/>
                </w:tcPr>
                <w:p w14:paraId="0E5DADFF">
                  <w:pPr>
                    <w:pStyle w:val="5"/>
                    <w:bidi w:val="0"/>
                  </w:pPr>
                  <w:r>
                    <w:t>-28.4</w:t>
                  </w:r>
                </w:p>
              </w:tc>
              <w:tc>
                <w:tcPr>
                  <w:tcW w:w="316" w:type="pct"/>
                  <w:shd w:val="clear" w:color="auto" w:fill="FFFFFF"/>
                  <w:vAlign w:val="center"/>
                </w:tcPr>
                <w:p w14:paraId="6B26E5FD">
                  <w:pPr>
                    <w:pStyle w:val="5"/>
                    <w:bidi w:val="0"/>
                  </w:pPr>
                  <w:r>
                    <w:t>1.2</w:t>
                  </w:r>
                </w:p>
              </w:tc>
              <w:tc>
                <w:tcPr>
                  <w:tcW w:w="1059" w:type="pct"/>
                  <w:shd w:val="clear" w:color="auto" w:fill="FFFFFF"/>
                  <w:vAlign w:val="center"/>
                </w:tcPr>
                <w:p w14:paraId="3840BA79">
                  <w:pPr>
                    <w:pStyle w:val="5"/>
                    <w:bidi w:val="0"/>
                  </w:pPr>
                  <w:r>
                    <w:t>85（等效后：88.0)</w:t>
                  </w:r>
                </w:p>
              </w:tc>
              <w:tc>
                <w:tcPr>
                  <w:tcW w:w="417" w:type="pct"/>
                  <w:vMerge w:val="continue"/>
                  <w:shd w:val="clear" w:color="auto" w:fill="FFFFFF"/>
                  <w:vAlign w:val="center"/>
                </w:tcPr>
                <w:p w14:paraId="5C88F131">
                  <w:pPr>
                    <w:pStyle w:val="5"/>
                    <w:bidi w:val="0"/>
                  </w:pPr>
                </w:p>
              </w:tc>
              <w:tc>
                <w:tcPr>
                  <w:tcW w:w="417" w:type="pct"/>
                  <w:vMerge w:val="continue"/>
                  <w:shd w:val="clear" w:color="auto" w:fill="FFFFFF"/>
                  <w:vAlign w:val="center"/>
                </w:tcPr>
                <w:p w14:paraId="268F96F0">
                  <w:pPr>
                    <w:pStyle w:val="5"/>
                    <w:bidi w:val="0"/>
                  </w:pPr>
                </w:p>
              </w:tc>
            </w:tr>
          </w:tbl>
          <w:p w14:paraId="68DDABD7">
            <w:pPr>
              <w:pStyle w:val="2"/>
              <w:bidi w:val="0"/>
              <w:rPr>
                <w:lang w:val="en-US" w:eastAsia="zh-CN"/>
              </w:rPr>
            </w:pPr>
            <w:r>
              <w:rPr>
                <w:rFonts w:hint="eastAsia"/>
                <w:lang w:val="en-US" w:eastAsia="zh-CN"/>
              </w:rPr>
              <w:t xml:space="preserve">3.3 </w:t>
            </w:r>
            <w:r>
              <w:rPr>
                <w:lang w:val="en-US" w:eastAsia="zh-CN"/>
              </w:rPr>
              <w:t>预测结果分析</w:t>
            </w:r>
          </w:p>
          <w:p w14:paraId="4D3D0E3C">
            <w:pPr>
              <w:bidi w:val="0"/>
              <w:rPr>
                <w:lang w:val="en-US" w:eastAsia="zh-CN"/>
              </w:rPr>
            </w:pPr>
            <w:r>
              <w:rPr>
                <w:lang w:val="en-US" w:eastAsia="zh-CN"/>
              </w:rPr>
              <w:t>通过预测模型计算，项目厂界噪声预测结果与达标分析见表</w:t>
            </w:r>
            <w:r>
              <w:rPr>
                <w:rFonts w:hint="eastAsia"/>
                <w:lang w:val="en-US" w:eastAsia="zh-CN"/>
              </w:rPr>
              <w:t>4-9</w:t>
            </w:r>
            <w:r>
              <w:rPr>
                <w:lang w:val="en-US" w:eastAsia="zh-CN"/>
              </w:rPr>
              <w:t>。</w:t>
            </w:r>
          </w:p>
          <w:p w14:paraId="4B1AB5DC">
            <w:pPr>
              <w:pStyle w:val="4"/>
              <w:bidi w:val="0"/>
              <w:rPr>
                <w:lang w:val="en-US" w:eastAsia="zh-CN"/>
              </w:rPr>
            </w:pPr>
            <w:r>
              <w:rPr>
                <w:lang w:val="en-US" w:eastAsia="zh-CN"/>
              </w:rPr>
              <w:t>表</w:t>
            </w:r>
            <w:r>
              <w:rPr>
                <w:rFonts w:hint="eastAsia"/>
                <w:lang w:val="en-US" w:eastAsia="zh-CN"/>
              </w:rPr>
              <w:t>4-9</w:t>
            </w:r>
            <w:r>
              <w:rPr>
                <w:lang w:val="en-US" w:eastAsia="zh-CN"/>
              </w:rPr>
              <w:t xml:space="preserve">  厂界噪声预测结果与达标分析表</w:t>
            </w:r>
          </w:p>
          <w:tbl>
            <w:tblPr>
              <w:tblStyle w:val="1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772"/>
              <w:gridCol w:w="711"/>
              <w:gridCol w:w="517"/>
              <w:gridCol w:w="833"/>
              <w:gridCol w:w="1017"/>
              <w:gridCol w:w="967"/>
              <w:gridCol w:w="1083"/>
              <w:gridCol w:w="983"/>
              <w:gridCol w:w="781"/>
            </w:tblGrid>
            <w:tr w14:paraId="13CE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310" w:type="pct"/>
                  <w:vMerge w:val="restart"/>
                  <w:vAlign w:val="center"/>
                </w:tcPr>
                <w:p w14:paraId="4E7E39AF">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预测方位</w:t>
                  </w:r>
                </w:p>
              </w:tc>
              <w:tc>
                <w:tcPr>
                  <w:tcW w:w="1223" w:type="pct"/>
                  <w:gridSpan w:val="3"/>
                  <w:vAlign w:val="center"/>
                </w:tcPr>
                <w:p w14:paraId="6E87E0E5">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最大值点空间相对位置/m</w:t>
                  </w:r>
                </w:p>
              </w:tc>
              <w:tc>
                <w:tcPr>
                  <w:tcW w:w="509" w:type="pct"/>
                  <w:vMerge w:val="restart"/>
                  <w:vAlign w:val="center"/>
                </w:tcPr>
                <w:p w14:paraId="3C9704E2">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时段</w:t>
                  </w:r>
                </w:p>
              </w:tc>
              <w:tc>
                <w:tcPr>
                  <w:tcW w:w="622" w:type="pct"/>
                  <w:vMerge w:val="restart"/>
                  <w:vAlign w:val="center"/>
                </w:tcPr>
                <w:p w14:paraId="213893DF">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声源贡献值（dB(A)）</w:t>
                  </w:r>
                </w:p>
              </w:tc>
              <w:tc>
                <w:tcPr>
                  <w:tcW w:w="591" w:type="pct"/>
                  <w:vMerge w:val="restart"/>
                  <w:vAlign w:val="center"/>
                </w:tcPr>
                <w:p w14:paraId="254051EB">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现</w:t>
                  </w:r>
                  <w:r>
                    <w:rPr>
                      <w:rFonts w:hint="eastAsia"/>
                      <w:lang w:val="en-US" w:eastAsia="zh-CN"/>
                    </w:rPr>
                    <w:t>状</w:t>
                  </w:r>
                  <w:r>
                    <w:rPr>
                      <w:rFonts w:hint="default"/>
                      <w:lang w:val="en-US" w:eastAsia="zh-CN"/>
                    </w:rPr>
                    <w:t>值（dB(A)）</w:t>
                  </w:r>
                </w:p>
              </w:tc>
              <w:tc>
                <w:tcPr>
                  <w:tcW w:w="662" w:type="pct"/>
                  <w:vMerge w:val="restart"/>
                  <w:vAlign w:val="center"/>
                </w:tcPr>
                <w:p w14:paraId="5CC9BA03">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叠加值（dB(A))</w:t>
                  </w:r>
                </w:p>
              </w:tc>
              <w:tc>
                <w:tcPr>
                  <w:tcW w:w="601" w:type="pct"/>
                  <w:vMerge w:val="restart"/>
                  <w:vAlign w:val="center"/>
                </w:tcPr>
                <w:p w14:paraId="25180B71">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标准限值（dB(A)）</w:t>
                  </w:r>
                </w:p>
              </w:tc>
              <w:tc>
                <w:tcPr>
                  <w:tcW w:w="477" w:type="pct"/>
                  <w:vMerge w:val="restart"/>
                  <w:vAlign w:val="center"/>
                </w:tcPr>
                <w:p w14:paraId="49706D1D">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达标情况</w:t>
                  </w:r>
                </w:p>
              </w:tc>
            </w:tr>
            <w:tr w14:paraId="33CD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0" w:type="pct"/>
                  <w:vMerge w:val="continue"/>
                  <w:shd w:val="clear" w:color="auto" w:fill="FFFFFF"/>
                  <w:vAlign w:val="center"/>
                </w:tcPr>
                <w:p w14:paraId="1E5E90CC">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p>
              </w:tc>
              <w:tc>
                <w:tcPr>
                  <w:tcW w:w="472" w:type="pct"/>
                  <w:shd w:val="clear" w:color="auto" w:fill="FFFFFF"/>
                  <w:vAlign w:val="center"/>
                </w:tcPr>
                <w:p w14:paraId="11C50CAD">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X</w:t>
                  </w:r>
                </w:p>
              </w:tc>
              <w:tc>
                <w:tcPr>
                  <w:tcW w:w="435" w:type="pct"/>
                  <w:shd w:val="clear" w:color="auto" w:fill="FFFFFF"/>
                  <w:vAlign w:val="center"/>
                </w:tcPr>
                <w:p w14:paraId="65BCCE23">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Y</w:t>
                  </w:r>
                </w:p>
              </w:tc>
              <w:tc>
                <w:tcPr>
                  <w:tcW w:w="316" w:type="pct"/>
                  <w:shd w:val="clear" w:color="auto" w:fill="FFFFFF"/>
                  <w:vAlign w:val="center"/>
                </w:tcPr>
                <w:p w14:paraId="40EFBBD9">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default"/>
                      <w:lang w:val="en-US" w:eastAsia="zh-CN"/>
                    </w:rPr>
                    <w:t>Z</w:t>
                  </w:r>
                </w:p>
              </w:tc>
              <w:tc>
                <w:tcPr>
                  <w:tcW w:w="509" w:type="pct"/>
                  <w:vMerge w:val="continue"/>
                  <w:shd w:val="clear" w:color="auto" w:fill="FFFFFF"/>
                  <w:vAlign w:val="center"/>
                </w:tcPr>
                <w:p w14:paraId="767A0024">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p>
              </w:tc>
              <w:tc>
                <w:tcPr>
                  <w:tcW w:w="622" w:type="pct"/>
                  <w:vMerge w:val="continue"/>
                  <w:shd w:val="clear" w:color="auto" w:fill="FFFFFF"/>
                  <w:vAlign w:val="center"/>
                </w:tcPr>
                <w:p w14:paraId="19EC1E3E">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p>
              </w:tc>
              <w:tc>
                <w:tcPr>
                  <w:tcW w:w="591" w:type="pct"/>
                  <w:vMerge w:val="continue"/>
                  <w:shd w:val="clear" w:color="auto" w:fill="FFFFFF"/>
                  <w:vAlign w:val="center"/>
                </w:tcPr>
                <w:p w14:paraId="6D47085F">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p>
              </w:tc>
              <w:tc>
                <w:tcPr>
                  <w:tcW w:w="662" w:type="pct"/>
                  <w:vMerge w:val="continue"/>
                  <w:shd w:val="clear" w:color="auto" w:fill="FFFFFF"/>
                  <w:vAlign w:val="center"/>
                </w:tcPr>
                <w:p w14:paraId="0ACB0BC2">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p>
              </w:tc>
              <w:tc>
                <w:tcPr>
                  <w:tcW w:w="601" w:type="pct"/>
                  <w:vMerge w:val="continue"/>
                  <w:shd w:val="clear" w:color="auto" w:fill="FFFFFF"/>
                  <w:vAlign w:val="center"/>
                </w:tcPr>
                <w:p w14:paraId="7E4D47FF">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p>
              </w:tc>
              <w:tc>
                <w:tcPr>
                  <w:tcW w:w="477" w:type="pct"/>
                  <w:vMerge w:val="continue"/>
                  <w:shd w:val="clear" w:color="auto" w:fill="FFFFFF"/>
                  <w:vAlign w:val="center"/>
                </w:tcPr>
                <w:p w14:paraId="5B1AC019">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p>
              </w:tc>
            </w:tr>
            <w:tr w14:paraId="1F22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7" w:hRule="exact"/>
                <w:jc w:val="center"/>
              </w:trPr>
              <w:tc>
                <w:tcPr>
                  <w:tcW w:w="310" w:type="pct"/>
                  <w:vMerge w:val="restart"/>
                  <w:shd w:val="clear" w:color="auto" w:fill="FFFFFF"/>
                  <w:vAlign w:val="center"/>
                </w:tcPr>
                <w:p w14:paraId="2557CBBD">
                  <w:pPr>
                    <w:pStyle w:val="5"/>
                    <w:bidi w:val="0"/>
                    <w:rPr>
                      <w:rFonts w:hint="default"/>
                      <w:lang w:val="en-US" w:eastAsia="zh-CN"/>
                    </w:rPr>
                  </w:pPr>
                  <w:r>
                    <w:rPr>
                      <w:rFonts w:hint="default"/>
                      <w:lang w:val="en-US" w:eastAsia="zh-CN"/>
                    </w:rPr>
                    <w:t>东侧</w:t>
                  </w:r>
                </w:p>
              </w:tc>
              <w:tc>
                <w:tcPr>
                  <w:tcW w:w="472" w:type="pct"/>
                  <w:shd w:val="clear" w:color="auto" w:fill="FFFFFF"/>
                  <w:vAlign w:val="center"/>
                </w:tcPr>
                <w:p w14:paraId="5050E5B7">
                  <w:pPr>
                    <w:pStyle w:val="5"/>
                    <w:bidi w:val="0"/>
                    <w:rPr>
                      <w:rFonts w:hint="default"/>
                      <w:lang w:val="en-US" w:eastAsia="zh-CN"/>
                    </w:rPr>
                  </w:pPr>
                  <w:r>
                    <w:t>275.6</w:t>
                  </w:r>
                </w:p>
              </w:tc>
              <w:tc>
                <w:tcPr>
                  <w:tcW w:w="435" w:type="pct"/>
                  <w:shd w:val="clear" w:color="auto" w:fill="FFFFFF"/>
                  <w:vAlign w:val="center"/>
                </w:tcPr>
                <w:p w14:paraId="1917AF96">
                  <w:pPr>
                    <w:pStyle w:val="5"/>
                    <w:bidi w:val="0"/>
                    <w:rPr>
                      <w:rFonts w:hint="default"/>
                      <w:lang w:val="en-US" w:eastAsia="zh-CN"/>
                    </w:rPr>
                  </w:pPr>
                  <w:r>
                    <w:t>10</w:t>
                  </w:r>
                </w:p>
              </w:tc>
              <w:tc>
                <w:tcPr>
                  <w:tcW w:w="316" w:type="pct"/>
                  <w:shd w:val="clear" w:color="auto" w:fill="FFFFFF"/>
                  <w:vAlign w:val="center"/>
                </w:tcPr>
                <w:p w14:paraId="6A609A1C">
                  <w:pPr>
                    <w:pStyle w:val="5"/>
                    <w:bidi w:val="0"/>
                    <w:rPr>
                      <w:rFonts w:hint="default"/>
                      <w:lang w:val="en-US" w:eastAsia="zh-CN"/>
                    </w:rPr>
                  </w:pPr>
                  <w:r>
                    <w:t>1.2</w:t>
                  </w:r>
                </w:p>
              </w:tc>
              <w:tc>
                <w:tcPr>
                  <w:tcW w:w="509" w:type="pct"/>
                  <w:shd w:val="clear" w:color="auto" w:fill="FFFFFF"/>
                  <w:vAlign w:val="center"/>
                </w:tcPr>
                <w:p w14:paraId="45320C40">
                  <w:pPr>
                    <w:pStyle w:val="5"/>
                    <w:bidi w:val="0"/>
                    <w:rPr>
                      <w:rFonts w:hint="default"/>
                      <w:lang w:val="en-US" w:eastAsia="zh-CN"/>
                    </w:rPr>
                  </w:pPr>
                  <w:r>
                    <w:rPr>
                      <w:lang w:val="en-US" w:eastAsia="zh-CN"/>
                    </w:rPr>
                    <w:t>昼间</w:t>
                  </w:r>
                </w:p>
              </w:tc>
              <w:tc>
                <w:tcPr>
                  <w:tcW w:w="622" w:type="pct"/>
                  <w:shd w:val="clear" w:color="auto" w:fill="FFFFFF"/>
                  <w:vAlign w:val="center"/>
                </w:tcPr>
                <w:p w14:paraId="1F837BFB">
                  <w:pPr>
                    <w:pStyle w:val="5"/>
                    <w:bidi w:val="0"/>
                    <w:rPr>
                      <w:rFonts w:hint="default"/>
                      <w:lang w:val="en-US" w:eastAsia="zh-CN"/>
                    </w:rPr>
                  </w:pPr>
                  <w:r>
                    <w:t>15</w:t>
                  </w:r>
                </w:p>
              </w:tc>
              <w:tc>
                <w:tcPr>
                  <w:tcW w:w="591" w:type="pct"/>
                  <w:shd w:val="clear" w:color="auto" w:fill="FFFFFF"/>
                  <w:vAlign w:val="center"/>
                </w:tcPr>
                <w:p w14:paraId="605E8F41">
                  <w:pPr>
                    <w:pStyle w:val="5"/>
                    <w:bidi w:val="0"/>
                    <w:rPr>
                      <w:rFonts w:hint="default"/>
                      <w:lang w:val="en-US" w:eastAsia="zh-CN"/>
                    </w:rPr>
                  </w:pPr>
                  <w:r>
                    <w:rPr>
                      <w:rFonts w:hint="eastAsia"/>
                      <w:lang w:val="en-US" w:eastAsia="zh-CN"/>
                    </w:rPr>
                    <w:t>54.5</w:t>
                  </w:r>
                </w:p>
              </w:tc>
              <w:tc>
                <w:tcPr>
                  <w:tcW w:w="662" w:type="pct"/>
                  <w:shd w:val="clear" w:color="auto" w:fill="FFFFFF"/>
                  <w:vAlign w:val="center"/>
                </w:tcPr>
                <w:p w14:paraId="707BE793">
                  <w:pPr>
                    <w:pStyle w:val="5"/>
                    <w:bidi w:val="0"/>
                    <w:rPr>
                      <w:rFonts w:hint="default"/>
                      <w:lang w:val="en-US" w:eastAsia="zh-CN"/>
                    </w:rPr>
                  </w:pPr>
                  <w:r>
                    <w:rPr>
                      <w:rFonts w:hint="eastAsia"/>
                      <w:lang w:val="en-US" w:eastAsia="zh-CN"/>
                    </w:rPr>
                    <w:t>54.5</w:t>
                  </w:r>
                </w:p>
              </w:tc>
              <w:tc>
                <w:tcPr>
                  <w:tcW w:w="601" w:type="pct"/>
                  <w:shd w:val="clear" w:color="auto" w:fill="FFFFFF"/>
                  <w:vAlign w:val="center"/>
                </w:tcPr>
                <w:p w14:paraId="67829CF1">
                  <w:pPr>
                    <w:pStyle w:val="5"/>
                    <w:bidi w:val="0"/>
                    <w:rPr>
                      <w:rFonts w:hint="default"/>
                      <w:lang w:val="en-US" w:eastAsia="zh-CN"/>
                    </w:rPr>
                  </w:pPr>
                  <w:r>
                    <w:rPr>
                      <w:rFonts w:hint="default"/>
                      <w:lang w:val="en-US" w:eastAsia="zh-CN"/>
                    </w:rPr>
                    <w:t>65</w:t>
                  </w:r>
                </w:p>
              </w:tc>
              <w:tc>
                <w:tcPr>
                  <w:tcW w:w="477" w:type="pct"/>
                  <w:shd w:val="clear" w:color="auto" w:fill="FFFFFF"/>
                  <w:vAlign w:val="center"/>
                </w:tcPr>
                <w:p w14:paraId="52ECBD44">
                  <w:pPr>
                    <w:pStyle w:val="5"/>
                    <w:bidi w:val="0"/>
                    <w:rPr>
                      <w:rFonts w:hint="default"/>
                      <w:lang w:val="en-US" w:eastAsia="zh-CN"/>
                    </w:rPr>
                  </w:pPr>
                  <w:r>
                    <w:rPr>
                      <w:rFonts w:hint="default"/>
                      <w:lang w:val="en-US" w:eastAsia="zh-CN"/>
                    </w:rPr>
                    <w:t>达标</w:t>
                  </w:r>
                </w:p>
              </w:tc>
            </w:tr>
            <w:tr w14:paraId="2832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7" w:hRule="exact"/>
                <w:jc w:val="center"/>
              </w:trPr>
              <w:tc>
                <w:tcPr>
                  <w:tcW w:w="310" w:type="pct"/>
                  <w:vMerge w:val="continue"/>
                  <w:shd w:val="clear" w:color="auto" w:fill="FFFFFF"/>
                  <w:vAlign w:val="center"/>
                </w:tcPr>
                <w:p w14:paraId="27DF8512">
                  <w:pPr>
                    <w:pStyle w:val="5"/>
                    <w:bidi w:val="0"/>
                    <w:rPr>
                      <w:rFonts w:hint="default"/>
                      <w:lang w:val="en-US" w:eastAsia="zh-CN"/>
                    </w:rPr>
                  </w:pPr>
                </w:p>
              </w:tc>
              <w:tc>
                <w:tcPr>
                  <w:tcW w:w="472" w:type="pct"/>
                  <w:shd w:val="clear" w:color="auto" w:fill="FFFFFF"/>
                  <w:vAlign w:val="center"/>
                </w:tcPr>
                <w:p w14:paraId="49A811E6">
                  <w:pPr>
                    <w:pStyle w:val="5"/>
                    <w:bidi w:val="0"/>
                    <w:rPr>
                      <w:rFonts w:hint="default"/>
                      <w:lang w:val="en-US" w:eastAsia="zh-CN"/>
                    </w:rPr>
                  </w:pPr>
                  <w:r>
                    <w:t>275.6</w:t>
                  </w:r>
                </w:p>
              </w:tc>
              <w:tc>
                <w:tcPr>
                  <w:tcW w:w="435" w:type="pct"/>
                  <w:shd w:val="clear" w:color="auto" w:fill="FFFFFF"/>
                  <w:vAlign w:val="center"/>
                </w:tcPr>
                <w:p w14:paraId="51B3C3F7">
                  <w:pPr>
                    <w:pStyle w:val="5"/>
                    <w:bidi w:val="0"/>
                    <w:rPr>
                      <w:rFonts w:hint="default"/>
                      <w:lang w:val="en-US" w:eastAsia="zh-CN"/>
                    </w:rPr>
                  </w:pPr>
                  <w:r>
                    <w:t>10</w:t>
                  </w:r>
                </w:p>
              </w:tc>
              <w:tc>
                <w:tcPr>
                  <w:tcW w:w="316" w:type="pct"/>
                  <w:shd w:val="clear" w:color="auto" w:fill="FFFFFF"/>
                  <w:vAlign w:val="center"/>
                </w:tcPr>
                <w:p w14:paraId="38A7ED44">
                  <w:pPr>
                    <w:pStyle w:val="5"/>
                    <w:bidi w:val="0"/>
                    <w:rPr>
                      <w:rFonts w:hint="default"/>
                      <w:lang w:val="en-US" w:eastAsia="zh-CN"/>
                    </w:rPr>
                  </w:pPr>
                  <w:r>
                    <w:t>1.2</w:t>
                  </w:r>
                </w:p>
              </w:tc>
              <w:tc>
                <w:tcPr>
                  <w:tcW w:w="509" w:type="pct"/>
                  <w:shd w:val="clear" w:color="auto" w:fill="FFFFFF"/>
                  <w:vAlign w:val="center"/>
                </w:tcPr>
                <w:p w14:paraId="30DAA677">
                  <w:pPr>
                    <w:pStyle w:val="5"/>
                    <w:bidi w:val="0"/>
                    <w:rPr>
                      <w:rFonts w:hint="default"/>
                      <w:lang w:val="en-US" w:eastAsia="zh-CN"/>
                    </w:rPr>
                  </w:pPr>
                  <w:r>
                    <w:rPr>
                      <w:lang w:val="en-US" w:eastAsia="zh-CN"/>
                    </w:rPr>
                    <w:t>夜间</w:t>
                  </w:r>
                </w:p>
              </w:tc>
              <w:tc>
                <w:tcPr>
                  <w:tcW w:w="622" w:type="pct"/>
                  <w:shd w:val="clear" w:color="auto" w:fill="FFFFFF"/>
                  <w:vAlign w:val="center"/>
                </w:tcPr>
                <w:p w14:paraId="092506B3">
                  <w:pPr>
                    <w:pStyle w:val="5"/>
                    <w:bidi w:val="0"/>
                    <w:rPr>
                      <w:rFonts w:hint="default"/>
                      <w:lang w:val="en-US" w:eastAsia="zh-CN"/>
                    </w:rPr>
                  </w:pPr>
                  <w:r>
                    <w:t>15</w:t>
                  </w:r>
                </w:p>
              </w:tc>
              <w:tc>
                <w:tcPr>
                  <w:tcW w:w="591" w:type="pct"/>
                  <w:shd w:val="clear" w:color="auto" w:fill="FFFFFF"/>
                  <w:vAlign w:val="center"/>
                </w:tcPr>
                <w:p w14:paraId="6C4DE3BB">
                  <w:pPr>
                    <w:pStyle w:val="5"/>
                    <w:bidi w:val="0"/>
                    <w:rPr>
                      <w:rFonts w:hint="default"/>
                      <w:lang w:val="en-US" w:eastAsia="zh-CN"/>
                    </w:rPr>
                  </w:pPr>
                  <w:r>
                    <w:rPr>
                      <w:rFonts w:hint="eastAsia"/>
                      <w:lang w:val="en-US" w:eastAsia="zh-CN"/>
                    </w:rPr>
                    <w:t>48</w:t>
                  </w:r>
                </w:p>
              </w:tc>
              <w:tc>
                <w:tcPr>
                  <w:tcW w:w="662" w:type="pct"/>
                  <w:shd w:val="clear" w:color="auto" w:fill="FFFFFF"/>
                  <w:vAlign w:val="center"/>
                </w:tcPr>
                <w:p w14:paraId="679DC9BB">
                  <w:pPr>
                    <w:pStyle w:val="5"/>
                    <w:bidi w:val="0"/>
                    <w:rPr>
                      <w:rFonts w:hint="default"/>
                      <w:lang w:val="en-US" w:eastAsia="zh-CN"/>
                    </w:rPr>
                  </w:pPr>
                  <w:r>
                    <w:rPr>
                      <w:rFonts w:hint="eastAsia"/>
                      <w:lang w:val="en-US" w:eastAsia="zh-CN"/>
                    </w:rPr>
                    <w:t>48</w:t>
                  </w:r>
                </w:p>
              </w:tc>
              <w:tc>
                <w:tcPr>
                  <w:tcW w:w="601" w:type="pct"/>
                  <w:shd w:val="clear" w:color="auto" w:fill="FFFFFF"/>
                  <w:vAlign w:val="center"/>
                </w:tcPr>
                <w:p w14:paraId="61D378BC">
                  <w:pPr>
                    <w:pStyle w:val="5"/>
                    <w:bidi w:val="0"/>
                    <w:rPr>
                      <w:rFonts w:hint="default"/>
                      <w:lang w:val="en-US" w:eastAsia="zh-CN"/>
                    </w:rPr>
                  </w:pPr>
                  <w:r>
                    <w:rPr>
                      <w:rFonts w:hint="eastAsia"/>
                      <w:lang w:val="en-US" w:eastAsia="zh-CN"/>
                    </w:rPr>
                    <w:t>55</w:t>
                  </w:r>
                </w:p>
              </w:tc>
              <w:tc>
                <w:tcPr>
                  <w:tcW w:w="477" w:type="pct"/>
                  <w:shd w:val="clear" w:color="auto" w:fill="FFFFFF"/>
                  <w:vAlign w:val="center"/>
                </w:tcPr>
                <w:p w14:paraId="5836198B">
                  <w:pPr>
                    <w:pStyle w:val="5"/>
                    <w:bidi w:val="0"/>
                    <w:rPr>
                      <w:rFonts w:hint="default"/>
                      <w:lang w:val="en-US" w:eastAsia="zh-CN"/>
                    </w:rPr>
                  </w:pPr>
                  <w:r>
                    <w:rPr>
                      <w:rFonts w:hint="default"/>
                      <w:lang w:val="en-US" w:eastAsia="zh-CN"/>
                    </w:rPr>
                    <w:t>达标</w:t>
                  </w:r>
                </w:p>
              </w:tc>
            </w:tr>
            <w:tr w14:paraId="59BF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03" w:hRule="exact"/>
                <w:jc w:val="center"/>
              </w:trPr>
              <w:tc>
                <w:tcPr>
                  <w:tcW w:w="310" w:type="pct"/>
                  <w:vMerge w:val="restart"/>
                  <w:shd w:val="clear" w:color="auto" w:fill="FFFFFF"/>
                  <w:vAlign w:val="center"/>
                </w:tcPr>
                <w:p w14:paraId="130B67BD">
                  <w:pPr>
                    <w:pStyle w:val="5"/>
                    <w:bidi w:val="0"/>
                    <w:rPr>
                      <w:rFonts w:hint="default"/>
                      <w:lang w:val="en-US" w:eastAsia="zh-CN"/>
                    </w:rPr>
                  </w:pPr>
                  <w:r>
                    <w:rPr>
                      <w:rFonts w:hint="default"/>
                      <w:lang w:val="en-US" w:eastAsia="zh-CN"/>
                    </w:rPr>
                    <w:t>南侧</w:t>
                  </w:r>
                </w:p>
              </w:tc>
              <w:tc>
                <w:tcPr>
                  <w:tcW w:w="472" w:type="pct"/>
                  <w:shd w:val="clear" w:color="auto" w:fill="FFFFFF"/>
                  <w:vAlign w:val="center"/>
                </w:tcPr>
                <w:p w14:paraId="2BD5F51C">
                  <w:pPr>
                    <w:pStyle w:val="5"/>
                    <w:bidi w:val="0"/>
                    <w:rPr>
                      <w:rFonts w:hint="default"/>
                      <w:lang w:val="en-US" w:eastAsia="zh-CN"/>
                    </w:rPr>
                  </w:pPr>
                  <w:r>
                    <w:t>101.4</w:t>
                  </w:r>
                </w:p>
              </w:tc>
              <w:tc>
                <w:tcPr>
                  <w:tcW w:w="435" w:type="pct"/>
                  <w:shd w:val="clear" w:color="auto" w:fill="FFFFFF"/>
                  <w:vAlign w:val="center"/>
                </w:tcPr>
                <w:p w14:paraId="1BFAE5A3">
                  <w:pPr>
                    <w:pStyle w:val="5"/>
                    <w:bidi w:val="0"/>
                    <w:rPr>
                      <w:rFonts w:hint="default"/>
                      <w:lang w:val="en-US" w:eastAsia="zh-CN"/>
                    </w:rPr>
                  </w:pPr>
                  <w:r>
                    <w:t>-86</w:t>
                  </w:r>
                </w:p>
              </w:tc>
              <w:tc>
                <w:tcPr>
                  <w:tcW w:w="316" w:type="pct"/>
                  <w:shd w:val="clear" w:color="auto" w:fill="FFFFFF"/>
                  <w:vAlign w:val="center"/>
                </w:tcPr>
                <w:p w14:paraId="409EE5DE">
                  <w:pPr>
                    <w:pStyle w:val="5"/>
                    <w:bidi w:val="0"/>
                    <w:rPr>
                      <w:rFonts w:hint="default"/>
                      <w:lang w:val="en-US" w:eastAsia="zh-CN"/>
                    </w:rPr>
                  </w:pPr>
                  <w:r>
                    <w:t>1.2</w:t>
                  </w:r>
                </w:p>
              </w:tc>
              <w:tc>
                <w:tcPr>
                  <w:tcW w:w="509" w:type="pct"/>
                  <w:shd w:val="clear" w:color="auto" w:fill="FFFFFF"/>
                  <w:vAlign w:val="center"/>
                </w:tcPr>
                <w:p w14:paraId="3A7ED6C1">
                  <w:pPr>
                    <w:pStyle w:val="5"/>
                    <w:bidi w:val="0"/>
                    <w:rPr>
                      <w:rFonts w:hint="default"/>
                      <w:lang w:val="en-US" w:eastAsia="zh-CN"/>
                    </w:rPr>
                  </w:pPr>
                  <w:r>
                    <w:rPr>
                      <w:lang w:val="en-US" w:eastAsia="zh-CN"/>
                    </w:rPr>
                    <w:t>昼间</w:t>
                  </w:r>
                </w:p>
              </w:tc>
              <w:tc>
                <w:tcPr>
                  <w:tcW w:w="622" w:type="pct"/>
                  <w:shd w:val="clear" w:color="auto" w:fill="FFFFFF"/>
                  <w:vAlign w:val="center"/>
                </w:tcPr>
                <w:p w14:paraId="4174C54A">
                  <w:pPr>
                    <w:pStyle w:val="5"/>
                    <w:bidi w:val="0"/>
                    <w:rPr>
                      <w:rFonts w:hint="default"/>
                      <w:lang w:val="en-US" w:eastAsia="zh-CN"/>
                    </w:rPr>
                  </w:pPr>
                  <w:r>
                    <w:t>36</w:t>
                  </w:r>
                </w:p>
              </w:tc>
              <w:tc>
                <w:tcPr>
                  <w:tcW w:w="591" w:type="pct"/>
                  <w:shd w:val="clear" w:color="auto" w:fill="FFFFFF"/>
                  <w:vAlign w:val="center"/>
                </w:tcPr>
                <w:p w14:paraId="29CC5462">
                  <w:pPr>
                    <w:pStyle w:val="5"/>
                    <w:bidi w:val="0"/>
                    <w:rPr>
                      <w:rFonts w:hint="default"/>
                      <w:lang w:val="en-US" w:eastAsia="zh-CN"/>
                    </w:rPr>
                  </w:pPr>
                  <w:r>
                    <w:rPr>
                      <w:rFonts w:hint="eastAsia"/>
                      <w:lang w:val="en-US" w:eastAsia="zh-CN"/>
                    </w:rPr>
                    <w:t>53</w:t>
                  </w:r>
                </w:p>
              </w:tc>
              <w:tc>
                <w:tcPr>
                  <w:tcW w:w="662" w:type="pct"/>
                  <w:shd w:val="clear" w:color="auto" w:fill="FFFFFF"/>
                  <w:vAlign w:val="center"/>
                </w:tcPr>
                <w:p w14:paraId="00D844AB">
                  <w:pPr>
                    <w:pStyle w:val="5"/>
                    <w:bidi w:val="0"/>
                    <w:rPr>
                      <w:rFonts w:hint="default"/>
                      <w:lang w:val="en-US" w:eastAsia="zh-CN"/>
                    </w:rPr>
                  </w:pPr>
                  <w:r>
                    <w:rPr>
                      <w:rFonts w:hint="eastAsia"/>
                      <w:lang w:val="en-US" w:eastAsia="zh-CN"/>
                    </w:rPr>
                    <w:t>53.09</w:t>
                  </w:r>
                </w:p>
              </w:tc>
              <w:tc>
                <w:tcPr>
                  <w:tcW w:w="601" w:type="pct"/>
                  <w:shd w:val="clear" w:color="auto" w:fill="FFFFFF"/>
                  <w:vAlign w:val="center"/>
                </w:tcPr>
                <w:p w14:paraId="64A4935B">
                  <w:pPr>
                    <w:pStyle w:val="5"/>
                    <w:bidi w:val="0"/>
                    <w:rPr>
                      <w:rFonts w:hint="default"/>
                      <w:lang w:val="en-US" w:eastAsia="zh-CN"/>
                    </w:rPr>
                  </w:pPr>
                  <w:r>
                    <w:rPr>
                      <w:rFonts w:hint="default"/>
                      <w:lang w:val="en-US" w:eastAsia="zh-CN"/>
                    </w:rPr>
                    <w:t>65</w:t>
                  </w:r>
                </w:p>
              </w:tc>
              <w:tc>
                <w:tcPr>
                  <w:tcW w:w="477" w:type="pct"/>
                  <w:shd w:val="clear" w:color="auto" w:fill="FFFFFF"/>
                  <w:vAlign w:val="center"/>
                </w:tcPr>
                <w:p w14:paraId="7EE4039C">
                  <w:pPr>
                    <w:pStyle w:val="5"/>
                    <w:bidi w:val="0"/>
                    <w:rPr>
                      <w:rFonts w:hint="default"/>
                      <w:lang w:val="en-US" w:eastAsia="zh-CN"/>
                    </w:rPr>
                  </w:pPr>
                  <w:r>
                    <w:rPr>
                      <w:rFonts w:hint="default"/>
                      <w:lang w:val="en-US" w:eastAsia="zh-CN"/>
                    </w:rPr>
                    <w:t>达标</w:t>
                  </w:r>
                </w:p>
              </w:tc>
            </w:tr>
            <w:tr w14:paraId="1D1C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exact"/>
                <w:jc w:val="center"/>
              </w:trPr>
              <w:tc>
                <w:tcPr>
                  <w:tcW w:w="310" w:type="pct"/>
                  <w:vMerge w:val="continue"/>
                  <w:shd w:val="clear" w:color="auto" w:fill="FFFFFF"/>
                  <w:vAlign w:val="center"/>
                </w:tcPr>
                <w:p w14:paraId="24625136">
                  <w:pPr>
                    <w:pStyle w:val="5"/>
                    <w:bidi w:val="0"/>
                    <w:rPr>
                      <w:rFonts w:hint="default"/>
                      <w:lang w:val="en-US" w:eastAsia="zh-CN"/>
                    </w:rPr>
                  </w:pPr>
                </w:p>
              </w:tc>
              <w:tc>
                <w:tcPr>
                  <w:tcW w:w="472" w:type="pct"/>
                  <w:shd w:val="clear" w:color="auto" w:fill="FFFFFF"/>
                  <w:vAlign w:val="center"/>
                </w:tcPr>
                <w:p w14:paraId="758BA50C">
                  <w:pPr>
                    <w:pStyle w:val="5"/>
                    <w:bidi w:val="0"/>
                    <w:rPr>
                      <w:rFonts w:hint="default"/>
                      <w:lang w:val="en-US" w:eastAsia="zh-CN"/>
                    </w:rPr>
                  </w:pPr>
                  <w:r>
                    <w:t>101.4</w:t>
                  </w:r>
                </w:p>
              </w:tc>
              <w:tc>
                <w:tcPr>
                  <w:tcW w:w="435" w:type="pct"/>
                  <w:shd w:val="clear" w:color="auto" w:fill="FFFFFF"/>
                  <w:vAlign w:val="center"/>
                </w:tcPr>
                <w:p w14:paraId="2F0312D7">
                  <w:pPr>
                    <w:pStyle w:val="5"/>
                    <w:bidi w:val="0"/>
                    <w:rPr>
                      <w:rFonts w:hint="default"/>
                      <w:lang w:val="en-US" w:eastAsia="zh-CN"/>
                    </w:rPr>
                  </w:pPr>
                  <w:r>
                    <w:t>-86</w:t>
                  </w:r>
                </w:p>
              </w:tc>
              <w:tc>
                <w:tcPr>
                  <w:tcW w:w="316" w:type="pct"/>
                  <w:shd w:val="clear" w:color="auto" w:fill="FFFFFF"/>
                  <w:vAlign w:val="center"/>
                </w:tcPr>
                <w:p w14:paraId="7E2083F7">
                  <w:pPr>
                    <w:pStyle w:val="5"/>
                    <w:bidi w:val="0"/>
                    <w:rPr>
                      <w:rFonts w:hint="default"/>
                      <w:lang w:val="en-US" w:eastAsia="zh-CN"/>
                    </w:rPr>
                  </w:pPr>
                  <w:r>
                    <w:t>1.2</w:t>
                  </w:r>
                </w:p>
              </w:tc>
              <w:tc>
                <w:tcPr>
                  <w:tcW w:w="509" w:type="pct"/>
                  <w:shd w:val="clear" w:color="auto" w:fill="FFFFFF"/>
                  <w:vAlign w:val="center"/>
                </w:tcPr>
                <w:p w14:paraId="6746924C">
                  <w:pPr>
                    <w:pStyle w:val="5"/>
                    <w:bidi w:val="0"/>
                    <w:rPr>
                      <w:rFonts w:hint="default"/>
                      <w:lang w:val="en-US" w:eastAsia="zh-CN"/>
                    </w:rPr>
                  </w:pPr>
                  <w:r>
                    <w:rPr>
                      <w:lang w:val="en-US" w:eastAsia="zh-CN"/>
                    </w:rPr>
                    <w:t>夜间</w:t>
                  </w:r>
                </w:p>
              </w:tc>
              <w:tc>
                <w:tcPr>
                  <w:tcW w:w="622" w:type="pct"/>
                  <w:shd w:val="clear" w:color="auto" w:fill="FFFFFF"/>
                  <w:vAlign w:val="center"/>
                </w:tcPr>
                <w:p w14:paraId="27EFCAB5">
                  <w:pPr>
                    <w:pStyle w:val="5"/>
                    <w:bidi w:val="0"/>
                    <w:rPr>
                      <w:rFonts w:hint="default"/>
                      <w:lang w:val="en-US" w:eastAsia="zh-CN"/>
                    </w:rPr>
                  </w:pPr>
                  <w:r>
                    <w:t>36</w:t>
                  </w:r>
                </w:p>
              </w:tc>
              <w:tc>
                <w:tcPr>
                  <w:tcW w:w="591" w:type="pct"/>
                  <w:shd w:val="clear" w:color="auto" w:fill="FFFFFF"/>
                  <w:vAlign w:val="center"/>
                </w:tcPr>
                <w:p w14:paraId="7BBF603C">
                  <w:pPr>
                    <w:pStyle w:val="5"/>
                    <w:bidi w:val="0"/>
                    <w:rPr>
                      <w:rFonts w:hint="default"/>
                      <w:lang w:val="en-US" w:eastAsia="zh-CN"/>
                    </w:rPr>
                  </w:pPr>
                  <w:r>
                    <w:rPr>
                      <w:rFonts w:hint="eastAsia"/>
                      <w:lang w:val="en-US" w:eastAsia="zh-CN"/>
                    </w:rPr>
                    <w:t>50.5</w:t>
                  </w:r>
                </w:p>
              </w:tc>
              <w:tc>
                <w:tcPr>
                  <w:tcW w:w="662" w:type="pct"/>
                  <w:shd w:val="clear" w:color="auto" w:fill="FFFFFF"/>
                  <w:vAlign w:val="center"/>
                </w:tcPr>
                <w:p w14:paraId="432B105D">
                  <w:pPr>
                    <w:pStyle w:val="5"/>
                    <w:bidi w:val="0"/>
                    <w:rPr>
                      <w:rFonts w:hint="default"/>
                      <w:lang w:val="en-US" w:eastAsia="zh-CN"/>
                    </w:rPr>
                  </w:pPr>
                  <w:r>
                    <w:rPr>
                      <w:rFonts w:hint="eastAsia"/>
                      <w:lang w:val="en-US" w:eastAsia="zh-CN"/>
                    </w:rPr>
                    <w:t>50.65</w:t>
                  </w:r>
                </w:p>
              </w:tc>
              <w:tc>
                <w:tcPr>
                  <w:tcW w:w="601" w:type="pct"/>
                  <w:shd w:val="clear" w:color="auto" w:fill="FFFFFF"/>
                  <w:vAlign w:val="center"/>
                </w:tcPr>
                <w:p w14:paraId="48A6927C">
                  <w:pPr>
                    <w:pStyle w:val="5"/>
                    <w:bidi w:val="0"/>
                    <w:rPr>
                      <w:rFonts w:hint="default"/>
                      <w:lang w:val="en-US" w:eastAsia="zh-CN"/>
                    </w:rPr>
                  </w:pPr>
                  <w:r>
                    <w:rPr>
                      <w:rFonts w:hint="eastAsia"/>
                      <w:lang w:val="en-US" w:eastAsia="zh-CN"/>
                    </w:rPr>
                    <w:t>55</w:t>
                  </w:r>
                </w:p>
              </w:tc>
              <w:tc>
                <w:tcPr>
                  <w:tcW w:w="477" w:type="pct"/>
                  <w:shd w:val="clear" w:color="auto" w:fill="FFFFFF"/>
                  <w:vAlign w:val="center"/>
                </w:tcPr>
                <w:p w14:paraId="2C1DA963">
                  <w:pPr>
                    <w:pStyle w:val="5"/>
                    <w:bidi w:val="0"/>
                    <w:rPr>
                      <w:rFonts w:hint="default"/>
                      <w:lang w:val="en-US" w:eastAsia="zh-CN"/>
                    </w:rPr>
                  </w:pPr>
                  <w:r>
                    <w:rPr>
                      <w:rFonts w:hint="default"/>
                      <w:lang w:val="en-US" w:eastAsia="zh-CN"/>
                    </w:rPr>
                    <w:t>达标</w:t>
                  </w:r>
                </w:p>
              </w:tc>
            </w:tr>
            <w:tr w14:paraId="1F8E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3" w:hRule="exact"/>
                <w:jc w:val="center"/>
              </w:trPr>
              <w:tc>
                <w:tcPr>
                  <w:tcW w:w="310" w:type="pct"/>
                  <w:vMerge w:val="restart"/>
                  <w:shd w:val="clear" w:color="auto" w:fill="FFFFFF"/>
                  <w:vAlign w:val="center"/>
                </w:tcPr>
                <w:p w14:paraId="6D265714">
                  <w:pPr>
                    <w:pStyle w:val="5"/>
                    <w:bidi w:val="0"/>
                    <w:rPr>
                      <w:rFonts w:hint="default"/>
                      <w:lang w:val="en-US" w:eastAsia="zh-CN"/>
                    </w:rPr>
                  </w:pPr>
                  <w:r>
                    <w:rPr>
                      <w:rFonts w:hint="default"/>
                      <w:lang w:val="en-US" w:eastAsia="zh-CN"/>
                    </w:rPr>
                    <w:t>西侧</w:t>
                  </w:r>
                </w:p>
              </w:tc>
              <w:tc>
                <w:tcPr>
                  <w:tcW w:w="472" w:type="pct"/>
                  <w:shd w:val="clear" w:color="auto" w:fill="FFFFFF"/>
                  <w:vAlign w:val="center"/>
                </w:tcPr>
                <w:p w14:paraId="63007B74">
                  <w:pPr>
                    <w:pStyle w:val="5"/>
                    <w:bidi w:val="0"/>
                    <w:rPr>
                      <w:rFonts w:hint="default"/>
                      <w:lang w:val="en-US" w:eastAsia="zh-CN"/>
                    </w:rPr>
                  </w:pPr>
                  <w:r>
                    <w:t>-1.2</w:t>
                  </w:r>
                </w:p>
              </w:tc>
              <w:tc>
                <w:tcPr>
                  <w:tcW w:w="435" w:type="pct"/>
                  <w:shd w:val="clear" w:color="auto" w:fill="FFFFFF"/>
                  <w:vAlign w:val="center"/>
                </w:tcPr>
                <w:p w14:paraId="0D0A042F">
                  <w:pPr>
                    <w:pStyle w:val="5"/>
                    <w:bidi w:val="0"/>
                    <w:rPr>
                      <w:rFonts w:hint="default"/>
                      <w:lang w:val="en-US" w:eastAsia="zh-CN"/>
                    </w:rPr>
                  </w:pPr>
                  <w:r>
                    <w:t>-0.7</w:t>
                  </w:r>
                </w:p>
              </w:tc>
              <w:tc>
                <w:tcPr>
                  <w:tcW w:w="316" w:type="pct"/>
                  <w:shd w:val="clear" w:color="auto" w:fill="FFFFFF"/>
                  <w:vAlign w:val="center"/>
                </w:tcPr>
                <w:p w14:paraId="0FD71351">
                  <w:pPr>
                    <w:pStyle w:val="5"/>
                    <w:bidi w:val="0"/>
                    <w:rPr>
                      <w:rFonts w:hint="default"/>
                      <w:lang w:val="en-US" w:eastAsia="zh-CN"/>
                    </w:rPr>
                  </w:pPr>
                  <w:r>
                    <w:t>1.2</w:t>
                  </w:r>
                </w:p>
              </w:tc>
              <w:tc>
                <w:tcPr>
                  <w:tcW w:w="509" w:type="pct"/>
                  <w:shd w:val="clear" w:color="auto" w:fill="FFFFFF"/>
                  <w:vAlign w:val="center"/>
                </w:tcPr>
                <w:p w14:paraId="6B709B65">
                  <w:pPr>
                    <w:pStyle w:val="5"/>
                    <w:bidi w:val="0"/>
                    <w:rPr>
                      <w:rFonts w:hint="default"/>
                      <w:lang w:val="en-US" w:eastAsia="zh-CN"/>
                    </w:rPr>
                  </w:pPr>
                  <w:r>
                    <w:rPr>
                      <w:lang w:val="en-US" w:eastAsia="zh-CN"/>
                    </w:rPr>
                    <w:t>昼间</w:t>
                  </w:r>
                </w:p>
              </w:tc>
              <w:tc>
                <w:tcPr>
                  <w:tcW w:w="622" w:type="pct"/>
                  <w:shd w:val="clear" w:color="auto" w:fill="FFFFFF"/>
                  <w:vAlign w:val="center"/>
                </w:tcPr>
                <w:p w14:paraId="107BDC10">
                  <w:pPr>
                    <w:pStyle w:val="5"/>
                    <w:bidi w:val="0"/>
                    <w:rPr>
                      <w:rFonts w:hint="default"/>
                      <w:lang w:val="en-US" w:eastAsia="zh-CN"/>
                    </w:rPr>
                  </w:pPr>
                  <w:r>
                    <w:t>31.7</w:t>
                  </w:r>
                </w:p>
              </w:tc>
              <w:tc>
                <w:tcPr>
                  <w:tcW w:w="591" w:type="pct"/>
                  <w:shd w:val="clear" w:color="auto" w:fill="FFFFFF"/>
                  <w:vAlign w:val="center"/>
                </w:tcPr>
                <w:p w14:paraId="6028553D">
                  <w:pPr>
                    <w:pStyle w:val="5"/>
                    <w:bidi w:val="0"/>
                    <w:rPr>
                      <w:rFonts w:hint="default"/>
                      <w:lang w:val="en-US" w:eastAsia="zh-CN"/>
                    </w:rPr>
                  </w:pPr>
                  <w:r>
                    <w:rPr>
                      <w:rFonts w:hint="eastAsia"/>
                      <w:lang w:val="en-US" w:eastAsia="zh-CN"/>
                    </w:rPr>
                    <w:t>53</w:t>
                  </w:r>
                </w:p>
              </w:tc>
              <w:tc>
                <w:tcPr>
                  <w:tcW w:w="662" w:type="pct"/>
                  <w:shd w:val="clear" w:color="auto" w:fill="FFFFFF"/>
                  <w:vAlign w:val="center"/>
                </w:tcPr>
                <w:p w14:paraId="17837A15">
                  <w:pPr>
                    <w:pStyle w:val="5"/>
                    <w:bidi w:val="0"/>
                    <w:rPr>
                      <w:rFonts w:hint="default"/>
                      <w:lang w:val="en-US" w:eastAsia="zh-CN"/>
                    </w:rPr>
                  </w:pPr>
                  <w:r>
                    <w:rPr>
                      <w:rFonts w:hint="eastAsia"/>
                      <w:lang w:val="en-US" w:eastAsia="zh-CN"/>
                    </w:rPr>
                    <w:t>53.03</w:t>
                  </w:r>
                </w:p>
              </w:tc>
              <w:tc>
                <w:tcPr>
                  <w:tcW w:w="601" w:type="pct"/>
                  <w:shd w:val="clear" w:color="auto" w:fill="FFFFFF"/>
                  <w:vAlign w:val="center"/>
                </w:tcPr>
                <w:p w14:paraId="56049A08">
                  <w:pPr>
                    <w:pStyle w:val="5"/>
                    <w:bidi w:val="0"/>
                    <w:rPr>
                      <w:rFonts w:hint="default"/>
                      <w:lang w:val="en-US" w:eastAsia="zh-CN"/>
                    </w:rPr>
                  </w:pPr>
                  <w:r>
                    <w:rPr>
                      <w:rFonts w:hint="default"/>
                      <w:lang w:val="en-US" w:eastAsia="zh-CN"/>
                    </w:rPr>
                    <w:t>65</w:t>
                  </w:r>
                </w:p>
              </w:tc>
              <w:tc>
                <w:tcPr>
                  <w:tcW w:w="477" w:type="pct"/>
                  <w:shd w:val="clear" w:color="auto" w:fill="FFFFFF"/>
                  <w:vAlign w:val="center"/>
                </w:tcPr>
                <w:p w14:paraId="524C76F5">
                  <w:pPr>
                    <w:pStyle w:val="5"/>
                    <w:bidi w:val="0"/>
                    <w:rPr>
                      <w:rFonts w:hint="default"/>
                      <w:lang w:val="en-US" w:eastAsia="zh-CN"/>
                    </w:rPr>
                  </w:pPr>
                  <w:r>
                    <w:rPr>
                      <w:rFonts w:hint="default"/>
                      <w:lang w:val="en-US" w:eastAsia="zh-CN"/>
                    </w:rPr>
                    <w:t>达标</w:t>
                  </w:r>
                </w:p>
              </w:tc>
            </w:tr>
            <w:tr w14:paraId="113A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23" w:hRule="exact"/>
                <w:jc w:val="center"/>
              </w:trPr>
              <w:tc>
                <w:tcPr>
                  <w:tcW w:w="310" w:type="pct"/>
                  <w:vMerge w:val="continue"/>
                  <w:shd w:val="clear" w:color="auto" w:fill="FFFFFF"/>
                  <w:vAlign w:val="center"/>
                </w:tcPr>
                <w:p w14:paraId="0722AEBE">
                  <w:pPr>
                    <w:pStyle w:val="5"/>
                    <w:bidi w:val="0"/>
                    <w:rPr>
                      <w:rFonts w:hint="default"/>
                      <w:lang w:val="en-US" w:eastAsia="zh-CN"/>
                    </w:rPr>
                  </w:pPr>
                </w:p>
              </w:tc>
              <w:tc>
                <w:tcPr>
                  <w:tcW w:w="472" w:type="pct"/>
                  <w:shd w:val="clear" w:color="auto" w:fill="FFFFFF"/>
                  <w:vAlign w:val="center"/>
                </w:tcPr>
                <w:p w14:paraId="0B34A0F9">
                  <w:pPr>
                    <w:pStyle w:val="5"/>
                    <w:bidi w:val="0"/>
                    <w:rPr>
                      <w:rFonts w:hint="default"/>
                      <w:lang w:val="en-US" w:eastAsia="zh-CN"/>
                    </w:rPr>
                  </w:pPr>
                  <w:r>
                    <w:t>-1.2</w:t>
                  </w:r>
                </w:p>
              </w:tc>
              <w:tc>
                <w:tcPr>
                  <w:tcW w:w="435" w:type="pct"/>
                  <w:shd w:val="clear" w:color="auto" w:fill="FFFFFF"/>
                  <w:vAlign w:val="center"/>
                </w:tcPr>
                <w:p w14:paraId="392C7E1A">
                  <w:pPr>
                    <w:pStyle w:val="5"/>
                    <w:bidi w:val="0"/>
                    <w:rPr>
                      <w:rFonts w:hint="default"/>
                      <w:lang w:val="en-US" w:eastAsia="zh-CN"/>
                    </w:rPr>
                  </w:pPr>
                  <w:r>
                    <w:t>-0.7</w:t>
                  </w:r>
                </w:p>
              </w:tc>
              <w:tc>
                <w:tcPr>
                  <w:tcW w:w="316" w:type="pct"/>
                  <w:shd w:val="clear" w:color="auto" w:fill="FFFFFF"/>
                  <w:vAlign w:val="center"/>
                </w:tcPr>
                <w:p w14:paraId="37ED7B02">
                  <w:pPr>
                    <w:pStyle w:val="5"/>
                    <w:bidi w:val="0"/>
                    <w:rPr>
                      <w:rFonts w:hint="default"/>
                      <w:lang w:val="en-US" w:eastAsia="zh-CN"/>
                    </w:rPr>
                  </w:pPr>
                  <w:r>
                    <w:t>1.2</w:t>
                  </w:r>
                </w:p>
              </w:tc>
              <w:tc>
                <w:tcPr>
                  <w:tcW w:w="509" w:type="pct"/>
                  <w:shd w:val="clear" w:color="auto" w:fill="FFFFFF"/>
                  <w:vAlign w:val="center"/>
                </w:tcPr>
                <w:p w14:paraId="30BE3A48">
                  <w:pPr>
                    <w:pStyle w:val="5"/>
                    <w:bidi w:val="0"/>
                    <w:rPr>
                      <w:rFonts w:hint="default"/>
                      <w:lang w:val="en-US" w:eastAsia="zh-CN"/>
                    </w:rPr>
                  </w:pPr>
                  <w:r>
                    <w:rPr>
                      <w:lang w:val="en-US" w:eastAsia="zh-CN"/>
                    </w:rPr>
                    <w:t>夜间</w:t>
                  </w:r>
                </w:p>
              </w:tc>
              <w:tc>
                <w:tcPr>
                  <w:tcW w:w="622" w:type="pct"/>
                  <w:shd w:val="clear" w:color="auto" w:fill="FFFFFF"/>
                  <w:vAlign w:val="center"/>
                </w:tcPr>
                <w:p w14:paraId="47293DD6">
                  <w:pPr>
                    <w:pStyle w:val="5"/>
                    <w:bidi w:val="0"/>
                    <w:rPr>
                      <w:rFonts w:hint="default"/>
                      <w:lang w:val="en-US" w:eastAsia="zh-CN"/>
                    </w:rPr>
                  </w:pPr>
                  <w:r>
                    <w:t>31.7</w:t>
                  </w:r>
                </w:p>
              </w:tc>
              <w:tc>
                <w:tcPr>
                  <w:tcW w:w="591" w:type="pct"/>
                  <w:shd w:val="clear" w:color="auto" w:fill="FFFFFF"/>
                  <w:vAlign w:val="center"/>
                </w:tcPr>
                <w:p w14:paraId="6C9EC4A6">
                  <w:pPr>
                    <w:pStyle w:val="5"/>
                    <w:bidi w:val="0"/>
                    <w:rPr>
                      <w:rFonts w:hint="default"/>
                      <w:lang w:val="en-US" w:eastAsia="zh-CN"/>
                    </w:rPr>
                  </w:pPr>
                  <w:r>
                    <w:rPr>
                      <w:rFonts w:hint="eastAsia"/>
                      <w:lang w:val="en-US" w:eastAsia="zh-CN"/>
                    </w:rPr>
                    <w:t>51</w:t>
                  </w:r>
                </w:p>
              </w:tc>
              <w:tc>
                <w:tcPr>
                  <w:tcW w:w="662" w:type="pct"/>
                  <w:shd w:val="clear" w:color="auto" w:fill="FFFFFF"/>
                  <w:vAlign w:val="center"/>
                </w:tcPr>
                <w:p w14:paraId="25A6AC12">
                  <w:pPr>
                    <w:pStyle w:val="5"/>
                    <w:bidi w:val="0"/>
                    <w:rPr>
                      <w:rFonts w:hint="default"/>
                      <w:lang w:val="en-US" w:eastAsia="zh-CN"/>
                    </w:rPr>
                  </w:pPr>
                  <w:r>
                    <w:rPr>
                      <w:rFonts w:hint="eastAsia"/>
                      <w:lang w:val="en-US" w:eastAsia="zh-CN"/>
                    </w:rPr>
                    <w:t>51.05</w:t>
                  </w:r>
                </w:p>
              </w:tc>
              <w:tc>
                <w:tcPr>
                  <w:tcW w:w="601" w:type="pct"/>
                  <w:shd w:val="clear" w:color="auto" w:fill="FFFFFF"/>
                  <w:vAlign w:val="center"/>
                </w:tcPr>
                <w:p w14:paraId="753F07A2">
                  <w:pPr>
                    <w:pStyle w:val="5"/>
                    <w:bidi w:val="0"/>
                    <w:rPr>
                      <w:rFonts w:hint="default"/>
                      <w:lang w:val="en-US" w:eastAsia="zh-CN"/>
                    </w:rPr>
                  </w:pPr>
                  <w:r>
                    <w:rPr>
                      <w:rFonts w:hint="eastAsia"/>
                      <w:lang w:val="en-US" w:eastAsia="zh-CN"/>
                    </w:rPr>
                    <w:t>55</w:t>
                  </w:r>
                </w:p>
              </w:tc>
              <w:tc>
                <w:tcPr>
                  <w:tcW w:w="477" w:type="pct"/>
                  <w:shd w:val="clear" w:color="auto" w:fill="FFFFFF"/>
                  <w:vAlign w:val="center"/>
                </w:tcPr>
                <w:p w14:paraId="4D2F5B2A">
                  <w:pPr>
                    <w:pStyle w:val="5"/>
                    <w:bidi w:val="0"/>
                    <w:rPr>
                      <w:rFonts w:hint="default"/>
                      <w:lang w:val="en-US" w:eastAsia="zh-CN"/>
                    </w:rPr>
                  </w:pPr>
                  <w:r>
                    <w:rPr>
                      <w:rFonts w:hint="default"/>
                      <w:lang w:val="en-US" w:eastAsia="zh-CN"/>
                    </w:rPr>
                    <w:t>达标</w:t>
                  </w:r>
                </w:p>
              </w:tc>
            </w:tr>
            <w:tr w14:paraId="5F5E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exact"/>
                <w:jc w:val="center"/>
              </w:trPr>
              <w:tc>
                <w:tcPr>
                  <w:tcW w:w="310" w:type="pct"/>
                  <w:vMerge w:val="restart"/>
                  <w:shd w:val="clear" w:color="auto" w:fill="FFFFFF"/>
                  <w:vAlign w:val="center"/>
                </w:tcPr>
                <w:p w14:paraId="4063E7E3">
                  <w:pPr>
                    <w:pStyle w:val="5"/>
                    <w:bidi w:val="0"/>
                    <w:rPr>
                      <w:rFonts w:hint="default"/>
                      <w:lang w:val="en-US" w:eastAsia="zh-CN"/>
                    </w:rPr>
                  </w:pPr>
                  <w:r>
                    <w:rPr>
                      <w:rFonts w:hint="default"/>
                      <w:lang w:val="en-US" w:eastAsia="zh-CN"/>
                    </w:rPr>
                    <w:t>北侧</w:t>
                  </w:r>
                </w:p>
              </w:tc>
              <w:tc>
                <w:tcPr>
                  <w:tcW w:w="472" w:type="pct"/>
                  <w:shd w:val="clear" w:color="auto" w:fill="FFFFFF"/>
                  <w:vAlign w:val="center"/>
                </w:tcPr>
                <w:p w14:paraId="7FFF4F9A">
                  <w:pPr>
                    <w:pStyle w:val="5"/>
                    <w:bidi w:val="0"/>
                    <w:rPr>
                      <w:rFonts w:hint="default"/>
                      <w:lang w:val="en-US" w:eastAsia="zh-CN"/>
                    </w:rPr>
                  </w:pPr>
                  <w:r>
                    <w:t>64.8</w:t>
                  </w:r>
                </w:p>
              </w:tc>
              <w:tc>
                <w:tcPr>
                  <w:tcW w:w="435" w:type="pct"/>
                  <w:shd w:val="clear" w:color="auto" w:fill="FFFFFF"/>
                  <w:vAlign w:val="center"/>
                </w:tcPr>
                <w:p w14:paraId="052B71B5">
                  <w:pPr>
                    <w:pStyle w:val="5"/>
                    <w:bidi w:val="0"/>
                    <w:rPr>
                      <w:rFonts w:hint="default"/>
                      <w:lang w:val="en-US" w:eastAsia="zh-CN"/>
                    </w:rPr>
                  </w:pPr>
                  <w:r>
                    <w:t>37.7</w:t>
                  </w:r>
                </w:p>
              </w:tc>
              <w:tc>
                <w:tcPr>
                  <w:tcW w:w="316" w:type="pct"/>
                  <w:shd w:val="clear" w:color="auto" w:fill="FFFFFF"/>
                  <w:vAlign w:val="center"/>
                </w:tcPr>
                <w:p w14:paraId="2B11737F">
                  <w:pPr>
                    <w:pStyle w:val="5"/>
                    <w:bidi w:val="0"/>
                    <w:rPr>
                      <w:rFonts w:hint="default"/>
                      <w:lang w:val="en-US" w:eastAsia="zh-CN"/>
                    </w:rPr>
                  </w:pPr>
                  <w:r>
                    <w:t>1.2</w:t>
                  </w:r>
                </w:p>
              </w:tc>
              <w:tc>
                <w:tcPr>
                  <w:tcW w:w="509" w:type="pct"/>
                  <w:shd w:val="clear" w:color="auto" w:fill="FFFFFF"/>
                  <w:vAlign w:val="center"/>
                </w:tcPr>
                <w:p w14:paraId="0E0C6AE3">
                  <w:pPr>
                    <w:pStyle w:val="5"/>
                    <w:bidi w:val="0"/>
                    <w:rPr>
                      <w:rFonts w:hint="default"/>
                      <w:lang w:val="en-US" w:eastAsia="zh-CN"/>
                    </w:rPr>
                  </w:pPr>
                  <w:r>
                    <w:rPr>
                      <w:lang w:val="en-US" w:eastAsia="zh-CN"/>
                    </w:rPr>
                    <w:t>昼间</w:t>
                  </w:r>
                </w:p>
              </w:tc>
              <w:tc>
                <w:tcPr>
                  <w:tcW w:w="622" w:type="pct"/>
                  <w:shd w:val="clear" w:color="auto" w:fill="FFFFFF"/>
                  <w:vAlign w:val="center"/>
                </w:tcPr>
                <w:p w14:paraId="4A36A81E">
                  <w:pPr>
                    <w:pStyle w:val="5"/>
                    <w:bidi w:val="0"/>
                    <w:rPr>
                      <w:rFonts w:hint="default"/>
                      <w:lang w:val="en-US" w:eastAsia="zh-CN"/>
                    </w:rPr>
                  </w:pPr>
                  <w:r>
                    <w:t>39.3</w:t>
                  </w:r>
                </w:p>
              </w:tc>
              <w:tc>
                <w:tcPr>
                  <w:tcW w:w="591" w:type="pct"/>
                  <w:shd w:val="clear" w:color="auto" w:fill="FFFFFF"/>
                  <w:vAlign w:val="center"/>
                </w:tcPr>
                <w:p w14:paraId="7420A7A6">
                  <w:pPr>
                    <w:pStyle w:val="5"/>
                    <w:bidi w:val="0"/>
                    <w:rPr>
                      <w:rFonts w:hint="default"/>
                      <w:lang w:val="en-US" w:eastAsia="zh-CN"/>
                    </w:rPr>
                  </w:pPr>
                  <w:r>
                    <w:rPr>
                      <w:rFonts w:hint="eastAsia"/>
                      <w:lang w:val="en-US" w:eastAsia="zh-CN"/>
                    </w:rPr>
                    <w:t>55</w:t>
                  </w:r>
                </w:p>
              </w:tc>
              <w:tc>
                <w:tcPr>
                  <w:tcW w:w="662" w:type="pct"/>
                  <w:shd w:val="clear" w:color="auto" w:fill="FFFFFF"/>
                  <w:vAlign w:val="center"/>
                </w:tcPr>
                <w:p w14:paraId="2119AC2D">
                  <w:pPr>
                    <w:pStyle w:val="5"/>
                    <w:bidi w:val="0"/>
                    <w:rPr>
                      <w:rFonts w:hint="default"/>
                      <w:lang w:val="en-US" w:eastAsia="zh-CN"/>
                    </w:rPr>
                  </w:pPr>
                  <w:r>
                    <w:rPr>
                      <w:rFonts w:hint="eastAsia"/>
                      <w:lang w:val="en-US" w:eastAsia="zh-CN"/>
                    </w:rPr>
                    <w:t>55.12</w:t>
                  </w:r>
                </w:p>
              </w:tc>
              <w:tc>
                <w:tcPr>
                  <w:tcW w:w="601" w:type="pct"/>
                  <w:shd w:val="clear" w:color="auto" w:fill="FFFFFF"/>
                  <w:vAlign w:val="center"/>
                </w:tcPr>
                <w:p w14:paraId="4E00DF91">
                  <w:pPr>
                    <w:pStyle w:val="5"/>
                    <w:bidi w:val="0"/>
                    <w:rPr>
                      <w:rFonts w:hint="default"/>
                      <w:lang w:val="en-US" w:eastAsia="zh-CN"/>
                    </w:rPr>
                  </w:pPr>
                  <w:r>
                    <w:rPr>
                      <w:rFonts w:hint="default"/>
                      <w:lang w:val="en-US" w:eastAsia="zh-CN"/>
                    </w:rPr>
                    <w:t>65</w:t>
                  </w:r>
                </w:p>
              </w:tc>
              <w:tc>
                <w:tcPr>
                  <w:tcW w:w="477" w:type="pct"/>
                  <w:shd w:val="clear" w:color="auto" w:fill="FFFFFF"/>
                  <w:vAlign w:val="center"/>
                </w:tcPr>
                <w:p w14:paraId="56422438">
                  <w:pPr>
                    <w:pStyle w:val="5"/>
                    <w:bidi w:val="0"/>
                    <w:rPr>
                      <w:rFonts w:hint="default"/>
                      <w:lang w:val="en-US" w:eastAsia="zh-CN"/>
                    </w:rPr>
                  </w:pPr>
                  <w:r>
                    <w:rPr>
                      <w:rFonts w:hint="default"/>
                      <w:lang w:val="en-US" w:eastAsia="zh-CN"/>
                    </w:rPr>
                    <w:t>达标</w:t>
                  </w:r>
                </w:p>
              </w:tc>
            </w:tr>
            <w:tr w14:paraId="04F2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4" w:hRule="exact"/>
                <w:jc w:val="center"/>
              </w:trPr>
              <w:tc>
                <w:tcPr>
                  <w:tcW w:w="310" w:type="pct"/>
                  <w:vMerge w:val="continue"/>
                  <w:shd w:val="clear" w:color="auto" w:fill="FFFFFF"/>
                  <w:vAlign w:val="center"/>
                </w:tcPr>
                <w:p w14:paraId="72CEDC26">
                  <w:pPr>
                    <w:pStyle w:val="5"/>
                    <w:bidi w:val="0"/>
                    <w:rPr>
                      <w:rFonts w:hint="default"/>
                      <w:lang w:val="en-US" w:eastAsia="zh-CN"/>
                    </w:rPr>
                  </w:pPr>
                </w:p>
              </w:tc>
              <w:tc>
                <w:tcPr>
                  <w:tcW w:w="472" w:type="pct"/>
                  <w:shd w:val="clear" w:color="auto" w:fill="FFFFFF"/>
                  <w:vAlign w:val="center"/>
                </w:tcPr>
                <w:p w14:paraId="15EFB602">
                  <w:pPr>
                    <w:pStyle w:val="5"/>
                    <w:bidi w:val="0"/>
                    <w:rPr>
                      <w:rFonts w:hint="default"/>
                      <w:lang w:val="en-US" w:eastAsia="zh-CN"/>
                    </w:rPr>
                  </w:pPr>
                  <w:r>
                    <w:t>64.8</w:t>
                  </w:r>
                </w:p>
              </w:tc>
              <w:tc>
                <w:tcPr>
                  <w:tcW w:w="435" w:type="pct"/>
                  <w:shd w:val="clear" w:color="auto" w:fill="FFFFFF"/>
                  <w:vAlign w:val="center"/>
                </w:tcPr>
                <w:p w14:paraId="0635FF36">
                  <w:pPr>
                    <w:pStyle w:val="5"/>
                    <w:bidi w:val="0"/>
                    <w:rPr>
                      <w:rFonts w:hint="default"/>
                      <w:lang w:val="en-US" w:eastAsia="zh-CN"/>
                    </w:rPr>
                  </w:pPr>
                  <w:r>
                    <w:t>37.7</w:t>
                  </w:r>
                </w:p>
              </w:tc>
              <w:tc>
                <w:tcPr>
                  <w:tcW w:w="316" w:type="pct"/>
                  <w:shd w:val="clear" w:color="auto" w:fill="FFFFFF"/>
                  <w:vAlign w:val="center"/>
                </w:tcPr>
                <w:p w14:paraId="16675C1F">
                  <w:pPr>
                    <w:pStyle w:val="5"/>
                    <w:bidi w:val="0"/>
                    <w:rPr>
                      <w:rFonts w:hint="default"/>
                      <w:lang w:val="en-US" w:eastAsia="zh-CN"/>
                    </w:rPr>
                  </w:pPr>
                  <w:r>
                    <w:t>1.2</w:t>
                  </w:r>
                </w:p>
              </w:tc>
              <w:tc>
                <w:tcPr>
                  <w:tcW w:w="509" w:type="pct"/>
                  <w:shd w:val="clear" w:color="auto" w:fill="FFFFFF"/>
                  <w:vAlign w:val="center"/>
                </w:tcPr>
                <w:p w14:paraId="4C9783D7">
                  <w:pPr>
                    <w:pStyle w:val="5"/>
                    <w:bidi w:val="0"/>
                    <w:rPr>
                      <w:rFonts w:hint="default"/>
                      <w:lang w:val="en-US" w:eastAsia="zh-CN"/>
                    </w:rPr>
                  </w:pPr>
                  <w:r>
                    <w:rPr>
                      <w:lang w:val="en-US" w:eastAsia="zh-CN"/>
                    </w:rPr>
                    <w:t>夜间</w:t>
                  </w:r>
                </w:p>
              </w:tc>
              <w:tc>
                <w:tcPr>
                  <w:tcW w:w="622" w:type="pct"/>
                  <w:shd w:val="clear" w:color="auto" w:fill="FFFFFF"/>
                  <w:vAlign w:val="center"/>
                </w:tcPr>
                <w:p w14:paraId="3E04A8AD">
                  <w:pPr>
                    <w:pStyle w:val="5"/>
                    <w:bidi w:val="0"/>
                    <w:rPr>
                      <w:rFonts w:hint="default"/>
                      <w:lang w:val="en-US" w:eastAsia="zh-CN"/>
                    </w:rPr>
                  </w:pPr>
                  <w:r>
                    <w:t>39.3</w:t>
                  </w:r>
                </w:p>
              </w:tc>
              <w:tc>
                <w:tcPr>
                  <w:tcW w:w="591" w:type="pct"/>
                  <w:shd w:val="clear" w:color="auto" w:fill="FFFFFF"/>
                  <w:vAlign w:val="center"/>
                </w:tcPr>
                <w:p w14:paraId="123E6D52">
                  <w:pPr>
                    <w:pStyle w:val="5"/>
                    <w:bidi w:val="0"/>
                    <w:rPr>
                      <w:rFonts w:hint="default"/>
                      <w:lang w:val="en-US" w:eastAsia="zh-CN"/>
                    </w:rPr>
                  </w:pPr>
                  <w:r>
                    <w:rPr>
                      <w:rFonts w:hint="eastAsia"/>
                      <w:lang w:val="en-US" w:eastAsia="zh-CN"/>
                    </w:rPr>
                    <w:t>51</w:t>
                  </w:r>
                </w:p>
              </w:tc>
              <w:tc>
                <w:tcPr>
                  <w:tcW w:w="662" w:type="pct"/>
                  <w:shd w:val="clear" w:color="auto" w:fill="FFFFFF"/>
                  <w:vAlign w:val="center"/>
                </w:tcPr>
                <w:p w14:paraId="3E92B4F7">
                  <w:pPr>
                    <w:pStyle w:val="5"/>
                    <w:bidi w:val="0"/>
                    <w:rPr>
                      <w:rFonts w:hint="default"/>
                      <w:lang w:val="en-US" w:eastAsia="zh-CN"/>
                    </w:rPr>
                  </w:pPr>
                  <w:r>
                    <w:rPr>
                      <w:rFonts w:hint="eastAsia"/>
                      <w:lang w:val="en-US" w:eastAsia="zh-CN"/>
                    </w:rPr>
                    <w:t>51.28</w:t>
                  </w:r>
                </w:p>
              </w:tc>
              <w:tc>
                <w:tcPr>
                  <w:tcW w:w="601" w:type="pct"/>
                  <w:shd w:val="clear" w:color="auto" w:fill="FFFFFF"/>
                  <w:vAlign w:val="center"/>
                </w:tcPr>
                <w:p w14:paraId="64E5F754">
                  <w:pPr>
                    <w:pStyle w:val="5"/>
                    <w:bidi w:val="0"/>
                    <w:rPr>
                      <w:rFonts w:hint="default"/>
                      <w:lang w:val="en-US" w:eastAsia="zh-CN"/>
                    </w:rPr>
                  </w:pPr>
                  <w:r>
                    <w:rPr>
                      <w:rFonts w:hint="eastAsia"/>
                      <w:lang w:val="en-US" w:eastAsia="zh-CN"/>
                    </w:rPr>
                    <w:t>55</w:t>
                  </w:r>
                </w:p>
              </w:tc>
              <w:tc>
                <w:tcPr>
                  <w:tcW w:w="477" w:type="pct"/>
                  <w:shd w:val="clear" w:color="auto" w:fill="FFFFFF"/>
                  <w:vAlign w:val="center"/>
                </w:tcPr>
                <w:p w14:paraId="78954F15">
                  <w:pPr>
                    <w:pStyle w:val="5"/>
                    <w:bidi w:val="0"/>
                    <w:rPr>
                      <w:rFonts w:hint="default"/>
                      <w:lang w:val="en-US" w:eastAsia="zh-CN"/>
                    </w:rPr>
                  </w:pPr>
                  <w:r>
                    <w:rPr>
                      <w:rFonts w:hint="default"/>
                      <w:lang w:val="en-US" w:eastAsia="zh-CN"/>
                    </w:rPr>
                    <w:t>达标</w:t>
                  </w:r>
                </w:p>
              </w:tc>
            </w:tr>
            <w:tr w14:paraId="085D7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804" w:hRule="exact"/>
                <w:jc w:val="center"/>
              </w:trPr>
              <w:tc>
                <w:tcPr>
                  <w:tcW w:w="5000" w:type="pct"/>
                  <w:gridSpan w:val="10"/>
                  <w:shd w:val="clear" w:color="auto" w:fill="FFFFFF"/>
                  <w:vAlign w:val="center"/>
                </w:tcPr>
                <w:p w14:paraId="46E59546">
                  <w:pPr>
                    <w:pStyle w:val="5"/>
                    <w:bidi w:val="0"/>
                    <w:rPr>
                      <w:rFonts w:hint="eastAsia"/>
                      <w:bCs/>
                      <w:color w:val="auto"/>
                      <w:szCs w:val="21"/>
                      <w:highlight w:val="none"/>
                      <w:lang w:val="en-US" w:eastAsia="zh-CN"/>
                    </w:rPr>
                  </w:pPr>
                  <w:r>
                    <w:rPr>
                      <w:rFonts w:hint="eastAsia"/>
                      <w:bCs/>
                      <w:color w:val="auto"/>
                      <w:szCs w:val="21"/>
                      <w:highlight w:val="none"/>
                    </w:rPr>
                    <w:t>注：</w:t>
                  </w:r>
                  <w:r>
                    <w:rPr>
                      <w:bCs/>
                      <w:color w:val="auto"/>
                      <w:szCs w:val="21"/>
                      <w:highlight w:val="none"/>
                    </w:rPr>
                    <w:t>表中坐标以厂界中心（</w:t>
                  </w:r>
                  <w:r>
                    <w:rPr>
                      <w:rFonts w:hint="default"/>
                      <w:bCs/>
                      <w:color w:val="auto"/>
                      <w:szCs w:val="21"/>
                      <w:highlight w:val="none"/>
                      <w:lang w:val="en-US" w:eastAsia="zh-CN"/>
                    </w:rPr>
                    <w:t>84.0194778,41.825542</w:t>
                  </w:r>
                  <w:r>
                    <w:rPr>
                      <w:bCs/>
                      <w:color w:val="auto"/>
                      <w:szCs w:val="21"/>
                      <w:highlight w:val="none"/>
                    </w:rPr>
                    <w:t>）为坐标原点，正东向为X轴正方向，正北向为Y轴正方向</w:t>
                  </w:r>
                  <w:r>
                    <w:rPr>
                      <w:rFonts w:hint="eastAsia"/>
                      <w:bCs/>
                      <w:color w:val="auto"/>
                      <w:szCs w:val="21"/>
                      <w:highlight w:val="none"/>
                    </w:rPr>
                    <w:t>。现状值采用验收监测报告中正常生产时段的监测数据（详见附件）</w:t>
                  </w:r>
                  <w:r>
                    <w:rPr>
                      <w:rFonts w:hint="eastAsia"/>
                      <w:bCs/>
                      <w:color w:val="auto"/>
                      <w:szCs w:val="21"/>
                      <w:highlight w:val="none"/>
                      <w:lang w:eastAsia="zh-CN"/>
                    </w:rPr>
                    <w:t>。</w:t>
                  </w:r>
                </w:p>
                <w:p w14:paraId="0F4123F6">
                  <w:pPr>
                    <w:pStyle w:val="5"/>
                    <w:bidi w:val="0"/>
                    <w:rPr>
                      <w:rFonts w:hint="default"/>
                      <w:lang w:val="en-US" w:eastAsia="zh-CN"/>
                    </w:rPr>
                  </w:pPr>
                </w:p>
              </w:tc>
            </w:tr>
          </w:tbl>
          <w:p w14:paraId="2A3A389F">
            <w:pPr>
              <w:ind w:firstLine="480" w:firstLineChars="200"/>
              <w:rPr>
                <w:rFonts w:hint="eastAsia"/>
                <w:bCs/>
                <w:color w:val="auto"/>
                <w:szCs w:val="21"/>
                <w:highlight w:val="none"/>
              </w:rPr>
            </w:pPr>
            <w:r>
              <w:rPr>
                <w:rFonts w:hint="eastAsia"/>
                <w:bCs/>
                <w:color w:val="auto"/>
                <w:szCs w:val="21"/>
                <w:highlight w:val="none"/>
                <w:lang w:val="en-US" w:eastAsia="zh-CN"/>
              </w:rPr>
              <w:t>由上表可知，正常工况下，项目厂界噪声贡献值满足《工业企业厂界环境噪声排放标准》（GB12348-2008）3类标准。</w:t>
            </w:r>
          </w:p>
          <w:p w14:paraId="316E7598">
            <w:pPr>
              <w:bidi w:val="0"/>
              <w:rPr>
                <w:rFonts w:hint="default"/>
                <w:lang w:val="en-US" w:eastAsia="zh-CN"/>
              </w:rPr>
            </w:pPr>
            <w:r>
              <w:rPr>
                <w:rFonts w:hint="default"/>
                <w:lang w:val="en-US" w:eastAsia="zh-CN"/>
              </w:rPr>
              <w:t>本环评要求采取以下措施：</w:t>
            </w:r>
          </w:p>
          <w:p w14:paraId="13C862B2">
            <w:pPr>
              <w:bidi w:val="0"/>
              <w:rPr>
                <w:rFonts w:hint="default"/>
                <w:lang w:val="en-US" w:eastAsia="zh-CN"/>
              </w:rPr>
            </w:pPr>
            <w:r>
              <w:rPr>
                <w:rFonts w:hint="default"/>
                <w:lang w:val="en-US" w:eastAsia="zh-CN"/>
              </w:rPr>
              <w:t>（1）在设备的选型中要注意选用低噪声的设备，以降低声源噪声。</w:t>
            </w:r>
          </w:p>
          <w:p w14:paraId="3BF5F982">
            <w:pPr>
              <w:bidi w:val="0"/>
              <w:rPr>
                <w:rFonts w:hint="default"/>
                <w:lang w:val="en-US" w:eastAsia="zh-CN"/>
              </w:rPr>
            </w:pPr>
            <w:r>
              <w:rPr>
                <w:rFonts w:hint="default"/>
                <w:lang w:val="en-US" w:eastAsia="zh-CN"/>
              </w:rPr>
              <w:t>（2）在总图布局上根据工艺流程要求，尽可能将高噪设备集中，还应根据高噪声设备所在位置，充分利用噪声的指向性，利用建筑物的阻隔效应，科学布置以保证厂界噪声达标。</w:t>
            </w:r>
          </w:p>
          <w:p w14:paraId="5EBB1907">
            <w:pPr>
              <w:bidi w:val="0"/>
              <w:rPr>
                <w:rFonts w:hint="default"/>
                <w:lang w:val="en-US" w:eastAsia="zh-CN"/>
              </w:rPr>
            </w:pPr>
            <w:r>
              <w:rPr>
                <w:rFonts w:hint="default"/>
                <w:lang w:val="en-US" w:eastAsia="zh-CN"/>
              </w:rPr>
              <w:t>（3）对高噪声设备采用基础减振、消声器、隔声罩等措施，以降低噪声。</w:t>
            </w:r>
          </w:p>
          <w:p w14:paraId="507D5F31">
            <w:pPr>
              <w:bidi w:val="0"/>
              <w:rPr>
                <w:rFonts w:hint="default"/>
                <w:lang w:val="en-US" w:eastAsia="zh-CN"/>
              </w:rPr>
            </w:pPr>
            <w:r>
              <w:rPr>
                <w:rFonts w:hint="default"/>
                <w:lang w:val="en-US" w:eastAsia="zh-CN"/>
              </w:rPr>
              <w:t>（4）加强管理，经常对产噪设备的性能进行检查，保持设备平衡，以减少振动的产生，平时要对防噪设施经常维护，确保其发挥正常功能。</w:t>
            </w:r>
          </w:p>
          <w:p w14:paraId="30A2CE7F">
            <w:pPr>
              <w:pStyle w:val="2"/>
              <w:bidi w:val="0"/>
            </w:pPr>
            <w:r>
              <w:rPr>
                <w:rFonts w:hint="eastAsia"/>
                <w:lang w:val="en-US" w:eastAsia="zh-CN"/>
              </w:rPr>
              <w:t xml:space="preserve">3.4 </w:t>
            </w:r>
            <w:r>
              <w:t>监测要求</w:t>
            </w:r>
          </w:p>
          <w:p w14:paraId="1A62C4C6">
            <w:pPr>
              <w:spacing w:line="520" w:lineRule="exact"/>
              <w:ind w:firstLine="480" w:firstLineChars="200"/>
              <w:jc w:val="left"/>
              <w:rPr>
                <w:bCs/>
                <w:color w:val="auto"/>
                <w:sz w:val="24"/>
                <w:highlight w:val="none"/>
              </w:rPr>
            </w:pPr>
            <w:r>
              <w:rPr>
                <w:bCs/>
                <w:color w:val="auto"/>
                <w:sz w:val="24"/>
                <w:highlight w:val="none"/>
              </w:rPr>
              <w:t>根据《排污单位自行监测技术指南 总则》（HJ 819-2017）、《排污单位自行监测技术指南 工业噪声》（HJ 1301-2023）中的有关规定要求，针对本次项目产排污特点，制定本项目的监测计划，具体内容见下表。</w:t>
            </w:r>
          </w:p>
          <w:p w14:paraId="085154F0">
            <w:pPr>
              <w:pStyle w:val="4"/>
              <w:bidi w:val="0"/>
            </w:pPr>
            <w:r>
              <w:t>表</w:t>
            </w:r>
            <w:r>
              <w:rPr>
                <w:rFonts w:hint="eastAsia"/>
              </w:rPr>
              <w:t>4-</w:t>
            </w:r>
            <w:r>
              <w:rPr>
                <w:rFonts w:hint="eastAsia"/>
                <w:lang w:val="en-US" w:eastAsia="zh-CN"/>
              </w:rPr>
              <w:t>10</w:t>
            </w:r>
            <w:r>
              <w:t xml:space="preserve">  监测计划一览表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1939"/>
              <w:gridCol w:w="1530"/>
              <w:gridCol w:w="3614"/>
            </w:tblGrid>
            <w:tr w14:paraId="3FC9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1" w:hRule="atLeast"/>
              </w:trPr>
              <w:tc>
                <w:tcPr>
                  <w:tcW w:w="669" w:type="pct"/>
                  <w:noWrap w:val="0"/>
                  <w:vAlign w:val="center"/>
                </w:tcPr>
                <w:p w14:paraId="323B8A30">
                  <w:pPr>
                    <w:pStyle w:val="5"/>
                    <w:bidi w:val="0"/>
                  </w:pPr>
                  <w:r>
                    <w:t>监测点位</w:t>
                  </w:r>
                </w:p>
              </w:tc>
              <w:tc>
                <w:tcPr>
                  <w:tcW w:w="1185" w:type="pct"/>
                  <w:noWrap w:val="0"/>
                  <w:vAlign w:val="center"/>
                </w:tcPr>
                <w:p w14:paraId="41DD9276">
                  <w:pPr>
                    <w:pStyle w:val="5"/>
                    <w:bidi w:val="0"/>
                  </w:pPr>
                  <w:r>
                    <w:t>监测项目</w:t>
                  </w:r>
                </w:p>
              </w:tc>
              <w:tc>
                <w:tcPr>
                  <w:tcW w:w="935" w:type="pct"/>
                  <w:noWrap w:val="0"/>
                  <w:vAlign w:val="center"/>
                </w:tcPr>
                <w:p w14:paraId="359372FB">
                  <w:pPr>
                    <w:pStyle w:val="5"/>
                    <w:bidi w:val="0"/>
                  </w:pPr>
                  <w:r>
                    <w:t>监测频次</w:t>
                  </w:r>
                </w:p>
              </w:tc>
              <w:tc>
                <w:tcPr>
                  <w:tcW w:w="2209" w:type="pct"/>
                  <w:noWrap w:val="0"/>
                  <w:vAlign w:val="center"/>
                </w:tcPr>
                <w:p w14:paraId="33651771">
                  <w:pPr>
                    <w:pStyle w:val="5"/>
                    <w:bidi w:val="0"/>
                  </w:pPr>
                  <w:r>
                    <w:t>执行标准</w:t>
                  </w:r>
                </w:p>
              </w:tc>
            </w:tr>
            <w:tr w14:paraId="12E4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9" w:type="pct"/>
                  <w:noWrap w:val="0"/>
                  <w:vAlign w:val="center"/>
                </w:tcPr>
                <w:p w14:paraId="70AB4946">
                  <w:pPr>
                    <w:pStyle w:val="5"/>
                    <w:bidi w:val="0"/>
                  </w:pPr>
                  <w:r>
                    <w:t>厂界外1米</w:t>
                  </w:r>
                </w:p>
              </w:tc>
              <w:tc>
                <w:tcPr>
                  <w:tcW w:w="1185" w:type="pct"/>
                  <w:noWrap w:val="0"/>
                  <w:vAlign w:val="center"/>
                </w:tcPr>
                <w:p w14:paraId="754E30C2">
                  <w:pPr>
                    <w:pStyle w:val="5"/>
                    <w:bidi w:val="0"/>
                  </w:pPr>
                  <w:r>
                    <w:t>连续等效A声级</w:t>
                  </w:r>
                </w:p>
              </w:tc>
              <w:tc>
                <w:tcPr>
                  <w:tcW w:w="935" w:type="pct"/>
                  <w:noWrap w:val="0"/>
                  <w:vAlign w:val="center"/>
                </w:tcPr>
                <w:p w14:paraId="42E7B5EC">
                  <w:pPr>
                    <w:pStyle w:val="5"/>
                    <w:bidi w:val="0"/>
                  </w:pPr>
                  <w:r>
                    <w:t>1次/季度</w:t>
                  </w:r>
                </w:p>
              </w:tc>
              <w:tc>
                <w:tcPr>
                  <w:tcW w:w="2209" w:type="pct"/>
                  <w:noWrap w:val="0"/>
                  <w:vAlign w:val="center"/>
                </w:tcPr>
                <w:p w14:paraId="128E1D27">
                  <w:pPr>
                    <w:pStyle w:val="5"/>
                    <w:bidi w:val="0"/>
                  </w:pPr>
                  <w:r>
                    <w:t>《工业企业厂界环境噪声排放标准》（GB12348-2008）中</w:t>
                  </w:r>
                  <w:r>
                    <w:rPr>
                      <w:rFonts w:hint="eastAsia"/>
                      <w:lang w:val="en-US" w:eastAsia="zh-CN"/>
                    </w:rPr>
                    <w:t>3</w:t>
                  </w:r>
                  <w:r>
                    <w:t>类标准</w:t>
                  </w:r>
                </w:p>
              </w:tc>
            </w:tr>
          </w:tbl>
          <w:p w14:paraId="21AAA095">
            <w:pPr>
              <w:pStyle w:val="2"/>
              <w:bidi w:val="0"/>
              <w:rPr>
                <w:lang w:val="en-US" w:eastAsia="zh-CN"/>
              </w:rPr>
            </w:pPr>
            <w:r>
              <w:rPr>
                <w:lang w:val="en-US" w:eastAsia="zh-CN"/>
              </w:rPr>
              <w:t>4</w:t>
            </w:r>
            <w:r>
              <w:rPr>
                <w:rFonts w:hint="eastAsia"/>
                <w:lang w:val="en-US" w:eastAsia="zh-CN"/>
              </w:rPr>
              <w:t xml:space="preserve"> </w:t>
            </w:r>
            <w:r>
              <w:rPr>
                <w:lang w:val="en-US" w:eastAsia="zh-CN"/>
              </w:rPr>
              <w:t>固体废物对环境的影响</w:t>
            </w:r>
          </w:p>
          <w:p w14:paraId="627AE256">
            <w:pPr>
              <w:bidi w:val="0"/>
              <w:rPr>
                <w:lang w:val="en-US" w:eastAsia="zh-CN"/>
              </w:rPr>
            </w:pPr>
            <w:r>
              <w:rPr>
                <w:lang w:val="en-US" w:eastAsia="zh-CN"/>
              </w:rPr>
              <w:t>根据</w:t>
            </w:r>
            <w:r>
              <w:rPr>
                <w:rFonts w:hint="eastAsia"/>
                <w:lang w:val="en-US" w:eastAsia="zh-CN"/>
              </w:rPr>
              <w:t>企业提供资料，本项目使用的泵均为屏蔽泵，无需进行润滑，因此该项目运行过程中无固废产生。现有工程</w:t>
            </w:r>
            <w:r>
              <w:rPr>
                <w:lang w:val="en-US" w:eastAsia="zh-CN"/>
              </w:rPr>
              <w:t>油气回收装置定期更换的废活性炭、污水处理站隔油+气浮工段排放的浮渣、废导热油、软化水站废离子交换树脂、空压站废分子筛及办公生活垃圾产生情况均不变。</w:t>
            </w:r>
            <w:r>
              <w:rPr>
                <w:rFonts w:hint="eastAsia"/>
                <w:lang w:val="en-US" w:eastAsia="zh-CN"/>
              </w:rPr>
              <w:t>现有工程产生的固体废物均已得到合理处置。</w:t>
            </w:r>
          </w:p>
          <w:p w14:paraId="5D987C6C">
            <w:pPr>
              <w:pStyle w:val="2"/>
              <w:bidi w:val="0"/>
              <w:rPr>
                <w:lang w:val="en-US" w:eastAsia="zh-CN"/>
              </w:rPr>
            </w:pPr>
            <w:r>
              <w:rPr>
                <w:rFonts w:hint="eastAsia"/>
                <w:lang w:val="en-US" w:eastAsia="zh-CN"/>
              </w:rPr>
              <w:t xml:space="preserve">5 </w:t>
            </w:r>
            <w:r>
              <w:rPr>
                <w:lang w:val="en-US" w:eastAsia="zh-CN"/>
              </w:rPr>
              <w:t>土壤、地下水环境影响评价及防治措施</w:t>
            </w:r>
          </w:p>
          <w:p w14:paraId="51748AC1">
            <w:pPr>
              <w:bidi w:val="0"/>
              <w:rPr>
                <w:lang w:val="en-US" w:eastAsia="zh-CN"/>
              </w:rPr>
            </w:pPr>
            <w:r>
              <w:rPr>
                <w:rFonts w:hint="default"/>
                <w:lang w:val="en-US" w:eastAsia="zh-CN"/>
              </w:rPr>
              <w:t>项目涉及</w:t>
            </w:r>
            <w:r>
              <w:rPr>
                <w:rFonts w:hint="eastAsia"/>
                <w:lang w:val="en-US" w:eastAsia="zh-CN"/>
              </w:rPr>
              <w:t>1#轻烃、碳五烷烃物料</w:t>
            </w:r>
            <w:r>
              <w:rPr>
                <w:rFonts w:hint="default"/>
                <w:lang w:val="en-US" w:eastAsia="zh-CN"/>
              </w:rPr>
              <w:t>的储存。为确保项目储存</w:t>
            </w:r>
            <w:r>
              <w:rPr>
                <w:rFonts w:hint="eastAsia"/>
                <w:lang w:val="en-US" w:eastAsia="zh-CN"/>
              </w:rPr>
              <w:t>过程</w:t>
            </w:r>
            <w:r>
              <w:rPr>
                <w:rFonts w:hint="default"/>
                <w:lang w:val="en-US" w:eastAsia="zh-CN"/>
              </w:rPr>
              <w:t>不对周围地下水、土壤产生污染，按照《危险废物贮存污染控制标准》（GB 18597—2023）和《环境影响评价技术导则 地下水环境》（HJ 6</w:t>
            </w:r>
            <w:r>
              <w:rPr>
                <w:rFonts w:hint="eastAsia"/>
                <w:lang w:val="en-US" w:eastAsia="zh-CN"/>
              </w:rPr>
              <w:t>10</w:t>
            </w:r>
            <w:r>
              <w:rPr>
                <w:rFonts w:hint="default"/>
                <w:lang w:val="en-US" w:eastAsia="zh-CN"/>
              </w:rPr>
              <w:t>-2016）中相关规定要求，本项目厂区地面采取分区防渗措施。</w:t>
            </w:r>
          </w:p>
          <w:p w14:paraId="057EBFE8">
            <w:pPr>
              <w:bidi w:val="0"/>
              <w:rPr>
                <w:lang w:val="en-US" w:eastAsia="zh-CN"/>
              </w:rPr>
            </w:pPr>
            <w:r>
              <w:rPr>
                <w:lang w:val="en-US" w:eastAsia="zh-CN"/>
              </w:rPr>
              <w:t>厂区已采取分区防渗要求</w:t>
            </w:r>
            <w:r>
              <w:rPr>
                <w:rFonts w:hint="eastAsia"/>
                <w:lang w:val="en-US" w:eastAsia="zh-CN"/>
              </w:rPr>
              <w:t>，具体防渗措施见下表。</w:t>
            </w:r>
          </w:p>
          <w:p w14:paraId="622F1C53">
            <w:pPr>
              <w:widowControl w:val="0"/>
              <w:spacing w:before="127" w:beforeLines="53" w:line="240" w:lineRule="auto"/>
              <w:jc w:val="center"/>
              <w:rPr>
                <w:rFonts w:eastAsia="宋体"/>
                <w:b/>
                <w:spacing w:val="2"/>
                <w:kern w:val="2"/>
                <w:lang w:val="en-US" w:eastAsia="zh-CN" w:bidi="ar-SA"/>
              </w:rPr>
            </w:pPr>
            <w:r>
              <w:rPr>
                <w:rFonts w:eastAsia="宋体"/>
                <w:b/>
                <w:spacing w:val="2"/>
                <w:kern w:val="2"/>
                <w:lang w:val="en-US" w:eastAsia="zh-CN" w:bidi="ar-SA"/>
              </w:rPr>
              <w:t>表4-</w:t>
            </w:r>
            <w:r>
              <w:rPr>
                <w:rFonts w:hint="eastAsia"/>
                <w:b/>
                <w:spacing w:val="2"/>
                <w:kern w:val="2"/>
                <w:lang w:val="en-US" w:eastAsia="zh-CN" w:bidi="ar-SA"/>
              </w:rPr>
              <w:t>11</w:t>
            </w:r>
            <w:r>
              <w:rPr>
                <w:rFonts w:eastAsia="宋体"/>
                <w:b/>
                <w:spacing w:val="2"/>
                <w:kern w:val="2"/>
                <w:lang w:val="en-US" w:eastAsia="zh-CN" w:bidi="ar-SA"/>
              </w:rPr>
              <w:t xml:space="preserve">  </w:t>
            </w:r>
            <w:r>
              <w:rPr>
                <w:rFonts w:hint="eastAsia" w:eastAsia="宋体"/>
                <w:b/>
                <w:spacing w:val="2"/>
                <w:kern w:val="2"/>
                <w:lang w:val="en-US" w:eastAsia="zh-CN" w:bidi="ar-SA"/>
              </w:rPr>
              <w:t>厂区防渗措施一览表</w:t>
            </w:r>
          </w:p>
          <w:tbl>
            <w:tblPr>
              <w:tblStyle w:val="29"/>
              <w:tblW w:w="4998" w:type="pct"/>
              <w:tblInd w:w="1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640"/>
              <w:gridCol w:w="960"/>
              <w:gridCol w:w="1111"/>
              <w:gridCol w:w="2984"/>
              <w:gridCol w:w="2482"/>
            </w:tblGrid>
            <w:tr w14:paraId="659FC54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91" w:type="pct"/>
                  <w:vAlign w:val="center"/>
                </w:tcPr>
                <w:p w14:paraId="33B59B05">
                  <w:pPr>
                    <w:pStyle w:val="5"/>
                    <w:bidi w:val="0"/>
                    <w:rPr>
                      <w:rFonts w:hint="eastAsia"/>
                      <w:lang w:val="en-US" w:eastAsia="zh-CN"/>
                    </w:rPr>
                  </w:pPr>
                  <w:r>
                    <w:rPr>
                      <w:rFonts w:hint="eastAsia"/>
                      <w:lang w:val="en-US" w:eastAsia="zh-CN"/>
                    </w:rPr>
                    <w:t>序号</w:t>
                  </w:r>
                </w:p>
              </w:tc>
              <w:tc>
                <w:tcPr>
                  <w:tcW w:w="587" w:type="pct"/>
                  <w:vAlign w:val="center"/>
                </w:tcPr>
                <w:p w14:paraId="0C8A6010">
                  <w:pPr>
                    <w:pStyle w:val="5"/>
                    <w:bidi w:val="0"/>
                    <w:rPr>
                      <w:rFonts w:hint="eastAsia"/>
                      <w:lang w:val="en-US" w:eastAsia="zh-CN"/>
                    </w:rPr>
                  </w:pPr>
                  <w:r>
                    <w:rPr>
                      <w:rFonts w:hint="eastAsia"/>
                      <w:lang w:val="en-US" w:eastAsia="zh-CN"/>
                    </w:rPr>
                    <w:t>区域</w:t>
                  </w:r>
                </w:p>
              </w:tc>
              <w:tc>
                <w:tcPr>
                  <w:tcW w:w="679" w:type="pct"/>
                  <w:vAlign w:val="center"/>
                </w:tcPr>
                <w:p w14:paraId="49E17662">
                  <w:pPr>
                    <w:pStyle w:val="5"/>
                    <w:bidi w:val="0"/>
                    <w:rPr>
                      <w:lang w:val="en-US" w:eastAsia="zh-CN"/>
                    </w:rPr>
                  </w:pPr>
                  <w:r>
                    <w:rPr>
                      <w:rFonts w:hint="eastAsia"/>
                      <w:lang w:val="en-US" w:eastAsia="zh-CN"/>
                    </w:rPr>
                    <w:t>防渗级别</w:t>
                  </w:r>
                </w:p>
              </w:tc>
              <w:tc>
                <w:tcPr>
                  <w:tcW w:w="1824" w:type="pct"/>
                  <w:vAlign w:val="center"/>
                </w:tcPr>
                <w:p w14:paraId="359CD706">
                  <w:pPr>
                    <w:pStyle w:val="5"/>
                    <w:bidi w:val="0"/>
                    <w:rPr>
                      <w:lang w:val="en-US" w:eastAsia="zh-CN"/>
                    </w:rPr>
                  </w:pPr>
                  <w:r>
                    <w:rPr>
                      <w:rFonts w:hint="eastAsia"/>
                      <w:lang w:val="en-US" w:eastAsia="zh-CN"/>
                    </w:rPr>
                    <w:t>具体措施</w:t>
                  </w:r>
                </w:p>
              </w:tc>
              <w:tc>
                <w:tcPr>
                  <w:tcW w:w="1517" w:type="pct"/>
                  <w:vAlign w:val="center"/>
                </w:tcPr>
                <w:p w14:paraId="371AA0E4">
                  <w:pPr>
                    <w:pStyle w:val="5"/>
                    <w:bidi w:val="0"/>
                    <w:rPr>
                      <w:lang w:val="en-US" w:eastAsia="zh-CN"/>
                    </w:rPr>
                  </w:pPr>
                  <w:r>
                    <w:rPr>
                      <w:rFonts w:hint="eastAsia"/>
                      <w:lang w:val="en-US" w:eastAsia="zh-CN"/>
                    </w:rPr>
                    <w:t>防渗要求</w:t>
                  </w:r>
                </w:p>
              </w:tc>
            </w:tr>
            <w:tr w14:paraId="0FFBA57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91" w:type="pct"/>
                  <w:vAlign w:val="center"/>
                </w:tcPr>
                <w:p w14:paraId="2ED41C9F">
                  <w:pPr>
                    <w:pStyle w:val="5"/>
                    <w:bidi w:val="0"/>
                    <w:rPr>
                      <w:rFonts w:hint="eastAsia"/>
                      <w:lang w:val="en-US" w:eastAsia="zh-CN"/>
                    </w:rPr>
                  </w:pPr>
                  <w:r>
                    <w:rPr>
                      <w:rFonts w:hint="eastAsia"/>
                      <w:lang w:val="en-US" w:eastAsia="zh-CN"/>
                    </w:rPr>
                    <w:t>1</w:t>
                  </w:r>
                </w:p>
              </w:tc>
              <w:tc>
                <w:tcPr>
                  <w:tcW w:w="587" w:type="pct"/>
                  <w:vAlign w:val="center"/>
                </w:tcPr>
                <w:p w14:paraId="718ECE6B">
                  <w:pPr>
                    <w:pStyle w:val="5"/>
                    <w:bidi w:val="0"/>
                    <w:rPr>
                      <w:rFonts w:hint="default"/>
                      <w:lang w:val="en-US" w:eastAsia="zh-CN"/>
                    </w:rPr>
                  </w:pPr>
                  <w:r>
                    <w:rPr>
                      <w:rFonts w:hint="eastAsia"/>
                      <w:lang w:val="en-US" w:eastAsia="zh-CN"/>
                    </w:rPr>
                    <w:t>罐区四</w:t>
                  </w:r>
                </w:p>
              </w:tc>
              <w:tc>
                <w:tcPr>
                  <w:tcW w:w="679" w:type="pct"/>
                  <w:vAlign w:val="center"/>
                </w:tcPr>
                <w:p w14:paraId="3E173EF6">
                  <w:pPr>
                    <w:pStyle w:val="5"/>
                    <w:bidi w:val="0"/>
                    <w:rPr>
                      <w:lang w:val="en-US" w:eastAsia="zh-CN"/>
                    </w:rPr>
                  </w:pPr>
                  <w:r>
                    <w:rPr>
                      <w:rFonts w:hint="eastAsia"/>
                      <w:lang w:val="en-US" w:eastAsia="zh-CN"/>
                    </w:rPr>
                    <w:t>重点防渗区</w:t>
                  </w:r>
                </w:p>
              </w:tc>
              <w:tc>
                <w:tcPr>
                  <w:tcW w:w="1824" w:type="pct"/>
                  <w:vAlign w:val="center"/>
                </w:tcPr>
                <w:p w14:paraId="0C9AAEC1">
                  <w:pPr>
                    <w:pStyle w:val="5"/>
                    <w:bidi w:val="0"/>
                    <w:rPr>
                      <w:lang w:val="en-US" w:eastAsia="zh-CN"/>
                    </w:rPr>
                  </w:pPr>
                  <w:r>
                    <w:rPr>
                      <w:lang w:val="en-US" w:eastAsia="zh-CN"/>
                    </w:rPr>
                    <w:t>钢筋混凝土地面及围堰，底及围堰</w:t>
                  </w:r>
                  <w:r>
                    <w:rPr>
                      <w:rFonts w:hint="eastAsia"/>
                      <w:lang w:val="en-US" w:eastAsia="zh-CN"/>
                    </w:rPr>
                    <w:t>厚度</w:t>
                  </w:r>
                  <w:r>
                    <w:rPr>
                      <w:lang w:val="en-US" w:eastAsia="zh-CN"/>
                    </w:rPr>
                    <w:t>均为400mm，内侧刷防腐防渗涂层，底层侧壁外侧铺设防渗土工膜，基础之下土层经强夯处理。</w:t>
                  </w:r>
                </w:p>
              </w:tc>
              <w:tc>
                <w:tcPr>
                  <w:tcW w:w="1517" w:type="pct"/>
                  <w:vAlign w:val="center"/>
                </w:tcPr>
                <w:p w14:paraId="2050F045">
                  <w:pPr>
                    <w:pStyle w:val="5"/>
                    <w:bidi w:val="0"/>
                    <w:rPr>
                      <w:lang w:val="en-US" w:eastAsia="zh-CN"/>
                    </w:rPr>
                  </w:pPr>
                  <w:r>
                    <w:rPr>
                      <w:lang w:val="en-US" w:eastAsia="zh-CN"/>
                    </w:rPr>
                    <w:t>等效黏土防渗层Mb≥6.0m，K≤1×10</w:t>
                  </w:r>
                  <w:r>
                    <w:rPr>
                      <w:vertAlign w:val="superscript"/>
                      <w:lang w:val="en-US" w:eastAsia="zh-CN"/>
                    </w:rPr>
                    <w:t>-7</w:t>
                  </w:r>
                  <w:r>
                    <w:rPr>
                      <w:lang w:val="en-US" w:eastAsia="zh-CN"/>
                    </w:rPr>
                    <w:t>cm/s或《危险废物填埋污染控制标准》（GB18598-2019）中相关要求</w:t>
                  </w:r>
                </w:p>
              </w:tc>
            </w:tr>
          </w:tbl>
          <w:p w14:paraId="2CC00792">
            <w:pPr>
              <w:bidi w:val="0"/>
              <w:rPr>
                <w:rFonts w:hint="eastAsia"/>
                <w:lang w:val="en-US" w:eastAsia="zh-CN"/>
              </w:rPr>
            </w:pPr>
            <w:r>
              <w:rPr>
                <w:rFonts w:hint="eastAsia"/>
                <w:lang w:val="en-US" w:eastAsia="zh-CN"/>
              </w:rPr>
              <w:t>现有工程环境质量监测计划如下：</w:t>
            </w:r>
          </w:p>
          <w:p w14:paraId="6ACB6F42">
            <w:pPr>
              <w:pStyle w:val="4"/>
              <w:bidi w:val="0"/>
              <w:rPr>
                <w:rFonts w:hint="eastAsia"/>
                <w:lang w:val="en-US" w:eastAsia="zh-CN"/>
              </w:rPr>
            </w:pPr>
            <w:r>
              <w:rPr>
                <w:rFonts w:hint="eastAsia"/>
                <w:lang w:val="en-US" w:eastAsia="zh-CN"/>
              </w:rPr>
              <w:t>表4-12  厂区现有地下水监测计划</w:t>
            </w:r>
          </w:p>
          <w:tbl>
            <w:tblPr>
              <w:tblStyle w:val="2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942"/>
              <w:gridCol w:w="1567"/>
              <w:gridCol w:w="653"/>
              <w:gridCol w:w="3717"/>
              <w:gridCol w:w="760"/>
            </w:tblGrid>
            <w:tr w14:paraId="46B0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 w:type="pct"/>
                  <w:vAlign w:val="center"/>
                </w:tcPr>
                <w:p w14:paraId="27D5CF9C">
                  <w:pPr>
                    <w:pStyle w:val="5"/>
                    <w:bidi w:val="0"/>
                    <w:jc w:val="center"/>
                    <w:rPr>
                      <w:rFonts w:hint="default"/>
                      <w:lang w:val="en-US" w:eastAsia="zh-CN"/>
                    </w:rPr>
                  </w:pPr>
                  <w:r>
                    <w:rPr>
                      <w:rFonts w:hint="eastAsia"/>
                      <w:lang w:val="en-US" w:eastAsia="zh-CN"/>
                    </w:rPr>
                    <w:t>孔位</w:t>
                  </w:r>
                </w:p>
              </w:tc>
              <w:tc>
                <w:tcPr>
                  <w:tcW w:w="576" w:type="pct"/>
                  <w:vAlign w:val="center"/>
                </w:tcPr>
                <w:p w14:paraId="13F2A46F">
                  <w:pPr>
                    <w:pStyle w:val="5"/>
                    <w:bidi w:val="0"/>
                    <w:jc w:val="center"/>
                    <w:rPr>
                      <w:rFonts w:hint="default"/>
                      <w:lang w:val="en-US" w:eastAsia="zh-CN"/>
                    </w:rPr>
                  </w:pPr>
                  <w:r>
                    <w:rPr>
                      <w:rFonts w:hint="eastAsia"/>
                      <w:lang w:val="en-US" w:eastAsia="zh-CN"/>
                    </w:rPr>
                    <w:t>区位</w:t>
                  </w:r>
                </w:p>
              </w:tc>
              <w:tc>
                <w:tcPr>
                  <w:tcW w:w="958" w:type="pct"/>
                  <w:vAlign w:val="center"/>
                </w:tcPr>
                <w:p w14:paraId="07C83DE4">
                  <w:pPr>
                    <w:pStyle w:val="5"/>
                    <w:bidi w:val="0"/>
                    <w:jc w:val="center"/>
                    <w:rPr>
                      <w:rFonts w:hint="default"/>
                      <w:lang w:val="en-US" w:eastAsia="zh-CN"/>
                    </w:rPr>
                  </w:pPr>
                  <w:r>
                    <w:rPr>
                      <w:rFonts w:hint="eastAsia"/>
                      <w:lang w:val="en-US" w:eastAsia="zh-CN"/>
                    </w:rPr>
                    <w:t>坐标</w:t>
                  </w:r>
                </w:p>
              </w:tc>
              <w:tc>
                <w:tcPr>
                  <w:tcW w:w="399" w:type="pct"/>
                  <w:vAlign w:val="center"/>
                </w:tcPr>
                <w:p w14:paraId="61FA793D">
                  <w:pPr>
                    <w:pStyle w:val="5"/>
                    <w:bidi w:val="0"/>
                    <w:jc w:val="center"/>
                    <w:rPr>
                      <w:rFonts w:hint="default"/>
                      <w:lang w:val="en-US" w:eastAsia="zh-CN"/>
                    </w:rPr>
                  </w:pPr>
                  <w:r>
                    <w:rPr>
                      <w:rFonts w:hint="eastAsia"/>
                      <w:lang w:val="en-US" w:eastAsia="zh-CN"/>
                    </w:rPr>
                    <w:t>井深</w:t>
                  </w:r>
                </w:p>
              </w:tc>
              <w:tc>
                <w:tcPr>
                  <w:tcW w:w="2273" w:type="pct"/>
                  <w:vAlign w:val="center"/>
                </w:tcPr>
                <w:p w14:paraId="1AA3FE36">
                  <w:pPr>
                    <w:pStyle w:val="5"/>
                    <w:bidi w:val="0"/>
                    <w:jc w:val="center"/>
                    <w:rPr>
                      <w:rFonts w:hint="default"/>
                      <w:lang w:val="en-US" w:eastAsia="zh-CN"/>
                    </w:rPr>
                  </w:pPr>
                  <w:r>
                    <w:rPr>
                      <w:rFonts w:hint="eastAsia"/>
                      <w:lang w:val="en-US" w:eastAsia="zh-CN"/>
                    </w:rPr>
                    <w:t>监测项目</w:t>
                  </w:r>
                </w:p>
              </w:tc>
              <w:tc>
                <w:tcPr>
                  <w:tcW w:w="465" w:type="pct"/>
                  <w:vAlign w:val="center"/>
                </w:tcPr>
                <w:p w14:paraId="5BA9AF09">
                  <w:pPr>
                    <w:pStyle w:val="5"/>
                    <w:bidi w:val="0"/>
                    <w:jc w:val="center"/>
                    <w:rPr>
                      <w:rFonts w:hint="default"/>
                      <w:lang w:val="en-US" w:eastAsia="zh-CN"/>
                    </w:rPr>
                  </w:pPr>
                  <w:r>
                    <w:rPr>
                      <w:rFonts w:hint="eastAsia"/>
                      <w:lang w:val="en-US" w:eastAsia="zh-CN"/>
                    </w:rPr>
                    <w:t>监测频次</w:t>
                  </w:r>
                </w:p>
              </w:tc>
            </w:tr>
            <w:tr w14:paraId="3FCE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6" w:type="pct"/>
                  <w:vAlign w:val="center"/>
                </w:tcPr>
                <w:p w14:paraId="38CC4C2A">
                  <w:pPr>
                    <w:pStyle w:val="5"/>
                    <w:bidi w:val="0"/>
                    <w:jc w:val="center"/>
                    <w:rPr>
                      <w:rFonts w:hint="default"/>
                      <w:lang w:val="en-US" w:eastAsia="zh-CN"/>
                    </w:rPr>
                  </w:pPr>
                  <w:r>
                    <w:rPr>
                      <w:rFonts w:hint="eastAsia"/>
                      <w:lang w:val="en-US" w:eastAsia="zh-CN"/>
                    </w:rPr>
                    <w:t>1#</w:t>
                  </w:r>
                </w:p>
              </w:tc>
              <w:tc>
                <w:tcPr>
                  <w:tcW w:w="576" w:type="pct"/>
                  <w:vAlign w:val="center"/>
                </w:tcPr>
                <w:p w14:paraId="2327E71A">
                  <w:pPr>
                    <w:pStyle w:val="5"/>
                    <w:bidi w:val="0"/>
                    <w:jc w:val="center"/>
                    <w:rPr>
                      <w:rFonts w:hint="default"/>
                      <w:lang w:val="en-US" w:eastAsia="zh-CN"/>
                    </w:rPr>
                  </w:pPr>
                  <w:r>
                    <w:rPr>
                      <w:rFonts w:hint="eastAsia"/>
                      <w:lang w:val="en-US" w:eastAsia="zh-CN"/>
                    </w:rPr>
                    <w:t>办公区北侧</w:t>
                  </w:r>
                </w:p>
              </w:tc>
              <w:tc>
                <w:tcPr>
                  <w:tcW w:w="958" w:type="pct"/>
                  <w:vAlign w:val="center"/>
                </w:tcPr>
                <w:p w14:paraId="5CB2BD3F">
                  <w:pPr>
                    <w:pStyle w:val="5"/>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N41°49'54.66"</w:t>
                  </w:r>
                </w:p>
                <w:p w14:paraId="5EC870C7">
                  <w:pPr>
                    <w:pStyle w:val="5"/>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E84°1'14.74"</w:t>
                  </w:r>
                </w:p>
              </w:tc>
              <w:tc>
                <w:tcPr>
                  <w:tcW w:w="399" w:type="pct"/>
                  <w:vAlign w:val="center"/>
                </w:tcPr>
                <w:p w14:paraId="52BF4297">
                  <w:pPr>
                    <w:pStyle w:val="5"/>
                    <w:bidi w:val="0"/>
                    <w:jc w:val="center"/>
                    <w:rPr>
                      <w:rFonts w:hint="default"/>
                      <w:lang w:val="en-US" w:eastAsia="zh-CN"/>
                    </w:rPr>
                  </w:pPr>
                  <w:r>
                    <w:rPr>
                      <w:rFonts w:hint="eastAsia"/>
                      <w:lang w:val="en-US" w:eastAsia="zh-CN"/>
                    </w:rPr>
                    <w:t>89m</w:t>
                  </w:r>
                </w:p>
              </w:tc>
              <w:tc>
                <w:tcPr>
                  <w:tcW w:w="2273" w:type="pct"/>
                  <w:vMerge w:val="restart"/>
                  <w:vAlign w:val="center"/>
                </w:tcPr>
                <w:p w14:paraId="2693D89C">
                  <w:pPr>
                    <w:pStyle w:val="5"/>
                    <w:bidi w:val="0"/>
                    <w:jc w:val="center"/>
                    <w:rPr>
                      <w:rFonts w:hint="eastAsia"/>
                      <w:lang w:val="en-US" w:eastAsia="zh-CN"/>
                    </w:rPr>
                  </w:pPr>
                  <w:r>
                    <w:rPr>
                      <w:rFonts w:hint="eastAsia"/>
                      <w:lang w:val="en-US" w:eastAsia="zh-CN"/>
                    </w:rPr>
                    <w:t>常规离子：K</w:t>
                  </w:r>
                  <w:r>
                    <w:rPr>
                      <w:rFonts w:hint="eastAsia"/>
                      <w:vertAlign w:val="superscript"/>
                      <w:lang w:val="en-US" w:eastAsia="zh-CN"/>
                    </w:rPr>
                    <w:t>+</w:t>
                  </w:r>
                  <w:r>
                    <w:rPr>
                      <w:rFonts w:hint="eastAsia"/>
                      <w:lang w:val="en-US" w:eastAsia="zh-CN"/>
                    </w:rPr>
                    <w:t>、Na</w:t>
                  </w:r>
                  <w:r>
                    <w:rPr>
                      <w:rFonts w:hint="eastAsia"/>
                      <w:vertAlign w:val="superscript"/>
                      <w:lang w:val="en-US" w:eastAsia="zh-CN"/>
                    </w:rPr>
                    <w:t>+</w:t>
                  </w:r>
                  <w:r>
                    <w:rPr>
                      <w:rFonts w:hint="eastAsia"/>
                      <w:lang w:val="en-US" w:eastAsia="zh-CN"/>
                    </w:rPr>
                    <w:t>、Ca</w:t>
                  </w:r>
                  <w:r>
                    <w:rPr>
                      <w:rFonts w:hint="eastAsia"/>
                      <w:vertAlign w:val="superscript"/>
                      <w:lang w:val="en-US" w:eastAsia="zh-CN"/>
                    </w:rPr>
                    <w:t>2+</w:t>
                  </w:r>
                  <w:r>
                    <w:rPr>
                      <w:rFonts w:hint="eastAsia"/>
                      <w:lang w:val="en-US" w:eastAsia="zh-CN"/>
                    </w:rPr>
                    <w:t>、Mg</w:t>
                  </w:r>
                  <w:r>
                    <w:rPr>
                      <w:rFonts w:hint="eastAsia"/>
                      <w:vertAlign w:val="superscript"/>
                      <w:lang w:val="en-US" w:eastAsia="zh-CN"/>
                    </w:rPr>
                    <w:t>2+</w:t>
                  </w:r>
                  <w:r>
                    <w:rPr>
                      <w:rFonts w:hint="eastAsia"/>
                      <w:lang w:val="en-US" w:eastAsia="zh-CN"/>
                    </w:rPr>
                    <w:t>、CO</w:t>
                  </w:r>
                  <w:r>
                    <w:rPr>
                      <w:rFonts w:hint="eastAsia"/>
                      <w:vertAlign w:val="subscript"/>
                      <w:lang w:val="en-US" w:eastAsia="zh-CN"/>
                    </w:rPr>
                    <w:t>3</w:t>
                  </w:r>
                  <w:r>
                    <w:rPr>
                      <w:rFonts w:hint="eastAsia"/>
                      <w:vertAlign w:val="superscript"/>
                      <w:lang w:val="en-US" w:eastAsia="zh-CN"/>
                    </w:rPr>
                    <w:t>2-</w:t>
                  </w:r>
                  <w:r>
                    <w:rPr>
                      <w:rFonts w:hint="eastAsia"/>
                      <w:lang w:val="en-US" w:eastAsia="zh-CN"/>
                    </w:rPr>
                    <w:t>、HCO</w:t>
                  </w:r>
                  <w:r>
                    <w:rPr>
                      <w:rFonts w:hint="eastAsia"/>
                      <w:vertAlign w:val="subscript"/>
                      <w:lang w:val="en-US" w:eastAsia="zh-CN"/>
                    </w:rPr>
                    <w:t>3</w:t>
                  </w:r>
                  <w:r>
                    <w:rPr>
                      <w:rFonts w:hint="eastAsia"/>
                      <w:vertAlign w:val="superscript"/>
                      <w:lang w:val="en-US" w:eastAsia="zh-CN"/>
                    </w:rPr>
                    <w:t>-</w:t>
                  </w:r>
                  <w:r>
                    <w:rPr>
                      <w:rFonts w:hint="eastAsia"/>
                      <w:lang w:val="en-US" w:eastAsia="zh-CN"/>
                    </w:rPr>
                    <w:t>。基本因子：pH、高锰酸盐指数、总硬度、硫酸盐、NH</w:t>
                  </w:r>
                  <w:r>
                    <w:rPr>
                      <w:rFonts w:hint="eastAsia"/>
                      <w:vertAlign w:val="subscript"/>
                      <w:lang w:val="en-US" w:eastAsia="zh-CN"/>
                    </w:rPr>
                    <w:t>3</w:t>
                  </w:r>
                  <w:r>
                    <w:rPr>
                      <w:rFonts w:hint="eastAsia"/>
                      <w:lang w:val="en-US" w:eastAsia="zh-CN"/>
                    </w:rPr>
                    <w:t>-N、NO</w:t>
                  </w:r>
                  <w:r>
                    <w:rPr>
                      <w:rFonts w:hint="eastAsia"/>
                      <w:vertAlign w:val="subscript"/>
                      <w:lang w:val="en-US" w:eastAsia="zh-CN"/>
                    </w:rPr>
                    <w:t>2</w:t>
                  </w:r>
                  <w:r>
                    <w:rPr>
                      <w:rFonts w:hint="eastAsia"/>
                      <w:lang w:val="en-US" w:eastAsia="zh-CN"/>
                    </w:rPr>
                    <w:t>-N、NO</w:t>
                  </w:r>
                  <w:r>
                    <w:rPr>
                      <w:rFonts w:hint="eastAsia"/>
                      <w:vertAlign w:val="subscript"/>
                      <w:lang w:val="en-US" w:eastAsia="zh-CN"/>
                    </w:rPr>
                    <w:t>3</w:t>
                  </w:r>
                  <w:r>
                    <w:rPr>
                      <w:rFonts w:hint="eastAsia"/>
                      <w:lang w:val="en-US" w:eastAsia="zh-CN"/>
                    </w:rPr>
                    <w:t>-N、砷、汞、氟化物、氰化物、挥发酚、氯化物、铬(六价)、镉、铅、铁、锰、溶解性总固体、细菌总数、总大肠菌群共21项</w:t>
                  </w:r>
                </w:p>
              </w:tc>
              <w:tc>
                <w:tcPr>
                  <w:tcW w:w="465" w:type="pct"/>
                  <w:vMerge w:val="restart"/>
                  <w:vAlign w:val="center"/>
                </w:tcPr>
                <w:p w14:paraId="3DEBDDEB">
                  <w:pPr>
                    <w:pStyle w:val="5"/>
                    <w:bidi w:val="0"/>
                    <w:jc w:val="center"/>
                    <w:rPr>
                      <w:rFonts w:hint="eastAsia"/>
                      <w:lang w:val="en-US" w:eastAsia="zh-CN"/>
                    </w:rPr>
                  </w:pPr>
                  <w:r>
                    <w:rPr>
                      <w:rFonts w:hint="eastAsia"/>
                      <w:lang w:val="en-US" w:eastAsia="zh-CN"/>
                    </w:rPr>
                    <w:t>1次/年</w:t>
                  </w:r>
                </w:p>
              </w:tc>
            </w:tr>
            <w:tr w14:paraId="042A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 w:type="pct"/>
                  <w:vAlign w:val="center"/>
                </w:tcPr>
                <w:p w14:paraId="22BE2788">
                  <w:pPr>
                    <w:pStyle w:val="5"/>
                    <w:bidi w:val="0"/>
                    <w:jc w:val="center"/>
                    <w:rPr>
                      <w:rFonts w:hint="default"/>
                      <w:lang w:val="en-US" w:eastAsia="zh-CN"/>
                    </w:rPr>
                  </w:pPr>
                  <w:r>
                    <w:rPr>
                      <w:rFonts w:hint="eastAsia"/>
                      <w:lang w:val="en-US" w:eastAsia="zh-CN"/>
                    </w:rPr>
                    <w:t>2#</w:t>
                  </w:r>
                </w:p>
              </w:tc>
              <w:tc>
                <w:tcPr>
                  <w:tcW w:w="576" w:type="pct"/>
                  <w:vAlign w:val="center"/>
                </w:tcPr>
                <w:p w14:paraId="6E60D699">
                  <w:pPr>
                    <w:pStyle w:val="5"/>
                    <w:bidi w:val="0"/>
                    <w:jc w:val="center"/>
                    <w:rPr>
                      <w:rFonts w:hint="default"/>
                      <w:lang w:val="en-US" w:eastAsia="zh-CN"/>
                    </w:rPr>
                  </w:pPr>
                  <w:r>
                    <w:rPr>
                      <w:rFonts w:hint="eastAsia"/>
                      <w:lang w:val="en-US" w:eastAsia="zh-CN"/>
                    </w:rPr>
                    <w:t>污水处理南侧</w:t>
                  </w:r>
                </w:p>
              </w:tc>
              <w:tc>
                <w:tcPr>
                  <w:tcW w:w="958" w:type="pct"/>
                  <w:vAlign w:val="center"/>
                </w:tcPr>
                <w:p w14:paraId="5187AAA2">
                  <w:pPr>
                    <w:pStyle w:val="5"/>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N41°49'49.39"</w:t>
                  </w:r>
                </w:p>
                <w:p w14:paraId="3301406E">
                  <w:pPr>
                    <w:pStyle w:val="5"/>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E84°1'14.79"</w:t>
                  </w:r>
                </w:p>
              </w:tc>
              <w:tc>
                <w:tcPr>
                  <w:tcW w:w="399" w:type="pct"/>
                  <w:vAlign w:val="center"/>
                </w:tcPr>
                <w:p w14:paraId="0888DBD2">
                  <w:pPr>
                    <w:pStyle w:val="5"/>
                    <w:bidi w:val="0"/>
                    <w:jc w:val="center"/>
                    <w:rPr>
                      <w:rFonts w:hint="default"/>
                      <w:lang w:val="en-US" w:eastAsia="zh-CN"/>
                    </w:rPr>
                  </w:pPr>
                  <w:r>
                    <w:rPr>
                      <w:rFonts w:hint="eastAsia"/>
                      <w:lang w:val="en-US" w:eastAsia="zh-CN"/>
                    </w:rPr>
                    <w:t>90m</w:t>
                  </w:r>
                </w:p>
              </w:tc>
              <w:tc>
                <w:tcPr>
                  <w:tcW w:w="2273" w:type="pct"/>
                  <w:vMerge w:val="continue"/>
                  <w:vAlign w:val="center"/>
                </w:tcPr>
                <w:p w14:paraId="41301ED0">
                  <w:pPr>
                    <w:pStyle w:val="5"/>
                    <w:bidi w:val="0"/>
                    <w:jc w:val="center"/>
                    <w:rPr>
                      <w:rFonts w:hint="eastAsia"/>
                      <w:lang w:val="en-US" w:eastAsia="zh-CN"/>
                    </w:rPr>
                  </w:pPr>
                </w:p>
              </w:tc>
              <w:tc>
                <w:tcPr>
                  <w:tcW w:w="465" w:type="pct"/>
                  <w:vMerge w:val="continue"/>
                  <w:vAlign w:val="center"/>
                </w:tcPr>
                <w:p w14:paraId="0F6EC2D8">
                  <w:pPr>
                    <w:pStyle w:val="5"/>
                    <w:bidi w:val="0"/>
                    <w:jc w:val="center"/>
                    <w:rPr>
                      <w:rFonts w:hint="eastAsia"/>
                      <w:lang w:val="en-US" w:eastAsia="zh-CN"/>
                    </w:rPr>
                  </w:pPr>
                </w:p>
              </w:tc>
            </w:tr>
            <w:tr w14:paraId="4590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 w:type="pct"/>
                  <w:vAlign w:val="center"/>
                </w:tcPr>
                <w:p w14:paraId="0663FA91">
                  <w:pPr>
                    <w:pStyle w:val="5"/>
                    <w:bidi w:val="0"/>
                    <w:jc w:val="center"/>
                    <w:rPr>
                      <w:rFonts w:hint="default"/>
                      <w:lang w:val="en-US" w:eastAsia="zh-CN"/>
                    </w:rPr>
                  </w:pPr>
                  <w:r>
                    <w:rPr>
                      <w:rFonts w:hint="eastAsia"/>
                      <w:lang w:val="en-US" w:eastAsia="zh-CN"/>
                    </w:rPr>
                    <w:t>3#</w:t>
                  </w:r>
                </w:p>
              </w:tc>
              <w:tc>
                <w:tcPr>
                  <w:tcW w:w="576" w:type="pct"/>
                  <w:vAlign w:val="center"/>
                </w:tcPr>
                <w:p w14:paraId="46841F33">
                  <w:pPr>
                    <w:pStyle w:val="5"/>
                    <w:bidi w:val="0"/>
                    <w:jc w:val="center"/>
                    <w:rPr>
                      <w:rFonts w:hint="default"/>
                      <w:lang w:val="en-US" w:eastAsia="zh-CN"/>
                    </w:rPr>
                  </w:pPr>
                  <w:r>
                    <w:rPr>
                      <w:rFonts w:hint="eastAsia"/>
                      <w:lang w:val="en-US" w:eastAsia="zh-CN"/>
                    </w:rPr>
                    <w:t>灌区南侧</w:t>
                  </w:r>
                </w:p>
              </w:tc>
              <w:tc>
                <w:tcPr>
                  <w:tcW w:w="958" w:type="pct"/>
                  <w:vAlign w:val="center"/>
                </w:tcPr>
                <w:p w14:paraId="618A28BE">
                  <w:pPr>
                    <w:pStyle w:val="5"/>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N41°49'52.30"</w:t>
                  </w:r>
                </w:p>
                <w:p w14:paraId="22ED90C6">
                  <w:pPr>
                    <w:pStyle w:val="5"/>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E84°1'24.20"</w:t>
                  </w:r>
                </w:p>
              </w:tc>
              <w:tc>
                <w:tcPr>
                  <w:tcW w:w="399" w:type="pct"/>
                  <w:vAlign w:val="center"/>
                </w:tcPr>
                <w:p w14:paraId="0ACEF33C">
                  <w:pPr>
                    <w:pStyle w:val="5"/>
                    <w:bidi w:val="0"/>
                    <w:jc w:val="center"/>
                    <w:rPr>
                      <w:rFonts w:hint="default"/>
                      <w:lang w:val="en-US" w:eastAsia="zh-CN"/>
                    </w:rPr>
                  </w:pPr>
                  <w:r>
                    <w:rPr>
                      <w:rFonts w:hint="eastAsia"/>
                      <w:lang w:val="en-US" w:eastAsia="zh-CN"/>
                    </w:rPr>
                    <w:t>88m</w:t>
                  </w:r>
                </w:p>
              </w:tc>
              <w:tc>
                <w:tcPr>
                  <w:tcW w:w="2273" w:type="pct"/>
                  <w:vMerge w:val="continue"/>
                  <w:vAlign w:val="center"/>
                </w:tcPr>
                <w:p w14:paraId="07A8788D">
                  <w:pPr>
                    <w:pStyle w:val="5"/>
                    <w:bidi w:val="0"/>
                    <w:jc w:val="center"/>
                    <w:rPr>
                      <w:rFonts w:hint="eastAsia"/>
                      <w:lang w:val="en-US" w:eastAsia="zh-CN"/>
                    </w:rPr>
                  </w:pPr>
                </w:p>
              </w:tc>
              <w:tc>
                <w:tcPr>
                  <w:tcW w:w="465" w:type="pct"/>
                  <w:vMerge w:val="continue"/>
                  <w:vAlign w:val="center"/>
                </w:tcPr>
                <w:p w14:paraId="645F61B0">
                  <w:pPr>
                    <w:pStyle w:val="5"/>
                    <w:bidi w:val="0"/>
                    <w:jc w:val="center"/>
                    <w:rPr>
                      <w:rFonts w:hint="eastAsia"/>
                      <w:lang w:val="en-US" w:eastAsia="zh-CN"/>
                    </w:rPr>
                  </w:pPr>
                </w:p>
              </w:tc>
            </w:tr>
          </w:tbl>
          <w:p w14:paraId="3F077E4F">
            <w:pPr>
              <w:pStyle w:val="4"/>
              <w:bidi w:val="0"/>
              <w:rPr>
                <w:rFonts w:hint="default"/>
                <w:lang w:val="en-US" w:eastAsia="zh-CN"/>
              </w:rPr>
            </w:pPr>
            <w:r>
              <w:rPr>
                <w:rFonts w:hint="default"/>
                <w:lang w:val="en-US" w:eastAsia="zh-CN"/>
              </w:rPr>
              <w:t>表4-1</w:t>
            </w:r>
            <w:r>
              <w:rPr>
                <w:rFonts w:hint="eastAsia"/>
                <w:lang w:val="en-US" w:eastAsia="zh-CN"/>
              </w:rPr>
              <w:t>3</w:t>
            </w:r>
            <w:r>
              <w:rPr>
                <w:rFonts w:hint="default"/>
                <w:lang w:val="en-US" w:eastAsia="zh-CN"/>
              </w:rPr>
              <w:t xml:space="preserve">  厂区现有</w:t>
            </w:r>
            <w:r>
              <w:rPr>
                <w:rFonts w:hint="eastAsia"/>
                <w:lang w:val="en-US" w:eastAsia="zh-CN"/>
              </w:rPr>
              <w:t>土壤</w:t>
            </w:r>
            <w:r>
              <w:rPr>
                <w:rFonts w:hint="default"/>
                <w:lang w:val="en-US" w:eastAsia="zh-CN"/>
              </w:rPr>
              <w:t>跟踪</w:t>
            </w:r>
            <w:r>
              <w:rPr>
                <w:rFonts w:hint="eastAsia"/>
                <w:lang w:val="en-US" w:eastAsia="zh-CN"/>
              </w:rPr>
              <w:t>监测</w:t>
            </w:r>
            <w:r>
              <w:rPr>
                <w:rFonts w:hint="default"/>
                <w:lang w:val="en-US" w:eastAsia="zh-CN"/>
              </w:rPr>
              <w:t>一览表</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5066"/>
              <w:gridCol w:w="1521"/>
            </w:tblGrid>
            <w:tr w14:paraId="56CE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pct"/>
                  <w:vAlign w:val="center"/>
                </w:tcPr>
                <w:p w14:paraId="4BBE1171">
                  <w:pPr>
                    <w:pStyle w:val="5"/>
                    <w:bidi w:val="0"/>
                    <w:jc w:val="center"/>
                    <w:rPr>
                      <w:rFonts w:hint="default"/>
                      <w:lang w:val="en-US" w:eastAsia="zh-CN"/>
                    </w:rPr>
                  </w:pPr>
                  <w:r>
                    <w:rPr>
                      <w:rFonts w:hint="eastAsia"/>
                      <w:lang w:val="en-US" w:eastAsia="zh-CN"/>
                    </w:rPr>
                    <w:t>区位</w:t>
                  </w:r>
                </w:p>
              </w:tc>
              <w:tc>
                <w:tcPr>
                  <w:tcW w:w="3097" w:type="pct"/>
                  <w:vAlign w:val="center"/>
                </w:tcPr>
                <w:p w14:paraId="577C827A">
                  <w:pPr>
                    <w:pStyle w:val="5"/>
                    <w:bidi w:val="0"/>
                    <w:jc w:val="center"/>
                    <w:rPr>
                      <w:rFonts w:hint="default"/>
                      <w:lang w:val="en-US" w:eastAsia="zh-CN"/>
                    </w:rPr>
                  </w:pPr>
                  <w:r>
                    <w:rPr>
                      <w:rFonts w:hint="eastAsia"/>
                      <w:lang w:val="en-US" w:eastAsia="zh-CN"/>
                    </w:rPr>
                    <w:t>监测项目</w:t>
                  </w:r>
                </w:p>
              </w:tc>
              <w:tc>
                <w:tcPr>
                  <w:tcW w:w="930" w:type="pct"/>
                  <w:vAlign w:val="center"/>
                </w:tcPr>
                <w:p w14:paraId="154521DC">
                  <w:pPr>
                    <w:pStyle w:val="5"/>
                    <w:bidi w:val="0"/>
                    <w:jc w:val="center"/>
                    <w:rPr>
                      <w:rFonts w:hint="default"/>
                      <w:lang w:val="en-US" w:eastAsia="zh-CN"/>
                    </w:rPr>
                  </w:pPr>
                  <w:r>
                    <w:rPr>
                      <w:rFonts w:hint="eastAsia"/>
                      <w:lang w:val="en-US" w:eastAsia="zh-CN"/>
                    </w:rPr>
                    <w:t>监测频次</w:t>
                  </w:r>
                </w:p>
              </w:tc>
            </w:tr>
            <w:tr w14:paraId="2533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2" w:type="pct"/>
                  <w:vAlign w:val="center"/>
                </w:tcPr>
                <w:p w14:paraId="514EDD49">
                  <w:pPr>
                    <w:pStyle w:val="5"/>
                    <w:bidi w:val="0"/>
                    <w:jc w:val="center"/>
                    <w:rPr>
                      <w:rFonts w:hint="default"/>
                      <w:lang w:val="en-US" w:eastAsia="zh-CN"/>
                    </w:rPr>
                  </w:pPr>
                  <w:r>
                    <w:rPr>
                      <w:rFonts w:hint="default"/>
                      <w:lang w:val="en-US" w:eastAsia="zh-CN"/>
                    </w:rPr>
                    <w:t>厂区周围土壤监测点</w:t>
                  </w:r>
                </w:p>
              </w:tc>
              <w:tc>
                <w:tcPr>
                  <w:tcW w:w="3097" w:type="pct"/>
                  <w:vAlign w:val="center"/>
                </w:tcPr>
                <w:p w14:paraId="485EE309">
                  <w:pPr>
                    <w:pStyle w:val="5"/>
                    <w:bidi w:val="0"/>
                    <w:jc w:val="center"/>
                    <w:rPr>
                      <w:rFonts w:hint="eastAsia"/>
                      <w:lang w:val="en-US" w:eastAsia="zh-CN"/>
                    </w:rPr>
                  </w:pPr>
                  <w:r>
                    <w:rPr>
                      <w:rFonts w:hint="eastAsia"/>
                      <w:lang w:val="en-US" w:eastAsia="zh-CN"/>
                    </w:rPr>
                    <w:t>pH值、总汞、总镉、六价铬、总砷、总铅、总镍、烷基汞、总铬、苯并[a]芘、硫化物</w:t>
                  </w:r>
                </w:p>
              </w:tc>
              <w:tc>
                <w:tcPr>
                  <w:tcW w:w="930" w:type="pct"/>
                  <w:vAlign w:val="center"/>
                </w:tcPr>
                <w:p w14:paraId="52730200">
                  <w:pPr>
                    <w:pStyle w:val="5"/>
                    <w:bidi w:val="0"/>
                    <w:jc w:val="center"/>
                    <w:rPr>
                      <w:rFonts w:hint="eastAsia"/>
                      <w:lang w:val="en-US" w:eastAsia="zh-CN"/>
                    </w:rPr>
                  </w:pPr>
                  <w:r>
                    <w:rPr>
                      <w:rFonts w:hint="eastAsia"/>
                      <w:lang w:val="en-US" w:eastAsia="zh-CN"/>
                    </w:rPr>
                    <w:t>1次/年</w:t>
                  </w:r>
                </w:p>
              </w:tc>
            </w:tr>
          </w:tbl>
          <w:p w14:paraId="136B1D86">
            <w:pPr>
              <w:bidi w:val="0"/>
              <w:rPr>
                <w:rFonts w:hint="eastAsia"/>
                <w:lang w:val="en-US" w:eastAsia="zh-CN"/>
              </w:rPr>
            </w:pPr>
            <w:r>
              <w:rPr>
                <w:rFonts w:hint="eastAsia"/>
                <w:lang w:val="en-US" w:eastAsia="zh-CN"/>
              </w:rPr>
              <w:t>现有工程环境质量监测计划能够满足现行环境质量监测要求，故本次改扩建项目不新增监测要求</w:t>
            </w:r>
          </w:p>
          <w:p w14:paraId="10041B9B">
            <w:pPr>
              <w:pStyle w:val="2"/>
              <w:bidi w:val="0"/>
              <w:rPr>
                <w:lang w:val="en-US" w:eastAsia="zh-CN"/>
              </w:rPr>
            </w:pPr>
            <w:r>
              <w:rPr>
                <w:lang w:val="en-US" w:eastAsia="zh-CN"/>
              </w:rPr>
              <w:t>6</w:t>
            </w:r>
            <w:r>
              <w:rPr>
                <w:rFonts w:hint="eastAsia"/>
                <w:lang w:val="en-US" w:eastAsia="zh-CN"/>
              </w:rPr>
              <w:t xml:space="preserve"> </w:t>
            </w:r>
            <w:r>
              <w:rPr>
                <w:lang w:val="en-US" w:eastAsia="zh-CN"/>
              </w:rPr>
              <w:t>环境风险影响分析</w:t>
            </w:r>
          </w:p>
          <w:p w14:paraId="151BF6D4">
            <w:pPr>
              <w:bidi w:val="0"/>
              <w:rPr>
                <w:rFonts w:hint="eastAsia"/>
                <w:lang w:val="en-US" w:eastAsia="zh-CN"/>
              </w:rPr>
            </w:pPr>
            <w:r>
              <w:rPr>
                <w:rFonts w:hint="eastAsia"/>
                <w:lang w:val="en-US" w:eastAsia="zh-CN"/>
              </w:rPr>
              <w:t>经计算，本项目危险物质存在量与临界量比值Qmax约为119.68＞1。</w:t>
            </w:r>
          </w:p>
          <w:p w14:paraId="39EB4FF3">
            <w:pPr>
              <w:bidi w:val="0"/>
              <w:rPr>
                <w:lang w:val="en-US" w:eastAsia="zh-CN"/>
              </w:rPr>
            </w:pPr>
            <w:r>
              <w:rPr>
                <w:lang w:val="en-US" w:eastAsia="zh-CN"/>
              </w:rPr>
              <w:t>事故状态下，本项目运行过程中存在泄漏</w:t>
            </w:r>
            <w:r>
              <w:rPr>
                <w:rFonts w:hint="eastAsia"/>
                <w:lang w:val="en-US" w:eastAsia="zh-CN"/>
              </w:rPr>
              <w:t>风险</w:t>
            </w:r>
            <w:r>
              <w:rPr>
                <w:lang w:val="en-US" w:eastAsia="zh-CN"/>
              </w:rPr>
              <w:t>，必须严格按照有关规</w:t>
            </w:r>
            <w:r>
              <w:rPr>
                <w:rFonts w:hint="eastAsia"/>
                <w:lang w:val="en-US" w:eastAsia="zh-CN"/>
              </w:rPr>
              <w:t>范和</w:t>
            </w:r>
            <w:r>
              <w:rPr>
                <w:lang w:val="en-US" w:eastAsia="zh-CN"/>
              </w:rPr>
              <w:t>标准的要求对储罐区等进行监控和管理。在认真落实评价所提出的环境风险防范措施以及环境风险应急预案后，建设单位应做到环境安全管理常抓不懈；严格落实各项环境风险防范措施，强化与园区应急体系的联动，不断完善环境风险管理体系，在这样的前提下，本项目的环境风险是可防控的。具体内容详见环境风险专项评价。</w:t>
            </w:r>
          </w:p>
          <w:p w14:paraId="307C8EFA">
            <w:pPr>
              <w:pStyle w:val="2"/>
              <w:bidi w:val="0"/>
              <w:rPr>
                <w:lang w:val="en-US" w:eastAsia="zh-CN"/>
              </w:rPr>
            </w:pPr>
            <w:r>
              <w:rPr>
                <w:lang w:val="en-US" w:eastAsia="zh-CN"/>
              </w:rPr>
              <w:t>7</w:t>
            </w:r>
            <w:r>
              <w:rPr>
                <w:rFonts w:hint="eastAsia"/>
                <w:lang w:val="en-US" w:eastAsia="zh-CN"/>
              </w:rPr>
              <w:t xml:space="preserve"> </w:t>
            </w:r>
            <w:r>
              <w:rPr>
                <w:lang w:val="en-US" w:eastAsia="zh-CN"/>
              </w:rPr>
              <w:t>环保投资估算</w:t>
            </w:r>
          </w:p>
          <w:p w14:paraId="066F9EF1">
            <w:pPr>
              <w:bidi w:val="0"/>
              <w:rPr>
                <w:lang w:val="en-US" w:eastAsia="zh-CN"/>
              </w:rPr>
            </w:pPr>
            <w:r>
              <w:rPr>
                <w:lang w:val="en-US" w:eastAsia="zh-CN"/>
              </w:rPr>
              <w:t>建设项目总投资</w:t>
            </w:r>
            <w:r>
              <w:rPr>
                <w:rFonts w:hint="eastAsia"/>
                <w:lang w:val="en-US" w:eastAsia="zh-CN"/>
              </w:rPr>
              <w:t>2055</w:t>
            </w:r>
            <w:r>
              <w:rPr>
                <w:lang w:val="en-US" w:eastAsia="zh-CN"/>
              </w:rPr>
              <w:t>万元，环保投资合计为</w:t>
            </w:r>
            <w:r>
              <w:rPr>
                <w:rFonts w:hint="eastAsia"/>
                <w:lang w:val="en-US" w:eastAsia="zh-CN"/>
              </w:rPr>
              <w:t>50</w:t>
            </w:r>
            <w:r>
              <w:rPr>
                <w:lang w:val="en-US" w:eastAsia="zh-CN"/>
              </w:rPr>
              <w:t>万元，占项目总投资的</w:t>
            </w:r>
            <w:r>
              <w:rPr>
                <w:rFonts w:hint="eastAsia"/>
                <w:lang w:val="en-US" w:eastAsia="zh-CN"/>
              </w:rPr>
              <w:t>2.43</w:t>
            </w:r>
            <w:r>
              <w:rPr>
                <w:lang w:val="en-US" w:eastAsia="zh-CN"/>
              </w:rPr>
              <w:t>%。本项目环保投资分析估算见表4-</w:t>
            </w:r>
            <w:r>
              <w:rPr>
                <w:rFonts w:hint="eastAsia"/>
                <w:lang w:val="en-US" w:eastAsia="zh-CN"/>
              </w:rPr>
              <w:t>14</w:t>
            </w:r>
            <w:r>
              <w:rPr>
                <w:lang w:val="en-US" w:eastAsia="zh-CN"/>
              </w:rPr>
              <w:t>。</w:t>
            </w:r>
          </w:p>
          <w:p w14:paraId="3625F561">
            <w:pPr>
              <w:pStyle w:val="4"/>
              <w:bidi w:val="0"/>
              <w:rPr>
                <w:rFonts w:eastAsia="宋体"/>
                <w:b/>
                <w:spacing w:val="2"/>
                <w:kern w:val="2"/>
                <w:highlight w:val="none"/>
                <w:lang w:val="en-US" w:eastAsia="zh-CN" w:bidi="ar-SA"/>
              </w:rPr>
            </w:pPr>
            <w:r>
              <w:rPr>
                <w:rFonts w:eastAsia="宋体"/>
                <w:b/>
                <w:spacing w:val="2"/>
                <w:kern w:val="2"/>
                <w:highlight w:val="none"/>
                <w:lang w:val="en-US" w:eastAsia="zh-CN" w:bidi="ar-SA"/>
              </w:rPr>
              <w:t>表4-</w:t>
            </w:r>
            <w:r>
              <w:rPr>
                <w:rFonts w:hint="eastAsia"/>
                <w:b/>
                <w:spacing w:val="2"/>
                <w:kern w:val="2"/>
                <w:highlight w:val="none"/>
                <w:lang w:val="en-US" w:eastAsia="zh-CN" w:bidi="ar-SA"/>
              </w:rPr>
              <w:t>14</w:t>
            </w:r>
            <w:r>
              <w:rPr>
                <w:rFonts w:eastAsia="宋体"/>
                <w:b/>
                <w:spacing w:val="2"/>
                <w:kern w:val="2"/>
                <w:highlight w:val="none"/>
                <w:lang w:val="en-US" w:eastAsia="zh-CN" w:bidi="ar-SA"/>
              </w:rPr>
              <w:t xml:space="preserve"> </w:t>
            </w:r>
            <w:r>
              <w:rPr>
                <w:rStyle w:val="66"/>
                <w:b/>
                <w:bCs/>
                <w:highlight w:val="none"/>
                <w:lang w:val="en-US" w:eastAsia="zh-CN"/>
              </w:rPr>
              <w:t xml:space="preserve"> </w:t>
            </w:r>
            <w:r>
              <w:rPr>
                <w:rFonts w:eastAsia="宋体"/>
                <w:b/>
                <w:spacing w:val="2"/>
                <w:kern w:val="2"/>
                <w:highlight w:val="none"/>
                <w:lang w:val="en-US" w:eastAsia="zh-CN" w:bidi="ar-SA"/>
              </w:rPr>
              <w:t>环保投资估算</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648"/>
              <w:gridCol w:w="1120"/>
              <w:gridCol w:w="4559"/>
              <w:gridCol w:w="1132"/>
            </w:tblGrid>
            <w:tr w14:paraId="2F43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noWrap w:val="0"/>
                  <w:vAlign w:val="center"/>
                </w:tcPr>
                <w:p w14:paraId="0F73AA61">
                  <w:pPr>
                    <w:pStyle w:val="5"/>
                    <w:suppressLineNumbers w:val="0"/>
                    <w:bidi w:val="0"/>
                    <w:spacing w:before="0" w:beforeAutospacing="0" w:after="0" w:afterAutospacing="0"/>
                    <w:ind w:left="0" w:right="0"/>
                    <w:rPr>
                      <w:rFonts w:hint="default"/>
                      <w:highlight w:val="none"/>
                    </w:rPr>
                  </w:pPr>
                  <w:r>
                    <w:rPr>
                      <w:rFonts w:hint="default"/>
                      <w:highlight w:val="none"/>
                    </w:rPr>
                    <w:t>时段</w:t>
                  </w:r>
                </w:p>
              </w:tc>
              <w:tc>
                <w:tcPr>
                  <w:tcW w:w="1081" w:type="pct"/>
                  <w:gridSpan w:val="2"/>
                  <w:noWrap w:val="0"/>
                  <w:vAlign w:val="center"/>
                </w:tcPr>
                <w:p w14:paraId="6FC54D14">
                  <w:pPr>
                    <w:pStyle w:val="5"/>
                    <w:suppressLineNumbers w:val="0"/>
                    <w:bidi w:val="0"/>
                    <w:spacing w:before="0" w:beforeAutospacing="0" w:after="0" w:afterAutospacing="0"/>
                    <w:ind w:left="0" w:right="0"/>
                    <w:rPr>
                      <w:rFonts w:hint="default"/>
                      <w:highlight w:val="none"/>
                    </w:rPr>
                  </w:pPr>
                  <w:r>
                    <w:rPr>
                      <w:rFonts w:hint="default"/>
                      <w:highlight w:val="none"/>
                    </w:rPr>
                    <w:t>项目</w:t>
                  </w:r>
                </w:p>
              </w:tc>
              <w:tc>
                <w:tcPr>
                  <w:tcW w:w="2787" w:type="pct"/>
                  <w:noWrap w:val="0"/>
                  <w:vAlign w:val="center"/>
                </w:tcPr>
                <w:p w14:paraId="184FB6B2">
                  <w:pPr>
                    <w:pStyle w:val="5"/>
                    <w:suppressLineNumbers w:val="0"/>
                    <w:bidi w:val="0"/>
                    <w:spacing w:before="0" w:beforeAutospacing="0" w:after="0" w:afterAutospacing="0"/>
                    <w:ind w:left="0" w:right="0"/>
                    <w:rPr>
                      <w:rFonts w:hint="default"/>
                      <w:highlight w:val="none"/>
                    </w:rPr>
                  </w:pPr>
                  <w:r>
                    <w:rPr>
                      <w:rFonts w:hint="default"/>
                      <w:highlight w:val="none"/>
                    </w:rPr>
                    <w:t>环保措施</w:t>
                  </w:r>
                </w:p>
              </w:tc>
              <w:tc>
                <w:tcPr>
                  <w:tcW w:w="692" w:type="pct"/>
                  <w:noWrap w:val="0"/>
                  <w:vAlign w:val="center"/>
                </w:tcPr>
                <w:p w14:paraId="70BB7E77">
                  <w:pPr>
                    <w:pStyle w:val="5"/>
                    <w:suppressLineNumbers w:val="0"/>
                    <w:bidi w:val="0"/>
                    <w:spacing w:before="0" w:beforeAutospacing="0" w:after="0" w:afterAutospacing="0"/>
                    <w:ind w:left="0" w:right="0"/>
                    <w:rPr>
                      <w:rFonts w:hint="default"/>
                      <w:highlight w:val="none"/>
                    </w:rPr>
                  </w:pPr>
                  <w:r>
                    <w:rPr>
                      <w:rFonts w:hint="default"/>
                      <w:highlight w:val="none"/>
                    </w:rPr>
                    <w:t>投资</w:t>
                  </w:r>
                </w:p>
                <w:p w14:paraId="6B12D62C">
                  <w:pPr>
                    <w:pStyle w:val="5"/>
                    <w:suppressLineNumbers w:val="0"/>
                    <w:bidi w:val="0"/>
                    <w:spacing w:before="0" w:beforeAutospacing="0" w:after="0" w:afterAutospacing="0"/>
                    <w:ind w:left="0" w:right="0"/>
                    <w:rPr>
                      <w:rFonts w:hint="default"/>
                      <w:highlight w:val="none"/>
                    </w:rPr>
                  </w:pPr>
                  <w:r>
                    <w:rPr>
                      <w:rFonts w:hint="default"/>
                      <w:highlight w:val="none"/>
                    </w:rPr>
                    <w:t>（万元）</w:t>
                  </w:r>
                </w:p>
              </w:tc>
            </w:tr>
            <w:tr w14:paraId="294D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vMerge w:val="restart"/>
                  <w:noWrap w:val="0"/>
                  <w:vAlign w:val="center"/>
                </w:tcPr>
                <w:p w14:paraId="727DD517">
                  <w:pPr>
                    <w:pStyle w:val="5"/>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施工期</w:t>
                  </w:r>
                </w:p>
              </w:tc>
              <w:tc>
                <w:tcPr>
                  <w:tcW w:w="1081" w:type="pct"/>
                  <w:gridSpan w:val="2"/>
                  <w:noWrap w:val="0"/>
                  <w:vAlign w:val="center"/>
                </w:tcPr>
                <w:p w14:paraId="1EA9A005">
                  <w:pPr>
                    <w:pStyle w:val="5"/>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废气治理</w:t>
                  </w:r>
                </w:p>
              </w:tc>
              <w:tc>
                <w:tcPr>
                  <w:tcW w:w="2787" w:type="pct"/>
                  <w:noWrap w:val="0"/>
                  <w:vAlign w:val="center"/>
                </w:tcPr>
                <w:p w14:paraId="4B4BA193">
                  <w:pPr>
                    <w:pStyle w:val="5"/>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洒水降尘</w:t>
                  </w:r>
                </w:p>
              </w:tc>
              <w:tc>
                <w:tcPr>
                  <w:tcW w:w="692" w:type="pct"/>
                  <w:noWrap w:val="0"/>
                  <w:vAlign w:val="center"/>
                </w:tcPr>
                <w:p w14:paraId="11C8AC41">
                  <w:pPr>
                    <w:pStyle w:val="5"/>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1</w:t>
                  </w:r>
                </w:p>
              </w:tc>
            </w:tr>
            <w:tr w14:paraId="3F6B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vMerge w:val="continue"/>
                  <w:noWrap w:val="0"/>
                  <w:vAlign w:val="center"/>
                </w:tcPr>
                <w:p w14:paraId="1A876FDE">
                  <w:pPr>
                    <w:pStyle w:val="5"/>
                    <w:suppressLineNumbers w:val="0"/>
                    <w:bidi w:val="0"/>
                    <w:spacing w:before="0" w:beforeAutospacing="0" w:after="0" w:afterAutospacing="0"/>
                    <w:ind w:left="0" w:right="0"/>
                    <w:rPr>
                      <w:rFonts w:hint="eastAsia"/>
                      <w:highlight w:val="none"/>
                      <w:lang w:val="en-US" w:eastAsia="zh-CN"/>
                    </w:rPr>
                  </w:pPr>
                </w:p>
              </w:tc>
              <w:tc>
                <w:tcPr>
                  <w:tcW w:w="1081" w:type="pct"/>
                  <w:gridSpan w:val="2"/>
                  <w:noWrap w:val="0"/>
                  <w:vAlign w:val="center"/>
                </w:tcPr>
                <w:p w14:paraId="2178E8D5">
                  <w:pPr>
                    <w:pStyle w:val="5"/>
                    <w:suppressLineNumbers w:val="0"/>
                    <w:bidi w:val="0"/>
                    <w:spacing w:before="0" w:beforeAutospacing="0" w:after="0" w:afterAutospacing="0"/>
                    <w:ind w:left="0" w:right="0"/>
                    <w:rPr>
                      <w:rFonts w:hint="default"/>
                      <w:highlight w:val="none"/>
                    </w:rPr>
                  </w:pPr>
                  <w:r>
                    <w:rPr>
                      <w:rFonts w:hint="default"/>
                      <w:highlight w:val="none"/>
                    </w:rPr>
                    <w:t>噪声治理</w:t>
                  </w:r>
                </w:p>
              </w:tc>
              <w:tc>
                <w:tcPr>
                  <w:tcW w:w="2787" w:type="pct"/>
                  <w:noWrap w:val="0"/>
                  <w:vAlign w:val="center"/>
                </w:tcPr>
                <w:p w14:paraId="62363127">
                  <w:pPr>
                    <w:pStyle w:val="5"/>
                    <w:suppressLineNumbers w:val="0"/>
                    <w:bidi w:val="0"/>
                    <w:spacing w:before="0" w:beforeAutospacing="0" w:after="0" w:afterAutospacing="0"/>
                    <w:ind w:left="0" w:right="0"/>
                    <w:rPr>
                      <w:rFonts w:hint="default"/>
                      <w:highlight w:val="none"/>
                    </w:rPr>
                  </w:pPr>
                  <w:r>
                    <w:rPr>
                      <w:rFonts w:hint="default"/>
                      <w:highlight w:val="none"/>
                    </w:rPr>
                    <w:t>施工设备降噪</w:t>
                  </w:r>
                </w:p>
              </w:tc>
              <w:tc>
                <w:tcPr>
                  <w:tcW w:w="692" w:type="pct"/>
                  <w:noWrap w:val="0"/>
                  <w:vAlign w:val="center"/>
                </w:tcPr>
                <w:p w14:paraId="24407C09">
                  <w:pPr>
                    <w:pStyle w:val="5"/>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1</w:t>
                  </w:r>
                </w:p>
              </w:tc>
            </w:tr>
            <w:tr w14:paraId="750E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vMerge w:val="continue"/>
                  <w:noWrap w:val="0"/>
                  <w:vAlign w:val="center"/>
                </w:tcPr>
                <w:p w14:paraId="1ED241A4">
                  <w:pPr>
                    <w:pStyle w:val="5"/>
                    <w:suppressLineNumbers w:val="0"/>
                    <w:bidi w:val="0"/>
                    <w:spacing w:before="0" w:beforeAutospacing="0" w:after="0" w:afterAutospacing="0"/>
                    <w:ind w:left="0" w:right="0"/>
                    <w:rPr>
                      <w:rFonts w:hint="default"/>
                      <w:highlight w:val="none"/>
                    </w:rPr>
                  </w:pPr>
                </w:p>
              </w:tc>
              <w:tc>
                <w:tcPr>
                  <w:tcW w:w="1081" w:type="pct"/>
                  <w:gridSpan w:val="2"/>
                  <w:noWrap w:val="0"/>
                  <w:vAlign w:val="center"/>
                </w:tcPr>
                <w:p w14:paraId="744AF567">
                  <w:pPr>
                    <w:pStyle w:val="5"/>
                    <w:suppressLineNumbers w:val="0"/>
                    <w:bidi w:val="0"/>
                    <w:spacing w:before="0" w:beforeAutospacing="0" w:after="0" w:afterAutospacing="0"/>
                    <w:ind w:left="0" w:right="0"/>
                    <w:rPr>
                      <w:rFonts w:hint="default"/>
                      <w:highlight w:val="none"/>
                    </w:rPr>
                  </w:pPr>
                  <w:r>
                    <w:rPr>
                      <w:rFonts w:hint="default"/>
                      <w:highlight w:val="none"/>
                    </w:rPr>
                    <w:t>固废治理</w:t>
                  </w:r>
                </w:p>
              </w:tc>
              <w:tc>
                <w:tcPr>
                  <w:tcW w:w="2787" w:type="pct"/>
                  <w:noWrap w:val="0"/>
                  <w:vAlign w:val="center"/>
                </w:tcPr>
                <w:p w14:paraId="7907C907">
                  <w:pPr>
                    <w:pStyle w:val="5"/>
                    <w:suppressLineNumbers w:val="0"/>
                    <w:bidi w:val="0"/>
                    <w:spacing w:before="0" w:beforeAutospacing="0" w:after="0" w:afterAutospacing="0"/>
                    <w:ind w:left="0" w:right="0"/>
                    <w:rPr>
                      <w:rFonts w:hint="default"/>
                      <w:highlight w:val="none"/>
                    </w:rPr>
                  </w:pPr>
                  <w:r>
                    <w:rPr>
                      <w:rFonts w:hint="default"/>
                      <w:highlight w:val="none"/>
                    </w:rPr>
                    <w:t>建筑垃圾填埋场填埋</w:t>
                  </w:r>
                </w:p>
              </w:tc>
              <w:tc>
                <w:tcPr>
                  <w:tcW w:w="692" w:type="pct"/>
                  <w:noWrap w:val="0"/>
                  <w:vAlign w:val="center"/>
                </w:tcPr>
                <w:p w14:paraId="0BADBFBD">
                  <w:pPr>
                    <w:pStyle w:val="5"/>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6</w:t>
                  </w:r>
                </w:p>
              </w:tc>
            </w:tr>
            <w:tr w14:paraId="61FA4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439" w:type="pct"/>
                  <w:vMerge w:val="continue"/>
                  <w:noWrap w:val="0"/>
                  <w:vAlign w:val="center"/>
                </w:tcPr>
                <w:p w14:paraId="4CD1CA0C">
                  <w:pPr>
                    <w:pStyle w:val="5"/>
                    <w:suppressLineNumbers w:val="0"/>
                    <w:bidi w:val="0"/>
                    <w:spacing w:before="0" w:beforeAutospacing="0" w:after="0" w:afterAutospacing="0"/>
                    <w:ind w:left="0" w:right="0"/>
                    <w:rPr>
                      <w:rFonts w:hint="default"/>
                      <w:highlight w:val="none"/>
                    </w:rPr>
                  </w:pPr>
                </w:p>
              </w:tc>
              <w:tc>
                <w:tcPr>
                  <w:tcW w:w="3868" w:type="pct"/>
                  <w:gridSpan w:val="3"/>
                  <w:noWrap w:val="0"/>
                  <w:vAlign w:val="center"/>
                </w:tcPr>
                <w:p w14:paraId="7CBFB095">
                  <w:pPr>
                    <w:pStyle w:val="5"/>
                    <w:suppressLineNumbers w:val="0"/>
                    <w:bidi w:val="0"/>
                    <w:spacing w:before="0" w:beforeAutospacing="0" w:after="0" w:afterAutospacing="0"/>
                    <w:ind w:left="0" w:right="0"/>
                    <w:rPr>
                      <w:rFonts w:hint="default"/>
                      <w:highlight w:val="none"/>
                    </w:rPr>
                  </w:pPr>
                  <w:r>
                    <w:rPr>
                      <w:rFonts w:hint="default"/>
                      <w:highlight w:val="none"/>
                    </w:rPr>
                    <w:t>小计</w:t>
                  </w:r>
                </w:p>
              </w:tc>
              <w:tc>
                <w:tcPr>
                  <w:tcW w:w="692" w:type="pct"/>
                  <w:noWrap w:val="0"/>
                  <w:vAlign w:val="center"/>
                </w:tcPr>
                <w:p w14:paraId="2EB5F41A">
                  <w:pPr>
                    <w:pStyle w:val="5"/>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8</w:t>
                  </w:r>
                </w:p>
              </w:tc>
            </w:tr>
            <w:tr w14:paraId="3D38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439" w:type="pct"/>
                  <w:vMerge w:val="restart"/>
                  <w:noWrap w:val="0"/>
                  <w:vAlign w:val="center"/>
                </w:tcPr>
                <w:p w14:paraId="126553EE">
                  <w:pPr>
                    <w:pStyle w:val="5"/>
                    <w:suppressLineNumbers w:val="0"/>
                    <w:bidi w:val="0"/>
                    <w:spacing w:before="0" w:beforeAutospacing="0" w:after="0" w:afterAutospacing="0"/>
                    <w:ind w:left="0" w:right="0"/>
                    <w:rPr>
                      <w:rFonts w:hint="default"/>
                      <w:highlight w:val="none"/>
                    </w:rPr>
                  </w:pPr>
                  <w:r>
                    <w:rPr>
                      <w:rFonts w:hint="default"/>
                      <w:highlight w:val="none"/>
                    </w:rPr>
                    <w:t>运营期</w:t>
                  </w:r>
                </w:p>
              </w:tc>
              <w:tc>
                <w:tcPr>
                  <w:tcW w:w="396" w:type="pct"/>
                  <w:vMerge w:val="restart"/>
                  <w:noWrap w:val="0"/>
                  <w:vAlign w:val="center"/>
                </w:tcPr>
                <w:p w14:paraId="3757B781">
                  <w:pPr>
                    <w:pStyle w:val="5"/>
                    <w:suppressLineNumbers w:val="0"/>
                    <w:bidi w:val="0"/>
                    <w:spacing w:before="0" w:beforeAutospacing="0" w:after="0" w:afterAutospacing="0"/>
                    <w:ind w:left="0" w:right="0"/>
                    <w:rPr>
                      <w:rFonts w:hint="default"/>
                      <w:highlight w:val="none"/>
                    </w:rPr>
                  </w:pPr>
                  <w:r>
                    <w:rPr>
                      <w:rFonts w:hint="default"/>
                      <w:highlight w:val="none"/>
                      <w:lang w:eastAsia="zh-CN"/>
                    </w:rPr>
                    <w:t>废气治理</w:t>
                  </w:r>
                </w:p>
              </w:tc>
              <w:tc>
                <w:tcPr>
                  <w:tcW w:w="684" w:type="pct"/>
                  <w:noWrap w:val="0"/>
                  <w:vAlign w:val="center"/>
                </w:tcPr>
                <w:p w14:paraId="31A98E34">
                  <w:pPr>
                    <w:pStyle w:val="5"/>
                    <w:bidi w:val="0"/>
                    <w:ind w:firstLine="0" w:firstLineChars="0"/>
                    <w:rPr>
                      <w:rFonts w:hint="default"/>
                      <w:highlight w:val="none"/>
                      <w:lang w:val="en-US" w:eastAsia="zh-CN"/>
                    </w:rPr>
                  </w:pPr>
                  <w:r>
                    <w:rPr>
                      <w:highlight w:val="none"/>
                      <w:lang w:val="en-US" w:eastAsia="zh-CN"/>
                    </w:rPr>
                    <w:t>物料卸车废气</w:t>
                  </w:r>
                </w:p>
              </w:tc>
              <w:tc>
                <w:tcPr>
                  <w:tcW w:w="2787" w:type="pct"/>
                  <w:noWrap w:val="0"/>
                  <w:vAlign w:val="center"/>
                </w:tcPr>
                <w:p w14:paraId="6BA7C39F">
                  <w:pPr>
                    <w:pStyle w:val="5"/>
                    <w:bidi w:val="0"/>
                    <w:ind w:firstLine="0" w:firstLineChars="0"/>
                    <w:rPr>
                      <w:rFonts w:hint="default"/>
                      <w:highlight w:val="none"/>
                      <w:lang w:val="en-US" w:eastAsia="zh-CN"/>
                    </w:rPr>
                  </w:pPr>
                  <w:r>
                    <w:rPr>
                      <w:rFonts w:hint="eastAsia"/>
                      <w:highlight w:val="none"/>
                      <w:lang w:val="en-US" w:eastAsia="zh-CN"/>
                    </w:rPr>
                    <w:t>废气依托现有</w:t>
                  </w:r>
                  <w:r>
                    <w:rPr>
                      <w:highlight w:val="none"/>
                      <w:lang w:val="en-US" w:eastAsia="zh-CN"/>
                    </w:rPr>
                    <w:t>回收机组回收后进入导热油炉燃烧净化后，经1根</w:t>
                  </w:r>
                  <w:r>
                    <w:rPr>
                      <w:rFonts w:hint="eastAsia"/>
                      <w:highlight w:val="none"/>
                      <w:lang w:val="en-US" w:eastAsia="zh-CN"/>
                    </w:rPr>
                    <w:t>20</w:t>
                  </w:r>
                  <w:r>
                    <w:rPr>
                      <w:highlight w:val="none"/>
                      <w:lang w:val="en-US" w:eastAsia="zh-CN"/>
                    </w:rPr>
                    <w:t>m高排气筒（DA002）排放。</w:t>
                  </w:r>
                  <w:r>
                    <w:rPr>
                      <w:rFonts w:hint="eastAsia"/>
                      <w:highlight w:val="none"/>
                      <w:lang w:val="en-US" w:eastAsia="zh-CN"/>
                    </w:rPr>
                    <w:t>本次新增物料卸车废气</w:t>
                  </w:r>
                  <w:r>
                    <w:rPr>
                      <w:rFonts w:hint="eastAsia"/>
                      <w:lang w:val="en-US" w:eastAsia="zh-CN"/>
                    </w:rPr>
                    <w:t>收集</w:t>
                  </w:r>
                  <w:r>
                    <w:rPr>
                      <w:rFonts w:hint="eastAsia"/>
                      <w:highlight w:val="none"/>
                      <w:lang w:val="en-US" w:eastAsia="zh-CN"/>
                    </w:rPr>
                    <w:t>管道</w:t>
                  </w:r>
                </w:p>
              </w:tc>
              <w:tc>
                <w:tcPr>
                  <w:tcW w:w="692" w:type="pct"/>
                  <w:noWrap w:val="0"/>
                  <w:vAlign w:val="center"/>
                </w:tcPr>
                <w:p w14:paraId="0B83CA36">
                  <w:pPr>
                    <w:pStyle w:val="5"/>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5</w:t>
                  </w:r>
                </w:p>
              </w:tc>
            </w:tr>
            <w:tr w14:paraId="334E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vMerge w:val="continue"/>
                  <w:noWrap w:val="0"/>
                  <w:vAlign w:val="center"/>
                </w:tcPr>
                <w:p w14:paraId="7E99D5A1">
                  <w:pPr>
                    <w:pStyle w:val="5"/>
                    <w:suppressLineNumbers w:val="0"/>
                    <w:bidi w:val="0"/>
                    <w:spacing w:before="0" w:beforeAutospacing="0" w:after="0" w:afterAutospacing="0"/>
                    <w:ind w:left="0" w:right="0"/>
                    <w:rPr>
                      <w:rFonts w:hint="default"/>
                      <w:highlight w:val="none"/>
                    </w:rPr>
                  </w:pPr>
                </w:p>
              </w:tc>
              <w:tc>
                <w:tcPr>
                  <w:tcW w:w="396" w:type="pct"/>
                  <w:vMerge w:val="continue"/>
                  <w:noWrap w:val="0"/>
                  <w:vAlign w:val="center"/>
                </w:tcPr>
                <w:p w14:paraId="7D1AB5EA">
                  <w:pPr>
                    <w:pStyle w:val="5"/>
                    <w:suppressLineNumbers w:val="0"/>
                    <w:bidi w:val="0"/>
                    <w:spacing w:before="0" w:beforeAutospacing="0" w:after="0" w:afterAutospacing="0"/>
                    <w:ind w:left="0" w:right="0"/>
                    <w:rPr>
                      <w:rFonts w:hint="default"/>
                      <w:highlight w:val="none"/>
                      <w:lang w:eastAsia="zh-CN"/>
                    </w:rPr>
                  </w:pPr>
                </w:p>
              </w:tc>
              <w:tc>
                <w:tcPr>
                  <w:tcW w:w="684" w:type="pct"/>
                  <w:noWrap w:val="0"/>
                  <w:vAlign w:val="center"/>
                </w:tcPr>
                <w:p w14:paraId="637E9C18">
                  <w:pPr>
                    <w:pStyle w:val="5"/>
                    <w:bidi w:val="0"/>
                    <w:ind w:firstLine="0" w:firstLineChars="0"/>
                    <w:rPr>
                      <w:rFonts w:hint="default"/>
                      <w:highlight w:val="none"/>
                      <w:lang w:val="en-US" w:eastAsia="zh-CN"/>
                    </w:rPr>
                  </w:pPr>
                  <w:r>
                    <w:rPr>
                      <w:highlight w:val="none"/>
                      <w:lang w:val="en-US" w:eastAsia="zh-CN"/>
                    </w:rPr>
                    <w:t>物料装车废气</w:t>
                  </w:r>
                </w:p>
              </w:tc>
              <w:tc>
                <w:tcPr>
                  <w:tcW w:w="2787" w:type="pct"/>
                  <w:noWrap w:val="0"/>
                  <w:vAlign w:val="center"/>
                </w:tcPr>
                <w:p w14:paraId="6770E3BA">
                  <w:pPr>
                    <w:pStyle w:val="5"/>
                    <w:bidi w:val="0"/>
                    <w:ind w:firstLine="0" w:firstLineChars="0"/>
                    <w:rPr>
                      <w:rFonts w:hint="default"/>
                      <w:highlight w:val="none"/>
                      <w:lang w:val="en-US" w:eastAsia="zh-CN"/>
                    </w:rPr>
                  </w:pPr>
                  <w:r>
                    <w:rPr>
                      <w:highlight w:val="none"/>
                      <w:lang w:val="en-US" w:eastAsia="zh-CN"/>
                    </w:rPr>
                    <w:t>采用底部装车系统，收集废气</w:t>
                  </w:r>
                  <w:r>
                    <w:rPr>
                      <w:rFonts w:hint="eastAsia"/>
                      <w:highlight w:val="none"/>
                      <w:lang w:val="en-US" w:eastAsia="zh-CN"/>
                    </w:rPr>
                    <w:t>依托现有</w:t>
                  </w:r>
                  <w:r>
                    <w:rPr>
                      <w:highlight w:val="none"/>
                      <w:lang w:val="en-US" w:eastAsia="zh-CN"/>
                    </w:rPr>
                    <w:t>油气回收系统（冷凝+活性炭吸附）处理措施，处理后废气经1根15m高排气筒（DA003）排放。</w:t>
                  </w:r>
                  <w:r>
                    <w:rPr>
                      <w:rFonts w:hint="eastAsia"/>
                      <w:highlight w:val="none"/>
                      <w:lang w:val="en-US" w:eastAsia="zh-CN"/>
                    </w:rPr>
                    <w:t>本次新增物料装车废气</w:t>
                  </w:r>
                  <w:r>
                    <w:rPr>
                      <w:rFonts w:hint="eastAsia"/>
                      <w:lang w:val="en-US" w:eastAsia="zh-CN"/>
                    </w:rPr>
                    <w:t>收集</w:t>
                  </w:r>
                  <w:r>
                    <w:rPr>
                      <w:rFonts w:hint="eastAsia"/>
                      <w:highlight w:val="none"/>
                      <w:lang w:val="en-US" w:eastAsia="zh-CN"/>
                    </w:rPr>
                    <w:t>管道</w:t>
                  </w:r>
                </w:p>
              </w:tc>
              <w:tc>
                <w:tcPr>
                  <w:tcW w:w="692" w:type="pct"/>
                  <w:noWrap w:val="0"/>
                  <w:vAlign w:val="center"/>
                </w:tcPr>
                <w:p w14:paraId="48588F84">
                  <w:pPr>
                    <w:pStyle w:val="5"/>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5</w:t>
                  </w:r>
                </w:p>
              </w:tc>
            </w:tr>
            <w:tr w14:paraId="6681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vMerge w:val="continue"/>
                  <w:noWrap w:val="0"/>
                  <w:vAlign w:val="center"/>
                </w:tcPr>
                <w:p w14:paraId="11311F66">
                  <w:pPr>
                    <w:pStyle w:val="5"/>
                    <w:suppressLineNumbers w:val="0"/>
                    <w:bidi w:val="0"/>
                    <w:spacing w:before="0" w:beforeAutospacing="0" w:after="0" w:afterAutospacing="0"/>
                    <w:ind w:left="0" w:right="0"/>
                    <w:rPr>
                      <w:rFonts w:hint="default"/>
                      <w:highlight w:val="none"/>
                    </w:rPr>
                  </w:pPr>
                </w:p>
              </w:tc>
              <w:tc>
                <w:tcPr>
                  <w:tcW w:w="396" w:type="pct"/>
                  <w:vMerge w:val="continue"/>
                  <w:noWrap w:val="0"/>
                  <w:vAlign w:val="center"/>
                </w:tcPr>
                <w:p w14:paraId="52A848E3">
                  <w:pPr>
                    <w:pStyle w:val="5"/>
                    <w:suppressLineNumbers w:val="0"/>
                    <w:bidi w:val="0"/>
                    <w:spacing w:before="0" w:beforeAutospacing="0" w:after="0" w:afterAutospacing="0"/>
                    <w:ind w:left="0" w:right="0"/>
                    <w:rPr>
                      <w:rFonts w:hint="default"/>
                      <w:highlight w:val="none"/>
                      <w:lang w:eastAsia="zh-CN"/>
                    </w:rPr>
                  </w:pPr>
                </w:p>
              </w:tc>
              <w:tc>
                <w:tcPr>
                  <w:tcW w:w="684" w:type="pct"/>
                  <w:noWrap w:val="0"/>
                  <w:vAlign w:val="center"/>
                </w:tcPr>
                <w:p w14:paraId="7662EF52">
                  <w:pPr>
                    <w:pStyle w:val="5"/>
                    <w:bidi w:val="0"/>
                    <w:ind w:firstLine="0" w:firstLineChars="0"/>
                    <w:rPr>
                      <w:rFonts w:hint="default"/>
                      <w:highlight w:val="none"/>
                      <w:lang w:val="en-US" w:eastAsia="zh-CN"/>
                    </w:rPr>
                  </w:pPr>
                  <w:r>
                    <w:rPr>
                      <w:highlight w:val="none"/>
                      <w:lang w:val="en-US" w:eastAsia="zh-CN"/>
                    </w:rPr>
                    <w:t>设备动静密封点废气</w:t>
                  </w:r>
                </w:p>
              </w:tc>
              <w:tc>
                <w:tcPr>
                  <w:tcW w:w="2787" w:type="pct"/>
                  <w:noWrap w:val="0"/>
                  <w:vAlign w:val="center"/>
                </w:tcPr>
                <w:p w14:paraId="79F984F2">
                  <w:pPr>
                    <w:pStyle w:val="5"/>
                    <w:bidi w:val="0"/>
                    <w:ind w:firstLine="0" w:firstLineChars="0"/>
                    <w:rPr>
                      <w:rFonts w:hint="default"/>
                      <w:highlight w:val="none"/>
                      <w:lang w:val="en-US" w:eastAsia="zh-CN"/>
                    </w:rPr>
                  </w:pPr>
                  <w:r>
                    <w:rPr>
                      <w:highlight w:val="none"/>
                      <w:lang w:val="en-US" w:eastAsia="zh-CN"/>
                    </w:rPr>
                    <w:t>采用技术质量可靠的设备、仪表控制、阀门等，烃类机泵采用无泄漏屏蔽泵。采用密闭集输流程，对各设备、阀门、法兰、泵、连接件等进行定期的检查、检修；定期开展泄漏检测和修复工作</w:t>
                  </w:r>
                </w:p>
              </w:tc>
              <w:tc>
                <w:tcPr>
                  <w:tcW w:w="692" w:type="pct"/>
                  <w:noWrap w:val="0"/>
                  <w:vAlign w:val="center"/>
                </w:tcPr>
                <w:p w14:paraId="0C2D26C2">
                  <w:pPr>
                    <w:pStyle w:val="5"/>
                    <w:bidi w:val="0"/>
                    <w:ind w:firstLine="0" w:firstLineChars="0"/>
                    <w:rPr>
                      <w:rFonts w:hint="default"/>
                      <w:highlight w:val="none"/>
                      <w:lang w:val="en-US" w:eastAsia="zh-CN"/>
                    </w:rPr>
                  </w:pPr>
                  <w:r>
                    <w:rPr>
                      <w:rFonts w:hint="eastAsia"/>
                      <w:highlight w:val="none"/>
                      <w:lang w:val="en-US" w:eastAsia="zh-CN"/>
                    </w:rPr>
                    <w:t>5</w:t>
                  </w:r>
                </w:p>
              </w:tc>
            </w:tr>
            <w:tr w14:paraId="6D8C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vMerge w:val="continue"/>
                  <w:noWrap w:val="0"/>
                  <w:vAlign w:val="center"/>
                </w:tcPr>
                <w:p w14:paraId="61E32229">
                  <w:pPr>
                    <w:pStyle w:val="5"/>
                    <w:suppressLineNumbers w:val="0"/>
                    <w:bidi w:val="0"/>
                    <w:spacing w:before="0" w:beforeAutospacing="0" w:after="0" w:afterAutospacing="0"/>
                    <w:ind w:left="0" w:right="0"/>
                    <w:rPr>
                      <w:rFonts w:hint="default"/>
                    </w:rPr>
                  </w:pPr>
                </w:p>
              </w:tc>
              <w:tc>
                <w:tcPr>
                  <w:tcW w:w="1081" w:type="pct"/>
                  <w:gridSpan w:val="2"/>
                  <w:noWrap w:val="0"/>
                  <w:vAlign w:val="center"/>
                </w:tcPr>
                <w:p w14:paraId="369B2A21">
                  <w:pPr>
                    <w:pStyle w:val="5"/>
                    <w:suppressLineNumbers w:val="0"/>
                    <w:bidi w:val="0"/>
                    <w:spacing w:before="0" w:beforeAutospacing="0" w:after="0" w:afterAutospacing="0"/>
                    <w:ind w:left="0" w:right="0"/>
                    <w:rPr>
                      <w:rFonts w:hint="default"/>
                      <w:lang w:val="en-US" w:eastAsia="zh-CN"/>
                    </w:rPr>
                  </w:pPr>
                  <w:r>
                    <w:rPr>
                      <w:rFonts w:hint="default"/>
                      <w:lang w:val="en-US" w:eastAsia="zh-CN"/>
                    </w:rPr>
                    <w:t>噪声治理</w:t>
                  </w:r>
                </w:p>
              </w:tc>
              <w:tc>
                <w:tcPr>
                  <w:tcW w:w="2787" w:type="pct"/>
                  <w:noWrap w:val="0"/>
                  <w:vAlign w:val="center"/>
                </w:tcPr>
                <w:p w14:paraId="6CB41AC5">
                  <w:pPr>
                    <w:pStyle w:val="5"/>
                    <w:suppressLineNumbers w:val="0"/>
                    <w:bidi w:val="0"/>
                    <w:spacing w:before="0" w:beforeAutospacing="0" w:after="0" w:afterAutospacing="0"/>
                    <w:ind w:left="0" w:right="0"/>
                    <w:rPr>
                      <w:rFonts w:hint="default"/>
                      <w:lang w:val="en-US" w:eastAsia="zh-CN"/>
                    </w:rPr>
                  </w:pPr>
                  <w:r>
                    <w:rPr>
                      <w:rFonts w:hint="default"/>
                      <w:lang w:val="en-US" w:eastAsia="zh-CN"/>
                    </w:rPr>
                    <w:t>采取隔声、减震等措施，定</w:t>
                  </w:r>
                  <w:r>
                    <w:rPr>
                      <w:rFonts w:hint="eastAsia"/>
                      <w:lang w:val="en-US" w:eastAsia="zh-CN"/>
                    </w:rPr>
                    <w:t>期对</w:t>
                  </w:r>
                  <w:r>
                    <w:rPr>
                      <w:rFonts w:hint="default"/>
                      <w:lang w:val="en-US" w:eastAsia="zh-CN"/>
                    </w:rPr>
                    <w:t>设备进行保养</w:t>
                  </w:r>
                </w:p>
              </w:tc>
              <w:tc>
                <w:tcPr>
                  <w:tcW w:w="692" w:type="pct"/>
                  <w:noWrap w:val="0"/>
                  <w:vAlign w:val="center"/>
                </w:tcPr>
                <w:p w14:paraId="1C9744CD">
                  <w:pPr>
                    <w:pStyle w:val="5"/>
                    <w:suppressLineNumbers w:val="0"/>
                    <w:bidi w:val="0"/>
                    <w:spacing w:before="0" w:beforeAutospacing="0" w:after="0" w:afterAutospacing="0"/>
                    <w:ind w:left="0" w:right="0"/>
                    <w:rPr>
                      <w:rFonts w:hint="default"/>
                      <w:lang w:val="en-US" w:eastAsia="zh-CN"/>
                    </w:rPr>
                  </w:pPr>
                  <w:r>
                    <w:rPr>
                      <w:rFonts w:hint="eastAsia"/>
                      <w:lang w:val="en-US" w:eastAsia="zh-CN"/>
                    </w:rPr>
                    <w:t>5</w:t>
                  </w:r>
                </w:p>
              </w:tc>
            </w:tr>
            <w:tr w14:paraId="1519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vMerge w:val="continue"/>
                  <w:noWrap w:val="0"/>
                  <w:vAlign w:val="center"/>
                </w:tcPr>
                <w:p w14:paraId="769C4E5E">
                  <w:pPr>
                    <w:pStyle w:val="5"/>
                    <w:suppressLineNumbers w:val="0"/>
                    <w:bidi w:val="0"/>
                    <w:spacing w:before="0" w:beforeAutospacing="0" w:after="0" w:afterAutospacing="0"/>
                    <w:ind w:left="0" w:right="0"/>
                    <w:rPr>
                      <w:rFonts w:hint="default"/>
                    </w:rPr>
                  </w:pPr>
                </w:p>
              </w:tc>
              <w:tc>
                <w:tcPr>
                  <w:tcW w:w="1081" w:type="pct"/>
                  <w:gridSpan w:val="2"/>
                  <w:noWrap w:val="0"/>
                  <w:vAlign w:val="center"/>
                </w:tcPr>
                <w:p w14:paraId="0B17B5C8">
                  <w:pPr>
                    <w:pStyle w:val="5"/>
                    <w:suppressLineNumbers w:val="0"/>
                    <w:bidi w:val="0"/>
                    <w:spacing w:before="0" w:beforeAutospacing="0" w:after="0" w:afterAutospacing="0"/>
                    <w:ind w:left="0" w:right="0"/>
                    <w:rPr>
                      <w:rFonts w:hint="default"/>
                      <w:lang w:val="en-US" w:eastAsia="zh-CN"/>
                    </w:rPr>
                  </w:pPr>
                  <w:r>
                    <w:rPr>
                      <w:rFonts w:hint="eastAsia"/>
                      <w:lang w:val="en-US" w:eastAsia="zh-CN"/>
                    </w:rPr>
                    <w:t>地下水</w:t>
                  </w:r>
                </w:p>
              </w:tc>
              <w:tc>
                <w:tcPr>
                  <w:tcW w:w="2787" w:type="pct"/>
                  <w:noWrap w:val="0"/>
                  <w:vAlign w:val="center"/>
                </w:tcPr>
                <w:p w14:paraId="7DFBF58C">
                  <w:pPr>
                    <w:pStyle w:val="5"/>
                    <w:suppressLineNumbers w:val="0"/>
                    <w:bidi w:val="0"/>
                    <w:spacing w:before="0" w:beforeAutospacing="0" w:after="0" w:afterAutospacing="0"/>
                    <w:ind w:left="0" w:right="0"/>
                    <w:rPr>
                      <w:rFonts w:hint="default"/>
                      <w:lang w:val="en-US" w:eastAsia="zh-CN"/>
                    </w:rPr>
                  </w:pPr>
                  <w:r>
                    <w:rPr>
                      <w:rFonts w:hint="eastAsia"/>
                      <w:lang w:val="en-US" w:eastAsia="zh-CN"/>
                    </w:rPr>
                    <w:t>罐区四进行重点防渗</w:t>
                  </w:r>
                </w:p>
              </w:tc>
              <w:tc>
                <w:tcPr>
                  <w:tcW w:w="692" w:type="pct"/>
                  <w:noWrap w:val="0"/>
                  <w:vAlign w:val="center"/>
                </w:tcPr>
                <w:p w14:paraId="1A674B21">
                  <w:pPr>
                    <w:pStyle w:val="5"/>
                    <w:suppressLineNumbers w:val="0"/>
                    <w:bidi w:val="0"/>
                    <w:spacing w:before="0" w:beforeAutospacing="0" w:after="0" w:afterAutospacing="0"/>
                    <w:ind w:left="0" w:right="0"/>
                    <w:rPr>
                      <w:rFonts w:hint="default"/>
                      <w:lang w:val="en-US" w:eastAsia="zh-CN"/>
                    </w:rPr>
                  </w:pPr>
                  <w:r>
                    <w:rPr>
                      <w:rFonts w:hint="eastAsia"/>
                      <w:lang w:val="en-US" w:eastAsia="zh-CN"/>
                    </w:rPr>
                    <w:t>22</w:t>
                  </w:r>
                </w:p>
              </w:tc>
            </w:tr>
            <w:tr w14:paraId="3483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vMerge w:val="continue"/>
                  <w:noWrap w:val="0"/>
                  <w:vAlign w:val="center"/>
                </w:tcPr>
                <w:p w14:paraId="7C4B7A1A">
                  <w:pPr>
                    <w:pStyle w:val="5"/>
                    <w:suppressLineNumbers w:val="0"/>
                    <w:bidi w:val="0"/>
                    <w:spacing w:before="0" w:beforeAutospacing="0" w:after="0" w:afterAutospacing="0"/>
                    <w:ind w:left="0" w:right="0"/>
                    <w:rPr>
                      <w:rFonts w:hint="default"/>
                    </w:rPr>
                  </w:pPr>
                </w:p>
              </w:tc>
              <w:tc>
                <w:tcPr>
                  <w:tcW w:w="3868" w:type="pct"/>
                  <w:gridSpan w:val="3"/>
                  <w:noWrap w:val="0"/>
                  <w:vAlign w:val="center"/>
                </w:tcPr>
                <w:p w14:paraId="7F696BFA">
                  <w:pPr>
                    <w:pStyle w:val="5"/>
                    <w:suppressLineNumbers w:val="0"/>
                    <w:bidi w:val="0"/>
                    <w:spacing w:before="0" w:beforeAutospacing="0" w:after="0" w:afterAutospacing="0"/>
                    <w:ind w:left="0" w:right="0"/>
                    <w:rPr>
                      <w:rFonts w:hint="default"/>
                      <w:lang w:val="en-US" w:eastAsia="zh-CN"/>
                    </w:rPr>
                  </w:pPr>
                  <w:r>
                    <w:rPr>
                      <w:rFonts w:hint="default"/>
                      <w:lang w:val="en-US" w:eastAsia="zh-CN"/>
                    </w:rPr>
                    <w:t>小计</w:t>
                  </w:r>
                </w:p>
              </w:tc>
              <w:tc>
                <w:tcPr>
                  <w:tcW w:w="692" w:type="pct"/>
                  <w:noWrap w:val="0"/>
                  <w:vAlign w:val="center"/>
                </w:tcPr>
                <w:p w14:paraId="5B41BB31">
                  <w:pPr>
                    <w:pStyle w:val="5"/>
                    <w:suppressLineNumbers w:val="0"/>
                    <w:bidi w:val="0"/>
                    <w:spacing w:before="0" w:beforeAutospacing="0" w:after="0" w:afterAutospacing="0"/>
                    <w:ind w:left="0" w:right="0"/>
                    <w:rPr>
                      <w:rFonts w:hint="default"/>
                      <w:lang w:val="en-US" w:eastAsia="zh-CN"/>
                    </w:rPr>
                  </w:pPr>
                  <w:r>
                    <w:rPr>
                      <w:rFonts w:hint="eastAsia"/>
                      <w:lang w:val="en-US" w:eastAsia="zh-CN"/>
                    </w:rPr>
                    <w:t>42</w:t>
                  </w:r>
                </w:p>
              </w:tc>
            </w:tr>
            <w:tr w14:paraId="32CB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07" w:type="pct"/>
                  <w:gridSpan w:val="4"/>
                  <w:noWrap w:val="0"/>
                  <w:vAlign w:val="center"/>
                </w:tcPr>
                <w:p w14:paraId="15794F48">
                  <w:pPr>
                    <w:pStyle w:val="5"/>
                    <w:suppressLineNumbers w:val="0"/>
                    <w:bidi w:val="0"/>
                    <w:spacing w:before="0" w:beforeAutospacing="0" w:after="0" w:afterAutospacing="0"/>
                    <w:ind w:left="0" w:right="0"/>
                    <w:rPr>
                      <w:rFonts w:hint="default"/>
                    </w:rPr>
                  </w:pPr>
                  <w:r>
                    <w:rPr>
                      <w:rFonts w:hint="default"/>
                    </w:rPr>
                    <w:t>合计</w:t>
                  </w:r>
                </w:p>
              </w:tc>
              <w:tc>
                <w:tcPr>
                  <w:tcW w:w="692" w:type="pct"/>
                  <w:noWrap w:val="0"/>
                  <w:vAlign w:val="center"/>
                </w:tcPr>
                <w:p w14:paraId="5BE60BAF">
                  <w:pPr>
                    <w:pStyle w:val="5"/>
                    <w:suppressLineNumbers w:val="0"/>
                    <w:bidi w:val="0"/>
                    <w:spacing w:before="0" w:beforeAutospacing="0" w:after="0" w:afterAutospacing="0"/>
                    <w:ind w:left="0" w:right="0"/>
                    <w:rPr>
                      <w:rFonts w:hint="default"/>
                      <w:lang w:val="en-US" w:eastAsia="zh-CN"/>
                    </w:rPr>
                  </w:pPr>
                  <w:r>
                    <w:rPr>
                      <w:rFonts w:hint="eastAsia"/>
                      <w:lang w:val="en-US" w:eastAsia="zh-CN"/>
                    </w:rPr>
                    <w:t>50</w:t>
                  </w:r>
                </w:p>
              </w:tc>
            </w:tr>
          </w:tbl>
          <w:p w14:paraId="115626D8">
            <w:pPr>
              <w:widowControl w:val="0"/>
              <w:adjustRightInd w:val="0"/>
              <w:snapToGrid w:val="0"/>
              <w:spacing w:line="360" w:lineRule="auto"/>
              <w:jc w:val="both"/>
              <w:rPr>
                <w:rFonts w:eastAsia="宋体"/>
                <w:b/>
                <w:sz w:val="28"/>
                <w:szCs w:val="28"/>
                <w:vertAlign w:val="baseline"/>
                <w:lang w:val="en-US" w:eastAsia="zh-CN" w:bidi="ar-SA"/>
              </w:rPr>
            </w:pPr>
          </w:p>
        </w:tc>
      </w:tr>
    </w:tbl>
    <w:p w14:paraId="3E6019AC">
      <w:pPr>
        <w:widowControl w:val="0"/>
        <w:adjustRightInd w:val="0"/>
        <w:snapToGrid w:val="0"/>
        <w:spacing w:line="360" w:lineRule="auto"/>
        <w:jc w:val="both"/>
        <w:rPr>
          <w:rFonts w:eastAsia="宋体"/>
          <w:b/>
          <w:sz w:val="28"/>
          <w:szCs w:val="28"/>
          <w:lang w:val="en-US" w:eastAsia="zh-CN" w:bidi="ar-SA"/>
        </w:rPr>
        <w:sectPr>
          <w:pgSz w:w="11907" w:h="16840"/>
          <w:pgMar w:top="1701" w:right="1531" w:bottom="1592" w:left="1531" w:header="851" w:footer="850" w:gutter="0"/>
          <w:pgBorders>
            <w:top w:val="none" w:sz="0" w:space="0"/>
            <w:left w:val="none" w:sz="0" w:space="0"/>
            <w:bottom w:val="none" w:sz="0" w:space="0"/>
            <w:right w:val="none" w:sz="0" w:space="0"/>
          </w:pgBorders>
          <w:pgNumType w:fmt="decimal"/>
          <w:cols w:space="720" w:num="1"/>
          <w:docGrid w:linePitch="312" w:charSpace="0"/>
        </w:sectPr>
      </w:pPr>
    </w:p>
    <w:p w14:paraId="07F7BD78">
      <w:pPr>
        <w:widowControl/>
        <w:spacing w:before="100" w:beforeAutospacing="1" w:after="100" w:afterAutospacing="1"/>
        <w:jc w:val="center"/>
        <w:outlineLvl w:val="0"/>
        <w:rPr>
          <w:rFonts w:eastAsia="黑体"/>
          <w:snapToGrid w:val="0"/>
          <w:sz w:val="30"/>
          <w:szCs w:val="30"/>
          <w:lang w:val="en-US" w:eastAsia="zh-CN" w:bidi="ar-SA"/>
        </w:rPr>
      </w:pPr>
      <w:bookmarkStart w:id="14" w:name="_Toc21313"/>
      <w:bookmarkStart w:id="15" w:name="_Toc7233"/>
      <w:bookmarkStart w:id="16" w:name="_Toc18943"/>
      <w:r>
        <w:rPr>
          <w:rFonts w:eastAsia="黑体"/>
          <w:snapToGrid w:val="0"/>
          <w:sz w:val="30"/>
          <w:szCs w:val="30"/>
          <w:lang w:val="en-US" w:eastAsia="zh-CN" w:bidi="ar-SA"/>
        </w:rPr>
        <w:t>五、</w:t>
      </w:r>
      <w:bookmarkStart w:id="17" w:name="_Hlk54167917"/>
      <w:r>
        <w:rPr>
          <w:rFonts w:eastAsia="黑体"/>
          <w:snapToGrid w:val="0"/>
          <w:sz w:val="30"/>
          <w:szCs w:val="30"/>
          <w:lang w:val="en-US" w:eastAsia="zh-CN" w:bidi="ar-SA"/>
        </w:rPr>
        <w:t>环境保护措施监督检查清单</w:t>
      </w:r>
      <w:bookmarkEnd w:id="14"/>
      <w:bookmarkEnd w:id="15"/>
      <w:bookmarkEnd w:id="16"/>
      <w:bookmarkEnd w:id="17"/>
    </w:p>
    <w:tbl>
      <w:tblPr>
        <w:tblStyle w:val="29"/>
        <w:tblW w:w="515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12"/>
        <w:gridCol w:w="1400"/>
        <w:gridCol w:w="904"/>
        <w:gridCol w:w="2352"/>
        <w:gridCol w:w="3066"/>
      </w:tblGrid>
      <w:tr w14:paraId="7BAE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73" w:type="pct"/>
            <w:tcBorders>
              <w:tl2br w:val="single" w:color="000000" w:sz="4" w:space="0"/>
            </w:tcBorders>
            <w:vAlign w:val="center"/>
          </w:tcPr>
          <w:p w14:paraId="119C96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b w:val="0"/>
                <w:bCs w:val="0"/>
                <w:spacing w:val="-9"/>
                <w:kern w:val="2"/>
                <w:sz w:val="24"/>
                <w:szCs w:val="24"/>
                <w:lang w:val="en-US" w:eastAsia="en-US" w:bidi="ar-SA"/>
              </w:rPr>
            </w:pPr>
            <w:r>
              <w:rPr>
                <w:rFonts w:hint="eastAsia" w:eastAsia="宋体"/>
                <w:b w:val="0"/>
                <w:bCs w:val="0"/>
                <w:spacing w:val="-9"/>
                <w:kern w:val="2"/>
                <w:sz w:val="24"/>
                <w:szCs w:val="24"/>
                <w:lang w:val="en-US" w:eastAsia="zh-CN" w:bidi="ar-SA"/>
              </w:rPr>
              <w:t xml:space="preserve">  </w:t>
            </w:r>
            <w:r>
              <w:rPr>
                <w:rFonts w:eastAsia="宋体"/>
                <w:b w:val="0"/>
                <w:bCs w:val="0"/>
                <w:spacing w:val="-9"/>
                <w:kern w:val="2"/>
                <w:sz w:val="24"/>
                <w:szCs w:val="24"/>
                <w:lang w:val="en-US" w:eastAsia="en-US" w:bidi="ar-SA"/>
              </w:rPr>
              <w:t>内容</w:t>
            </w:r>
          </w:p>
          <w:p w14:paraId="18A9DB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eastAsia="宋体"/>
                <w:b w:val="0"/>
                <w:bCs w:val="0"/>
                <w:kern w:val="2"/>
                <w:sz w:val="24"/>
                <w:szCs w:val="24"/>
                <w:lang w:val="en-US" w:eastAsia="en-US" w:bidi="ar-SA"/>
              </w:rPr>
            </w:pPr>
            <w:r>
              <w:rPr>
                <w:rFonts w:eastAsia="宋体"/>
                <w:b w:val="0"/>
                <w:bCs w:val="0"/>
                <w:spacing w:val="3"/>
                <w:kern w:val="2"/>
                <w:sz w:val="24"/>
                <w:szCs w:val="24"/>
                <w:lang w:val="en-US" w:eastAsia="en-US" w:bidi="ar-SA"/>
              </w:rPr>
              <w:t>要素</w:t>
            </w:r>
          </w:p>
        </w:tc>
        <w:tc>
          <w:tcPr>
            <w:tcW w:w="766" w:type="pct"/>
            <w:vAlign w:val="center"/>
          </w:tcPr>
          <w:p w14:paraId="279D0F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b w:val="0"/>
                <w:bCs w:val="0"/>
                <w:kern w:val="2"/>
                <w:sz w:val="24"/>
                <w:szCs w:val="24"/>
                <w:lang w:val="en-US" w:eastAsia="en-US" w:bidi="ar-SA"/>
              </w:rPr>
            </w:pPr>
            <w:r>
              <w:rPr>
                <w:rFonts w:eastAsia="宋体"/>
                <w:b w:val="0"/>
                <w:bCs w:val="0"/>
                <w:spacing w:val="7"/>
                <w:kern w:val="2"/>
                <w:sz w:val="24"/>
                <w:szCs w:val="24"/>
                <w:lang w:val="en-US" w:eastAsia="en-US" w:bidi="ar-SA"/>
              </w:rPr>
              <w:t>排放口（编号、名</w:t>
            </w:r>
            <w:r>
              <w:rPr>
                <w:rFonts w:eastAsia="宋体"/>
                <w:b w:val="0"/>
                <w:bCs w:val="0"/>
                <w:spacing w:val="6"/>
                <w:kern w:val="2"/>
                <w:sz w:val="24"/>
                <w:szCs w:val="24"/>
                <w:lang w:val="en-US" w:eastAsia="en-US" w:bidi="ar-SA"/>
              </w:rPr>
              <w:t>称）/污染源</w:t>
            </w:r>
          </w:p>
        </w:tc>
        <w:tc>
          <w:tcPr>
            <w:tcW w:w="495" w:type="pct"/>
            <w:vAlign w:val="center"/>
          </w:tcPr>
          <w:p w14:paraId="41DC61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b w:val="0"/>
                <w:bCs w:val="0"/>
                <w:kern w:val="2"/>
                <w:sz w:val="24"/>
                <w:szCs w:val="24"/>
                <w:lang w:val="en-US" w:eastAsia="en-US" w:bidi="ar-SA"/>
              </w:rPr>
            </w:pPr>
            <w:r>
              <w:rPr>
                <w:rFonts w:eastAsia="宋体"/>
                <w:b w:val="0"/>
                <w:bCs w:val="0"/>
                <w:spacing w:val="6"/>
                <w:kern w:val="2"/>
                <w:sz w:val="24"/>
                <w:szCs w:val="24"/>
                <w:lang w:val="en-US" w:eastAsia="en-US" w:bidi="ar-SA"/>
              </w:rPr>
              <w:t>污染物项</w:t>
            </w:r>
            <w:r>
              <w:rPr>
                <w:rFonts w:eastAsia="宋体"/>
                <w:b w:val="0"/>
                <w:bCs w:val="0"/>
                <w:spacing w:val="-3"/>
                <w:kern w:val="2"/>
                <w:sz w:val="24"/>
                <w:szCs w:val="24"/>
                <w:lang w:val="en-US" w:eastAsia="en-US" w:bidi="ar-SA"/>
              </w:rPr>
              <w:t>目</w:t>
            </w:r>
          </w:p>
        </w:tc>
        <w:tc>
          <w:tcPr>
            <w:tcW w:w="1287" w:type="pct"/>
            <w:vAlign w:val="center"/>
          </w:tcPr>
          <w:p w14:paraId="17C705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b w:val="0"/>
                <w:bCs w:val="0"/>
                <w:kern w:val="2"/>
                <w:sz w:val="24"/>
                <w:szCs w:val="24"/>
                <w:lang w:val="en-US" w:eastAsia="en-US" w:bidi="ar-SA"/>
              </w:rPr>
            </w:pPr>
            <w:r>
              <w:rPr>
                <w:rFonts w:eastAsia="宋体"/>
                <w:b w:val="0"/>
                <w:bCs w:val="0"/>
                <w:spacing w:val="6"/>
                <w:kern w:val="2"/>
                <w:sz w:val="24"/>
                <w:szCs w:val="24"/>
                <w:lang w:val="en-US" w:eastAsia="en-US" w:bidi="ar-SA"/>
              </w:rPr>
              <w:t>环境保护措施</w:t>
            </w:r>
          </w:p>
        </w:tc>
        <w:tc>
          <w:tcPr>
            <w:tcW w:w="1677" w:type="pct"/>
            <w:vAlign w:val="center"/>
          </w:tcPr>
          <w:p w14:paraId="715AFF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b w:val="0"/>
                <w:bCs w:val="0"/>
                <w:kern w:val="2"/>
                <w:sz w:val="24"/>
                <w:szCs w:val="24"/>
                <w:lang w:val="en-US" w:eastAsia="en-US" w:bidi="ar-SA"/>
              </w:rPr>
            </w:pPr>
            <w:r>
              <w:rPr>
                <w:rFonts w:eastAsia="宋体"/>
                <w:b w:val="0"/>
                <w:bCs w:val="0"/>
                <w:spacing w:val="6"/>
                <w:kern w:val="2"/>
                <w:sz w:val="24"/>
                <w:szCs w:val="24"/>
                <w:lang w:val="en-US" w:eastAsia="en-US" w:bidi="ar-SA"/>
              </w:rPr>
              <w:t>执行标准</w:t>
            </w:r>
          </w:p>
        </w:tc>
      </w:tr>
      <w:tr w14:paraId="5F53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73" w:type="pct"/>
            <w:vMerge w:val="restart"/>
            <w:vAlign w:val="center"/>
          </w:tcPr>
          <w:p w14:paraId="2CFB86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大气环境</w:t>
            </w:r>
          </w:p>
        </w:tc>
        <w:tc>
          <w:tcPr>
            <w:tcW w:w="766" w:type="pct"/>
            <w:vAlign w:val="center"/>
          </w:tcPr>
          <w:p w14:paraId="6598BB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eastAsia="宋体"/>
                <w:spacing w:val="8"/>
                <w:kern w:val="2"/>
                <w:sz w:val="24"/>
                <w:szCs w:val="24"/>
                <w:lang w:val="en-US" w:eastAsia="zh-CN" w:bidi="ar-SA"/>
              </w:rPr>
            </w:pPr>
            <w:r>
              <w:rPr>
                <w:rFonts w:eastAsia="宋体"/>
                <w:spacing w:val="8"/>
                <w:kern w:val="2"/>
                <w:sz w:val="24"/>
                <w:szCs w:val="24"/>
                <w:lang w:val="en-US" w:eastAsia="en-US" w:bidi="ar-SA"/>
              </w:rPr>
              <w:t>物料</w:t>
            </w:r>
            <w:r>
              <w:rPr>
                <w:rFonts w:eastAsia="宋体"/>
                <w:spacing w:val="8"/>
                <w:kern w:val="2"/>
                <w:sz w:val="24"/>
                <w:szCs w:val="24"/>
                <w:lang w:val="en-US" w:eastAsia="zh-CN" w:bidi="ar-SA"/>
              </w:rPr>
              <w:t>卸车</w:t>
            </w:r>
            <w:r>
              <w:rPr>
                <w:rFonts w:eastAsia="宋体"/>
                <w:spacing w:val="8"/>
                <w:kern w:val="2"/>
                <w:sz w:val="24"/>
                <w:szCs w:val="24"/>
                <w:lang w:val="en-US" w:eastAsia="en-US" w:bidi="ar-SA"/>
              </w:rPr>
              <w:t>废气（DA002</w:t>
            </w:r>
            <w:r>
              <w:rPr>
                <w:rFonts w:hint="eastAsia"/>
                <w:spacing w:val="8"/>
                <w:kern w:val="2"/>
                <w:sz w:val="24"/>
                <w:szCs w:val="24"/>
                <w:lang w:val="en-US" w:eastAsia="zh-CN" w:bidi="ar-SA"/>
              </w:rPr>
              <w:t>）</w:t>
            </w:r>
          </w:p>
        </w:tc>
        <w:tc>
          <w:tcPr>
            <w:tcW w:w="495" w:type="pct"/>
            <w:vAlign w:val="center"/>
          </w:tcPr>
          <w:p w14:paraId="43838E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16"/>
                <w:kern w:val="2"/>
                <w:sz w:val="24"/>
                <w:szCs w:val="24"/>
                <w:lang w:val="en-US" w:eastAsia="en-US" w:bidi="ar-SA"/>
              </w:rPr>
            </w:pPr>
            <w:r>
              <w:rPr>
                <w:rFonts w:eastAsia="宋体"/>
                <w:spacing w:val="16"/>
                <w:kern w:val="2"/>
                <w:sz w:val="24"/>
                <w:szCs w:val="24"/>
                <w:lang w:val="en-US" w:eastAsia="en-US" w:bidi="ar-SA"/>
              </w:rPr>
              <w:t>非甲烷总烃、</w:t>
            </w:r>
            <w:r>
              <w:rPr>
                <w:rFonts w:hint="eastAsia"/>
                <w:spacing w:val="16"/>
                <w:kern w:val="2"/>
                <w:sz w:val="24"/>
                <w:szCs w:val="24"/>
                <w:lang w:val="en-US" w:eastAsia="zh-CN" w:bidi="ar-SA"/>
              </w:rPr>
              <w:t>正己烷、</w:t>
            </w:r>
            <w:r>
              <w:rPr>
                <w:rFonts w:eastAsia="宋体"/>
                <w:spacing w:val="-3"/>
                <w:kern w:val="2"/>
                <w:sz w:val="24"/>
                <w:szCs w:val="24"/>
                <w:lang w:val="en-US" w:eastAsia="en-US" w:bidi="ar-SA"/>
              </w:rPr>
              <w:t>甲</w:t>
            </w:r>
            <w:r>
              <w:rPr>
                <w:rFonts w:eastAsia="宋体"/>
                <w:kern w:val="2"/>
                <w:sz w:val="24"/>
                <w:szCs w:val="24"/>
                <w:lang w:val="en-US" w:eastAsia="en-US" w:bidi="ar-SA"/>
              </w:rPr>
              <w:t>苯</w:t>
            </w:r>
            <w:r>
              <w:rPr>
                <w:rFonts w:hint="eastAsia"/>
                <w:kern w:val="2"/>
                <w:sz w:val="24"/>
                <w:szCs w:val="24"/>
                <w:lang w:val="en-US" w:eastAsia="zh-CN" w:bidi="ar-SA"/>
              </w:rPr>
              <w:t>、</w:t>
            </w:r>
            <w:r>
              <w:rPr>
                <w:rFonts w:eastAsia="宋体"/>
                <w:spacing w:val="-3"/>
                <w:kern w:val="2"/>
                <w:sz w:val="24"/>
                <w:szCs w:val="24"/>
                <w:lang w:val="en-US" w:eastAsia="en-US" w:bidi="ar-SA"/>
              </w:rPr>
              <w:t>苯</w:t>
            </w:r>
          </w:p>
        </w:tc>
        <w:tc>
          <w:tcPr>
            <w:tcW w:w="1287" w:type="pct"/>
            <w:vAlign w:val="center"/>
          </w:tcPr>
          <w:p w14:paraId="60D2DA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9"/>
                <w:kern w:val="2"/>
                <w:sz w:val="24"/>
                <w:szCs w:val="24"/>
                <w:lang w:val="en-US" w:eastAsia="en-US" w:bidi="ar-SA"/>
              </w:rPr>
            </w:pPr>
            <w:r>
              <w:rPr>
                <w:rFonts w:eastAsia="宋体"/>
                <w:spacing w:val="9"/>
                <w:kern w:val="2"/>
                <w:sz w:val="24"/>
                <w:szCs w:val="24"/>
                <w:lang w:val="en-US" w:eastAsia="en-US" w:bidi="ar-SA"/>
              </w:rPr>
              <w:t>经气体回收机组回收后进入导热油炉燃烧净化后，经1根</w:t>
            </w:r>
            <w:r>
              <w:rPr>
                <w:rFonts w:hint="eastAsia" w:eastAsia="宋体"/>
                <w:spacing w:val="9"/>
                <w:kern w:val="2"/>
                <w:sz w:val="24"/>
                <w:szCs w:val="24"/>
                <w:lang w:val="en-US" w:eastAsia="zh-CN" w:bidi="ar-SA"/>
              </w:rPr>
              <w:t>20</w:t>
            </w:r>
            <w:r>
              <w:rPr>
                <w:rFonts w:eastAsia="宋体"/>
                <w:spacing w:val="9"/>
                <w:kern w:val="2"/>
                <w:sz w:val="24"/>
                <w:szCs w:val="24"/>
                <w:lang w:val="en-US" w:eastAsia="en-US" w:bidi="ar-SA"/>
              </w:rPr>
              <w:t>m高排气筒（DA002）排放。</w:t>
            </w:r>
          </w:p>
        </w:tc>
        <w:tc>
          <w:tcPr>
            <w:tcW w:w="1677" w:type="pct"/>
            <w:vAlign w:val="center"/>
          </w:tcPr>
          <w:p w14:paraId="360F55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en-US" w:bidi="ar-SA"/>
              </w:rPr>
            </w:pPr>
            <w:r>
              <w:rPr>
                <w:rFonts w:hint="default" w:ascii="Times New Roman" w:hAnsi="Times New Roman" w:eastAsia="宋体" w:cs="Times New Roman"/>
                <w:kern w:val="2"/>
                <w:sz w:val="24"/>
                <w:szCs w:val="24"/>
                <w:lang w:val="en-US" w:eastAsia="zh-CN" w:bidi="ar-SA"/>
              </w:rPr>
              <w:t>《石油化学工业污染物排放标准》（GB31571-2015）（含2024年修改单）</w:t>
            </w:r>
          </w:p>
        </w:tc>
      </w:tr>
      <w:tr w14:paraId="1D07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73" w:type="pct"/>
            <w:vMerge w:val="continue"/>
            <w:vAlign w:val="center"/>
          </w:tcPr>
          <w:p w14:paraId="38AF78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p>
        </w:tc>
        <w:tc>
          <w:tcPr>
            <w:tcW w:w="766" w:type="pct"/>
            <w:vAlign w:val="center"/>
          </w:tcPr>
          <w:p w14:paraId="2EC318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en-US" w:bidi="ar-SA"/>
              </w:rPr>
            </w:pPr>
            <w:r>
              <w:rPr>
                <w:rFonts w:eastAsia="宋体"/>
                <w:spacing w:val="8"/>
                <w:kern w:val="2"/>
                <w:sz w:val="24"/>
                <w:szCs w:val="24"/>
                <w:lang w:val="en-US" w:eastAsia="en-US" w:bidi="ar-SA"/>
              </w:rPr>
              <w:t>物料</w:t>
            </w:r>
            <w:r>
              <w:rPr>
                <w:rFonts w:eastAsia="宋体"/>
                <w:spacing w:val="8"/>
                <w:kern w:val="2"/>
                <w:sz w:val="24"/>
                <w:szCs w:val="24"/>
                <w:lang w:val="en-US" w:eastAsia="zh-CN" w:bidi="ar-SA"/>
              </w:rPr>
              <w:t>装车</w:t>
            </w:r>
            <w:r>
              <w:rPr>
                <w:rFonts w:eastAsia="宋体"/>
                <w:spacing w:val="8"/>
                <w:kern w:val="2"/>
                <w:sz w:val="24"/>
                <w:szCs w:val="24"/>
                <w:lang w:val="en-US" w:eastAsia="en-US" w:bidi="ar-SA"/>
              </w:rPr>
              <w:t>废气（DA003）</w:t>
            </w:r>
          </w:p>
        </w:tc>
        <w:tc>
          <w:tcPr>
            <w:tcW w:w="495" w:type="pct"/>
            <w:vAlign w:val="center"/>
          </w:tcPr>
          <w:p w14:paraId="6C9781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eastAsia="宋体"/>
                <w:kern w:val="2"/>
                <w:sz w:val="24"/>
                <w:szCs w:val="24"/>
                <w:lang w:val="en-US" w:eastAsia="zh-CN" w:bidi="ar-SA"/>
              </w:rPr>
            </w:pPr>
            <w:r>
              <w:rPr>
                <w:rFonts w:eastAsia="宋体"/>
                <w:spacing w:val="16"/>
                <w:kern w:val="2"/>
                <w:sz w:val="24"/>
                <w:szCs w:val="24"/>
                <w:lang w:val="en-US" w:eastAsia="en-US" w:bidi="ar-SA"/>
              </w:rPr>
              <w:t>非甲烷总烃、</w:t>
            </w:r>
            <w:r>
              <w:rPr>
                <w:rFonts w:eastAsia="宋体"/>
                <w:spacing w:val="-3"/>
                <w:kern w:val="2"/>
                <w:sz w:val="24"/>
                <w:szCs w:val="24"/>
                <w:lang w:val="en-US" w:eastAsia="en-US" w:bidi="ar-SA"/>
              </w:rPr>
              <w:t>苯、</w:t>
            </w:r>
            <w:r>
              <w:rPr>
                <w:rFonts w:hint="eastAsia"/>
                <w:kern w:val="2"/>
                <w:sz w:val="24"/>
                <w:szCs w:val="24"/>
                <w:lang w:val="en-US" w:eastAsia="zh-CN" w:bidi="ar-SA"/>
              </w:rPr>
              <w:t>正己烷</w:t>
            </w:r>
          </w:p>
        </w:tc>
        <w:tc>
          <w:tcPr>
            <w:tcW w:w="1287" w:type="pct"/>
            <w:vAlign w:val="center"/>
          </w:tcPr>
          <w:p w14:paraId="0DB5ED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en-US" w:bidi="ar-SA"/>
              </w:rPr>
            </w:pPr>
            <w:r>
              <w:rPr>
                <w:rFonts w:eastAsia="宋体"/>
                <w:spacing w:val="9"/>
                <w:kern w:val="2"/>
                <w:sz w:val="24"/>
                <w:szCs w:val="24"/>
                <w:lang w:val="en-US" w:eastAsia="en-US" w:bidi="ar-SA"/>
              </w:rPr>
              <w:t>采用底部装车系统，</w:t>
            </w:r>
            <w:r>
              <w:rPr>
                <w:rFonts w:eastAsia="宋体"/>
                <w:spacing w:val="8"/>
                <w:kern w:val="2"/>
                <w:sz w:val="24"/>
                <w:szCs w:val="24"/>
                <w:lang w:val="en-US" w:eastAsia="en-US" w:bidi="ar-SA"/>
              </w:rPr>
              <w:t>收集废气采用油气回</w:t>
            </w:r>
            <w:r>
              <w:rPr>
                <w:rFonts w:eastAsia="宋体"/>
                <w:spacing w:val="15"/>
                <w:kern w:val="2"/>
                <w:sz w:val="24"/>
                <w:szCs w:val="24"/>
                <w:lang w:val="en-US" w:eastAsia="en-US" w:bidi="ar-SA"/>
              </w:rPr>
              <w:t>收系统（冷凝+活性</w:t>
            </w:r>
            <w:r>
              <w:rPr>
                <w:rFonts w:eastAsia="宋体"/>
                <w:spacing w:val="9"/>
                <w:kern w:val="2"/>
                <w:sz w:val="24"/>
                <w:szCs w:val="24"/>
                <w:lang w:val="en-US" w:eastAsia="en-US" w:bidi="ar-SA"/>
              </w:rPr>
              <w:t>炭吸附）处理措施，</w:t>
            </w:r>
            <w:r>
              <w:rPr>
                <w:rFonts w:eastAsia="宋体"/>
                <w:spacing w:val="6"/>
                <w:kern w:val="2"/>
                <w:sz w:val="24"/>
                <w:szCs w:val="24"/>
                <w:lang w:val="en-US" w:eastAsia="en-US" w:bidi="ar-SA"/>
              </w:rPr>
              <w:t>处理后废气经1根</w:t>
            </w:r>
            <w:r>
              <w:rPr>
                <w:rFonts w:eastAsia="宋体"/>
                <w:spacing w:val="-1"/>
                <w:kern w:val="2"/>
                <w:sz w:val="24"/>
                <w:szCs w:val="24"/>
                <w:lang w:val="en-US" w:eastAsia="en-US" w:bidi="ar-SA"/>
              </w:rPr>
              <w:t>15m高排气筒</w:t>
            </w:r>
            <w:r>
              <w:rPr>
                <w:rFonts w:eastAsia="宋体"/>
                <w:spacing w:val="6"/>
                <w:kern w:val="2"/>
                <w:sz w:val="24"/>
                <w:szCs w:val="24"/>
                <w:lang w:val="en-US" w:eastAsia="en-US" w:bidi="ar-SA"/>
              </w:rPr>
              <w:t>（</w:t>
            </w:r>
            <w:r>
              <w:rPr>
                <w:rFonts w:eastAsia="宋体"/>
                <w:kern w:val="2"/>
                <w:sz w:val="24"/>
                <w:szCs w:val="24"/>
                <w:lang w:val="en-US" w:eastAsia="en-US" w:bidi="ar-SA"/>
              </w:rPr>
              <w:t>DA</w:t>
            </w:r>
            <w:r>
              <w:rPr>
                <w:rFonts w:eastAsia="宋体"/>
                <w:spacing w:val="6"/>
                <w:kern w:val="2"/>
                <w:sz w:val="24"/>
                <w:szCs w:val="24"/>
                <w:lang w:val="en-US" w:eastAsia="en-US" w:bidi="ar-SA"/>
              </w:rPr>
              <w:t>003）排放。</w:t>
            </w:r>
          </w:p>
        </w:tc>
        <w:tc>
          <w:tcPr>
            <w:tcW w:w="1677" w:type="pct"/>
            <w:vAlign w:val="center"/>
          </w:tcPr>
          <w:p w14:paraId="0AFD7E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en-US" w:bidi="ar-SA"/>
              </w:rPr>
            </w:pPr>
            <w:r>
              <w:rPr>
                <w:rFonts w:hint="default" w:ascii="Times New Roman" w:hAnsi="Times New Roman" w:eastAsia="宋体" w:cs="Times New Roman"/>
                <w:spacing w:val="9"/>
                <w:kern w:val="2"/>
                <w:sz w:val="24"/>
                <w:szCs w:val="24"/>
                <w:lang w:val="en-US" w:eastAsia="en-US" w:bidi="ar-SA"/>
              </w:rPr>
              <w:t>《石油化学工业污染物排放标准》（GB31571-2015）（含2024年修改单）</w:t>
            </w:r>
          </w:p>
        </w:tc>
      </w:tr>
      <w:tr w14:paraId="57BB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73" w:type="pct"/>
            <w:vMerge w:val="continue"/>
            <w:vAlign w:val="center"/>
          </w:tcPr>
          <w:p w14:paraId="1123B2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p>
        </w:tc>
        <w:tc>
          <w:tcPr>
            <w:tcW w:w="766" w:type="pct"/>
            <w:vAlign w:val="center"/>
          </w:tcPr>
          <w:p w14:paraId="7D4524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en-US" w:bidi="ar-SA"/>
              </w:rPr>
            </w:pPr>
            <w:r>
              <w:rPr>
                <w:rFonts w:eastAsia="宋体"/>
                <w:spacing w:val="8"/>
                <w:kern w:val="2"/>
                <w:sz w:val="24"/>
                <w:szCs w:val="24"/>
                <w:lang w:val="en-US" w:eastAsia="en-US" w:bidi="ar-SA"/>
              </w:rPr>
              <w:t>设备动静密封点废</w:t>
            </w:r>
            <w:r>
              <w:rPr>
                <w:rFonts w:eastAsia="宋体"/>
                <w:kern w:val="2"/>
                <w:sz w:val="24"/>
                <w:szCs w:val="24"/>
                <w:lang w:val="en-US" w:eastAsia="en-US" w:bidi="ar-SA"/>
              </w:rPr>
              <w:t>气</w:t>
            </w:r>
          </w:p>
        </w:tc>
        <w:tc>
          <w:tcPr>
            <w:tcW w:w="495" w:type="pct"/>
            <w:vAlign w:val="center"/>
          </w:tcPr>
          <w:p w14:paraId="5DA28F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eastAsia="宋体"/>
                <w:kern w:val="2"/>
                <w:sz w:val="24"/>
                <w:szCs w:val="24"/>
                <w:lang w:val="en-US" w:eastAsia="zh-CN" w:bidi="ar-SA"/>
              </w:rPr>
            </w:pPr>
            <w:r>
              <w:rPr>
                <w:rFonts w:eastAsia="宋体"/>
                <w:spacing w:val="16"/>
                <w:kern w:val="2"/>
                <w:sz w:val="24"/>
                <w:szCs w:val="24"/>
                <w:lang w:val="en-US" w:eastAsia="en-US" w:bidi="ar-SA"/>
              </w:rPr>
              <w:t>非甲烷总烃、</w:t>
            </w:r>
            <w:r>
              <w:rPr>
                <w:rFonts w:eastAsia="宋体"/>
                <w:spacing w:val="-3"/>
                <w:kern w:val="2"/>
                <w:sz w:val="24"/>
                <w:szCs w:val="24"/>
                <w:lang w:val="en-US" w:eastAsia="en-US" w:bidi="ar-SA"/>
              </w:rPr>
              <w:t>苯、甲</w:t>
            </w:r>
            <w:r>
              <w:rPr>
                <w:rFonts w:eastAsia="宋体"/>
                <w:kern w:val="2"/>
                <w:sz w:val="24"/>
                <w:szCs w:val="24"/>
                <w:lang w:val="en-US" w:eastAsia="en-US" w:bidi="ar-SA"/>
              </w:rPr>
              <w:t>苯</w:t>
            </w:r>
            <w:r>
              <w:rPr>
                <w:rFonts w:hint="eastAsia"/>
                <w:kern w:val="2"/>
                <w:sz w:val="24"/>
                <w:szCs w:val="24"/>
                <w:lang w:val="en-US" w:eastAsia="zh-CN" w:bidi="ar-SA"/>
              </w:rPr>
              <w:t>、正己烷</w:t>
            </w:r>
          </w:p>
        </w:tc>
        <w:tc>
          <w:tcPr>
            <w:tcW w:w="1287" w:type="pct"/>
            <w:vAlign w:val="center"/>
          </w:tcPr>
          <w:p w14:paraId="2A26FB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en-US" w:bidi="ar-SA"/>
              </w:rPr>
            </w:pPr>
            <w:r>
              <w:rPr>
                <w:rFonts w:eastAsia="宋体"/>
                <w:spacing w:val="9"/>
                <w:kern w:val="2"/>
                <w:sz w:val="24"/>
                <w:szCs w:val="24"/>
                <w:lang w:val="en-US" w:eastAsia="en-US" w:bidi="ar-SA"/>
              </w:rPr>
              <w:t>采用技术质量可靠的设备、仪表控制、阀门等，烃类机泵采用无泄漏屏蔽泵。采用密闭集输流程，对各设备、阀门、法兰、泵、连接件等进行定期的检查、检修；定期开展泄漏检测和修</w:t>
            </w:r>
            <w:r>
              <w:rPr>
                <w:rFonts w:eastAsia="宋体"/>
                <w:spacing w:val="4"/>
                <w:kern w:val="2"/>
                <w:sz w:val="24"/>
                <w:szCs w:val="24"/>
                <w:lang w:val="en-US" w:eastAsia="en-US" w:bidi="ar-SA"/>
              </w:rPr>
              <w:t>复工作。</w:t>
            </w:r>
          </w:p>
        </w:tc>
        <w:tc>
          <w:tcPr>
            <w:tcW w:w="1677" w:type="pct"/>
            <w:vAlign w:val="center"/>
          </w:tcPr>
          <w:p w14:paraId="3097C9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en-US" w:bidi="ar-SA"/>
              </w:rPr>
            </w:pPr>
            <w:r>
              <w:rPr>
                <w:rFonts w:eastAsia="宋体"/>
                <w:spacing w:val="9"/>
                <w:kern w:val="2"/>
                <w:sz w:val="24"/>
                <w:szCs w:val="24"/>
                <w:lang w:val="en-US" w:eastAsia="en-US" w:bidi="ar-SA"/>
              </w:rPr>
              <w:t>项目厂界无组织排放污染物参照执行《石油化学工业污染物</w:t>
            </w:r>
            <w:r>
              <w:rPr>
                <w:rFonts w:eastAsia="宋体"/>
                <w:spacing w:val="6"/>
                <w:kern w:val="2"/>
                <w:sz w:val="24"/>
                <w:szCs w:val="24"/>
                <w:lang w:val="en-US" w:eastAsia="en-US" w:bidi="ar-SA"/>
              </w:rPr>
              <w:t>排放标准》（</w:t>
            </w:r>
            <w:r>
              <w:rPr>
                <w:rFonts w:eastAsia="宋体"/>
                <w:kern w:val="2"/>
                <w:sz w:val="24"/>
                <w:szCs w:val="24"/>
                <w:lang w:val="en-US" w:eastAsia="en-US" w:bidi="ar-SA"/>
              </w:rPr>
              <w:t>GB</w:t>
            </w:r>
            <w:r>
              <w:rPr>
                <w:rFonts w:eastAsia="宋体"/>
                <w:spacing w:val="6"/>
                <w:kern w:val="2"/>
                <w:sz w:val="24"/>
                <w:szCs w:val="24"/>
                <w:lang w:val="en-US" w:eastAsia="en-US" w:bidi="ar-SA"/>
              </w:rPr>
              <w:t>31571-2015）</w:t>
            </w:r>
            <w:r>
              <w:rPr>
                <w:rFonts w:hint="eastAsia" w:ascii="宋体" w:hAnsi="宋体" w:eastAsia="宋体"/>
                <w:kern w:val="2"/>
                <w:sz w:val="24"/>
                <w:szCs w:val="24"/>
                <w:lang w:val="en-US" w:eastAsia="zh-CN" w:bidi="ar-SA"/>
              </w:rPr>
              <w:t>（含2024年修改单）</w:t>
            </w:r>
            <w:r>
              <w:rPr>
                <w:rFonts w:eastAsia="宋体"/>
                <w:spacing w:val="6"/>
                <w:kern w:val="2"/>
                <w:sz w:val="24"/>
                <w:szCs w:val="24"/>
                <w:lang w:val="en-US" w:eastAsia="en-US" w:bidi="ar-SA"/>
              </w:rPr>
              <w:t>中表7相关标准限值。</w:t>
            </w:r>
            <w:r>
              <w:rPr>
                <w:rFonts w:eastAsia="宋体"/>
                <w:spacing w:val="9"/>
                <w:kern w:val="2"/>
                <w:sz w:val="24"/>
                <w:szCs w:val="24"/>
                <w:lang w:val="en-US" w:eastAsia="en-US" w:bidi="ar-SA"/>
              </w:rPr>
              <w:t>厂内非甲烷总烃排放浓度满足《挥发性有机物无组织排放控</w:t>
            </w:r>
            <w:r>
              <w:rPr>
                <w:rFonts w:eastAsia="宋体"/>
                <w:spacing w:val="4"/>
                <w:kern w:val="2"/>
                <w:sz w:val="24"/>
                <w:szCs w:val="24"/>
                <w:lang w:val="en-US" w:eastAsia="en-US" w:bidi="ar-SA"/>
              </w:rPr>
              <w:t>制标准》（</w:t>
            </w:r>
            <w:r>
              <w:rPr>
                <w:rFonts w:eastAsia="宋体"/>
                <w:kern w:val="2"/>
                <w:sz w:val="24"/>
                <w:szCs w:val="24"/>
                <w:lang w:val="en-US" w:eastAsia="en-US" w:bidi="ar-SA"/>
              </w:rPr>
              <w:t>GB</w:t>
            </w:r>
            <w:r>
              <w:rPr>
                <w:rFonts w:eastAsia="宋体"/>
                <w:spacing w:val="4"/>
                <w:kern w:val="2"/>
                <w:sz w:val="24"/>
                <w:szCs w:val="24"/>
                <w:lang w:val="en-US" w:eastAsia="en-US" w:bidi="ar-SA"/>
              </w:rPr>
              <w:t>37822-2019）中</w:t>
            </w:r>
            <w:r>
              <w:rPr>
                <w:rFonts w:eastAsia="宋体"/>
                <w:spacing w:val="10"/>
                <w:kern w:val="2"/>
                <w:sz w:val="24"/>
                <w:szCs w:val="24"/>
                <w:lang w:val="en-US" w:eastAsia="en-US" w:bidi="ar-SA"/>
              </w:rPr>
              <w:t>表A.1厂区内</w:t>
            </w:r>
            <w:r>
              <w:rPr>
                <w:rFonts w:eastAsia="宋体"/>
                <w:kern w:val="2"/>
                <w:sz w:val="24"/>
                <w:szCs w:val="24"/>
                <w:lang w:val="en-US" w:eastAsia="en-US" w:bidi="ar-SA"/>
              </w:rPr>
              <w:t>VOCs</w:t>
            </w:r>
            <w:r>
              <w:rPr>
                <w:rFonts w:eastAsia="宋体"/>
                <w:spacing w:val="10"/>
                <w:kern w:val="2"/>
                <w:sz w:val="24"/>
                <w:szCs w:val="24"/>
                <w:lang w:val="en-US" w:eastAsia="en-US" w:bidi="ar-SA"/>
              </w:rPr>
              <w:t>无组织排</w:t>
            </w:r>
            <w:r>
              <w:rPr>
                <w:rFonts w:eastAsia="宋体"/>
                <w:spacing w:val="8"/>
                <w:kern w:val="2"/>
                <w:sz w:val="24"/>
                <w:szCs w:val="24"/>
                <w:lang w:val="en-US" w:eastAsia="en-US" w:bidi="ar-SA"/>
              </w:rPr>
              <w:t>放限值中排放限值的要求。</w:t>
            </w:r>
          </w:p>
        </w:tc>
      </w:tr>
      <w:tr w14:paraId="4C7D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73" w:type="pct"/>
            <w:vAlign w:val="center"/>
          </w:tcPr>
          <w:p w14:paraId="5B1D73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水环境</w:t>
            </w:r>
          </w:p>
        </w:tc>
        <w:tc>
          <w:tcPr>
            <w:tcW w:w="766" w:type="pct"/>
            <w:vAlign w:val="center"/>
          </w:tcPr>
          <w:p w14:paraId="5AB742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w:t>
            </w:r>
          </w:p>
        </w:tc>
        <w:tc>
          <w:tcPr>
            <w:tcW w:w="495" w:type="pct"/>
            <w:vAlign w:val="center"/>
          </w:tcPr>
          <w:p w14:paraId="30886C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w:t>
            </w:r>
          </w:p>
        </w:tc>
        <w:tc>
          <w:tcPr>
            <w:tcW w:w="1287" w:type="pct"/>
            <w:vAlign w:val="center"/>
          </w:tcPr>
          <w:p w14:paraId="74EC5B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9"/>
                <w:kern w:val="2"/>
                <w:sz w:val="24"/>
                <w:szCs w:val="24"/>
                <w:lang w:val="en-US" w:eastAsia="zh-CN" w:bidi="ar-SA"/>
              </w:rPr>
            </w:pPr>
            <w:r>
              <w:rPr>
                <w:rFonts w:eastAsia="宋体"/>
                <w:spacing w:val="9"/>
                <w:kern w:val="2"/>
                <w:sz w:val="24"/>
                <w:szCs w:val="24"/>
                <w:lang w:val="en-US" w:eastAsia="zh-CN" w:bidi="ar-SA"/>
              </w:rPr>
              <w:t>/</w:t>
            </w:r>
          </w:p>
        </w:tc>
        <w:tc>
          <w:tcPr>
            <w:tcW w:w="1677" w:type="pct"/>
            <w:vAlign w:val="center"/>
          </w:tcPr>
          <w:p w14:paraId="5A47C6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9"/>
                <w:kern w:val="2"/>
                <w:sz w:val="24"/>
                <w:szCs w:val="24"/>
                <w:lang w:val="en-US" w:eastAsia="zh-CN" w:bidi="ar-SA"/>
              </w:rPr>
            </w:pPr>
            <w:r>
              <w:rPr>
                <w:rFonts w:eastAsia="宋体"/>
                <w:spacing w:val="9"/>
                <w:kern w:val="2"/>
                <w:sz w:val="24"/>
                <w:szCs w:val="24"/>
                <w:lang w:val="en-US" w:eastAsia="zh-CN" w:bidi="ar-SA"/>
              </w:rPr>
              <w:t>/</w:t>
            </w:r>
          </w:p>
        </w:tc>
      </w:tr>
      <w:tr w14:paraId="3BA9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73" w:type="pct"/>
            <w:vAlign w:val="center"/>
          </w:tcPr>
          <w:p w14:paraId="1EE57A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声环境</w:t>
            </w:r>
          </w:p>
        </w:tc>
        <w:tc>
          <w:tcPr>
            <w:tcW w:w="766" w:type="pct"/>
            <w:vAlign w:val="center"/>
          </w:tcPr>
          <w:p w14:paraId="5F2A8A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生产设备噪声</w:t>
            </w:r>
          </w:p>
        </w:tc>
        <w:tc>
          <w:tcPr>
            <w:tcW w:w="495" w:type="pct"/>
            <w:vAlign w:val="center"/>
          </w:tcPr>
          <w:p w14:paraId="1DAF6B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等效A声</w:t>
            </w:r>
          </w:p>
          <w:p w14:paraId="5F2D31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级</w:t>
            </w:r>
          </w:p>
        </w:tc>
        <w:tc>
          <w:tcPr>
            <w:tcW w:w="1287" w:type="pct"/>
            <w:vAlign w:val="center"/>
          </w:tcPr>
          <w:p w14:paraId="5A6CD8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9"/>
                <w:kern w:val="2"/>
                <w:sz w:val="24"/>
                <w:szCs w:val="24"/>
                <w:lang w:val="en-US" w:eastAsia="zh-CN" w:bidi="ar-SA"/>
              </w:rPr>
            </w:pPr>
            <w:r>
              <w:rPr>
                <w:rFonts w:eastAsia="宋体"/>
                <w:spacing w:val="9"/>
                <w:kern w:val="2"/>
                <w:sz w:val="24"/>
                <w:szCs w:val="24"/>
                <w:lang w:val="en-US" w:eastAsia="zh-CN" w:bidi="ar-SA"/>
              </w:rPr>
              <w:t>选用高效低噪声设备、安装减振底座等。</w:t>
            </w:r>
          </w:p>
        </w:tc>
        <w:tc>
          <w:tcPr>
            <w:tcW w:w="1677" w:type="pct"/>
            <w:vAlign w:val="center"/>
          </w:tcPr>
          <w:p w14:paraId="371BA6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9"/>
                <w:kern w:val="2"/>
                <w:sz w:val="24"/>
                <w:szCs w:val="24"/>
                <w:lang w:val="en-US" w:eastAsia="zh-CN" w:bidi="ar-SA"/>
              </w:rPr>
            </w:pPr>
            <w:r>
              <w:rPr>
                <w:rFonts w:eastAsia="宋体"/>
                <w:spacing w:val="9"/>
                <w:kern w:val="2"/>
                <w:sz w:val="24"/>
                <w:szCs w:val="24"/>
                <w:lang w:val="en-US" w:eastAsia="zh-CN" w:bidi="ar-SA"/>
              </w:rPr>
              <w:t>《工业企业厂界环境噪声排放标准》（GB12348-2008）中的3类标准。</w:t>
            </w:r>
          </w:p>
        </w:tc>
      </w:tr>
      <w:tr w14:paraId="006BF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73" w:type="pct"/>
            <w:vAlign w:val="center"/>
          </w:tcPr>
          <w:p w14:paraId="5053E9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电磁辐射</w:t>
            </w:r>
          </w:p>
        </w:tc>
        <w:tc>
          <w:tcPr>
            <w:tcW w:w="4226" w:type="pct"/>
            <w:gridSpan w:val="4"/>
            <w:vAlign w:val="center"/>
          </w:tcPr>
          <w:p w14:paraId="7C94EF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9"/>
                <w:kern w:val="2"/>
                <w:sz w:val="24"/>
                <w:szCs w:val="24"/>
                <w:lang w:val="en-US" w:eastAsia="zh-CN" w:bidi="ar-SA"/>
              </w:rPr>
            </w:pPr>
            <w:r>
              <w:rPr>
                <w:rFonts w:eastAsia="宋体"/>
                <w:spacing w:val="9"/>
                <w:kern w:val="2"/>
                <w:sz w:val="24"/>
                <w:szCs w:val="24"/>
                <w:lang w:val="en-US" w:eastAsia="zh-CN" w:bidi="ar-SA"/>
              </w:rPr>
              <w:t>无</w:t>
            </w:r>
          </w:p>
        </w:tc>
      </w:tr>
      <w:tr w14:paraId="7FA1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73" w:type="pct"/>
            <w:vAlign w:val="center"/>
          </w:tcPr>
          <w:p w14:paraId="270252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固体废物</w:t>
            </w:r>
          </w:p>
        </w:tc>
        <w:tc>
          <w:tcPr>
            <w:tcW w:w="4226" w:type="pct"/>
            <w:gridSpan w:val="4"/>
            <w:vAlign w:val="center"/>
          </w:tcPr>
          <w:p w14:paraId="242840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9"/>
                <w:kern w:val="2"/>
                <w:sz w:val="24"/>
                <w:szCs w:val="24"/>
                <w:lang w:val="en-US" w:eastAsia="zh-CN" w:bidi="ar-SA"/>
              </w:rPr>
            </w:pPr>
            <w:r>
              <w:rPr>
                <w:rFonts w:eastAsia="宋体"/>
                <w:spacing w:val="9"/>
                <w:kern w:val="2"/>
                <w:sz w:val="24"/>
                <w:szCs w:val="24"/>
                <w:lang w:val="en-US" w:eastAsia="zh-CN" w:bidi="ar-SA"/>
              </w:rPr>
              <w:t>无</w:t>
            </w:r>
          </w:p>
        </w:tc>
      </w:tr>
      <w:tr w14:paraId="736D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73" w:type="pct"/>
            <w:vAlign w:val="center"/>
          </w:tcPr>
          <w:p w14:paraId="6DF3C5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土壤及地下水污染防治措施</w:t>
            </w:r>
          </w:p>
        </w:tc>
        <w:tc>
          <w:tcPr>
            <w:tcW w:w="4226" w:type="pct"/>
            <w:gridSpan w:val="4"/>
            <w:vAlign w:val="center"/>
          </w:tcPr>
          <w:p w14:paraId="0DEB8F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9"/>
                <w:kern w:val="2"/>
                <w:sz w:val="24"/>
                <w:szCs w:val="24"/>
                <w:lang w:val="en-US" w:eastAsia="zh-CN" w:bidi="ar-SA"/>
              </w:rPr>
            </w:pPr>
            <w:r>
              <w:rPr>
                <w:rFonts w:hint="eastAsia" w:eastAsia="宋体"/>
                <w:kern w:val="2"/>
                <w:sz w:val="24"/>
                <w:szCs w:val="24"/>
                <w:lang w:val="en-US" w:eastAsia="zh-CN" w:bidi="ar-SA"/>
              </w:rPr>
              <w:t>重点防渗区：罐区四，等效黏土防渗层M≥6.0m，K≤1.0x10</w:t>
            </w:r>
            <w:r>
              <w:rPr>
                <w:rFonts w:hint="eastAsia" w:eastAsia="宋体"/>
                <w:kern w:val="2"/>
                <w:sz w:val="24"/>
                <w:szCs w:val="24"/>
                <w:vertAlign w:val="superscript"/>
                <w:lang w:val="en-US" w:eastAsia="zh-CN" w:bidi="ar-SA"/>
              </w:rPr>
              <w:t>-7</w:t>
            </w:r>
            <w:r>
              <w:rPr>
                <w:rFonts w:hint="eastAsia" w:eastAsia="宋体"/>
                <w:kern w:val="2"/>
                <w:sz w:val="24"/>
                <w:szCs w:val="24"/>
                <w:lang w:val="en-US" w:eastAsia="zh-CN" w:bidi="ar-SA"/>
              </w:rPr>
              <w:t>cms：或参照GB18598执行。</w:t>
            </w:r>
          </w:p>
        </w:tc>
      </w:tr>
      <w:tr w14:paraId="276D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773" w:type="pct"/>
            <w:vAlign w:val="center"/>
          </w:tcPr>
          <w:p w14:paraId="7EA559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生态保护措施</w:t>
            </w:r>
          </w:p>
        </w:tc>
        <w:tc>
          <w:tcPr>
            <w:tcW w:w="4226" w:type="pct"/>
            <w:gridSpan w:val="4"/>
            <w:vAlign w:val="center"/>
          </w:tcPr>
          <w:p w14:paraId="6D9B81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9"/>
                <w:kern w:val="2"/>
                <w:sz w:val="24"/>
                <w:szCs w:val="24"/>
                <w:lang w:val="en-US" w:eastAsia="zh-CN" w:bidi="ar-SA"/>
              </w:rPr>
            </w:pPr>
            <w:r>
              <w:rPr>
                <w:rFonts w:eastAsia="宋体"/>
                <w:kern w:val="2"/>
                <w:sz w:val="24"/>
                <w:szCs w:val="24"/>
                <w:lang w:val="en-US" w:eastAsia="zh-CN" w:bidi="ar-SA"/>
              </w:rPr>
              <w:t>项目占地为工业用地，在现有厂区内施工建设，不新增占地，不会对区域生态环境造成影响。</w:t>
            </w:r>
          </w:p>
        </w:tc>
      </w:tr>
      <w:tr w14:paraId="5CF8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73" w:type="pct"/>
            <w:vAlign w:val="center"/>
          </w:tcPr>
          <w:p w14:paraId="41BD70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环境风险</w:t>
            </w:r>
          </w:p>
          <w:p w14:paraId="5C4A06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防范措施</w:t>
            </w:r>
          </w:p>
        </w:tc>
        <w:tc>
          <w:tcPr>
            <w:tcW w:w="4226" w:type="pct"/>
            <w:gridSpan w:val="4"/>
            <w:vAlign w:val="center"/>
          </w:tcPr>
          <w:p w14:paraId="714574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spacing w:val="9"/>
                <w:kern w:val="2"/>
                <w:sz w:val="24"/>
                <w:szCs w:val="24"/>
                <w:lang w:val="en-US" w:eastAsia="zh-CN" w:bidi="ar-SA"/>
              </w:rPr>
            </w:pPr>
            <w:r>
              <w:rPr>
                <w:rFonts w:eastAsia="宋体"/>
                <w:kern w:val="2"/>
                <w:sz w:val="24"/>
                <w:szCs w:val="24"/>
                <w:lang w:val="en-US" w:eastAsia="zh-CN" w:bidi="ar-SA"/>
              </w:rPr>
              <w:t>①厂区总平面布置符合防范事故要求，厂区内设置救援设施及救援通道；已建1座</w:t>
            </w:r>
            <w:r>
              <w:rPr>
                <w:rFonts w:hint="eastAsia"/>
                <w:kern w:val="2"/>
                <w:sz w:val="24"/>
                <w:szCs w:val="24"/>
                <w:lang w:val="en-US" w:eastAsia="zh-CN" w:bidi="ar-SA"/>
              </w:rPr>
              <w:t>2160</w:t>
            </w:r>
            <w:r>
              <w:rPr>
                <w:rFonts w:eastAsia="宋体"/>
                <w:kern w:val="2"/>
                <w:sz w:val="24"/>
                <w:szCs w:val="24"/>
                <w:lang w:val="en-US" w:eastAsia="zh-CN" w:bidi="ar-SA"/>
              </w:rPr>
              <w:t>m</w:t>
            </w:r>
            <w:r>
              <w:rPr>
                <w:rFonts w:eastAsia="宋体"/>
                <w:kern w:val="2"/>
                <w:sz w:val="24"/>
                <w:szCs w:val="24"/>
                <w:vertAlign w:val="superscript"/>
                <w:lang w:val="en-US" w:eastAsia="zh-CN" w:bidi="ar-SA"/>
              </w:rPr>
              <w:t>3</w:t>
            </w:r>
            <w:r>
              <w:rPr>
                <w:rFonts w:eastAsia="宋体"/>
                <w:kern w:val="2"/>
                <w:sz w:val="24"/>
                <w:szCs w:val="24"/>
                <w:lang w:val="en-US" w:eastAsia="zh-CN" w:bidi="ar-SA"/>
              </w:rPr>
              <w:t>事故水池满足事故风险应急要求；②制定严格的生产操作规程，加强作业工人的安全教育，杜绝因工作失误造成的事故；③按规范要求更新完善企业突发环境事件应急预案，并按要求落实及备案，定期演练。</w:t>
            </w:r>
          </w:p>
        </w:tc>
      </w:tr>
      <w:tr w14:paraId="1EE3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73" w:type="pct"/>
            <w:vAlign w:val="center"/>
          </w:tcPr>
          <w:p w14:paraId="60F4CE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其他环境</w:t>
            </w:r>
          </w:p>
          <w:p w14:paraId="01BDA4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eastAsia="宋体"/>
                <w:kern w:val="2"/>
                <w:sz w:val="24"/>
                <w:szCs w:val="24"/>
                <w:lang w:val="en-US" w:eastAsia="zh-CN" w:bidi="ar-SA"/>
              </w:rPr>
            </w:pPr>
            <w:r>
              <w:rPr>
                <w:rFonts w:eastAsia="宋体"/>
                <w:kern w:val="2"/>
                <w:sz w:val="24"/>
                <w:szCs w:val="24"/>
                <w:lang w:val="en-US" w:eastAsia="zh-CN" w:bidi="ar-SA"/>
              </w:rPr>
              <w:t>管理要求</w:t>
            </w:r>
          </w:p>
        </w:tc>
        <w:tc>
          <w:tcPr>
            <w:tcW w:w="4226" w:type="pct"/>
            <w:gridSpan w:val="4"/>
            <w:vAlign w:val="center"/>
          </w:tcPr>
          <w:p w14:paraId="122117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eastAsia="宋体"/>
                <w:kern w:val="2"/>
                <w:sz w:val="24"/>
                <w:szCs w:val="24"/>
                <w:lang w:val="en-US" w:eastAsia="zh-CN" w:bidi="ar-SA"/>
              </w:rPr>
            </w:pPr>
            <w:r>
              <w:rPr>
                <w:rFonts w:eastAsia="宋体"/>
                <w:kern w:val="2"/>
                <w:sz w:val="24"/>
                <w:szCs w:val="24"/>
                <w:lang w:val="en-US" w:eastAsia="zh-CN" w:bidi="ar-SA"/>
              </w:rPr>
              <w:t>（1）按照《排污许可管理条例》（中华人民共和国国务院令 第736号）要求，企业在建成实际排污前应依法进行排污许可证变更，未取得排污许可证的，不得排放污染物。</w:t>
            </w:r>
          </w:p>
          <w:p w14:paraId="126DCF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eastAsia" w:eastAsia="宋体"/>
                <w:kern w:val="2"/>
                <w:sz w:val="24"/>
                <w:szCs w:val="24"/>
                <w:lang w:val="en-US" w:eastAsia="zh-CN" w:bidi="ar-SA"/>
              </w:rPr>
            </w:pPr>
            <w:r>
              <w:rPr>
                <w:rFonts w:eastAsia="宋体"/>
                <w:kern w:val="2"/>
                <w:sz w:val="24"/>
                <w:szCs w:val="24"/>
                <w:lang w:val="en-US" w:eastAsia="zh-CN" w:bidi="ar-SA"/>
              </w:rPr>
              <w:t>（2）建设项目竣工后，由建设单位根据《建设项目竣工环境保护验收技术指南 污染影响类》按照规定程序和标准自行组织“三同时”环保竣工验收，不具备编制验收监测（调查）报告能力的，可委托有能力的技术机构进行编制</w:t>
            </w:r>
            <w:r>
              <w:rPr>
                <w:rFonts w:hint="eastAsia" w:eastAsia="宋体"/>
                <w:kern w:val="2"/>
                <w:sz w:val="24"/>
                <w:szCs w:val="24"/>
                <w:lang w:val="en-US" w:eastAsia="zh-CN" w:bidi="ar-SA"/>
              </w:rPr>
              <w:t>。</w:t>
            </w:r>
          </w:p>
          <w:p w14:paraId="637ACD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eastAsia="宋体"/>
                <w:kern w:val="2"/>
                <w:sz w:val="24"/>
                <w:szCs w:val="24"/>
                <w:lang w:val="en-US" w:eastAsia="zh-CN" w:bidi="ar-SA"/>
              </w:rPr>
            </w:pPr>
            <w:r>
              <w:rPr>
                <w:rFonts w:eastAsia="宋体"/>
                <w:kern w:val="2"/>
                <w:sz w:val="24"/>
                <w:szCs w:val="24"/>
                <w:lang w:val="en-US" w:eastAsia="zh-CN" w:bidi="ar-SA"/>
              </w:rPr>
              <w:t>（3）项目生产过程中存在重大环境风险，为避免企业发生重大环境风险事故，造成环境危害，企业应定期对环境风险事故应急预案进行修编，报生态环境主管部门备案，并定期组织演练及培训。</w:t>
            </w:r>
          </w:p>
        </w:tc>
      </w:tr>
    </w:tbl>
    <w:p w14:paraId="2D2BC689">
      <w:pPr>
        <w:widowControl/>
        <w:spacing w:before="100" w:beforeAutospacing="1" w:after="100" w:afterAutospacing="1"/>
        <w:jc w:val="center"/>
        <w:outlineLvl w:val="0"/>
        <w:rPr>
          <w:rFonts w:eastAsia="黑体"/>
          <w:snapToGrid w:val="0"/>
          <w:sz w:val="30"/>
          <w:szCs w:val="30"/>
          <w:lang w:val="en-US" w:eastAsia="zh-CN" w:bidi="ar-SA"/>
        </w:rPr>
      </w:pPr>
      <w:r>
        <w:rPr>
          <w:rFonts w:eastAsia="宋体"/>
          <w:snapToGrid w:val="0"/>
          <w:szCs w:val="20"/>
          <w:lang w:val="en-US" w:eastAsia="zh-CN" w:bidi="ar-SA"/>
        </w:rPr>
        <w:br w:type="page"/>
      </w:r>
      <w:bookmarkStart w:id="18" w:name="_Toc21996"/>
      <w:bookmarkStart w:id="19" w:name="_Toc6332"/>
      <w:bookmarkStart w:id="20" w:name="_Toc10024"/>
      <w:r>
        <w:rPr>
          <w:rFonts w:eastAsia="黑体"/>
          <w:snapToGrid w:val="0"/>
          <w:sz w:val="30"/>
          <w:szCs w:val="30"/>
          <w:lang w:val="en-US" w:eastAsia="zh-CN" w:bidi="ar-SA"/>
        </w:rPr>
        <w:t>六、结论</w:t>
      </w:r>
      <w:bookmarkEnd w:id="18"/>
      <w:bookmarkEnd w:id="19"/>
      <w:bookmarkEnd w:id="20"/>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2DF91A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22" w:hRule="atLeast"/>
          <w:jc w:val="center"/>
        </w:trPr>
        <w:tc>
          <w:tcPr>
            <w:tcW w:w="8865" w:type="dxa"/>
            <w:noWrap w:val="0"/>
            <w:vAlign w:val="top"/>
          </w:tcPr>
          <w:p w14:paraId="05FA9274">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baseline"/>
              <w:rPr>
                <w:snapToGrid w:val="0"/>
                <w:lang w:val="en-US" w:eastAsia="zh-CN" w:bidi="ar-SA"/>
              </w:rPr>
            </w:pPr>
            <w:r>
              <w:rPr>
                <w:snapToGrid w:val="0"/>
                <w:lang w:val="en-US" w:eastAsia="zh-CN" w:bidi="ar-SA"/>
              </w:rPr>
              <w:t>本项目建设符合国家产业政策要求，符合“三线一单”分区管控要求及相关环保规划要求，项目用地性质属于工业用地。本项目实施后产生的废气污染物经相应的环保措施治理后均可实现达标排放，厂界噪声可实现达标排放，废水、固体废物处置去向合理，针对可能的环境风险采取必要的事故防范措施和应急措施，预计不会对环境产生明显不利影响。</w:t>
            </w:r>
          </w:p>
          <w:p w14:paraId="46FED88C">
            <w:pPr>
              <w:widowControl w:val="0"/>
              <w:bidi w:val="0"/>
              <w:adjustRightInd w:val="0"/>
              <w:snapToGrid w:val="0"/>
              <w:spacing w:line="360" w:lineRule="auto"/>
              <w:ind w:left="0" w:leftChars="0" w:right="0" w:firstLine="480" w:firstLineChars="200"/>
              <w:jc w:val="both"/>
              <w:textAlignment w:val="baseline"/>
              <w:rPr>
                <w:snapToGrid w:val="0"/>
                <w:szCs w:val="28"/>
                <w:lang w:val="en-US" w:eastAsia="zh-CN" w:bidi="ar-SA"/>
              </w:rPr>
            </w:pPr>
            <w:r>
              <w:rPr>
                <w:snapToGrid w:val="0"/>
                <w:lang w:val="en-US" w:eastAsia="zh-CN" w:bidi="ar-SA"/>
              </w:rPr>
              <w:t>因此，从环境保护角度考虑，本项目的建设是合理、可行的。</w:t>
            </w:r>
          </w:p>
        </w:tc>
      </w:tr>
    </w:tbl>
    <w:p w14:paraId="76352778">
      <w:pPr>
        <w:widowControl w:val="0"/>
        <w:jc w:val="both"/>
        <w:rPr>
          <w:rFonts w:eastAsia="宋体"/>
          <w:kern w:val="2"/>
          <w:sz w:val="21"/>
          <w:lang w:val="en-US" w:eastAsia="zh-CN" w:bidi="ar-SA"/>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F8EB175">
      <w:pPr>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jc w:val="left"/>
        <w:textAlignment w:val="auto"/>
        <w:outlineLvl w:val="0"/>
        <w:rPr>
          <w:rFonts w:eastAsia="黑体"/>
          <w:snapToGrid w:val="0"/>
          <w:sz w:val="32"/>
          <w:szCs w:val="32"/>
          <w:lang w:val="en-US" w:eastAsia="zh-CN" w:bidi="ar-SA"/>
        </w:rPr>
      </w:pPr>
      <w:bookmarkStart w:id="21" w:name="_Toc28285"/>
      <w:bookmarkStart w:id="22" w:name="_Toc2361"/>
      <w:bookmarkStart w:id="23" w:name="_Toc17995"/>
      <w:r>
        <w:rPr>
          <w:rFonts w:eastAsia="黑体"/>
          <w:snapToGrid w:val="0"/>
          <w:sz w:val="32"/>
          <w:szCs w:val="32"/>
          <w:lang w:val="en-US" w:eastAsia="zh-CN" w:bidi="ar-SA"/>
        </w:rPr>
        <w:t>附表</w:t>
      </w:r>
      <w:bookmarkEnd w:id="21"/>
      <w:bookmarkEnd w:id="22"/>
      <w:bookmarkEnd w:id="23"/>
    </w:p>
    <w:p w14:paraId="553893E9">
      <w:pPr>
        <w:widowControl w:val="0"/>
        <w:spacing w:before="47" w:line="217" w:lineRule="auto"/>
        <w:ind w:left="4672"/>
        <w:jc w:val="both"/>
        <w:rPr>
          <w:rFonts w:eastAsia="宋体"/>
          <w:kern w:val="2"/>
          <w:sz w:val="37"/>
          <w:szCs w:val="37"/>
          <w:lang w:val="en-US" w:eastAsia="zh-CN" w:bidi="ar-SA"/>
        </w:rPr>
      </w:pPr>
      <w:bookmarkStart w:id="24" w:name="_Toc6577"/>
      <w:r>
        <w:rPr>
          <w:rFonts w:eastAsia="宋体"/>
          <w:spacing w:val="8"/>
          <w:kern w:val="2"/>
          <w:sz w:val="37"/>
          <w:szCs w:val="37"/>
          <w:lang w:val="en-US" w:eastAsia="zh-CN" w:bidi="ar-SA"/>
        </w:rPr>
        <w:t>建设项目污染物排放量汇总表</w:t>
      </w:r>
    </w:p>
    <w:tbl>
      <w:tblPr>
        <w:tblStyle w:val="29"/>
        <w:tblW w:w="50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02"/>
        <w:gridCol w:w="2543"/>
        <w:gridCol w:w="1568"/>
        <w:gridCol w:w="1202"/>
        <w:gridCol w:w="1489"/>
        <w:gridCol w:w="1535"/>
        <w:gridCol w:w="1235"/>
        <w:gridCol w:w="1522"/>
        <w:gridCol w:w="1333"/>
      </w:tblGrid>
      <w:tr w14:paraId="5650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7" w:hRule="atLeast"/>
        </w:trPr>
        <w:tc>
          <w:tcPr>
            <w:tcW w:w="407" w:type="pct"/>
            <w:tcBorders>
              <w:tl2br w:val="single" w:color="000000" w:sz="4" w:space="0"/>
            </w:tcBorders>
            <w:vAlign w:val="center"/>
          </w:tcPr>
          <w:p w14:paraId="0CBDB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spacing w:val="-3"/>
                <w:kern w:val="2"/>
                <w:lang w:val="en-US" w:eastAsia="en-US" w:bidi="ar-SA"/>
              </w:rPr>
            </w:pPr>
            <w:r>
              <w:rPr>
                <w:rFonts w:eastAsia="宋体"/>
                <w:spacing w:val="-3"/>
                <w:kern w:val="2"/>
                <w:lang w:val="en-US" w:eastAsia="zh-CN" w:bidi="ar-SA"/>
              </w:rPr>
              <w:t xml:space="preserve">     </w:t>
            </w:r>
            <w:r>
              <w:rPr>
                <w:rFonts w:eastAsia="宋体"/>
                <w:spacing w:val="-3"/>
                <w:kern w:val="2"/>
                <w:lang w:val="en-US" w:eastAsia="en-US" w:bidi="ar-SA"/>
              </w:rPr>
              <w:t>项目</w:t>
            </w:r>
          </w:p>
          <w:p w14:paraId="7ADC73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eastAsia="宋体"/>
                <w:kern w:val="2"/>
                <w:lang w:val="en-US" w:eastAsia="en-US" w:bidi="ar-SA"/>
              </w:rPr>
            </w:pPr>
            <w:r>
              <w:rPr>
                <w:rFonts w:eastAsia="宋体"/>
                <w:spacing w:val="-1"/>
                <w:kern w:val="2"/>
                <w:lang w:val="en-US" w:eastAsia="en-US" w:bidi="ar-SA"/>
              </w:rPr>
              <w:t>分类</w:t>
            </w:r>
          </w:p>
        </w:tc>
        <w:tc>
          <w:tcPr>
            <w:tcW w:w="939" w:type="pct"/>
            <w:vAlign w:val="center"/>
          </w:tcPr>
          <w:p w14:paraId="2A90D3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污染物名称</w:t>
            </w:r>
          </w:p>
        </w:tc>
        <w:tc>
          <w:tcPr>
            <w:tcW w:w="579" w:type="pct"/>
            <w:vAlign w:val="center"/>
          </w:tcPr>
          <w:p w14:paraId="584562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现有工程</w:t>
            </w:r>
          </w:p>
          <w:p w14:paraId="2EAB48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排放量（固体废物</w:t>
            </w:r>
          </w:p>
          <w:p w14:paraId="7D35FC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产生量）①</w:t>
            </w:r>
          </w:p>
        </w:tc>
        <w:tc>
          <w:tcPr>
            <w:tcW w:w="444" w:type="pct"/>
            <w:vAlign w:val="center"/>
          </w:tcPr>
          <w:p w14:paraId="4F366C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现有工程</w:t>
            </w:r>
          </w:p>
          <w:p w14:paraId="15C5EF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许可排放量</w:t>
            </w:r>
          </w:p>
          <w:p w14:paraId="48E096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②</w:t>
            </w:r>
          </w:p>
        </w:tc>
        <w:tc>
          <w:tcPr>
            <w:tcW w:w="550" w:type="pct"/>
            <w:vAlign w:val="center"/>
          </w:tcPr>
          <w:p w14:paraId="190C7C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1"/>
                <w:kern w:val="2"/>
                <w:lang w:val="en-US" w:eastAsia="en-US" w:bidi="ar-SA"/>
              </w:rPr>
              <w:t>在建工程</w:t>
            </w:r>
          </w:p>
          <w:p w14:paraId="480BDB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11"/>
                <w:kern w:val="2"/>
                <w:lang w:val="en-US" w:eastAsia="en-US" w:bidi="ar-SA"/>
              </w:rPr>
              <w:t>排放量（固体废物</w:t>
            </w:r>
          </w:p>
          <w:p w14:paraId="0F5C45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产生量）③</w:t>
            </w:r>
          </w:p>
        </w:tc>
        <w:tc>
          <w:tcPr>
            <w:tcW w:w="567" w:type="pct"/>
            <w:vAlign w:val="center"/>
          </w:tcPr>
          <w:p w14:paraId="3B0208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本项目</w:t>
            </w:r>
          </w:p>
          <w:p w14:paraId="049B6F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5"/>
                <w:kern w:val="2"/>
                <w:lang w:val="en-US" w:eastAsia="en-US" w:bidi="ar-SA"/>
              </w:rPr>
              <w:t>排放量（固体废物</w:t>
            </w:r>
            <w:r>
              <w:rPr>
                <w:rFonts w:eastAsia="宋体"/>
                <w:spacing w:val="-2"/>
                <w:kern w:val="2"/>
                <w:lang w:val="en-US" w:eastAsia="en-US" w:bidi="ar-SA"/>
              </w:rPr>
              <w:t>产生量）④</w:t>
            </w:r>
          </w:p>
        </w:tc>
        <w:tc>
          <w:tcPr>
            <w:tcW w:w="456" w:type="pct"/>
            <w:vAlign w:val="center"/>
          </w:tcPr>
          <w:p w14:paraId="41282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spacing w:val="-2"/>
                <w:kern w:val="2"/>
                <w:lang w:val="en-US" w:eastAsia="en-US" w:bidi="ar-SA"/>
              </w:rPr>
            </w:pPr>
            <w:r>
              <w:rPr>
                <w:rFonts w:eastAsia="宋体"/>
                <w:spacing w:val="-2"/>
                <w:kern w:val="2"/>
                <w:lang w:val="en-US" w:eastAsia="en-US" w:bidi="ar-SA"/>
              </w:rPr>
              <w:t>以新带老削减量（新建项目不填）⑤</w:t>
            </w:r>
          </w:p>
        </w:tc>
        <w:tc>
          <w:tcPr>
            <w:tcW w:w="562" w:type="pct"/>
            <w:vAlign w:val="center"/>
          </w:tcPr>
          <w:p w14:paraId="3B8947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spacing w:val="-2"/>
                <w:kern w:val="2"/>
                <w:lang w:val="en-US" w:eastAsia="en-US" w:bidi="ar-SA"/>
              </w:rPr>
            </w:pPr>
            <w:r>
              <w:rPr>
                <w:rFonts w:eastAsia="宋体"/>
                <w:spacing w:val="-2"/>
                <w:kern w:val="2"/>
                <w:lang w:val="en-US" w:eastAsia="en-US" w:bidi="ar-SA"/>
              </w:rPr>
              <w:t>本项目建成后</w:t>
            </w:r>
          </w:p>
          <w:p w14:paraId="771481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spacing w:val="-2"/>
                <w:kern w:val="2"/>
                <w:lang w:val="en-US" w:eastAsia="en-US" w:bidi="ar-SA"/>
              </w:rPr>
            </w:pPr>
            <w:r>
              <w:rPr>
                <w:rFonts w:eastAsia="宋体"/>
                <w:spacing w:val="-2"/>
                <w:kern w:val="2"/>
                <w:lang w:val="en-US" w:eastAsia="en-US" w:bidi="ar-SA"/>
              </w:rPr>
              <w:t>全厂排放量（固体废物产生量）⑥</w:t>
            </w:r>
          </w:p>
        </w:tc>
        <w:tc>
          <w:tcPr>
            <w:tcW w:w="492" w:type="pct"/>
            <w:vAlign w:val="center"/>
          </w:tcPr>
          <w:p w14:paraId="2BD6DE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变化量</w:t>
            </w:r>
            <w:r>
              <w:rPr>
                <w:rFonts w:eastAsia="宋体"/>
                <w:spacing w:val="2"/>
                <w:kern w:val="2"/>
                <w:lang w:val="en-US" w:eastAsia="en-US" w:bidi="ar-SA"/>
              </w:rPr>
              <w:t>⑦</w:t>
            </w:r>
          </w:p>
        </w:tc>
      </w:tr>
      <w:tr w14:paraId="7FCA6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7" w:type="pct"/>
            <w:vMerge w:val="restart"/>
            <w:vAlign w:val="center"/>
          </w:tcPr>
          <w:p w14:paraId="1E0011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5"/>
                <w:kern w:val="2"/>
                <w:lang w:val="en-US" w:eastAsia="en-US" w:bidi="ar-SA"/>
              </w:rPr>
              <w:t>废气</w:t>
            </w:r>
          </w:p>
        </w:tc>
        <w:tc>
          <w:tcPr>
            <w:tcW w:w="939" w:type="pct"/>
            <w:vAlign w:val="center"/>
          </w:tcPr>
          <w:p w14:paraId="2C5877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7"/>
                <w:kern w:val="2"/>
                <w:lang w:val="en-US" w:eastAsia="en-US" w:bidi="ar-SA"/>
              </w:rPr>
              <w:t>颗粒物</w:t>
            </w:r>
          </w:p>
        </w:tc>
        <w:tc>
          <w:tcPr>
            <w:tcW w:w="579" w:type="pct"/>
            <w:vAlign w:val="center"/>
          </w:tcPr>
          <w:p w14:paraId="0264AA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eastAsia="宋体"/>
                <w:kern w:val="2"/>
                <w:lang w:val="en-US" w:eastAsia="zh-CN" w:bidi="ar-SA"/>
              </w:rPr>
            </w:pPr>
            <w:r>
              <w:rPr>
                <w:rFonts w:eastAsia="宋体"/>
                <w:spacing w:val="3"/>
                <w:kern w:val="2"/>
                <w:lang w:val="en-US" w:eastAsia="zh-CN" w:bidi="ar-SA"/>
              </w:rPr>
              <w:t>0.968</w:t>
            </w:r>
            <w:r>
              <w:rPr>
                <w:rFonts w:hint="eastAsia"/>
                <w:spacing w:val="3"/>
                <w:kern w:val="2"/>
                <w:lang w:val="en-US" w:eastAsia="zh-CN" w:bidi="ar-SA"/>
              </w:rPr>
              <w:t>t/a</w:t>
            </w:r>
          </w:p>
        </w:tc>
        <w:tc>
          <w:tcPr>
            <w:tcW w:w="444" w:type="pct"/>
            <w:shd w:val="clear" w:color="auto" w:fill="auto"/>
            <w:vAlign w:val="center"/>
          </w:tcPr>
          <w:p w14:paraId="76A4C5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50" w:type="pct"/>
            <w:vAlign w:val="center"/>
          </w:tcPr>
          <w:p w14:paraId="33BB4D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071B3D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eastAsia="宋体"/>
                <w:kern w:val="2"/>
                <w:lang w:val="en-US" w:eastAsia="zh-CN" w:bidi="ar-SA"/>
              </w:rPr>
            </w:pPr>
            <w:r>
              <w:rPr>
                <w:rFonts w:eastAsia="宋体"/>
                <w:spacing w:val="3"/>
                <w:kern w:val="2"/>
                <w:lang w:val="en-US" w:eastAsia="zh-CN" w:bidi="ar-SA"/>
              </w:rPr>
              <w:t>0</w:t>
            </w:r>
          </w:p>
        </w:tc>
        <w:tc>
          <w:tcPr>
            <w:tcW w:w="456" w:type="pct"/>
            <w:vAlign w:val="center"/>
          </w:tcPr>
          <w:p w14:paraId="226959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763C1E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3"/>
                <w:kern w:val="2"/>
                <w:lang w:val="en-US" w:eastAsia="zh-CN" w:bidi="ar-SA"/>
              </w:rPr>
              <w:t>0.968</w:t>
            </w:r>
            <w:r>
              <w:rPr>
                <w:rFonts w:hint="eastAsia" w:eastAsia="宋体"/>
                <w:spacing w:val="3"/>
                <w:kern w:val="2"/>
                <w:lang w:val="en-US" w:eastAsia="zh-CN" w:bidi="ar-SA"/>
              </w:rPr>
              <w:t>t/a</w:t>
            </w:r>
          </w:p>
        </w:tc>
        <w:tc>
          <w:tcPr>
            <w:tcW w:w="492" w:type="pct"/>
            <w:vAlign w:val="center"/>
          </w:tcPr>
          <w:p w14:paraId="03B99C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4"/>
                <w:kern w:val="2"/>
                <w:lang w:val="en-US" w:eastAsia="zh-CN" w:bidi="ar-SA"/>
              </w:rPr>
              <w:t>0</w:t>
            </w:r>
          </w:p>
        </w:tc>
      </w:tr>
      <w:tr w14:paraId="4B0E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7" w:type="pct"/>
            <w:vMerge w:val="continue"/>
            <w:vAlign w:val="center"/>
          </w:tcPr>
          <w:p w14:paraId="0A6044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2C2A88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SO</w:t>
            </w:r>
            <w:r>
              <w:rPr>
                <w:rFonts w:eastAsia="宋体"/>
                <w:spacing w:val="3"/>
                <w:kern w:val="2"/>
                <w:position w:val="-1"/>
                <w:vertAlign w:val="subscript"/>
                <w:lang w:val="en-US" w:eastAsia="zh-CN" w:bidi="ar-SA"/>
              </w:rPr>
              <w:t>2</w:t>
            </w:r>
          </w:p>
        </w:tc>
        <w:tc>
          <w:tcPr>
            <w:tcW w:w="579" w:type="pct"/>
            <w:vAlign w:val="center"/>
          </w:tcPr>
          <w:p w14:paraId="395B53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eastAsia="宋体"/>
                <w:kern w:val="2"/>
                <w:lang w:val="en-US" w:eastAsia="zh-CN" w:bidi="ar-SA"/>
              </w:rPr>
            </w:pPr>
            <w:r>
              <w:rPr>
                <w:rFonts w:eastAsia="宋体"/>
                <w:spacing w:val="3"/>
                <w:kern w:val="2"/>
                <w:lang w:val="en-US" w:eastAsia="zh-CN" w:bidi="ar-SA"/>
              </w:rPr>
              <w:t>0.386</w:t>
            </w:r>
            <w:r>
              <w:rPr>
                <w:rFonts w:hint="eastAsia" w:eastAsia="宋体"/>
                <w:spacing w:val="3"/>
                <w:kern w:val="2"/>
                <w:lang w:val="en-US" w:eastAsia="zh-CN" w:bidi="ar-SA"/>
              </w:rPr>
              <w:t>t/a</w:t>
            </w:r>
          </w:p>
        </w:tc>
        <w:tc>
          <w:tcPr>
            <w:tcW w:w="444" w:type="pct"/>
            <w:shd w:val="clear" w:color="auto" w:fill="auto"/>
            <w:vAlign w:val="center"/>
          </w:tcPr>
          <w:p w14:paraId="7AFC96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50" w:type="pct"/>
            <w:vAlign w:val="center"/>
          </w:tcPr>
          <w:p w14:paraId="08B8A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64464E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eastAsia="宋体"/>
                <w:kern w:val="2"/>
                <w:lang w:val="en-US" w:eastAsia="zh-CN" w:bidi="ar-SA"/>
              </w:rPr>
            </w:pPr>
            <w:r>
              <w:rPr>
                <w:rFonts w:eastAsia="宋体"/>
                <w:spacing w:val="3"/>
                <w:kern w:val="2"/>
                <w:lang w:val="en-US" w:eastAsia="zh-CN" w:bidi="ar-SA"/>
              </w:rPr>
              <w:t>0</w:t>
            </w:r>
          </w:p>
        </w:tc>
        <w:tc>
          <w:tcPr>
            <w:tcW w:w="456" w:type="pct"/>
            <w:vAlign w:val="center"/>
          </w:tcPr>
          <w:p w14:paraId="679B47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75927D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3"/>
                <w:kern w:val="2"/>
                <w:lang w:val="en-US" w:eastAsia="zh-CN" w:bidi="ar-SA"/>
              </w:rPr>
              <w:t>0.386</w:t>
            </w:r>
            <w:r>
              <w:rPr>
                <w:rFonts w:hint="eastAsia" w:eastAsia="宋体"/>
                <w:spacing w:val="3"/>
                <w:kern w:val="2"/>
                <w:lang w:val="en-US" w:eastAsia="zh-CN" w:bidi="ar-SA"/>
              </w:rPr>
              <w:t>t/a</w:t>
            </w:r>
          </w:p>
        </w:tc>
        <w:tc>
          <w:tcPr>
            <w:tcW w:w="492" w:type="pct"/>
            <w:vAlign w:val="center"/>
          </w:tcPr>
          <w:p w14:paraId="370D81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3"/>
                <w:kern w:val="2"/>
                <w:lang w:val="en-US" w:eastAsia="zh-CN" w:bidi="ar-SA"/>
              </w:rPr>
              <w:t>0</w:t>
            </w:r>
          </w:p>
        </w:tc>
      </w:tr>
      <w:tr w14:paraId="3EAE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7" w:type="pct"/>
            <w:vMerge w:val="continue"/>
            <w:vAlign w:val="center"/>
          </w:tcPr>
          <w:p w14:paraId="492D7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4A0FE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6"/>
                <w:kern w:val="2"/>
                <w:lang w:val="en-US" w:eastAsia="zh-CN" w:bidi="ar-SA"/>
              </w:rPr>
              <w:t>NO</w:t>
            </w:r>
            <w:r>
              <w:rPr>
                <w:rFonts w:eastAsia="宋体"/>
                <w:spacing w:val="6"/>
                <w:kern w:val="2"/>
                <w:position w:val="-1"/>
                <w:lang w:val="en-US" w:eastAsia="zh-CN" w:bidi="ar-SA"/>
              </w:rPr>
              <w:t>x</w:t>
            </w:r>
          </w:p>
        </w:tc>
        <w:tc>
          <w:tcPr>
            <w:tcW w:w="579" w:type="pct"/>
            <w:vAlign w:val="center"/>
          </w:tcPr>
          <w:p w14:paraId="214725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eastAsia="宋体"/>
                <w:kern w:val="2"/>
                <w:highlight w:val="yellow"/>
                <w:lang w:val="en-US" w:eastAsia="zh-CN" w:bidi="ar-SA"/>
              </w:rPr>
            </w:pPr>
            <w:r>
              <w:rPr>
                <w:rFonts w:eastAsia="宋体"/>
                <w:spacing w:val="2"/>
                <w:kern w:val="2"/>
                <w:highlight w:val="none"/>
                <w:lang w:val="en-US" w:eastAsia="zh-CN" w:bidi="ar-SA"/>
              </w:rPr>
              <w:t>4.89</w:t>
            </w:r>
            <w:r>
              <w:rPr>
                <w:rFonts w:hint="eastAsia" w:eastAsia="宋体"/>
                <w:spacing w:val="2"/>
                <w:kern w:val="2"/>
                <w:highlight w:val="none"/>
                <w:lang w:val="en-US" w:eastAsia="zh-CN" w:bidi="ar-SA"/>
              </w:rPr>
              <w:t>t/a</w:t>
            </w:r>
          </w:p>
        </w:tc>
        <w:tc>
          <w:tcPr>
            <w:tcW w:w="444" w:type="pct"/>
            <w:vAlign w:val="center"/>
          </w:tcPr>
          <w:p w14:paraId="373B93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hint="eastAsia"/>
                <w:kern w:val="2"/>
                <w:lang w:val="en-US" w:eastAsia="zh-CN" w:bidi="ar-SA"/>
              </w:rPr>
              <w:t>5.09</w:t>
            </w:r>
            <w:r>
              <w:rPr>
                <w:rFonts w:hint="eastAsia" w:eastAsia="宋体"/>
                <w:kern w:val="2"/>
                <w:lang w:val="en-US" w:eastAsia="zh-CN" w:bidi="ar-SA"/>
              </w:rPr>
              <w:t>t/a</w:t>
            </w:r>
          </w:p>
        </w:tc>
        <w:tc>
          <w:tcPr>
            <w:tcW w:w="550" w:type="pct"/>
            <w:vAlign w:val="center"/>
          </w:tcPr>
          <w:p w14:paraId="084A32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0B06F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eastAsia="宋体"/>
                <w:kern w:val="2"/>
                <w:lang w:val="en-US" w:eastAsia="zh-CN" w:bidi="ar-SA"/>
              </w:rPr>
            </w:pPr>
            <w:r>
              <w:rPr>
                <w:rFonts w:eastAsia="宋体"/>
                <w:spacing w:val="2"/>
                <w:kern w:val="2"/>
                <w:lang w:val="en-US" w:eastAsia="zh-CN" w:bidi="ar-SA"/>
              </w:rPr>
              <w:t>0</w:t>
            </w:r>
          </w:p>
        </w:tc>
        <w:tc>
          <w:tcPr>
            <w:tcW w:w="456" w:type="pct"/>
            <w:vAlign w:val="center"/>
          </w:tcPr>
          <w:p w14:paraId="047BFA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701345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4.89</w:t>
            </w:r>
            <w:r>
              <w:rPr>
                <w:rFonts w:hint="eastAsia" w:eastAsia="宋体"/>
                <w:spacing w:val="2"/>
                <w:kern w:val="2"/>
                <w:lang w:val="en-US" w:eastAsia="zh-CN" w:bidi="ar-SA"/>
              </w:rPr>
              <w:t>t/a</w:t>
            </w:r>
          </w:p>
        </w:tc>
        <w:tc>
          <w:tcPr>
            <w:tcW w:w="492" w:type="pct"/>
            <w:vAlign w:val="center"/>
          </w:tcPr>
          <w:p w14:paraId="3CE587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3"/>
                <w:kern w:val="2"/>
                <w:lang w:val="en-US" w:eastAsia="zh-CN" w:bidi="ar-SA"/>
              </w:rPr>
              <w:t>0</w:t>
            </w:r>
          </w:p>
        </w:tc>
      </w:tr>
      <w:tr w14:paraId="3D1D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07" w:type="pct"/>
            <w:vMerge w:val="continue"/>
            <w:vAlign w:val="center"/>
          </w:tcPr>
          <w:p w14:paraId="656672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42C996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eastAsia="宋体"/>
                <w:kern w:val="2"/>
                <w:highlight w:val="none"/>
                <w:lang w:val="en-US" w:eastAsia="zh-CN" w:bidi="ar-SA"/>
              </w:rPr>
            </w:pPr>
            <w:r>
              <w:rPr>
                <w:rFonts w:eastAsia="宋体"/>
                <w:spacing w:val="8"/>
                <w:kern w:val="2"/>
                <w:highlight w:val="none"/>
                <w:lang w:val="en-US" w:eastAsia="en-US" w:bidi="ar-SA"/>
              </w:rPr>
              <w:t>挥发性有机物</w:t>
            </w:r>
            <w:r>
              <w:rPr>
                <w:rFonts w:hint="eastAsia"/>
                <w:spacing w:val="8"/>
                <w:kern w:val="2"/>
                <w:highlight w:val="none"/>
                <w:lang w:val="en-US" w:eastAsia="zh-CN" w:bidi="ar-SA"/>
              </w:rPr>
              <w:t>有组织</w:t>
            </w:r>
          </w:p>
        </w:tc>
        <w:tc>
          <w:tcPr>
            <w:tcW w:w="579" w:type="pct"/>
            <w:vAlign w:val="center"/>
          </w:tcPr>
          <w:p w14:paraId="7D620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eastAsia="宋体"/>
                <w:kern w:val="2"/>
                <w:highlight w:val="none"/>
                <w:lang w:val="en-US" w:eastAsia="zh-CN" w:bidi="ar-SA"/>
              </w:rPr>
            </w:pPr>
            <w:r>
              <w:rPr>
                <w:rFonts w:hint="eastAsia"/>
                <w:kern w:val="2"/>
                <w:highlight w:val="none"/>
                <w:lang w:val="en-US" w:eastAsia="zh-CN" w:bidi="ar-SA"/>
              </w:rPr>
              <w:t>0.225t/a</w:t>
            </w:r>
          </w:p>
        </w:tc>
        <w:tc>
          <w:tcPr>
            <w:tcW w:w="444" w:type="pct"/>
            <w:vAlign w:val="center"/>
          </w:tcPr>
          <w:p w14:paraId="631FAC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eastAsia="宋体"/>
                <w:kern w:val="2"/>
                <w:highlight w:val="yellow"/>
                <w:lang w:val="en-US" w:eastAsia="zh-CN" w:bidi="ar-SA"/>
              </w:rPr>
            </w:pPr>
            <w:r>
              <w:rPr>
                <w:rFonts w:hint="eastAsia"/>
                <w:kern w:val="2"/>
                <w:highlight w:val="none"/>
                <w:lang w:val="en-US" w:eastAsia="zh-CN" w:bidi="ar-SA"/>
              </w:rPr>
              <w:t>1.016t/a</w:t>
            </w:r>
          </w:p>
        </w:tc>
        <w:tc>
          <w:tcPr>
            <w:tcW w:w="550" w:type="pct"/>
            <w:vMerge w:val="restart"/>
            <w:vAlign w:val="center"/>
          </w:tcPr>
          <w:p w14:paraId="49FD0D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highlight w:val="yellow"/>
                <w:lang w:val="en-US" w:eastAsia="zh-CN" w:bidi="ar-SA"/>
              </w:rPr>
            </w:pPr>
            <w:r>
              <w:rPr>
                <w:rFonts w:eastAsia="宋体"/>
                <w:spacing w:val="1"/>
                <w:kern w:val="2"/>
                <w:position w:val="-2"/>
                <w:highlight w:val="none"/>
                <w:lang w:val="en-US" w:eastAsia="zh-CN" w:bidi="ar-SA"/>
              </w:rPr>
              <w:t>--</w:t>
            </w:r>
          </w:p>
        </w:tc>
        <w:tc>
          <w:tcPr>
            <w:tcW w:w="567" w:type="pct"/>
            <w:vMerge w:val="restart"/>
            <w:shd w:val="clear" w:color="auto" w:fill="auto"/>
            <w:vAlign w:val="center"/>
          </w:tcPr>
          <w:p w14:paraId="786E08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iCs w:val="0"/>
                <w:color w:val="000000"/>
                <w:sz w:val="22"/>
                <w:szCs w:val="22"/>
                <w:highlight w:val="none"/>
                <w:u w:val="none"/>
                <w:lang w:val="en-US" w:eastAsia="zh-CN" w:bidi="ar-SA"/>
              </w:rPr>
            </w:pPr>
            <w:r>
              <w:rPr>
                <w:rFonts w:hint="eastAsia" w:cs="Times New Roman"/>
                <w:bCs/>
                <w:kern w:val="2"/>
                <w:highlight w:val="none"/>
                <w:lang w:val="en-US" w:eastAsia="zh-CN" w:bidi="ar-SA"/>
              </w:rPr>
              <w:t>0.26</w:t>
            </w:r>
            <w:r>
              <w:rPr>
                <w:rFonts w:hint="eastAsia" w:ascii="Times New Roman" w:hAnsi="Times New Roman" w:eastAsia="宋体" w:cs="Times New Roman"/>
                <w:bCs/>
                <w:kern w:val="2"/>
                <w:highlight w:val="none"/>
                <w:lang w:val="en-US" w:eastAsia="zh-CN" w:bidi="ar-SA"/>
              </w:rPr>
              <w:t>t/a</w:t>
            </w:r>
          </w:p>
        </w:tc>
        <w:tc>
          <w:tcPr>
            <w:tcW w:w="456" w:type="pct"/>
            <w:vMerge w:val="restart"/>
            <w:vAlign w:val="center"/>
          </w:tcPr>
          <w:p w14:paraId="62F0CD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kern w:val="2"/>
                <w:highlight w:val="none"/>
                <w:lang w:val="en-US" w:eastAsia="zh-CN" w:bidi="ar-SA"/>
              </w:rPr>
            </w:pPr>
            <w:r>
              <w:rPr>
                <w:rFonts w:eastAsia="宋体"/>
                <w:spacing w:val="1"/>
                <w:kern w:val="2"/>
                <w:position w:val="-2"/>
                <w:highlight w:val="none"/>
                <w:lang w:val="en-US" w:eastAsia="zh-CN" w:bidi="ar-SA"/>
              </w:rPr>
              <w:t>--</w:t>
            </w:r>
          </w:p>
        </w:tc>
        <w:tc>
          <w:tcPr>
            <w:tcW w:w="562" w:type="pct"/>
            <w:vMerge w:val="restart"/>
            <w:vAlign w:val="center"/>
          </w:tcPr>
          <w:p w14:paraId="6D280D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bCs/>
                <w:kern w:val="2"/>
                <w:highlight w:val="none"/>
                <w:lang w:val="en-US" w:eastAsia="zh-CN" w:bidi="ar-SA"/>
              </w:rPr>
            </w:pPr>
            <w:r>
              <w:rPr>
                <w:rFonts w:hint="eastAsia"/>
                <w:bCs/>
                <w:kern w:val="2"/>
                <w:highlight w:val="none"/>
                <w:lang w:val="en-US" w:eastAsia="zh-CN" w:bidi="ar-SA"/>
              </w:rPr>
              <w:t>7.1348t/a</w:t>
            </w:r>
          </w:p>
        </w:tc>
        <w:tc>
          <w:tcPr>
            <w:tcW w:w="492" w:type="pct"/>
            <w:vMerge w:val="restart"/>
            <w:vAlign w:val="center"/>
          </w:tcPr>
          <w:p w14:paraId="26F8FE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kern w:val="2"/>
                <w:highlight w:val="none"/>
                <w:lang w:val="en-US" w:eastAsia="zh-CN" w:bidi="ar-SA"/>
              </w:rPr>
            </w:pPr>
            <w:r>
              <w:rPr>
                <w:rFonts w:hint="eastAsia"/>
                <w:bCs/>
                <w:kern w:val="2"/>
                <w:highlight w:val="none"/>
                <w:lang w:val="en-US" w:eastAsia="zh-CN" w:bidi="ar-SA"/>
              </w:rPr>
              <w:t>+0.26t/a</w:t>
            </w:r>
          </w:p>
        </w:tc>
      </w:tr>
      <w:tr w14:paraId="6702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07" w:type="pct"/>
            <w:vMerge w:val="continue"/>
            <w:vAlign w:val="center"/>
          </w:tcPr>
          <w:p w14:paraId="2AA8B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5705A5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eastAsia="宋体"/>
                <w:spacing w:val="8"/>
                <w:kern w:val="2"/>
                <w:highlight w:val="none"/>
                <w:lang w:val="en-US" w:eastAsia="zh-CN" w:bidi="ar-SA"/>
              </w:rPr>
            </w:pPr>
            <w:r>
              <w:rPr>
                <w:rFonts w:eastAsia="宋体"/>
                <w:spacing w:val="8"/>
                <w:kern w:val="2"/>
                <w:highlight w:val="none"/>
                <w:lang w:val="en-US" w:eastAsia="en-US" w:bidi="ar-SA"/>
              </w:rPr>
              <w:t>挥发性有机物</w:t>
            </w:r>
            <w:r>
              <w:rPr>
                <w:rFonts w:hint="eastAsia"/>
                <w:spacing w:val="8"/>
                <w:kern w:val="2"/>
                <w:highlight w:val="none"/>
                <w:lang w:val="en-US" w:eastAsia="zh-CN" w:bidi="ar-SA"/>
              </w:rPr>
              <w:t>无组织</w:t>
            </w:r>
          </w:p>
        </w:tc>
        <w:tc>
          <w:tcPr>
            <w:tcW w:w="579" w:type="pct"/>
            <w:vAlign w:val="center"/>
          </w:tcPr>
          <w:p w14:paraId="635B5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kern w:val="2"/>
                <w:highlight w:val="none"/>
                <w:lang w:val="en-US" w:eastAsia="zh-CN" w:bidi="ar-SA"/>
              </w:rPr>
            </w:pPr>
            <w:r>
              <w:rPr>
                <w:rFonts w:hint="eastAsia"/>
                <w:kern w:val="2"/>
                <w:highlight w:val="none"/>
                <w:lang w:val="en-US" w:eastAsia="zh-CN" w:bidi="ar-SA"/>
              </w:rPr>
              <w:t>6.6498</w:t>
            </w:r>
            <w:r>
              <w:rPr>
                <w:rFonts w:hint="eastAsia" w:eastAsia="宋体"/>
                <w:kern w:val="2"/>
                <w:highlight w:val="none"/>
                <w:lang w:val="en-US" w:eastAsia="zh-CN" w:bidi="ar-SA"/>
              </w:rPr>
              <w:t>t/a</w:t>
            </w:r>
          </w:p>
        </w:tc>
        <w:tc>
          <w:tcPr>
            <w:tcW w:w="444" w:type="pct"/>
            <w:vAlign w:val="center"/>
          </w:tcPr>
          <w:p w14:paraId="462BA0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kern w:val="2"/>
                <w:highlight w:val="none"/>
                <w:lang w:val="en-US" w:eastAsia="zh-CN" w:bidi="ar-SA"/>
              </w:rPr>
            </w:pPr>
            <w:r>
              <w:rPr>
                <w:rFonts w:hint="eastAsia"/>
                <w:kern w:val="2"/>
                <w:highlight w:val="none"/>
                <w:lang w:val="en-US" w:eastAsia="zh-CN" w:bidi="ar-SA"/>
              </w:rPr>
              <w:t>--</w:t>
            </w:r>
          </w:p>
        </w:tc>
        <w:tc>
          <w:tcPr>
            <w:tcW w:w="550" w:type="pct"/>
            <w:vMerge w:val="continue"/>
            <w:vAlign w:val="center"/>
          </w:tcPr>
          <w:p w14:paraId="551CDB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spacing w:val="1"/>
                <w:kern w:val="2"/>
                <w:position w:val="-2"/>
                <w:highlight w:val="none"/>
                <w:lang w:val="en-US" w:eastAsia="zh-CN" w:bidi="ar-SA"/>
              </w:rPr>
            </w:pPr>
          </w:p>
        </w:tc>
        <w:tc>
          <w:tcPr>
            <w:tcW w:w="567" w:type="pct"/>
            <w:vMerge w:val="continue"/>
            <w:shd w:val="clear" w:color="auto" w:fill="auto"/>
            <w:vAlign w:val="center"/>
          </w:tcPr>
          <w:p w14:paraId="2BB0B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bCs/>
                <w:kern w:val="2"/>
                <w:highlight w:val="none"/>
                <w:lang w:val="en-US" w:eastAsia="zh-CN" w:bidi="ar-SA"/>
              </w:rPr>
            </w:pPr>
          </w:p>
        </w:tc>
        <w:tc>
          <w:tcPr>
            <w:tcW w:w="456" w:type="pct"/>
            <w:vMerge w:val="continue"/>
            <w:vAlign w:val="center"/>
          </w:tcPr>
          <w:p w14:paraId="6ACBC6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spacing w:val="1"/>
                <w:kern w:val="2"/>
                <w:position w:val="-2"/>
                <w:highlight w:val="none"/>
                <w:lang w:val="en-US" w:eastAsia="zh-CN" w:bidi="ar-SA"/>
              </w:rPr>
            </w:pPr>
          </w:p>
        </w:tc>
        <w:tc>
          <w:tcPr>
            <w:tcW w:w="562" w:type="pct"/>
            <w:vMerge w:val="continue"/>
            <w:vAlign w:val="center"/>
          </w:tcPr>
          <w:p w14:paraId="051427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Cs/>
                <w:kern w:val="2"/>
                <w:highlight w:val="none"/>
                <w:lang w:val="en-US" w:eastAsia="zh-CN" w:bidi="ar-SA"/>
              </w:rPr>
            </w:pPr>
          </w:p>
        </w:tc>
        <w:tc>
          <w:tcPr>
            <w:tcW w:w="492" w:type="pct"/>
            <w:vMerge w:val="continue"/>
            <w:vAlign w:val="center"/>
          </w:tcPr>
          <w:p w14:paraId="75E31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Cs/>
                <w:kern w:val="2"/>
                <w:highlight w:val="none"/>
                <w:lang w:val="en-US" w:eastAsia="zh-CN" w:bidi="ar-SA"/>
              </w:rPr>
            </w:pPr>
          </w:p>
        </w:tc>
      </w:tr>
      <w:tr w14:paraId="79E2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07" w:type="pct"/>
            <w:vMerge w:val="restart"/>
            <w:vAlign w:val="center"/>
          </w:tcPr>
          <w:p w14:paraId="733D6E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5"/>
                <w:kern w:val="2"/>
                <w:lang w:val="en-US" w:eastAsia="en-US" w:bidi="ar-SA"/>
              </w:rPr>
              <w:t>废水</w:t>
            </w:r>
          </w:p>
        </w:tc>
        <w:tc>
          <w:tcPr>
            <w:tcW w:w="939" w:type="pct"/>
            <w:vAlign w:val="center"/>
          </w:tcPr>
          <w:p w14:paraId="0C95D3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eastAsia="宋体"/>
                <w:kern w:val="2"/>
                <w:lang w:val="en-US" w:eastAsia="zh-CN" w:bidi="ar-SA"/>
              </w:rPr>
            </w:pPr>
            <w:r>
              <w:rPr>
                <w:rFonts w:eastAsia="宋体"/>
                <w:spacing w:val="4"/>
                <w:kern w:val="2"/>
                <w:lang w:val="en-US" w:eastAsia="zh-CN" w:bidi="ar-SA"/>
              </w:rPr>
              <w:t>COD</w:t>
            </w:r>
            <w:r>
              <w:rPr>
                <w:rFonts w:hint="eastAsia"/>
                <w:spacing w:val="4"/>
                <w:kern w:val="2"/>
                <w:position w:val="-1"/>
                <w:vertAlign w:val="subscript"/>
                <w:lang w:val="en-US" w:eastAsia="zh-CN" w:bidi="ar-SA"/>
              </w:rPr>
              <w:t>cr</w:t>
            </w:r>
          </w:p>
        </w:tc>
        <w:tc>
          <w:tcPr>
            <w:tcW w:w="579" w:type="pct"/>
            <w:vAlign w:val="center"/>
          </w:tcPr>
          <w:p w14:paraId="38AFD2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eastAsia="宋体"/>
                <w:kern w:val="2"/>
                <w:lang w:val="en-US" w:eastAsia="zh-CN" w:bidi="ar-SA"/>
              </w:rPr>
            </w:pPr>
            <w:r>
              <w:rPr>
                <w:rFonts w:eastAsia="宋体"/>
                <w:kern w:val="2"/>
                <w:lang w:val="en-US" w:eastAsia="zh-CN" w:bidi="ar-SA"/>
              </w:rPr>
              <w:t>1.2941</w:t>
            </w:r>
            <w:r>
              <w:rPr>
                <w:rFonts w:hint="eastAsia" w:eastAsia="宋体"/>
                <w:kern w:val="2"/>
                <w:lang w:val="en-US" w:eastAsia="zh-CN" w:bidi="ar-SA"/>
              </w:rPr>
              <w:t>t/a</w:t>
            </w:r>
          </w:p>
        </w:tc>
        <w:tc>
          <w:tcPr>
            <w:tcW w:w="444" w:type="pct"/>
            <w:vAlign w:val="center"/>
          </w:tcPr>
          <w:p w14:paraId="1D5CF6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0</w:t>
            </w:r>
          </w:p>
        </w:tc>
        <w:tc>
          <w:tcPr>
            <w:tcW w:w="550" w:type="pct"/>
            <w:vAlign w:val="center"/>
          </w:tcPr>
          <w:p w14:paraId="00BF07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151DAB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eastAsia="宋体"/>
                <w:kern w:val="2"/>
                <w:lang w:val="en-US" w:eastAsia="zh-CN" w:bidi="ar-SA"/>
              </w:rPr>
            </w:pPr>
            <w:r>
              <w:rPr>
                <w:rFonts w:eastAsia="宋体"/>
                <w:kern w:val="2"/>
                <w:lang w:val="en-US" w:eastAsia="zh-CN" w:bidi="ar-SA"/>
              </w:rPr>
              <w:t>0</w:t>
            </w:r>
          </w:p>
        </w:tc>
        <w:tc>
          <w:tcPr>
            <w:tcW w:w="456" w:type="pct"/>
            <w:vAlign w:val="center"/>
          </w:tcPr>
          <w:p w14:paraId="1C138F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298B4F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1.2941</w:t>
            </w:r>
            <w:r>
              <w:rPr>
                <w:rFonts w:hint="eastAsia" w:eastAsia="宋体"/>
                <w:kern w:val="2"/>
                <w:lang w:val="en-US" w:eastAsia="zh-CN" w:bidi="ar-SA"/>
              </w:rPr>
              <w:t>t/a</w:t>
            </w:r>
          </w:p>
        </w:tc>
        <w:tc>
          <w:tcPr>
            <w:tcW w:w="492" w:type="pct"/>
            <w:vAlign w:val="center"/>
          </w:tcPr>
          <w:p w14:paraId="04BFD4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4"/>
                <w:kern w:val="2"/>
                <w:lang w:val="en-US" w:eastAsia="zh-CN" w:bidi="ar-SA"/>
              </w:rPr>
              <w:t>0</w:t>
            </w:r>
          </w:p>
        </w:tc>
      </w:tr>
      <w:tr w14:paraId="7E15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07" w:type="pct"/>
            <w:vMerge w:val="continue"/>
            <w:vAlign w:val="center"/>
          </w:tcPr>
          <w:p w14:paraId="20ACB8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44580F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NH</w:t>
            </w:r>
            <w:r>
              <w:rPr>
                <w:rFonts w:eastAsia="宋体"/>
                <w:spacing w:val="9"/>
                <w:kern w:val="2"/>
                <w:vertAlign w:val="subscript"/>
                <w:lang w:val="en-US" w:eastAsia="zh-CN" w:bidi="ar-SA"/>
              </w:rPr>
              <w:t>3</w:t>
            </w:r>
            <w:r>
              <w:rPr>
                <w:rFonts w:eastAsia="宋体"/>
                <w:spacing w:val="9"/>
                <w:kern w:val="2"/>
                <w:lang w:val="en-US" w:eastAsia="zh-CN" w:bidi="ar-SA"/>
              </w:rPr>
              <w:t>-N</w:t>
            </w:r>
          </w:p>
        </w:tc>
        <w:tc>
          <w:tcPr>
            <w:tcW w:w="579" w:type="pct"/>
            <w:vAlign w:val="center"/>
          </w:tcPr>
          <w:p w14:paraId="1845A3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eastAsia="宋体"/>
                <w:kern w:val="2"/>
                <w:lang w:val="en-US" w:eastAsia="zh-CN" w:bidi="ar-SA"/>
              </w:rPr>
            </w:pPr>
            <w:r>
              <w:rPr>
                <w:rFonts w:eastAsia="宋体"/>
                <w:spacing w:val="3"/>
                <w:kern w:val="2"/>
                <w:lang w:val="en-US" w:eastAsia="zh-CN" w:bidi="ar-SA"/>
              </w:rPr>
              <w:t>0.1248</w:t>
            </w:r>
            <w:r>
              <w:rPr>
                <w:rFonts w:hint="eastAsia" w:eastAsia="宋体"/>
                <w:spacing w:val="3"/>
                <w:kern w:val="2"/>
                <w:lang w:val="en-US" w:eastAsia="zh-CN" w:bidi="ar-SA"/>
              </w:rPr>
              <w:t>t/a</w:t>
            </w:r>
          </w:p>
        </w:tc>
        <w:tc>
          <w:tcPr>
            <w:tcW w:w="444" w:type="pct"/>
            <w:vAlign w:val="center"/>
          </w:tcPr>
          <w:p w14:paraId="5A3BA0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0</w:t>
            </w:r>
          </w:p>
        </w:tc>
        <w:tc>
          <w:tcPr>
            <w:tcW w:w="550" w:type="pct"/>
            <w:vAlign w:val="center"/>
          </w:tcPr>
          <w:p w14:paraId="324AAC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3CE0BB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eastAsia="宋体"/>
                <w:kern w:val="2"/>
                <w:lang w:val="en-US" w:eastAsia="zh-CN" w:bidi="ar-SA"/>
              </w:rPr>
            </w:pPr>
            <w:r>
              <w:rPr>
                <w:rFonts w:eastAsia="宋体"/>
                <w:spacing w:val="3"/>
                <w:kern w:val="2"/>
                <w:lang w:val="en-US" w:eastAsia="zh-CN" w:bidi="ar-SA"/>
              </w:rPr>
              <w:t>0</w:t>
            </w:r>
          </w:p>
        </w:tc>
        <w:tc>
          <w:tcPr>
            <w:tcW w:w="456" w:type="pct"/>
            <w:vAlign w:val="center"/>
          </w:tcPr>
          <w:p w14:paraId="6945E5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62B0AB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3"/>
                <w:kern w:val="2"/>
                <w:lang w:val="en-US" w:eastAsia="zh-CN" w:bidi="ar-SA"/>
              </w:rPr>
              <w:t>0.1248</w:t>
            </w:r>
            <w:r>
              <w:rPr>
                <w:rFonts w:hint="eastAsia" w:eastAsia="宋体"/>
                <w:spacing w:val="3"/>
                <w:kern w:val="2"/>
                <w:lang w:val="en-US" w:eastAsia="zh-CN" w:bidi="ar-SA"/>
              </w:rPr>
              <w:t>t/a</w:t>
            </w:r>
          </w:p>
        </w:tc>
        <w:tc>
          <w:tcPr>
            <w:tcW w:w="492" w:type="pct"/>
            <w:vAlign w:val="center"/>
          </w:tcPr>
          <w:p w14:paraId="046A5C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4"/>
                <w:kern w:val="2"/>
                <w:lang w:val="en-US" w:eastAsia="zh-CN" w:bidi="ar-SA"/>
              </w:rPr>
              <w:t>0</w:t>
            </w:r>
          </w:p>
        </w:tc>
      </w:tr>
      <w:tr w14:paraId="0C92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407" w:type="pct"/>
            <w:vMerge w:val="restart"/>
            <w:vAlign w:val="center"/>
          </w:tcPr>
          <w:p w14:paraId="6D6780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6"/>
                <w:kern w:val="2"/>
                <w:lang w:val="en-US" w:eastAsia="en-US" w:bidi="ar-SA"/>
              </w:rPr>
              <w:t>一般工业</w:t>
            </w:r>
            <w:r>
              <w:rPr>
                <w:rFonts w:eastAsia="宋体"/>
                <w:spacing w:val="2"/>
                <w:kern w:val="2"/>
                <w:lang w:val="en-US" w:eastAsia="en-US" w:bidi="ar-SA"/>
              </w:rPr>
              <w:t>固体废物</w:t>
            </w:r>
          </w:p>
        </w:tc>
        <w:tc>
          <w:tcPr>
            <w:tcW w:w="939" w:type="pct"/>
            <w:vAlign w:val="center"/>
          </w:tcPr>
          <w:p w14:paraId="7F83AB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8"/>
                <w:kern w:val="2"/>
                <w:lang w:val="en-US" w:eastAsia="en-US" w:bidi="ar-SA"/>
              </w:rPr>
              <w:t>废离子交换树脂</w:t>
            </w:r>
          </w:p>
        </w:tc>
        <w:tc>
          <w:tcPr>
            <w:tcW w:w="579" w:type="pct"/>
            <w:vAlign w:val="center"/>
          </w:tcPr>
          <w:p w14:paraId="426BE0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0.2t/a</w:t>
            </w:r>
          </w:p>
        </w:tc>
        <w:tc>
          <w:tcPr>
            <w:tcW w:w="444" w:type="pct"/>
            <w:vAlign w:val="center"/>
          </w:tcPr>
          <w:p w14:paraId="2D7152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50" w:type="pct"/>
            <w:vAlign w:val="center"/>
          </w:tcPr>
          <w:p w14:paraId="315127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4AE0E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0</w:t>
            </w:r>
          </w:p>
        </w:tc>
        <w:tc>
          <w:tcPr>
            <w:tcW w:w="456" w:type="pct"/>
            <w:vAlign w:val="center"/>
          </w:tcPr>
          <w:p w14:paraId="40045E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69C4B5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0.2t/a</w:t>
            </w:r>
          </w:p>
        </w:tc>
        <w:tc>
          <w:tcPr>
            <w:tcW w:w="492" w:type="pct"/>
            <w:vAlign w:val="center"/>
          </w:tcPr>
          <w:p w14:paraId="664805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0</w:t>
            </w:r>
          </w:p>
        </w:tc>
      </w:tr>
      <w:tr w14:paraId="2640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07" w:type="pct"/>
            <w:vMerge w:val="continue"/>
            <w:vAlign w:val="center"/>
          </w:tcPr>
          <w:p w14:paraId="7C98F7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4724CB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7"/>
                <w:kern w:val="2"/>
                <w:lang w:val="en-US" w:eastAsia="en-US" w:bidi="ar-SA"/>
              </w:rPr>
              <w:t>废分子筛</w:t>
            </w:r>
          </w:p>
        </w:tc>
        <w:tc>
          <w:tcPr>
            <w:tcW w:w="579" w:type="pct"/>
            <w:vAlign w:val="center"/>
          </w:tcPr>
          <w:p w14:paraId="7B8044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2t/a</w:t>
            </w:r>
          </w:p>
        </w:tc>
        <w:tc>
          <w:tcPr>
            <w:tcW w:w="444" w:type="pct"/>
            <w:vAlign w:val="center"/>
          </w:tcPr>
          <w:p w14:paraId="5BDE9E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50" w:type="pct"/>
            <w:vAlign w:val="center"/>
          </w:tcPr>
          <w:p w14:paraId="59AC48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20DDB9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0</w:t>
            </w:r>
          </w:p>
        </w:tc>
        <w:tc>
          <w:tcPr>
            <w:tcW w:w="456" w:type="pct"/>
            <w:vAlign w:val="center"/>
          </w:tcPr>
          <w:p w14:paraId="3F1328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03BDA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2t/a</w:t>
            </w:r>
          </w:p>
        </w:tc>
        <w:tc>
          <w:tcPr>
            <w:tcW w:w="492" w:type="pct"/>
            <w:vAlign w:val="center"/>
          </w:tcPr>
          <w:p w14:paraId="7D3A05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0</w:t>
            </w:r>
          </w:p>
        </w:tc>
      </w:tr>
      <w:tr w14:paraId="13E3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07" w:type="pct"/>
            <w:vMerge w:val="restart"/>
            <w:vAlign w:val="center"/>
          </w:tcPr>
          <w:p w14:paraId="0FC5B7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6"/>
                <w:kern w:val="2"/>
                <w:lang w:val="en-US" w:eastAsia="en-US" w:bidi="ar-SA"/>
              </w:rPr>
              <w:t>危险废物</w:t>
            </w:r>
          </w:p>
        </w:tc>
        <w:tc>
          <w:tcPr>
            <w:tcW w:w="939" w:type="pct"/>
            <w:vAlign w:val="center"/>
          </w:tcPr>
          <w:p w14:paraId="70CDC9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7"/>
                <w:kern w:val="2"/>
                <w:lang w:val="en-US" w:eastAsia="en-US" w:bidi="ar-SA"/>
              </w:rPr>
              <w:t>废活性炭</w:t>
            </w:r>
          </w:p>
        </w:tc>
        <w:tc>
          <w:tcPr>
            <w:tcW w:w="579" w:type="pct"/>
            <w:vAlign w:val="center"/>
          </w:tcPr>
          <w:p w14:paraId="6E104D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3"/>
                <w:kern w:val="2"/>
                <w:lang w:val="en-US" w:eastAsia="en-US" w:bidi="ar-SA"/>
              </w:rPr>
              <w:t>2t/次</w:t>
            </w:r>
          </w:p>
        </w:tc>
        <w:tc>
          <w:tcPr>
            <w:tcW w:w="444" w:type="pct"/>
            <w:vAlign w:val="center"/>
          </w:tcPr>
          <w:p w14:paraId="22DAC4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50" w:type="pct"/>
            <w:vAlign w:val="center"/>
          </w:tcPr>
          <w:p w14:paraId="1209B1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0E4CDE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3"/>
                <w:kern w:val="2"/>
                <w:lang w:val="en-US" w:eastAsia="zh-CN" w:bidi="ar-SA"/>
              </w:rPr>
              <w:t>0</w:t>
            </w:r>
          </w:p>
        </w:tc>
        <w:tc>
          <w:tcPr>
            <w:tcW w:w="456" w:type="pct"/>
            <w:vAlign w:val="center"/>
          </w:tcPr>
          <w:p w14:paraId="1E583A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27EA7E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3"/>
                <w:kern w:val="2"/>
                <w:lang w:val="en-US" w:eastAsia="en-US" w:bidi="ar-SA"/>
              </w:rPr>
              <w:t>2t/次</w:t>
            </w:r>
          </w:p>
        </w:tc>
        <w:tc>
          <w:tcPr>
            <w:tcW w:w="492" w:type="pct"/>
            <w:vAlign w:val="center"/>
          </w:tcPr>
          <w:p w14:paraId="132C64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0</w:t>
            </w:r>
          </w:p>
        </w:tc>
      </w:tr>
      <w:tr w14:paraId="5971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07" w:type="pct"/>
            <w:vMerge w:val="continue"/>
            <w:vAlign w:val="center"/>
          </w:tcPr>
          <w:p w14:paraId="36E230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2023F3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7"/>
                <w:kern w:val="2"/>
                <w:lang w:val="en-US" w:eastAsia="en-US" w:bidi="ar-SA"/>
              </w:rPr>
              <w:t>含油浮渣</w:t>
            </w:r>
          </w:p>
        </w:tc>
        <w:tc>
          <w:tcPr>
            <w:tcW w:w="579" w:type="pct"/>
            <w:vAlign w:val="center"/>
          </w:tcPr>
          <w:p w14:paraId="456C2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2.5t/a</w:t>
            </w:r>
          </w:p>
        </w:tc>
        <w:tc>
          <w:tcPr>
            <w:tcW w:w="444" w:type="pct"/>
            <w:vAlign w:val="center"/>
          </w:tcPr>
          <w:p w14:paraId="376D8C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50" w:type="pct"/>
            <w:vAlign w:val="center"/>
          </w:tcPr>
          <w:p w14:paraId="61F0EB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6AD995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0</w:t>
            </w:r>
          </w:p>
        </w:tc>
        <w:tc>
          <w:tcPr>
            <w:tcW w:w="456" w:type="pct"/>
            <w:vAlign w:val="center"/>
          </w:tcPr>
          <w:p w14:paraId="62E898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74E0C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2.5t/a</w:t>
            </w:r>
          </w:p>
        </w:tc>
        <w:tc>
          <w:tcPr>
            <w:tcW w:w="492" w:type="pct"/>
            <w:vAlign w:val="center"/>
          </w:tcPr>
          <w:p w14:paraId="70A6E8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0</w:t>
            </w:r>
          </w:p>
        </w:tc>
      </w:tr>
      <w:tr w14:paraId="5AAB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07" w:type="pct"/>
            <w:vMerge w:val="continue"/>
            <w:vAlign w:val="center"/>
          </w:tcPr>
          <w:p w14:paraId="32EA3B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26721E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7"/>
                <w:kern w:val="2"/>
                <w:lang w:val="en-US" w:eastAsia="en-US" w:bidi="ar-SA"/>
              </w:rPr>
              <w:t>废润滑油</w:t>
            </w:r>
            <w:r>
              <w:rPr>
                <w:rFonts w:eastAsia="宋体"/>
                <w:spacing w:val="7"/>
                <w:kern w:val="2"/>
                <w:lang w:val="en-US" w:eastAsia="zh-CN" w:bidi="ar-SA"/>
              </w:rPr>
              <w:t>桶</w:t>
            </w:r>
          </w:p>
        </w:tc>
        <w:tc>
          <w:tcPr>
            <w:tcW w:w="579" w:type="pct"/>
            <w:vAlign w:val="center"/>
          </w:tcPr>
          <w:p w14:paraId="20BA25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0.14t/a</w:t>
            </w:r>
          </w:p>
        </w:tc>
        <w:tc>
          <w:tcPr>
            <w:tcW w:w="444" w:type="pct"/>
            <w:vAlign w:val="center"/>
          </w:tcPr>
          <w:p w14:paraId="7E659C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50" w:type="pct"/>
            <w:vAlign w:val="center"/>
          </w:tcPr>
          <w:p w14:paraId="5AB590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6115B5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hint="eastAsia" w:eastAsia="宋体"/>
                <w:spacing w:val="-2"/>
                <w:kern w:val="2"/>
                <w:lang w:val="en-US" w:eastAsia="zh-CN" w:bidi="ar-SA"/>
              </w:rPr>
              <w:t>0</w:t>
            </w:r>
          </w:p>
        </w:tc>
        <w:tc>
          <w:tcPr>
            <w:tcW w:w="456" w:type="pct"/>
            <w:vAlign w:val="center"/>
          </w:tcPr>
          <w:p w14:paraId="0467D0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390F6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spacing w:val="2"/>
                <w:kern w:val="2"/>
                <w:lang w:val="en-US" w:eastAsia="zh-CN" w:bidi="ar-SA"/>
              </w:rPr>
            </w:pPr>
            <w:r>
              <w:rPr>
                <w:rFonts w:eastAsia="宋体"/>
                <w:spacing w:val="2"/>
                <w:kern w:val="2"/>
                <w:lang w:val="en-US" w:eastAsia="zh-CN" w:bidi="ar-SA"/>
              </w:rPr>
              <w:t>0.1</w:t>
            </w:r>
            <w:r>
              <w:rPr>
                <w:rFonts w:hint="eastAsia" w:eastAsia="宋体"/>
                <w:spacing w:val="2"/>
                <w:kern w:val="2"/>
                <w:lang w:val="en-US" w:eastAsia="zh-CN" w:bidi="ar-SA"/>
              </w:rPr>
              <w:t>4</w:t>
            </w:r>
            <w:r>
              <w:rPr>
                <w:rFonts w:eastAsia="宋体"/>
                <w:spacing w:val="2"/>
                <w:kern w:val="2"/>
                <w:lang w:val="en-US" w:eastAsia="zh-CN" w:bidi="ar-SA"/>
              </w:rPr>
              <w:t>t/a</w:t>
            </w:r>
          </w:p>
        </w:tc>
        <w:tc>
          <w:tcPr>
            <w:tcW w:w="492" w:type="pct"/>
            <w:vAlign w:val="center"/>
          </w:tcPr>
          <w:p w14:paraId="50DCEB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0</w:t>
            </w:r>
          </w:p>
        </w:tc>
      </w:tr>
      <w:tr w14:paraId="4BBE0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07" w:type="pct"/>
            <w:vMerge w:val="continue"/>
            <w:vAlign w:val="center"/>
          </w:tcPr>
          <w:p w14:paraId="5A5837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6D8147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7"/>
                <w:kern w:val="2"/>
                <w:lang w:val="en-US" w:eastAsia="en-US" w:bidi="ar-SA"/>
              </w:rPr>
              <w:t>废导热油</w:t>
            </w:r>
          </w:p>
        </w:tc>
        <w:tc>
          <w:tcPr>
            <w:tcW w:w="579" w:type="pct"/>
            <w:vAlign w:val="center"/>
          </w:tcPr>
          <w:p w14:paraId="0CA08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2"/>
                <w:kern w:val="2"/>
                <w:lang w:val="en-US" w:eastAsia="en-US" w:bidi="ar-SA"/>
              </w:rPr>
              <w:t>89t/次</w:t>
            </w:r>
          </w:p>
        </w:tc>
        <w:tc>
          <w:tcPr>
            <w:tcW w:w="444" w:type="pct"/>
            <w:vAlign w:val="center"/>
          </w:tcPr>
          <w:p w14:paraId="507994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50" w:type="pct"/>
            <w:vAlign w:val="center"/>
          </w:tcPr>
          <w:p w14:paraId="02C9BD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1005DA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0</w:t>
            </w:r>
          </w:p>
        </w:tc>
        <w:tc>
          <w:tcPr>
            <w:tcW w:w="456" w:type="pct"/>
            <w:vAlign w:val="center"/>
          </w:tcPr>
          <w:p w14:paraId="456331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661B8C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spacing w:val="2"/>
                <w:kern w:val="2"/>
                <w:lang w:val="en-US" w:eastAsia="zh-CN" w:bidi="ar-SA"/>
              </w:rPr>
            </w:pPr>
            <w:r>
              <w:rPr>
                <w:rFonts w:eastAsia="宋体"/>
                <w:spacing w:val="2"/>
                <w:kern w:val="2"/>
                <w:lang w:val="en-US" w:eastAsia="zh-CN" w:bidi="ar-SA"/>
              </w:rPr>
              <w:t>89t/次</w:t>
            </w:r>
          </w:p>
        </w:tc>
        <w:tc>
          <w:tcPr>
            <w:tcW w:w="492" w:type="pct"/>
            <w:vAlign w:val="center"/>
          </w:tcPr>
          <w:p w14:paraId="6FCE23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0</w:t>
            </w:r>
          </w:p>
        </w:tc>
      </w:tr>
      <w:tr w14:paraId="4125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07" w:type="pct"/>
            <w:vMerge w:val="continue"/>
            <w:vAlign w:val="center"/>
          </w:tcPr>
          <w:p w14:paraId="4AA99C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4894F4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7"/>
                <w:kern w:val="2"/>
                <w:lang w:val="en-US" w:eastAsia="en-US" w:bidi="ar-SA"/>
              </w:rPr>
              <w:t>废润滑油</w:t>
            </w:r>
          </w:p>
        </w:tc>
        <w:tc>
          <w:tcPr>
            <w:tcW w:w="579" w:type="pct"/>
            <w:vAlign w:val="center"/>
          </w:tcPr>
          <w:p w14:paraId="1D3BB6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lang w:val="en-US" w:eastAsia="zh-CN" w:bidi="ar-SA"/>
              </w:rPr>
              <w:t>0.2t/a</w:t>
            </w:r>
          </w:p>
        </w:tc>
        <w:tc>
          <w:tcPr>
            <w:tcW w:w="444" w:type="pct"/>
            <w:vAlign w:val="center"/>
          </w:tcPr>
          <w:p w14:paraId="5BB75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50" w:type="pct"/>
            <w:vAlign w:val="center"/>
          </w:tcPr>
          <w:p w14:paraId="1870DA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381E00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hint="eastAsia" w:eastAsia="宋体"/>
                <w:spacing w:val="1"/>
                <w:kern w:val="2"/>
                <w:lang w:val="en-US" w:eastAsia="zh-CN" w:bidi="ar-SA"/>
              </w:rPr>
              <w:t>0</w:t>
            </w:r>
          </w:p>
        </w:tc>
        <w:tc>
          <w:tcPr>
            <w:tcW w:w="456" w:type="pct"/>
            <w:vAlign w:val="center"/>
          </w:tcPr>
          <w:p w14:paraId="19DF8C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1800ED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spacing w:val="2"/>
                <w:kern w:val="2"/>
                <w:lang w:val="en-US" w:eastAsia="zh-CN" w:bidi="ar-SA"/>
              </w:rPr>
            </w:pPr>
            <w:r>
              <w:rPr>
                <w:rFonts w:eastAsia="宋体"/>
                <w:spacing w:val="2"/>
                <w:kern w:val="2"/>
                <w:lang w:val="en-US" w:eastAsia="zh-CN" w:bidi="ar-SA"/>
              </w:rPr>
              <w:t>0.2t/a</w:t>
            </w:r>
          </w:p>
        </w:tc>
        <w:tc>
          <w:tcPr>
            <w:tcW w:w="492" w:type="pct"/>
            <w:vAlign w:val="center"/>
          </w:tcPr>
          <w:p w14:paraId="1D54D7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0</w:t>
            </w:r>
          </w:p>
        </w:tc>
      </w:tr>
      <w:tr w14:paraId="4019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trPr>
        <w:tc>
          <w:tcPr>
            <w:tcW w:w="407" w:type="pct"/>
            <w:vAlign w:val="center"/>
          </w:tcPr>
          <w:p w14:paraId="5C266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p>
        </w:tc>
        <w:tc>
          <w:tcPr>
            <w:tcW w:w="939" w:type="pct"/>
            <w:vAlign w:val="center"/>
          </w:tcPr>
          <w:p w14:paraId="506D01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en-US" w:bidi="ar-SA"/>
              </w:rPr>
            </w:pPr>
            <w:r>
              <w:rPr>
                <w:rFonts w:eastAsia="宋体"/>
                <w:spacing w:val="6"/>
                <w:kern w:val="2"/>
                <w:lang w:val="en-US" w:eastAsia="en-US" w:bidi="ar-SA"/>
              </w:rPr>
              <w:t>生活垃圾</w:t>
            </w:r>
          </w:p>
        </w:tc>
        <w:tc>
          <w:tcPr>
            <w:tcW w:w="579" w:type="pct"/>
            <w:vAlign w:val="center"/>
          </w:tcPr>
          <w:p w14:paraId="67F592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34.65t/a</w:t>
            </w:r>
          </w:p>
        </w:tc>
        <w:tc>
          <w:tcPr>
            <w:tcW w:w="444" w:type="pct"/>
            <w:vAlign w:val="center"/>
          </w:tcPr>
          <w:p w14:paraId="41F65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50" w:type="pct"/>
            <w:vAlign w:val="center"/>
          </w:tcPr>
          <w:p w14:paraId="53AFB6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7" w:type="pct"/>
            <w:vAlign w:val="center"/>
          </w:tcPr>
          <w:p w14:paraId="3E0EAD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spacing w:val="2"/>
                <w:kern w:val="2"/>
                <w:lang w:val="en-US" w:eastAsia="zh-CN" w:bidi="ar-SA"/>
              </w:rPr>
              <w:t>0</w:t>
            </w:r>
          </w:p>
        </w:tc>
        <w:tc>
          <w:tcPr>
            <w:tcW w:w="456" w:type="pct"/>
            <w:vAlign w:val="center"/>
          </w:tcPr>
          <w:p w14:paraId="60EA29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eastAsia="宋体"/>
                <w:kern w:val="2"/>
                <w:lang w:val="en-US" w:eastAsia="zh-CN" w:bidi="ar-SA"/>
              </w:rPr>
            </w:pPr>
            <w:r>
              <w:rPr>
                <w:rFonts w:eastAsia="宋体"/>
                <w:spacing w:val="1"/>
                <w:kern w:val="2"/>
                <w:position w:val="-2"/>
                <w:lang w:val="en-US" w:eastAsia="zh-CN" w:bidi="ar-SA"/>
              </w:rPr>
              <w:t>--</w:t>
            </w:r>
          </w:p>
        </w:tc>
        <w:tc>
          <w:tcPr>
            <w:tcW w:w="562" w:type="pct"/>
            <w:vAlign w:val="center"/>
          </w:tcPr>
          <w:p w14:paraId="5DAE5F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spacing w:val="2"/>
                <w:kern w:val="2"/>
                <w:lang w:val="en-US" w:eastAsia="zh-CN" w:bidi="ar-SA"/>
              </w:rPr>
            </w:pPr>
            <w:r>
              <w:rPr>
                <w:rFonts w:eastAsia="宋体"/>
                <w:spacing w:val="2"/>
                <w:kern w:val="2"/>
                <w:lang w:val="en-US" w:eastAsia="zh-CN" w:bidi="ar-SA"/>
              </w:rPr>
              <w:t>34.65t/a</w:t>
            </w:r>
          </w:p>
        </w:tc>
        <w:tc>
          <w:tcPr>
            <w:tcW w:w="492" w:type="pct"/>
            <w:vAlign w:val="center"/>
          </w:tcPr>
          <w:p w14:paraId="5B6F27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eastAsia="宋体"/>
                <w:kern w:val="2"/>
                <w:lang w:val="en-US" w:eastAsia="zh-CN" w:bidi="ar-SA"/>
              </w:rPr>
            </w:pPr>
            <w:r>
              <w:rPr>
                <w:rFonts w:eastAsia="宋体"/>
                <w:kern w:val="2"/>
                <w:lang w:val="en-US" w:eastAsia="zh-CN" w:bidi="ar-SA"/>
              </w:rPr>
              <w:t>0</w:t>
            </w:r>
          </w:p>
        </w:tc>
      </w:tr>
    </w:tbl>
    <w:p w14:paraId="4BD9F893">
      <w:pPr>
        <w:keepNext w:val="0"/>
        <w:keepLines w:val="0"/>
        <w:pageBreakBefore w:val="0"/>
        <w:widowControl w:val="0"/>
        <w:kinsoku/>
        <w:wordWrap/>
        <w:overflowPunct/>
        <w:topLinePunct w:val="0"/>
        <w:autoSpaceDE/>
        <w:autoSpaceDN/>
        <w:bidi w:val="0"/>
        <w:adjustRightInd w:val="0"/>
        <w:snapToGrid w:val="0"/>
        <w:spacing w:before="192" w:beforeLines="80" w:after="24" w:afterLines="10" w:line="260" w:lineRule="auto"/>
        <w:ind w:left="420" w:hanging="420" w:hangingChars="200"/>
        <w:jc w:val="left"/>
        <w:textAlignment w:val="auto"/>
        <w:outlineLvl w:val="9"/>
        <w:rPr>
          <w:rFonts w:eastAsia="宋体"/>
          <w:snapToGrid w:val="0"/>
          <w:spacing w:val="-6"/>
          <w:kern w:val="21"/>
          <w:sz w:val="21"/>
          <w:szCs w:val="21"/>
          <w:lang w:val="en-US" w:eastAsia="zh-CN" w:bidi="ar-SA"/>
        </w:rPr>
        <w:sectPr>
          <w:footerReference r:id="rId9" w:type="default"/>
          <w:pgSz w:w="16838" w:h="11906" w:orient="landscape"/>
          <w:pgMar w:top="1531" w:right="1701" w:bottom="1531" w:left="1701" w:header="851" w:footer="850" w:gutter="0"/>
          <w:pgBorders>
            <w:top w:val="none" w:sz="0" w:space="0"/>
            <w:left w:val="none" w:sz="0" w:space="0"/>
            <w:bottom w:val="none" w:sz="0" w:space="0"/>
            <w:right w:val="none" w:sz="0" w:space="0"/>
          </w:pgBorders>
          <w:pgNumType w:fmt="decimal"/>
          <w:cols w:space="0" w:num="1"/>
          <w:rtlGutter w:val="0"/>
          <w:docGrid w:linePitch="312" w:charSpace="0"/>
        </w:sectPr>
      </w:pPr>
      <w:bookmarkStart w:id="25" w:name="_Toc23242"/>
      <w:r>
        <w:rPr>
          <w:rFonts w:eastAsia="宋体"/>
          <w:snapToGrid w:val="0"/>
          <w:kern w:val="21"/>
          <w:sz w:val="21"/>
          <w:szCs w:val="21"/>
          <w:lang w:val="en-US" w:eastAsia="zh-CN" w:bidi="ar-SA"/>
        </w:rPr>
        <w:t>注：</w:t>
      </w:r>
      <w:r>
        <w:rPr>
          <w:rFonts w:eastAsia="宋体"/>
          <w:snapToGrid w:val="0"/>
          <w:spacing w:val="-16"/>
          <w:kern w:val="21"/>
          <w:sz w:val="21"/>
          <w:szCs w:val="21"/>
          <w:lang w:val="en-US" w:eastAsia="zh-CN" w:bidi="ar-SA"/>
        </w:rPr>
        <w:fldChar w:fldCharType="begin"/>
      </w:r>
      <w:r>
        <w:rPr>
          <w:rFonts w:eastAsia="宋体"/>
          <w:snapToGrid w:val="0"/>
          <w:spacing w:val="-16"/>
          <w:kern w:val="21"/>
          <w:sz w:val="21"/>
          <w:szCs w:val="21"/>
          <w:lang w:val="en-US" w:eastAsia="zh-CN" w:bidi="ar-SA"/>
        </w:rPr>
        <w:instrText xml:space="preserve"> = 6 \* GB3 \* MERGEFORMAT </w:instrText>
      </w:r>
      <w:r>
        <w:rPr>
          <w:rFonts w:eastAsia="宋体"/>
          <w:snapToGrid w:val="0"/>
          <w:spacing w:val="-16"/>
          <w:kern w:val="21"/>
          <w:sz w:val="21"/>
          <w:szCs w:val="21"/>
          <w:lang w:val="en-US" w:eastAsia="zh-CN" w:bidi="ar-SA"/>
        </w:rPr>
        <w:fldChar w:fldCharType="separate"/>
      </w:r>
      <w:r>
        <w:rPr>
          <w:rFonts w:eastAsia="宋体"/>
          <w:sz w:val="21"/>
          <w:szCs w:val="21"/>
          <w:lang w:val="en-US" w:eastAsia="zh-CN" w:bidi="ar-SA"/>
        </w:rPr>
        <w:t>⑥</w:t>
      </w:r>
      <w:r>
        <w:rPr>
          <w:rFonts w:eastAsia="宋体"/>
          <w:snapToGrid w:val="0"/>
          <w:spacing w:val="-16"/>
          <w:kern w:val="21"/>
          <w:sz w:val="21"/>
          <w:szCs w:val="21"/>
          <w:lang w:val="en-US" w:eastAsia="zh-CN" w:bidi="ar-SA"/>
        </w:rPr>
        <w:fldChar w:fldCharType="end"/>
      </w:r>
      <w:r>
        <w:rPr>
          <w:rFonts w:eastAsia="宋体"/>
          <w:snapToGrid w:val="0"/>
          <w:spacing w:val="-16"/>
          <w:kern w:val="21"/>
          <w:sz w:val="21"/>
          <w:szCs w:val="21"/>
          <w:lang w:val="en-US" w:eastAsia="zh-CN" w:bidi="ar-SA"/>
        </w:rPr>
        <w:t>=</w:t>
      </w:r>
      <w:r>
        <w:rPr>
          <w:rFonts w:eastAsia="宋体"/>
          <w:snapToGrid w:val="0"/>
          <w:spacing w:val="-6"/>
          <w:kern w:val="21"/>
          <w:sz w:val="21"/>
          <w:szCs w:val="21"/>
          <w:lang w:val="en-US" w:eastAsia="zh-CN" w:bidi="ar-SA"/>
        </w:rPr>
        <w:fldChar w:fldCharType="begin"/>
      </w:r>
      <w:r>
        <w:rPr>
          <w:rFonts w:eastAsia="宋体"/>
          <w:snapToGrid w:val="0"/>
          <w:spacing w:val="-6"/>
          <w:kern w:val="21"/>
          <w:sz w:val="21"/>
          <w:szCs w:val="21"/>
          <w:lang w:val="en-US" w:eastAsia="zh-CN" w:bidi="ar-SA"/>
        </w:rPr>
        <w:instrText xml:space="preserve"> = 1 \* GB3 \* MERGEFORMAT </w:instrText>
      </w:r>
      <w:r>
        <w:rPr>
          <w:rFonts w:eastAsia="宋体"/>
          <w:snapToGrid w:val="0"/>
          <w:spacing w:val="-6"/>
          <w:kern w:val="21"/>
          <w:sz w:val="21"/>
          <w:szCs w:val="21"/>
          <w:lang w:val="en-US" w:eastAsia="zh-CN" w:bidi="ar-SA"/>
        </w:rPr>
        <w:fldChar w:fldCharType="separate"/>
      </w:r>
      <w:r>
        <w:rPr>
          <w:rFonts w:eastAsia="宋体"/>
          <w:sz w:val="21"/>
          <w:szCs w:val="21"/>
          <w:lang w:val="en-US" w:eastAsia="zh-CN" w:bidi="ar-SA"/>
        </w:rPr>
        <w:t>①</w:t>
      </w:r>
      <w:r>
        <w:rPr>
          <w:rFonts w:eastAsia="宋体"/>
          <w:snapToGrid w:val="0"/>
          <w:spacing w:val="-6"/>
          <w:kern w:val="21"/>
          <w:sz w:val="21"/>
          <w:szCs w:val="21"/>
          <w:lang w:val="en-US" w:eastAsia="zh-CN" w:bidi="ar-SA"/>
        </w:rPr>
        <w:fldChar w:fldCharType="end"/>
      </w:r>
      <w:r>
        <w:rPr>
          <w:rFonts w:eastAsia="宋体"/>
          <w:snapToGrid w:val="0"/>
          <w:spacing w:val="-6"/>
          <w:kern w:val="21"/>
          <w:sz w:val="21"/>
          <w:szCs w:val="21"/>
          <w:lang w:val="en-US" w:eastAsia="zh-CN" w:bidi="ar-SA"/>
        </w:rPr>
        <w:t>+</w:t>
      </w:r>
      <w:r>
        <w:rPr>
          <w:rFonts w:eastAsia="宋体"/>
          <w:snapToGrid w:val="0"/>
          <w:spacing w:val="-6"/>
          <w:kern w:val="21"/>
          <w:sz w:val="21"/>
          <w:szCs w:val="21"/>
          <w:lang w:val="en-US" w:eastAsia="zh-CN" w:bidi="ar-SA"/>
        </w:rPr>
        <w:fldChar w:fldCharType="begin"/>
      </w:r>
      <w:r>
        <w:rPr>
          <w:rFonts w:eastAsia="宋体"/>
          <w:snapToGrid w:val="0"/>
          <w:spacing w:val="-6"/>
          <w:kern w:val="21"/>
          <w:sz w:val="21"/>
          <w:szCs w:val="21"/>
          <w:lang w:val="en-US" w:eastAsia="zh-CN" w:bidi="ar-SA"/>
        </w:rPr>
        <w:instrText xml:space="preserve"> = 3 \* GB3 \* MERGEFORMAT </w:instrText>
      </w:r>
      <w:r>
        <w:rPr>
          <w:rFonts w:eastAsia="宋体"/>
          <w:snapToGrid w:val="0"/>
          <w:spacing w:val="-6"/>
          <w:kern w:val="21"/>
          <w:sz w:val="21"/>
          <w:szCs w:val="21"/>
          <w:lang w:val="en-US" w:eastAsia="zh-CN" w:bidi="ar-SA"/>
        </w:rPr>
        <w:fldChar w:fldCharType="separate"/>
      </w:r>
      <w:r>
        <w:rPr>
          <w:rFonts w:eastAsia="宋体"/>
          <w:sz w:val="21"/>
          <w:szCs w:val="21"/>
          <w:lang w:val="en-US" w:eastAsia="zh-CN" w:bidi="ar-SA"/>
        </w:rPr>
        <w:t>③</w:t>
      </w:r>
      <w:r>
        <w:rPr>
          <w:rFonts w:eastAsia="宋体"/>
          <w:snapToGrid w:val="0"/>
          <w:spacing w:val="-6"/>
          <w:kern w:val="21"/>
          <w:sz w:val="21"/>
          <w:szCs w:val="21"/>
          <w:lang w:val="en-US" w:eastAsia="zh-CN" w:bidi="ar-SA"/>
        </w:rPr>
        <w:fldChar w:fldCharType="end"/>
      </w:r>
      <w:r>
        <w:rPr>
          <w:rFonts w:eastAsia="宋体"/>
          <w:snapToGrid w:val="0"/>
          <w:spacing w:val="-6"/>
          <w:kern w:val="21"/>
          <w:sz w:val="21"/>
          <w:szCs w:val="21"/>
          <w:lang w:val="en-US" w:eastAsia="zh-CN" w:bidi="ar-SA"/>
        </w:rPr>
        <w:t>+</w:t>
      </w:r>
      <w:r>
        <w:rPr>
          <w:rFonts w:eastAsia="宋体"/>
          <w:snapToGrid w:val="0"/>
          <w:spacing w:val="-6"/>
          <w:kern w:val="21"/>
          <w:sz w:val="21"/>
          <w:szCs w:val="21"/>
          <w:lang w:val="en-US" w:eastAsia="zh-CN" w:bidi="ar-SA"/>
        </w:rPr>
        <w:fldChar w:fldCharType="begin"/>
      </w:r>
      <w:r>
        <w:rPr>
          <w:rFonts w:eastAsia="宋体"/>
          <w:snapToGrid w:val="0"/>
          <w:spacing w:val="-6"/>
          <w:kern w:val="21"/>
          <w:sz w:val="21"/>
          <w:szCs w:val="21"/>
          <w:lang w:val="en-US" w:eastAsia="zh-CN" w:bidi="ar-SA"/>
        </w:rPr>
        <w:instrText xml:space="preserve"> = 4 \* GB3 \* MERGEFORMAT </w:instrText>
      </w:r>
      <w:r>
        <w:rPr>
          <w:rFonts w:eastAsia="宋体"/>
          <w:snapToGrid w:val="0"/>
          <w:spacing w:val="-6"/>
          <w:kern w:val="21"/>
          <w:sz w:val="21"/>
          <w:szCs w:val="21"/>
          <w:lang w:val="en-US" w:eastAsia="zh-CN" w:bidi="ar-SA"/>
        </w:rPr>
        <w:fldChar w:fldCharType="separate"/>
      </w:r>
      <w:r>
        <w:rPr>
          <w:rFonts w:eastAsia="宋体"/>
          <w:sz w:val="21"/>
          <w:szCs w:val="21"/>
          <w:lang w:val="en-US" w:eastAsia="zh-CN" w:bidi="ar-SA"/>
        </w:rPr>
        <w:t>④</w:t>
      </w:r>
      <w:r>
        <w:rPr>
          <w:rFonts w:eastAsia="宋体"/>
          <w:snapToGrid w:val="0"/>
          <w:spacing w:val="-6"/>
          <w:kern w:val="21"/>
          <w:sz w:val="21"/>
          <w:szCs w:val="21"/>
          <w:lang w:val="en-US" w:eastAsia="zh-CN" w:bidi="ar-SA"/>
        </w:rPr>
        <w:fldChar w:fldCharType="end"/>
      </w:r>
      <w:r>
        <w:rPr>
          <w:rFonts w:eastAsia="宋体"/>
          <w:snapToGrid w:val="0"/>
          <w:spacing w:val="-6"/>
          <w:kern w:val="21"/>
          <w:sz w:val="21"/>
          <w:szCs w:val="21"/>
          <w:lang w:val="en-US" w:eastAsia="zh-CN" w:bidi="ar-SA"/>
        </w:rPr>
        <w:t>-</w:t>
      </w:r>
      <w:r>
        <w:rPr>
          <w:rFonts w:eastAsia="宋体"/>
          <w:snapToGrid w:val="0"/>
          <w:spacing w:val="-16"/>
          <w:kern w:val="21"/>
          <w:sz w:val="21"/>
          <w:szCs w:val="21"/>
          <w:lang w:val="en-US" w:eastAsia="zh-CN" w:bidi="ar-SA"/>
        </w:rPr>
        <w:fldChar w:fldCharType="begin"/>
      </w:r>
      <w:r>
        <w:rPr>
          <w:rFonts w:eastAsia="宋体"/>
          <w:snapToGrid w:val="0"/>
          <w:spacing w:val="-16"/>
          <w:kern w:val="21"/>
          <w:sz w:val="21"/>
          <w:szCs w:val="21"/>
          <w:lang w:val="en-US" w:eastAsia="zh-CN" w:bidi="ar-SA"/>
        </w:rPr>
        <w:instrText xml:space="preserve"> = 5 \* GB3 \* MERGEFORMAT </w:instrText>
      </w:r>
      <w:r>
        <w:rPr>
          <w:rFonts w:eastAsia="宋体"/>
          <w:snapToGrid w:val="0"/>
          <w:spacing w:val="-16"/>
          <w:kern w:val="21"/>
          <w:sz w:val="21"/>
          <w:szCs w:val="21"/>
          <w:lang w:val="en-US" w:eastAsia="zh-CN" w:bidi="ar-SA"/>
        </w:rPr>
        <w:fldChar w:fldCharType="separate"/>
      </w:r>
      <w:r>
        <w:rPr>
          <w:rFonts w:eastAsia="宋体"/>
          <w:sz w:val="21"/>
          <w:szCs w:val="21"/>
          <w:lang w:val="en-US" w:eastAsia="zh-CN" w:bidi="ar-SA"/>
        </w:rPr>
        <w:t>⑤</w:t>
      </w:r>
      <w:r>
        <w:rPr>
          <w:rFonts w:eastAsia="宋体"/>
          <w:snapToGrid w:val="0"/>
          <w:spacing w:val="-16"/>
          <w:kern w:val="21"/>
          <w:sz w:val="21"/>
          <w:szCs w:val="21"/>
          <w:lang w:val="en-US" w:eastAsia="zh-CN" w:bidi="ar-SA"/>
        </w:rPr>
        <w:fldChar w:fldCharType="end"/>
      </w:r>
      <w:r>
        <w:rPr>
          <w:rFonts w:eastAsia="宋体"/>
          <w:snapToGrid w:val="0"/>
          <w:spacing w:val="-16"/>
          <w:kern w:val="21"/>
          <w:sz w:val="21"/>
          <w:szCs w:val="21"/>
          <w:lang w:val="en-US" w:eastAsia="zh-CN" w:bidi="ar-SA"/>
        </w:rPr>
        <w:t>；</w:t>
      </w:r>
      <w:r>
        <w:rPr>
          <w:rFonts w:eastAsia="宋体"/>
          <w:snapToGrid w:val="0"/>
          <w:spacing w:val="-6"/>
          <w:kern w:val="21"/>
          <w:sz w:val="21"/>
          <w:szCs w:val="21"/>
          <w:lang w:val="en-US" w:eastAsia="zh-CN" w:bidi="ar-SA"/>
        </w:rPr>
        <w:fldChar w:fldCharType="begin"/>
      </w:r>
      <w:r>
        <w:rPr>
          <w:rFonts w:eastAsia="宋体"/>
          <w:snapToGrid w:val="0"/>
          <w:spacing w:val="-6"/>
          <w:kern w:val="21"/>
          <w:sz w:val="21"/>
          <w:szCs w:val="21"/>
          <w:lang w:val="en-US" w:eastAsia="zh-CN" w:bidi="ar-SA"/>
        </w:rPr>
        <w:instrText xml:space="preserve"> = 7 \* GB3 \* MERGEFORMAT </w:instrText>
      </w:r>
      <w:r>
        <w:rPr>
          <w:rFonts w:eastAsia="宋体"/>
          <w:snapToGrid w:val="0"/>
          <w:spacing w:val="-6"/>
          <w:kern w:val="21"/>
          <w:sz w:val="21"/>
          <w:szCs w:val="21"/>
          <w:lang w:val="en-US" w:eastAsia="zh-CN" w:bidi="ar-SA"/>
        </w:rPr>
        <w:fldChar w:fldCharType="separate"/>
      </w:r>
      <w:r>
        <w:rPr>
          <w:rFonts w:eastAsia="宋体"/>
          <w:sz w:val="21"/>
          <w:szCs w:val="21"/>
          <w:lang w:val="en-US" w:eastAsia="zh-CN" w:bidi="ar-SA"/>
        </w:rPr>
        <w:t>⑦</w:t>
      </w:r>
      <w:r>
        <w:rPr>
          <w:rFonts w:eastAsia="宋体"/>
          <w:snapToGrid w:val="0"/>
          <w:spacing w:val="-6"/>
          <w:kern w:val="21"/>
          <w:sz w:val="21"/>
          <w:szCs w:val="21"/>
          <w:lang w:val="en-US" w:eastAsia="zh-CN" w:bidi="ar-SA"/>
        </w:rPr>
        <w:fldChar w:fldCharType="end"/>
      </w:r>
      <w:r>
        <w:rPr>
          <w:rFonts w:eastAsia="宋体"/>
          <w:snapToGrid w:val="0"/>
          <w:spacing w:val="-6"/>
          <w:kern w:val="21"/>
          <w:sz w:val="21"/>
          <w:szCs w:val="21"/>
          <w:lang w:val="en-US" w:eastAsia="zh-CN" w:bidi="ar-SA"/>
        </w:rPr>
        <w:t>=</w:t>
      </w:r>
      <w:r>
        <w:rPr>
          <w:rFonts w:eastAsia="宋体"/>
          <w:snapToGrid w:val="0"/>
          <w:spacing w:val="-16"/>
          <w:kern w:val="21"/>
          <w:sz w:val="21"/>
          <w:szCs w:val="21"/>
          <w:lang w:val="en-US" w:eastAsia="zh-CN" w:bidi="ar-SA"/>
        </w:rPr>
        <w:fldChar w:fldCharType="begin"/>
      </w:r>
      <w:r>
        <w:rPr>
          <w:rFonts w:eastAsia="宋体"/>
          <w:snapToGrid w:val="0"/>
          <w:spacing w:val="-16"/>
          <w:kern w:val="21"/>
          <w:sz w:val="21"/>
          <w:szCs w:val="21"/>
          <w:lang w:val="en-US" w:eastAsia="zh-CN" w:bidi="ar-SA"/>
        </w:rPr>
        <w:instrText xml:space="preserve"> = 6 \* GB3 \* MERGEFORMAT </w:instrText>
      </w:r>
      <w:r>
        <w:rPr>
          <w:rFonts w:eastAsia="宋体"/>
          <w:snapToGrid w:val="0"/>
          <w:spacing w:val="-16"/>
          <w:kern w:val="21"/>
          <w:sz w:val="21"/>
          <w:szCs w:val="21"/>
          <w:lang w:val="en-US" w:eastAsia="zh-CN" w:bidi="ar-SA"/>
        </w:rPr>
        <w:fldChar w:fldCharType="separate"/>
      </w:r>
      <w:r>
        <w:rPr>
          <w:rFonts w:eastAsia="宋体"/>
          <w:sz w:val="21"/>
          <w:szCs w:val="21"/>
          <w:lang w:val="en-US" w:eastAsia="zh-CN" w:bidi="ar-SA"/>
        </w:rPr>
        <w:t>⑥</w:t>
      </w:r>
      <w:r>
        <w:rPr>
          <w:rFonts w:eastAsia="宋体"/>
          <w:snapToGrid w:val="0"/>
          <w:spacing w:val="-16"/>
          <w:kern w:val="21"/>
          <w:sz w:val="21"/>
          <w:szCs w:val="21"/>
          <w:lang w:val="en-US" w:eastAsia="zh-CN" w:bidi="ar-SA"/>
        </w:rPr>
        <w:fldChar w:fldCharType="end"/>
      </w:r>
      <w:r>
        <w:rPr>
          <w:rFonts w:eastAsia="宋体"/>
          <w:snapToGrid w:val="0"/>
          <w:spacing w:val="-16"/>
          <w:kern w:val="21"/>
          <w:sz w:val="21"/>
          <w:szCs w:val="21"/>
          <w:lang w:val="en-US" w:eastAsia="zh-CN" w:bidi="ar-SA"/>
        </w:rPr>
        <w:t>-</w:t>
      </w:r>
      <w:r>
        <w:rPr>
          <w:rFonts w:eastAsia="宋体"/>
          <w:snapToGrid w:val="0"/>
          <w:spacing w:val="-6"/>
          <w:kern w:val="21"/>
          <w:sz w:val="21"/>
          <w:szCs w:val="21"/>
          <w:lang w:val="en-US" w:eastAsia="zh-CN" w:bidi="ar-SA"/>
        </w:rPr>
        <w:fldChar w:fldCharType="begin"/>
      </w:r>
      <w:r>
        <w:rPr>
          <w:rFonts w:eastAsia="宋体"/>
          <w:snapToGrid w:val="0"/>
          <w:spacing w:val="-6"/>
          <w:kern w:val="21"/>
          <w:sz w:val="21"/>
          <w:szCs w:val="21"/>
          <w:lang w:val="en-US" w:eastAsia="zh-CN" w:bidi="ar-SA"/>
        </w:rPr>
        <w:instrText xml:space="preserve"> = 1 \* GB3 \* MERGEFORMAT </w:instrText>
      </w:r>
      <w:r>
        <w:rPr>
          <w:rFonts w:eastAsia="宋体"/>
          <w:snapToGrid w:val="0"/>
          <w:spacing w:val="-6"/>
          <w:kern w:val="21"/>
          <w:sz w:val="21"/>
          <w:szCs w:val="21"/>
          <w:lang w:val="en-US" w:eastAsia="zh-CN" w:bidi="ar-SA"/>
        </w:rPr>
        <w:fldChar w:fldCharType="separate"/>
      </w:r>
      <w:r>
        <w:rPr>
          <w:rFonts w:eastAsia="宋体"/>
          <w:sz w:val="21"/>
          <w:szCs w:val="21"/>
          <w:lang w:val="en-US" w:eastAsia="zh-CN" w:bidi="ar-SA"/>
        </w:rPr>
        <w:t>①</w:t>
      </w:r>
      <w:r>
        <w:rPr>
          <w:rFonts w:eastAsia="宋体"/>
          <w:snapToGrid w:val="0"/>
          <w:spacing w:val="-6"/>
          <w:kern w:val="21"/>
          <w:sz w:val="21"/>
          <w:szCs w:val="21"/>
          <w:lang w:val="en-US" w:eastAsia="zh-CN" w:bidi="ar-SA"/>
        </w:rPr>
        <w:fldChar w:fldCharType="end"/>
      </w:r>
      <w:bookmarkEnd w:id="24"/>
      <w:bookmarkEnd w:id="25"/>
    </w:p>
    <w:p w14:paraId="05F86C26">
      <w:pPr>
        <w:pStyle w:val="15"/>
        <w:spacing w:line="240" w:lineRule="auto"/>
        <w:ind w:left="482" w:hanging="482"/>
        <w:rPr>
          <w:b/>
          <w:sz w:val="24"/>
        </w:rPr>
      </w:pPr>
      <w:bookmarkStart w:id="26" w:name="_Toc31912"/>
    </w:p>
    <w:p w14:paraId="64123377">
      <w:pPr>
        <w:spacing w:line="240" w:lineRule="auto"/>
        <w:rPr>
          <w:b/>
          <w:sz w:val="24"/>
        </w:rPr>
      </w:pPr>
    </w:p>
    <w:p w14:paraId="43DAA14E">
      <w:pPr>
        <w:pStyle w:val="15"/>
        <w:spacing w:line="240" w:lineRule="auto"/>
        <w:ind w:left="482" w:hanging="482"/>
        <w:rPr>
          <w:b/>
          <w:sz w:val="24"/>
        </w:rPr>
      </w:pPr>
    </w:p>
    <w:p w14:paraId="35966E12">
      <w:pPr>
        <w:spacing w:line="240" w:lineRule="auto"/>
        <w:rPr>
          <w:b/>
          <w:sz w:val="24"/>
        </w:rPr>
      </w:pPr>
    </w:p>
    <w:p w14:paraId="59C4EAE4">
      <w:pPr>
        <w:pStyle w:val="15"/>
        <w:spacing w:line="240" w:lineRule="auto"/>
        <w:ind w:left="420" w:hanging="420"/>
      </w:pPr>
    </w:p>
    <w:p w14:paraId="156BBD7A">
      <w:pPr>
        <w:spacing w:line="240" w:lineRule="auto"/>
        <w:rPr>
          <w:b/>
          <w:sz w:val="24"/>
        </w:rPr>
      </w:pPr>
    </w:p>
    <w:p w14:paraId="70C82A68">
      <w:pPr>
        <w:pStyle w:val="15"/>
        <w:spacing w:line="240" w:lineRule="auto"/>
        <w:ind w:left="420" w:hanging="420"/>
      </w:pPr>
    </w:p>
    <w:p w14:paraId="72C6F082">
      <w:pPr>
        <w:adjustRightInd w:val="0"/>
        <w:snapToGrid w:val="0"/>
        <w:spacing w:line="240" w:lineRule="auto"/>
        <w:ind w:firstLine="0" w:firstLineChars="0"/>
        <w:jc w:val="center"/>
        <w:rPr>
          <w:b/>
          <w:bCs/>
          <w:sz w:val="48"/>
          <w:szCs w:val="48"/>
        </w:rPr>
      </w:pPr>
      <w:r>
        <w:rPr>
          <w:b/>
          <w:bCs/>
          <w:sz w:val="48"/>
          <w:szCs w:val="48"/>
        </w:rPr>
        <w:t>新增轻烃及碳五烷烃储运项目</w:t>
      </w:r>
    </w:p>
    <w:p w14:paraId="072753AB">
      <w:pPr>
        <w:adjustRightInd w:val="0"/>
        <w:snapToGrid w:val="0"/>
        <w:spacing w:line="240" w:lineRule="auto"/>
        <w:ind w:firstLine="0" w:firstLineChars="0"/>
        <w:jc w:val="center"/>
        <w:rPr>
          <w:b/>
          <w:bCs/>
          <w:sz w:val="48"/>
          <w:szCs w:val="48"/>
        </w:rPr>
      </w:pPr>
      <w:r>
        <w:rPr>
          <w:b/>
          <w:bCs/>
          <w:sz w:val="48"/>
          <w:szCs w:val="48"/>
        </w:rPr>
        <w:t>环境风险专项评价报告</w:t>
      </w:r>
    </w:p>
    <w:p w14:paraId="47F0489C">
      <w:pPr>
        <w:spacing w:line="240" w:lineRule="auto"/>
        <w:rPr>
          <w:b/>
          <w:bCs/>
          <w:sz w:val="24"/>
        </w:rPr>
      </w:pPr>
    </w:p>
    <w:p w14:paraId="5676E50F">
      <w:pPr>
        <w:spacing w:line="240" w:lineRule="auto"/>
        <w:rPr>
          <w:b/>
          <w:bCs/>
          <w:sz w:val="24"/>
        </w:rPr>
      </w:pPr>
    </w:p>
    <w:p w14:paraId="0917CEB0">
      <w:pPr>
        <w:spacing w:line="240" w:lineRule="auto"/>
        <w:rPr>
          <w:b/>
          <w:bCs/>
          <w:sz w:val="24"/>
        </w:rPr>
      </w:pPr>
    </w:p>
    <w:p w14:paraId="5BE14A94">
      <w:pPr>
        <w:spacing w:line="240" w:lineRule="auto"/>
        <w:rPr>
          <w:b/>
          <w:bCs/>
          <w:sz w:val="24"/>
        </w:rPr>
      </w:pPr>
    </w:p>
    <w:p w14:paraId="4FAA611F">
      <w:pPr>
        <w:spacing w:line="240" w:lineRule="auto"/>
        <w:rPr>
          <w:b/>
          <w:bCs/>
          <w:sz w:val="24"/>
        </w:rPr>
      </w:pPr>
    </w:p>
    <w:p w14:paraId="6AF5C616">
      <w:pPr>
        <w:pStyle w:val="15"/>
        <w:spacing w:line="240" w:lineRule="auto"/>
        <w:ind w:left="482" w:hanging="482"/>
        <w:rPr>
          <w:b/>
          <w:bCs/>
          <w:sz w:val="24"/>
        </w:rPr>
      </w:pPr>
    </w:p>
    <w:p w14:paraId="63955C3E">
      <w:pPr>
        <w:spacing w:line="240" w:lineRule="auto"/>
        <w:rPr>
          <w:b/>
          <w:bCs/>
          <w:sz w:val="24"/>
        </w:rPr>
      </w:pPr>
    </w:p>
    <w:p w14:paraId="265B9AFD">
      <w:pPr>
        <w:pStyle w:val="15"/>
        <w:spacing w:line="240" w:lineRule="auto"/>
        <w:ind w:left="482" w:hanging="482"/>
        <w:rPr>
          <w:b/>
          <w:bCs/>
          <w:sz w:val="24"/>
        </w:rPr>
      </w:pPr>
    </w:p>
    <w:p w14:paraId="76EDF8A8">
      <w:pPr>
        <w:spacing w:line="240" w:lineRule="auto"/>
        <w:rPr>
          <w:b/>
          <w:bCs/>
          <w:sz w:val="24"/>
        </w:rPr>
      </w:pPr>
    </w:p>
    <w:p w14:paraId="2EE7C10B">
      <w:pPr>
        <w:pStyle w:val="15"/>
        <w:spacing w:line="240" w:lineRule="auto"/>
        <w:ind w:left="482" w:hanging="482"/>
        <w:rPr>
          <w:b/>
          <w:bCs/>
          <w:sz w:val="24"/>
        </w:rPr>
      </w:pPr>
    </w:p>
    <w:p w14:paraId="0B8EAADF">
      <w:pPr>
        <w:spacing w:line="240" w:lineRule="auto"/>
        <w:rPr>
          <w:b/>
          <w:bCs/>
          <w:sz w:val="24"/>
        </w:rPr>
      </w:pPr>
    </w:p>
    <w:p w14:paraId="2513BAF7">
      <w:pPr>
        <w:pStyle w:val="15"/>
        <w:spacing w:line="240" w:lineRule="auto"/>
        <w:ind w:left="482" w:hanging="482"/>
        <w:rPr>
          <w:b/>
          <w:bCs/>
          <w:sz w:val="24"/>
        </w:rPr>
      </w:pPr>
    </w:p>
    <w:p w14:paraId="326C59AC">
      <w:pPr>
        <w:spacing w:line="240" w:lineRule="auto"/>
        <w:rPr>
          <w:b/>
          <w:bCs/>
          <w:sz w:val="24"/>
        </w:rPr>
      </w:pPr>
    </w:p>
    <w:p w14:paraId="32BA0E83">
      <w:pPr>
        <w:pStyle w:val="15"/>
        <w:spacing w:line="240" w:lineRule="auto"/>
        <w:ind w:left="420" w:hanging="420"/>
      </w:pPr>
    </w:p>
    <w:p w14:paraId="1A5C8C79">
      <w:pPr>
        <w:spacing w:line="240" w:lineRule="auto"/>
        <w:rPr>
          <w:b/>
          <w:bCs/>
          <w:sz w:val="24"/>
        </w:rPr>
      </w:pPr>
    </w:p>
    <w:p w14:paraId="731D8EFF">
      <w:pPr>
        <w:spacing w:line="240" w:lineRule="auto"/>
        <w:rPr>
          <w:b/>
          <w:bCs/>
          <w:sz w:val="24"/>
        </w:rPr>
      </w:pPr>
    </w:p>
    <w:p w14:paraId="78B4BB12">
      <w:pPr>
        <w:rPr>
          <w:b/>
          <w:bCs/>
          <w:sz w:val="24"/>
        </w:rPr>
      </w:pPr>
    </w:p>
    <w:p w14:paraId="07224402">
      <w:pPr>
        <w:rPr>
          <w:b/>
          <w:bCs/>
          <w:sz w:val="24"/>
        </w:rPr>
      </w:pPr>
    </w:p>
    <w:p w14:paraId="04D9AA98">
      <w:pPr>
        <w:rPr>
          <w:b/>
          <w:bCs/>
          <w:sz w:val="24"/>
        </w:rPr>
      </w:pPr>
    </w:p>
    <w:p w14:paraId="7840D7B5">
      <w:pPr>
        <w:ind w:firstLine="0" w:firstLineChars="0"/>
        <w:rPr>
          <w:b/>
          <w:bCs/>
          <w:sz w:val="24"/>
        </w:rPr>
      </w:pPr>
    </w:p>
    <w:p w14:paraId="06361137">
      <w:pPr>
        <w:ind w:firstLine="0" w:firstLineChars="0"/>
        <w:jc w:val="center"/>
        <w:rPr>
          <w:b/>
          <w:bCs/>
          <w:sz w:val="30"/>
          <w:szCs w:val="30"/>
        </w:rPr>
      </w:pPr>
      <w:r>
        <w:rPr>
          <w:rFonts w:hint="eastAsia"/>
          <w:b/>
          <w:bCs/>
          <w:sz w:val="30"/>
          <w:szCs w:val="30"/>
          <w:lang w:val="en-US" w:eastAsia="zh-CN"/>
        </w:rPr>
        <w:t>巴州海祥石油化工有限</w:t>
      </w:r>
      <w:r>
        <w:rPr>
          <w:b/>
          <w:bCs/>
          <w:sz w:val="30"/>
          <w:szCs w:val="30"/>
        </w:rPr>
        <w:t>公司</w:t>
      </w:r>
    </w:p>
    <w:p w14:paraId="6614ADD3">
      <w:pPr>
        <w:pStyle w:val="15"/>
        <w:ind w:left="0" w:firstLine="0" w:firstLineChars="0"/>
        <w:jc w:val="center"/>
        <w:rPr>
          <w:b/>
          <w:bCs/>
          <w:sz w:val="24"/>
        </w:rPr>
      </w:pPr>
      <w:r>
        <w:rPr>
          <w:b/>
          <w:bCs/>
          <w:sz w:val="30"/>
          <w:szCs w:val="30"/>
        </w:rPr>
        <w:t>202</w:t>
      </w:r>
      <w:r>
        <w:rPr>
          <w:rFonts w:hint="eastAsia"/>
          <w:b/>
          <w:bCs/>
          <w:sz w:val="30"/>
          <w:szCs w:val="30"/>
          <w:lang w:val="en-US" w:eastAsia="zh-CN"/>
        </w:rPr>
        <w:t>6</w:t>
      </w:r>
      <w:r>
        <w:rPr>
          <w:b/>
          <w:bCs/>
          <w:sz w:val="30"/>
          <w:szCs w:val="30"/>
        </w:rPr>
        <w:t>年</w:t>
      </w:r>
      <w:r>
        <w:rPr>
          <w:rFonts w:hint="eastAsia"/>
          <w:b/>
          <w:bCs/>
          <w:sz w:val="30"/>
          <w:szCs w:val="30"/>
          <w:lang w:val="en-US" w:eastAsia="zh-CN"/>
        </w:rPr>
        <w:t>9</w:t>
      </w:r>
      <w:r>
        <w:rPr>
          <w:b/>
          <w:bCs/>
          <w:sz w:val="30"/>
          <w:szCs w:val="30"/>
        </w:rPr>
        <w:t>月</w:t>
      </w:r>
    </w:p>
    <w:p w14:paraId="30D172D2">
      <w:pPr>
        <w:pStyle w:val="15"/>
        <w:ind w:left="482" w:hanging="482"/>
        <w:rPr>
          <w:b/>
          <w:bCs/>
          <w:sz w:val="24"/>
        </w:rPr>
      </w:pPr>
    </w:p>
    <w:p w14:paraId="6B9D88C0">
      <w:pPr>
        <w:ind w:firstLine="420"/>
      </w:pPr>
    </w:p>
    <w:p w14:paraId="6612B38D">
      <w:pPr>
        <w:rPr>
          <w:rFonts w:eastAsia="黑体"/>
          <w:snapToGrid w:val="0"/>
          <w:sz w:val="32"/>
          <w:szCs w:val="32"/>
          <w:lang w:val="en-US" w:eastAsia="zh-CN" w:bidi="ar-SA"/>
        </w:rPr>
      </w:pPr>
      <w:r>
        <w:rPr>
          <w:rFonts w:eastAsia="黑体"/>
          <w:snapToGrid w:val="0"/>
          <w:sz w:val="32"/>
          <w:szCs w:val="32"/>
          <w:lang w:val="en-US" w:eastAsia="zh-CN" w:bidi="ar-SA"/>
        </w:rPr>
        <w:br w:type="page"/>
      </w:r>
    </w:p>
    <w:bookmarkEnd w:id="26"/>
    <w:p w14:paraId="0601B4CB">
      <w:pPr>
        <w:pStyle w:val="2"/>
        <w:bidi w:val="0"/>
      </w:pPr>
      <w:r>
        <w:t>1 总则</w:t>
      </w:r>
    </w:p>
    <w:p w14:paraId="5B4150A0">
      <w:pPr>
        <w:pStyle w:val="2"/>
        <w:bidi w:val="0"/>
      </w:pPr>
      <w:r>
        <w:t>1.1 评价目的</w:t>
      </w:r>
    </w:p>
    <w:p w14:paraId="4FECF7D5">
      <w:pPr>
        <w:bidi w:val="0"/>
      </w:pPr>
      <w:r>
        <w:t>环境风险评价是以突发性事故导致的危险物质环境急性损害防控为目标，对建设项目的环境风险进行分析、预测和评估，提出环境风险预防、控制、减缓措施，明确环境风险监控及应急建议要求，为建设项目环境风险防控提供科学依据。根据《建设项目环境风险评价技术导则》（HJ169-2018），环境风险评价基本内容包括风险调查、环境风险潜势初判、风险识别、风险事故情形分析、风险预测与评价、环境风险管理等。</w:t>
      </w:r>
    </w:p>
    <w:p w14:paraId="4B55D311">
      <w:pPr>
        <w:pStyle w:val="2"/>
        <w:bidi w:val="0"/>
      </w:pPr>
      <w:r>
        <w:t>1.2 评价依据</w:t>
      </w:r>
    </w:p>
    <w:p w14:paraId="6E0E2C26">
      <w:pPr>
        <w:bidi w:val="0"/>
        <w:rPr>
          <w:rFonts w:hint="default"/>
          <w:lang w:val="en-US" w:eastAsia="zh-CN"/>
        </w:rPr>
      </w:pPr>
      <w:r>
        <w:t>（1）</w:t>
      </w:r>
      <w:r>
        <w:rPr>
          <w:rFonts w:hint="eastAsia"/>
          <w:lang w:eastAsia="zh-CN"/>
        </w:rPr>
        <w:t>《</w:t>
      </w:r>
      <w:r>
        <w:rPr>
          <w:rFonts w:hint="eastAsia"/>
          <w:lang w:val="en-US" w:eastAsia="zh-CN"/>
        </w:rPr>
        <w:t>中华人民共和国生态环境法典》；</w:t>
      </w:r>
    </w:p>
    <w:p w14:paraId="02AEBD20">
      <w:pPr>
        <w:bidi w:val="0"/>
      </w:pPr>
      <w:r>
        <w:t>（</w:t>
      </w:r>
      <w:r>
        <w:rPr>
          <w:rFonts w:hint="eastAsia"/>
          <w:lang w:val="en-US" w:eastAsia="zh-CN"/>
        </w:rPr>
        <w:t>2</w:t>
      </w:r>
      <w:r>
        <w:t>）《突发环境事件应急管理办法》（环保部34号令）；</w:t>
      </w:r>
    </w:p>
    <w:p w14:paraId="7BD3F898">
      <w:pPr>
        <w:bidi w:val="0"/>
      </w:pPr>
      <w:r>
        <w:t>（</w:t>
      </w:r>
      <w:r>
        <w:rPr>
          <w:rFonts w:hint="eastAsia"/>
          <w:lang w:val="en-US" w:eastAsia="zh-CN"/>
        </w:rPr>
        <w:t>3</w:t>
      </w:r>
      <w:r>
        <w:t>）《突发环境事件应急预案管理办法》（国办发〔2013〕101号）；</w:t>
      </w:r>
    </w:p>
    <w:p w14:paraId="2084B89D">
      <w:pPr>
        <w:bidi w:val="0"/>
      </w:pPr>
      <w:r>
        <w:t>（</w:t>
      </w:r>
      <w:r>
        <w:rPr>
          <w:rFonts w:hint="eastAsia"/>
          <w:lang w:val="en-US" w:eastAsia="zh-CN"/>
        </w:rPr>
        <w:t>4</w:t>
      </w:r>
      <w:r>
        <w:t>）《关于全面加强应急管理工作的意见》（国务院224号令）；</w:t>
      </w:r>
    </w:p>
    <w:p w14:paraId="4B03BD4C">
      <w:pPr>
        <w:bidi w:val="0"/>
      </w:pPr>
      <w:r>
        <w:t>（</w:t>
      </w:r>
      <w:r>
        <w:rPr>
          <w:rFonts w:hint="eastAsia"/>
          <w:lang w:val="en-US" w:eastAsia="zh-CN"/>
        </w:rPr>
        <w:t>5</w:t>
      </w:r>
      <w:r>
        <w:t>）《危险化学品安全管理条例》（国务院591号）；</w:t>
      </w:r>
    </w:p>
    <w:p w14:paraId="4CDC360B">
      <w:pPr>
        <w:bidi w:val="0"/>
        <w:rPr>
          <w:rFonts w:hint="eastAsia" w:eastAsia="宋体"/>
          <w:lang w:eastAsia="zh-CN"/>
        </w:rPr>
      </w:pPr>
      <w:r>
        <w:t>（</w:t>
      </w:r>
      <w:r>
        <w:rPr>
          <w:rFonts w:hint="eastAsia"/>
          <w:lang w:val="en-US" w:eastAsia="zh-CN"/>
        </w:rPr>
        <w:t>6</w:t>
      </w:r>
      <w:r>
        <w:t>）《国家危险废物名录》（2025年版）</w:t>
      </w:r>
      <w:r>
        <w:rPr>
          <w:rFonts w:hint="eastAsia"/>
          <w:lang w:eastAsia="zh-CN"/>
        </w:rPr>
        <w:t>。</w:t>
      </w:r>
    </w:p>
    <w:p w14:paraId="315C6C0D">
      <w:pPr>
        <w:pStyle w:val="2"/>
        <w:bidi w:val="0"/>
      </w:pPr>
      <w:r>
        <w:t>1.3 评价原则</w:t>
      </w:r>
    </w:p>
    <w:p w14:paraId="25BA4761">
      <w:pPr>
        <w:bidi w:val="0"/>
      </w:pPr>
      <w:r>
        <w:t>根据《建设项目环境风险评价技术导则》（HJ169-2018），建设项目实施后环境风险评价的基本内容包括：风险调查、环境风险潜势初判、风险识别、风险事故情形分析、风险预测与评价、环境风险管理等，其具体如下：</w:t>
      </w:r>
    </w:p>
    <w:p w14:paraId="4356F6E7">
      <w:pPr>
        <w:bidi w:val="0"/>
      </w:pPr>
      <w:r>
        <w:t>（1）项目风险调查：在分析建设项目物质及工艺系统危险性和环境敏感性的基础下，进行风险潜势的判断，确定风险评价等级。</w:t>
      </w:r>
    </w:p>
    <w:p w14:paraId="5B0347B4">
      <w:pPr>
        <w:bidi w:val="0"/>
      </w:pPr>
      <w:r>
        <w:t>（2）项目风险识别及风险事故情形分析：明确危险物质在生产系统中的主要分布，筛选具有代表性的风险事故情形，合理设定事故源项。</w:t>
      </w:r>
    </w:p>
    <w:p w14:paraId="6DA2B318">
      <w:pPr>
        <w:bidi w:val="0"/>
      </w:pPr>
      <w:r>
        <w:t>（3）开展预测评价：各环境要素按确定的评价工作等级分别预测评价，并分析说明环境风险危害范围与程度，提出环境风险防范的基本要求。</w:t>
      </w:r>
    </w:p>
    <w:p w14:paraId="0E46A2FA">
      <w:pPr>
        <w:bidi w:val="0"/>
      </w:pPr>
      <w:r>
        <w:t>（4）提出环境风险管理对策：明确环境风险防范措施及突发环境事件应急预案编制要求。</w:t>
      </w:r>
    </w:p>
    <w:p w14:paraId="1130BDE9">
      <w:pPr>
        <w:bidi w:val="0"/>
      </w:pPr>
      <w:r>
        <w:t>（5）综合环境风险评价过程，给出评价结论与建议。</w:t>
      </w:r>
    </w:p>
    <w:p w14:paraId="02C9F13B">
      <w:pPr>
        <w:bidi w:val="0"/>
      </w:pPr>
      <w:r>
        <w:t>（6）环境风险评价应以突发性事故导致的危险物质环境急性损害防控为目标，对建设项目的环境风险进行分析、预测和评估，提出环境风险预防、控制、减缓措施，明确环境风险监控及应急建议要求，为建设项目环境风险防控提供科学依据。</w:t>
      </w:r>
    </w:p>
    <w:p w14:paraId="41DF6351">
      <w:pPr>
        <w:pStyle w:val="2"/>
        <w:bidi w:val="0"/>
        <w:rPr>
          <w:lang w:val="en-US" w:eastAsia="zh-CN"/>
        </w:rPr>
      </w:pPr>
      <w:r>
        <w:rPr>
          <w:lang w:val="en-US" w:eastAsia="zh-CN"/>
        </w:rPr>
        <w:t>1.</w:t>
      </w:r>
      <w:r>
        <w:rPr>
          <w:rFonts w:hint="eastAsia"/>
          <w:lang w:val="en-US" w:eastAsia="zh-CN"/>
        </w:rPr>
        <w:t>4</w:t>
      </w:r>
      <w:r>
        <w:rPr>
          <w:lang w:val="en-US" w:eastAsia="zh-CN"/>
        </w:rPr>
        <w:t xml:space="preserve"> 评价工作程序</w:t>
      </w:r>
    </w:p>
    <w:p w14:paraId="2851742F">
      <w:pPr>
        <w:bidi w:val="0"/>
        <w:rPr>
          <w:lang w:val="en-US" w:eastAsia="zh-CN"/>
        </w:rPr>
      </w:pPr>
      <w:r>
        <w:rPr>
          <w:lang w:val="en-US" w:eastAsia="zh-CN"/>
        </w:rPr>
        <w:t>项目环境风险评价程序图，见图</w:t>
      </w:r>
      <w:r>
        <w:rPr>
          <w:rFonts w:hint="eastAsia"/>
          <w:lang w:val="en-US" w:eastAsia="zh-CN"/>
        </w:rPr>
        <w:t>1-1</w:t>
      </w:r>
      <w:r>
        <w:rPr>
          <w:lang w:val="en-US" w:eastAsia="zh-CN"/>
        </w:rPr>
        <w:t>。</w:t>
      </w:r>
    </w:p>
    <w:p w14:paraId="72E70DC5">
      <w:pPr>
        <w:keepLines w:val="0"/>
        <w:pageBreakBefore w:val="0"/>
        <w:widowControl w:val="0"/>
        <w:kinsoku/>
        <w:wordWrap/>
        <w:overflowPunct/>
        <w:topLinePunct w:val="0"/>
        <w:autoSpaceDE/>
        <w:autoSpaceDN/>
        <w:bidi w:val="0"/>
        <w:adjustRightInd w:val="0"/>
        <w:spacing w:line="360" w:lineRule="auto"/>
        <w:jc w:val="center"/>
        <w:textAlignment w:val="auto"/>
        <w:outlineLvl w:val="9"/>
        <w:rPr>
          <w:rFonts w:eastAsia="宋体" w:cs="Calibri"/>
          <w:kern w:val="2"/>
          <w:lang w:val="en-US" w:eastAsia="zh-CN" w:bidi="ar-SA"/>
        </w:rPr>
      </w:pPr>
      <w:r>
        <w:rPr>
          <w:snapToGrid w:val="0"/>
        </w:rPr>
        <w:drawing>
          <wp:inline distT="0" distB="0" distL="0" distR="0">
            <wp:extent cx="5400675" cy="4930140"/>
            <wp:effectExtent l="9525" t="9525" r="19050" b="13335"/>
            <wp:docPr id="729117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11792" name="图片 1"/>
                    <pic:cNvPicPr>
                      <a:picLocks noChangeAspect="1"/>
                    </pic:cNvPicPr>
                  </pic:nvPicPr>
                  <pic:blipFill>
                    <a:blip r:embed="rId28"/>
                    <a:stretch>
                      <a:fillRect/>
                    </a:stretch>
                  </pic:blipFill>
                  <pic:spPr>
                    <a:xfrm>
                      <a:off x="0" y="0"/>
                      <a:ext cx="5400675" cy="4930140"/>
                    </a:xfrm>
                    <a:prstGeom prst="rect">
                      <a:avLst/>
                    </a:prstGeom>
                    <a:ln>
                      <a:solidFill>
                        <a:schemeClr val="tx1"/>
                      </a:solidFill>
                    </a:ln>
                  </pic:spPr>
                </pic:pic>
              </a:graphicData>
            </a:graphic>
          </wp:inline>
        </w:drawing>
      </w:r>
    </w:p>
    <w:p w14:paraId="412002FD">
      <w:pPr>
        <w:keepNext w:val="0"/>
        <w:keepLines w:val="0"/>
        <w:pageBreakBefore w:val="0"/>
        <w:widowControl w:val="0"/>
        <w:kinsoku/>
        <w:wordWrap/>
        <w:overflowPunct/>
        <w:topLinePunct w:val="0"/>
        <w:autoSpaceDE/>
        <w:autoSpaceDN/>
        <w:bidi w:val="0"/>
        <w:adjustRightInd w:val="0"/>
        <w:spacing w:before="164" w:beforeLines="50" w:after="164" w:afterLines="50" w:line="240" w:lineRule="auto"/>
        <w:jc w:val="center"/>
        <w:textAlignment w:val="auto"/>
        <w:outlineLvl w:val="9"/>
        <w:rPr>
          <w:rFonts w:eastAsia="宋体" w:cs="Calibri"/>
          <w:b/>
          <w:kern w:val="2"/>
          <w:lang w:val="en-US" w:eastAsia="zh-CN" w:bidi="ar-SA"/>
        </w:rPr>
      </w:pPr>
      <w:r>
        <w:rPr>
          <w:rFonts w:eastAsia="宋体" w:cs="Calibri"/>
          <w:b/>
          <w:kern w:val="2"/>
          <w:lang w:val="en-US" w:eastAsia="zh-CN" w:bidi="ar-SA"/>
        </w:rPr>
        <w:t>图</w:t>
      </w:r>
      <w:r>
        <w:rPr>
          <w:rFonts w:hint="eastAsia" w:cs="Calibri"/>
          <w:b/>
          <w:kern w:val="2"/>
          <w:lang w:val="en-US" w:eastAsia="zh-CN" w:bidi="ar-SA"/>
        </w:rPr>
        <w:t>1</w:t>
      </w:r>
      <w:r>
        <w:rPr>
          <w:rFonts w:eastAsia="宋体" w:cs="Calibri"/>
          <w:b/>
          <w:kern w:val="2"/>
          <w:lang w:val="en-US" w:eastAsia="zh-CN" w:bidi="ar-SA"/>
        </w:rPr>
        <w:t>-1  环境风险评价工作程序图</w:t>
      </w:r>
    </w:p>
    <w:p w14:paraId="686C30D8">
      <w:pPr>
        <w:keepNext/>
        <w:keepLines w:val="0"/>
        <w:pageBreakBefore w:val="0"/>
        <w:widowControl w:val="0"/>
        <w:kinsoku/>
        <w:wordWrap/>
        <w:overflowPunct/>
        <w:topLinePunct w:val="0"/>
        <w:autoSpaceDE/>
        <w:autoSpaceDN/>
        <w:bidi w:val="0"/>
        <w:adjustRightInd w:val="0"/>
        <w:spacing w:before="164" w:beforeLines="50" w:after="164" w:afterLines="50" w:line="360" w:lineRule="auto"/>
        <w:jc w:val="left"/>
        <w:textAlignment w:val="auto"/>
        <w:outlineLvl w:val="9"/>
        <w:rPr>
          <w:b/>
          <w:kern w:val="2"/>
          <w:sz w:val="32"/>
          <w:lang w:val="en-US" w:eastAsia="zh-CN" w:bidi="ar-SA"/>
        </w:rPr>
        <w:sectPr>
          <w:footerReference r:id="rId10" w:type="default"/>
          <w:pgSz w:w="11907" w:h="16840"/>
          <w:pgMar w:top="1531" w:right="1531" w:bottom="1531" w:left="1531" w:header="851" w:footer="851" w:gutter="0"/>
          <w:pgBorders>
            <w:top w:val="none" w:sz="0" w:space="0"/>
            <w:left w:val="none" w:sz="0" w:space="0"/>
            <w:bottom w:val="none" w:sz="0" w:space="0"/>
            <w:right w:val="none" w:sz="0" w:space="0"/>
          </w:pgBorders>
          <w:pgNumType w:fmt="decimal"/>
          <w:cols w:space="720" w:num="1"/>
          <w:docGrid w:type="linesAndChars" w:linePitch="328" w:charSpace="0"/>
        </w:sectPr>
      </w:pPr>
    </w:p>
    <w:p w14:paraId="45D4CFAF">
      <w:pPr>
        <w:pStyle w:val="2"/>
        <w:bidi w:val="0"/>
        <w:rPr>
          <w:lang w:val="en-US" w:eastAsia="zh-CN"/>
        </w:rPr>
      </w:pPr>
      <w:r>
        <w:rPr>
          <w:rFonts w:hint="eastAsia"/>
          <w:lang w:val="en-US" w:eastAsia="zh-CN"/>
        </w:rPr>
        <w:t xml:space="preserve">2 </w:t>
      </w:r>
      <w:r>
        <w:rPr>
          <w:lang w:val="en-US" w:eastAsia="zh-CN"/>
        </w:rPr>
        <w:t>环境风险调查</w:t>
      </w:r>
    </w:p>
    <w:p w14:paraId="10303987">
      <w:pPr>
        <w:pStyle w:val="2"/>
        <w:bidi w:val="0"/>
        <w:rPr>
          <w:lang w:val="en-US" w:eastAsia="zh-CN"/>
        </w:rPr>
      </w:pPr>
      <w:r>
        <w:rPr>
          <w:rFonts w:hint="eastAsia"/>
          <w:lang w:val="en-US" w:eastAsia="zh-CN"/>
        </w:rPr>
        <w:t xml:space="preserve">2.1 </w:t>
      </w:r>
      <w:r>
        <w:rPr>
          <w:lang w:val="en-US" w:eastAsia="zh-CN"/>
        </w:rPr>
        <w:t>环境风险源调查</w:t>
      </w:r>
    </w:p>
    <w:p w14:paraId="32C66BA4">
      <w:pPr>
        <w:bidi w:val="0"/>
        <w:rPr>
          <w:lang w:val="en-US" w:eastAsia="zh-CN"/>
        </w:rPr>
      </w:pPr>
      <w:r>
        <w:rPr>
          <w:lang w:val="en-US" w:eastAsia="zh-CN"/>
        </w:rPr>
        <w:t>结合本项目原辅材料、产品及中间产品理化特性，对照《建设项目环境风险评价技术导则》（HJ169</w:t>
      </w:r>
      <w:r>
        <w:rPr>
          <w:lang w:val="en-US" w:eastAsia="zh-CN"/>
        </w:rPr>
        <w:noBreakHyphen/>
      </w:r>
      <w:r>
        <w:rPr>
          <w:lang w:val="en-US" w:eastAsia="zh-CN"/>
        </w:rPr>
        <w:t>2018）附录B、《危险化学品重大危险源辨识》（GB18218</w:t>
      </w:r>
      <w:r>
        <w:rPr>
          <w:lang w:val="en-US" w:eastAsia="zh-CN"/>
        </w:rPr>
        <w:noBreakHyphen/>
      </w:r>
      <w:r>
        <w:rPr>
          <w:lang w:val="en-US" w:eastAsia="zh-CN"/>
        </w:rPr>
        <w:t>2018）及《危险化学品名录》（202</w:t>
      </w:r>
      <w:r>
        <w:rPr>
          <w:rFonts w:hint="eastAsia"/>
          <w:lang w:val="en-US" w:eastAsia="zh-CN"/>
        </w:rPr>
        <w:t>5</w:t>
      </w:r>
      <w:r>
        <w:rPr>
          <w:lang w:val="en-US" w:eastAsia="zh-CN"/>
        </w:rPr>
        <w:t>版），筛查确定本项目主要环境风险物质为碳五烷烃与1#轻烃。本项目新增2座球罐（V</w:t>
      </w:r>
      <w:r>
        <w:rPr>
          <w:lang w:val="en-US" w:eastAsia="zh-CN"/>
        </w:rPr>
        <w:noBreakHyphen/>
      </w:r>
      <w:r>
        <w:rPr>
          <w:lang w:val="en-US" w:eastAsia="zh-CN"/>
        </w:rPr>
        <w:t>4601A/B），1#轻烃与碳五烷烃分别配套独立的进出料总线管道，管线系统相互独立、互不干扰。实际生产储存工况存在</w:t>
      </w:r>
      <w:r>
        <w:rPr>
          <w:rFonts w:hint="eastAsia"/>
          <w:lang w:val="en-US" w:eastAsia="zh-CN"/>
        </w:rPr>
        <w:t>三</w:t>
      </w:r>
      <w:r>
        <w:rPr>
          <w:lang w:val="en-US" w:eastAsia="zh-CN"/>
        </w:rPr>
        <w:t>种模式：</w:t>
      </w:r>
    </w:p>
    <w:p w14:paraId="74D90C64">
      <w:pPr>
        <w:bidi w:val="0"/>
        <w:rPr>
          <w:rFonts w:hint="eastAsia"/>
          <w:lang w:val="en-US" w:eastAsia="zh-CN"/>
        </w:rPr>
      </w:pPr>
      <w:r>
        <w:rPr>
          <w:rFonts w:hint="eastAsia"/>
          <w:lang w:val="en-US" w:eastAsia="zh-CN"/>
        </w:rPr>
        <w:t>①</w:t>
      </w:r>
      <w:r>
        <w:rPr>
          <w:lang w:val="en-US" w:eastAsia="zh-CN"/>
        </w:rPr>
        <w:t>一座球罐储存碳五烷烃、另一座球罐储存1#轻烃</w:t>
      </w:r>
      <w:r>
        <w:rPr>
          <w:rFonts w:hint="eastAsia"/>
          <w:lang w:val="en-US" w:eastAsia="zh-CN"/>
        </w:rPr>
        <w:t>；</w:t>
      </w:r>
    </w:p>
    <w:p w14:paraId="2A409ACB">
      <w:pPr>
        <w:bidi w:val="0"/>
        <w:rPr>
          <w:lang w:val="en-US" w:eastAsia="zh-CN"/>
        </w:rPr>
      </w:pPr>
      <w:r>
        <w:rPr>
          <w:rFonts w:hint="eastAsia"/>
          <w:lang w:val="en-US" w:eastAsia="zh-CN"/>
        </w:rPr>
        <w:t>②两</w:t>
      </w:r>
      <w:r>
        <w:rPr>
          <w:lang w:val="en-US" w:eastAsia="zh-CN"/>
        </w:rPr>
        <w:t>座球罐均储存碳五烷烃</w:t>
      </w:r>
      <w:r>
        <w:rPr>
          <w:rFonts w:hint="eastAsia"/>
          <w:lang w:val="en-US" w:eastAsia="zh-CN"/>
        </w:rPr>
        <w:t>；</w:t>
      </w:r>
    </w:p>
    <w:p w14:paraId="5D7EA6FF">
      <w:pPr>
        <w:bidi w:val="0"/>
        <w:rPr>
          <w:rFonts w:hint="default"/>
          <w:lang w:val="en-US" w:eastAsia="zh-CN"/>
        </w:rPr>
      </w:pPr>
      <w:r>
        <w:rPr>
          <w:rFonts w:hint="eastAsia"/>
          <w:lang w:val="en-US" w:eastAsia="zh-CN"/>
        </w:rPr>
        <w:t>③两</w:t>
      </w:r>
      <w:r>
        <w:rPr>
          <w:lang w:val="en-US" w:eastAsia="zh-CN"/>
        </w:rPr>
        <w:t>座球罐均储存1#轻烃</w:t>
      </w:r>
      <w:r>
        <w:rPr>
          <w:rFonts w:hint="eastAsia"/>
          <w:lang w:val="en-US" w:eastAsia="zh-CN"/>
        </w:rPr>
        <w:t>；</w:t>
      </w:r>
    </w:p>
    <w:p w14:paraId="68697517">
      <w:pPr>
        <w:pStyle w:val="4"/>
        <w:bidi w:val="0"/>
        <w:rPr>
          <w:rFonts w:hint="default"/>
          <w:lang w:val="en-US" w:eastAsia="zh-CN"/>
        </w:rPr>
      </w:pPr>
      <w:r>
        <w:rPr>
          <w:rFonts w:hint="default"/>
          <w:lang w:val="en-US" w:eastAsia="zh-CN"/>
        </w:rPr>
        <w:t>表2</w:t>
      </w:r>
      <w:r>
        <w:rPr>
          <w:rFonts w:hint="eastAsia"/>
          <w:lang w:val="en-US" w:eastAsia="zh-CN"/>
        </w:rPr>
        <w:t>-</w:t>
      </w:r>
      <w:r>
        <w:rPr>
          <w:rFonts w:hint="default"/>
          <w:lang w:val="en-US" w:eastAsia="zh-CN"/>
        </w:rPr>
        <w:t>1  项目环境风险物质筛选情况一览表</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1391"/>
        <w:gridCol w:w="1241"/>
        <w:gridCol w:w="1358"/>
        <w:gridCol w:w="1223"/>
        <w:gridCol w:w="1377"/>
        <w:gridCol w:w="936"/>
      </w:tblGrid>
      <w:tr w14:paraId="4980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845" w:type="pct"/>
            <w:vAlign w:val="center"/>
          </w:tcPr>
          <w:p w14:paraId="7F945562">
            <w:pPr>
              <w:pStyle w:val="5"/>
              <w:bidi w:val="0"/>
              <w:rPr>
                <w:rFonts w:hint="default"/>
                <w:lang w:val="en-US" w:eastAsia="zh-CN"/>
              </w:rPr>
            </w:pPr>
            <w:r>
              <w:rPr>
                <w:rFonts w:hint="eastAsia"/>
                <w:lang w:val="en-US" w:eastAsia="zh-CN"/>
              </w:rPr>
              <w:t>储存情景</w:t>
            </w:r>
          </w:p>
        </w:tc>
        <w:tc>
          <w:tcPr>
            <w:tcW w:w="768" w:type="pct"/>
            <w:vAlign w:val="center"/>
          </w:tcPr>
          <w:p w14:paraId="5FF6F4B3">
            <w:pPr>
              <w:pStyle w:val="5"/>
              <w:bidi w:val="0"/>
              <w:rPr>
                <w:rFonts w:hint="default"/>
                <w:lang w:val="en-US" w:eastAsia="zh-CN"/>
              </w:rPr>
            </w:pPr>
            <w:r>
              <w:rPr>
                <w:rFonts w:hint="default"/>
                <w:lang w:val="en-US" w:eastAsia="zh-CN"/>
              </w:rPr>
              <w:t>危险物质</w:t>
            </w:r>
          </w:p>
        </w:tc>
        <w:tc>
          <w:tcPr>
            <w:tcW w:w="685" w:type="pct"/>
            <w:vAlign w:val="center"/>
          </w:tcPr>
          <w:p w14:paraId="35C1D0EF">
            <w:pPr>
              <w:pStyle w:val="5"/>
              <w:bidi w:val="0"/>
              <w:rPr>
                <w:rFonts w:hint="default"/>
                <w:lang w:val="en-US" w:eastAsia="zh-CN"/>
              </w:rPr>
            </w:pPr>
            <w:r>
              <w:rPr>
                <w:rFonts w:hint="default"/>
                <w:lang w:val="en-US" w:eastAsia="zh-CN"/>
              </w:rPr>
              <w:t>主要成分</w:t>
            </w:r>
          </w:p>
        </w:tc>
        <w:tc>
          <w:tcPr>
            <w:tcW w:w="750" w:type="pct"/>
            <w:vAlign w:val="center"/>
          </w:tcPr>
          <w:p w14:paraId="1CE40265">
            <w:pPr>
              <w:pStyle w:val="5"/>
              <w:bidi w:val="0"/>
              <w:rPr>
                <w:rFonts w:hint="eastAsia" w:eastAsia="宋体"/>
                <w:lang w:val="en-US" w:eastAsia="zh-CN"/>
              </w:rPr>
            </w:pPr>
            <w:r>
              <w:rPr>
                <w:rFonts w:hint="default"/>
                <w:lang w:val="en-US" w:eastAsia="zh-CN"/>
              </w:rPr>
              <w:t>最大储存量</w:t>
            </w:r>
            <w:r>
              <w:rPr>
                <w:rFonts w:hint="eastAsia"/>
                <w:lang w:val="en-US" w:eastAsia="zh-CN"/>
              </w:rPr>
              <w:t>（</w:t>
            </w:r>
            <w:r>
              <w:rPr>
                <w:rFonts w:hint="default"/>
                <w:lang w:val="en-US" w:eastAsia="zh-CN"/>
              </w:rPr>
              <w:t>t</w:t>
            </w:r>
            <w:r>
              <w:rPr>
                <w:rFonts w:hint="eastAsia"/>
                <w:lang w:eastAsia="zh-CN"/>
              </w:rPr>
              <w:t>）</w:t>
            </w:r>
          </w:p>
        </w:tc>
        <w:tc>
          <w:tcPr>
            <w:tcW w:w="675" w:type="pct"/>
            <w:vAlign w:val="center"/>
          </w:tcPr>
          <w:p w14:paraId="2E592C5B">
            <w:pPr>
              <w:pStyle w:val="5"/>
              <w:bidi w:val="0"/>
              <w:rPr>
                <w:rFonts w:hint="default"/>
                <w:lang w:val="en-US" w:eastAsia="zh-CN"/>
              </w:rPr>
            </w:pPr>
            <w:r>
              <w:rPr>
                <w:rFonts w:hint="default"/>
                <w:lang w:val="en-US" w:eastAsia="zh-CN"/>
              </w:rPr>
              <w:t>储存方式</w:t>
            </w:r>
          </w:p>
        </w:tc>
        <w:tc>
          <w:tcPr>
            <w:tcW w:w="760" w:type="pct"/>
            <w:vAlign w:val="center"/>
          </w:tcPr>
          <w:p w14:paraId="46A9C5EB">
            <w:pPr>
              <w:pStyle w:val="5"/>
              <w:bidi w:val="0"/>
              <w:rPr>
                <w:rFonts w:hint="default"/>
                <w:lang w:val="en-US" w:eastAsia="zh-CN"/>
              </w:rPr>
            </w:pPr>
            <w:r>
              <w:rPr>
                <w:rFonts w:hint="default"/>
                <w:lang w:val="en-US" w:eastAsia="zh-CN"/>
              </w:rPr>
              <w:t>临界量（t）</w:t>
            </w:r>
          </w:p>
        </w:tc>
        <w:tc>
          <w:tcPr>
            <w:tcW w:w="514" w:type="pct"/>
            <w:vAlign w:val="center"/>
          </w:tcPr>
          <w:p w14:paraId="455B05DF">
            <w:pPr>
              <w:pStyle w:val="5"/>
              <w:bidi w:val="0"/>
              <w:rPr>
                <w:rFonts w:hint="default"/>
                <w:lang w:val="en-US" w:eastAsia="zh-CN"/>
              </w:rPr>
            </w:pPr>
            <w:r>
              <w:rPr>
                <w:rFonts w:hint="default"/>
                <w:lang w:val="en-US" w:eastAsia="zh-CN"/>
              </w:rPr>
              <w:t>Q</w:t>
            </w:r>
          </w:p>
        </w:tc>
      </w:tr>
      <w:tr w14:paraId="230A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45" w:type="pct"/>
            <w:vAlign w:val="center"/>
          </w:tcPr>
          <w:p w14:paraId="0361DC75">
            <w:pPr>
              <w:pStyle w:val="5"/>
              <w:bidi w:val="0"/>
              <w:rPr>
                <w:rFonts w:hint="default"/>
                <w:lang w:val="en-US" w:eastAsia="zh-CN"/>
              </w:rPr>
            </w:pPr>
            <w:r>
              <w:rPr>
                <w:rFonts w:hint="eastAsia"/>
                <w:lang w:val="en-US" w:eastAsia="zh-CN"/>
              </w:rPr>
              <w:t>均储存1#轻烃</w:t>
            </w:r>
          </w:p>
        </w:tc>
        <w:tc>
          <w:tcPr>
            <w:tcW w:w="768" w:type="pct"/>
            <w:vAlign w:val="center"/>
          </w:tcPr>
          <w:p w14:paraId="66DCE2F4">
            <w:pPr>
              <w:pStyle w:val="5"/>
              <w:bidi w:val="0"/>
              <w:rPr>
                <w:rFonts w:hint="default"/>
                <w:lang w:val="en-US" w:eastAsia="zh-CN"/>
              </w:rPr>
            </w:pPr>
            <w:r>
              <w:rPr>
                <w:rFonts w:hint="eastAsia"/>
                <w:lang w:val="en-US" w:eastAsia="zh-CN"/>
              </w:rPr>
              <w:t>1#轻烃</w:t>
            </w:r>
          </w:p>
        </w:tc>
        <w:tc>
          <w:tcPr>
            <w:tcW w:w="685" w:type="pct"/>
            <w:vAlign w:val="center"/>
          </w:tcPr>
          <w:p w14:paraId="41E9CC84">
            <w:pPr>
              <w:pStyle w:val="5"/>
              <w:bidi w:val="0"/>
              <w:rPr>
                <w:rFonts w:hint="default"/>
                <w:lang w:val="en-US" w:eastAsia="zh-CN"/>
              </w:rPr>
            </w:pPr>
            <w:r>
              <w:rPr>
                <w:rFonts w:hint="default"/>
                <w:lang w:val="en-US" w:eastAsia="zh-CN"/>
              </w:rPr>
              <w:t>有机物</w:t>
            </w:r>
          </w:p>
        </w:tc>
        <w:tc>
          <w:tcPr>
            <w:tcW w:w="750" w:type="pct"/>
            <w:vAlign w:val="center"/>
          </w:tcPr>
          <w:p w14:paraId="6D4B1F81">
            <w:pPr>
              <w:pStyle w:val="5"/>
              <w:bidi w:val="0"/>
              <w:rPr>
                <w:rFonts w:hint="default"/>
                <w:lang w:val="en-US" w:eastAsia="zh-CN"/>
              </w:rPr>
            </w:pPr>
            <w:r>
              <w:rPr>
                <w:rFonts w:hint="eastAsia"/>
                <w:lang w:val="en-US" w:eastAsia="zh-CN"/>
              </w:rPr>
              <w:t>1144</w:t>
            </w:r>
          </w:p>
        </w:tc>
        <w:tc>
          <w:tcPr>
            <w:tcW w:w="675" w:type="pct"/>
            <w:vAlign w:val="center"/>
          </w:tcPr>
          <w:p w14:paraId="09282A84">
            <w:pPr>
              <w:pStyle w:val="5"/>
              <w:bidi w:val="0"/>
              <w:rPr>
                <w:rFonts w:hint="default"/>
                <w:lang w:val="en-US" w:eastAsia="zh-CN"/>
              </w:rPr>
            </w:pPr>
            <w:r>
              <w:rPr>
                <w:lang w:val="en-US" w:eastAsia="zh-CN"/>
              </w:rPr>
              <w:t>2座球罐</w:t>
            </w:r>
          </w:p>
        </w:tc>
        <w:tc>
          <w:tcPr>
            <w:tcW w:w="760" w:type="pct"/>
            <w:vAlign w:val="center"/>
          </w:tcPr>
          <w:p w14:paraId="28BB8751">
            <w:pPr>
              <w:pStyle w:val="5"/>
              <w:bidi w:val="0"/>
              <w:rPr>
                <w:rFonts w:hint="default"/>
                <w:lang w:val="en-US" w:eastAsia="zh-CN"/>
              </w:rPr>
            </w:pPr>
            <w:r>
              <w:rPr>
                <w:rFonts w:hint="eastAsia"/>
                <w:lang w:val="en-US" w:eastAsia="zh-CN"/>
              </w:rPr>
              <w:t>10</w:t>
            </w:r>
          </w:p>
        </w:tc>
        <w:tc>
          <w:tcPr>
            <w:tcW w:w="514" w:type="pct"/>
            <w:vAlign w:val="center"/>
          </w:tcPr>
          <w:p w14:paraId="1A069F05">
            <w:pPr>
              <w:pStyle w:val="5"/>
              <w:bidi w:val="0"/>
              <w:rPr>
                <w:rFonts w:hint="default"/>
                <w:lang w:val="en-US" w:eastAsia="zh-CN"/>
              </w:rPr>
            </w:pPr>
            <w:r>
              <w:rPr>
                <w:rFonts w:hint="eastAsia"/>
                <w:lang w:val="en-US" w:eastAsia="zh-CN"/>
              </w:rPr>
              <w:t>114.4</w:t>
            </w:r>
          </w:p>
        </w:tc>
      </w:tr>
      <w:tr w14:paraId="69F2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5" w:type="pct"/>
            <w:vAlign w:val="center"/>
          </w:tcPr>
          <w:p w14:paraId="4AEBDE32">
            <w:pPr>
              <w:pStyle w:val="5"/>
              <w:bidi w:val="0"/>
              <w:rPr>
                <w:rFonts w:hint="eastAsia"/>
                <w:lang w:val="en-US" w:eastAsia="zh-CN"/>
              </w:rPr>
            </w:pPr>
            <w:r>
              <w:rPr>
                <w:rFonts w:hint="eastAsia"/>
                <w:lang w:val="en-US" w:eastAsia="zh-CN"/>
              </w:rPr>
              <w:t>均储存碳五烷烃</w:t>
            </w:r>
          </w:p>
        </w:tc>
        <w:tc>
          <w:tcPr>
            <w:tcW w:w="768" w:type="pct"/>
            <w:vAlign w:val="center"/>
          </w:tcPr>
          <w:p w14:paraId="0E88B59F">
            <w:pPr>
              <w:pStyle w:val="5"/>
              <w:bidi w:val="0"/>
              <w:rPr>
                <w:rFonts w:hint="default"/>
                <w:lang w:val="en-US" w:eastAsia="zh-CN"/>
              </w:rPr>
            </w:pPr>
            <w:r>
              <w:rPr>
                <w:rFonts w:hint="eastAsia"/>
                <w:lang w:val="en-US" w:eastAsia="zh-CN"/>
              </w:rPr>
              <w:t>碳五烷烃</w:t>
            </w:r>
          </w:p>
        </w:tc>
        <w:tc>
          <w:tcPr>
            <w:tcW w:w="685" w:type="pct"/>
            <w:vAlign w:val="center"/>
          </w:tcPr>
          <w:p w14:paraId="28E8D622">
            <w:pPr>
              <w:pStyle w:val="5"/>
              <w:bidi w:val="0"/>
              <w:rPr>
                <w:rFonts w:hint="default"/>
                <w:lang w:val="en-US" w:eastAsia="zh-CN"/>
              </w:rPr>
            </w:pPr>
            <w:r>
              <w:rPr>
                <w:rFonts w:hint="default"/>
                <w:lang w:val="en-US" w:eastAsia="zh-CN"/>
              </w:rPr>
              <w:t>有机物</w:t>
            </w:r>
          </w:p>
        </w:tc>
        <w:tc>
          <w:tcPr>
            <w:tcW w:w="750" w:type="pct"/>
            <w:vAlign w:val="center"/>
          </w:tcPr>
          <w:p w14:paraId="7C757FAD">
            <w:pPr>
              <w:pStyle w:val="5"/>
              <w:bidi w:val="0"/>
              <w:rPr>
                <w:rFonts w:hint="default"/>
                <w:lang w:val="en-US" w:eastAsia="zh-CN"/>
              </w:rPr>
            </w:pPr>
            <w:r>
              <w:rPr>
                <w:rFonts w:hint="eastAsia"/>
                <w:lang w:val="en-US" w:eastAsia="zh-CN"/>
              </w:rPr>
              <w:t>1196.8</w:t>
            </w:r>
          </w:p>
        </w:tc>
        <w:tc>
          <w:tcPr>
            <w:tcW w:w="675" w:type="pct"/>
            <w:vAlign w:val="center"/>
          </w:tcPr>
          <w:p w14:paraId="5BBECA39">
            <w:pPr>
              <w:pStyle w:val="5"/>
              <w:bidi w:val="0"/>
              <w:rPr>
                <w:rFonts w:hint="default"/>
                <w:lang w:val="en-US" w:eastAsia="zh-CN"/>
              </w:rPr>
            </w:pPr>
            <w:r>
              <w:rPr>
                <w:lang w:val="en-US" w:eastAsia="zh-CN"/>
              </w:rPr>
              <w:t>2座球罐</w:t>
            </w:r>
          </w:p>
        </w:tc>
        <w:tc>
          <w:tcPr>
            <w:tcW w:w="760" w:type="pct"/>
            <w:vAlign w:val="center"/>
          </w:tcPr>
          <w:p w14:paraId="79E162CE">
            <w:pPr>
              <w:pStyle w:val="5"/>
              <w:bidi w:val="0"/>
              <w:rPr>
                <w:rFonts w:hint="default"/>
                <w:lang w:val="en-US" w:eastAsia="zh-CN"/>
              </w:rPr>
            </w:pPr>
            <w:r>
              <w:rPr>
                <w:rFonts w:hint="default"/>
                <w:lang w:val="en-US" w:eastAsia="zh-CN"/>
              </w:rPr>
              <w:t>10</w:t>
            </w:r>
          </w:p>
        </w:tc>
        <w:tc>
          <w:tcPr>
            <w:tcW w:w="514" w:type="pct"/>
            <w:vAlign w:val="center"/>
          </w:tcPr>
          <w:p w14:paraId="389B0952">
            <w:pPr>
              <w:pStyle w:val="5"/>
              <w:bidi w:val="0"/>
              <w:rPr>
                <w:rFonts w:hint="default"/>
                <w:lang w:val="en-US" w:eastAsia="zh-CN"/>
              </w:rPr>
            </w:pPr>
            <w:r>
              <w:rPr>
                <w:rFonts w:hint="eastAsia"/>
                <w:lang w:val="en-US" w:eastAsia="zh-CN"/>
              </w:rPr>
              <w:t>119.68</w:t>
            </w:r>
          </w:p>
        </w:tc>
      </w:tr>
      <w:tr w14:paraId="0535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845" w:type="pct"/>
            <w:vMerge w:val="restart"/>
            <w:vAlign w:val="center"/>
          </w:tcPr>
          <w:p w14:paraId="1C529D20">
            <w:pPr>
              <w:pStyle w:val="5"/>
              <w:bidi w:val="0"/>
              <w:rPr>
                <w:rFonts w:hint="default"/>
                <w:lang w:val="en-US" w:eastAsia="zh-CN"/>
              </w:rPr>
            </w:pPr>
            <w:r>
              <w:rPr>
                <w:rFonts w:hint="eastAsia"/>
                <w:lang w:val="en-US" w:eastAsia="zh-CN"/>
              </w:rPr>
              <w:t>一个储存1#轻烃，一个储存碳五烷烃</w:t>
            </w:r>
          </w:p>
        </w:tc>
        <w:tc>
          <w:tcPr>
            <w:tcW w:w="768" w:type="pct"/>
            <w:shd w:val="clear" w:color="auto" w:fill="auto"/>
            <w:vAlign w:val="center"/>
          </w:tcPr>
          <w:p w14:paraId="28B83842">
            <w:pPr>
              <w:pStyle w:val="5"/>
              <w:bidi w:val="0"/>
              <w:ind w:firstLine="0" w:firstLineChars="0"/>
              <w:rPr>
                <w:rFonts w:hint="eastAsia" w:ascii="Times New Roman" w:hAnsi="Times New Roman" w:eastAsia="宋体" w:cs="Times New Roman"/>
                <w:sz w:val="21"/>
                <w:szCs w:val="21"/>
                <w:lang w:val="en-US" w:eastAsia="zh-CN" w:bidi="ar-SA"/>
              </w:rPr>
            </w:pPr>
            <w:r>
              <w:rPr>
                <w:rFonts w:hint="eastAsia"/>
                <w:lang w:val="en-US" w:eastAsia="zh-CN"/>
              </w:rPr>
              <w:t>1#轻烃</w:t>
            </w:r>
          </w:p>
        </w:tc>
        <w:tc>
          <w:tcPr>
            <w:tcW w:w="685" w:type="pct"/>
            <w:shd w:val="clear" w:color="auto" w:fill="auto"/>
            <w:vAlign w:val="center"/>
          </w:tcPr>
          <w:p w14:paraId="04C67B54">
            <w:pPr>
              <w:pStyle w:val="5"/>
              <w:bidi w:val="0"/>
              <w:ind w:firstLine="0" w:firstLineChars="0"/>
              <w:rPr>
                <w:rFonts w:hint="default" w:ascii="Times New Roman" w:hAnsi="Times New Roman" w:eastAsia="宋体" w:cs="Times New Roman"/>
                <w:sz w:val="21"/>
                <w:szCs w:val="21"/>
                <w:lang w:val="en-US" w:eastAsia="zh-CN" w:bidi="ar-SA"/>
              </w:rPr>
            </w:pPr>
            <w:r>
              <w:rPr>
                <w:rFonts w:hint="default"/>
                <w:lang w:val="en-US" w:eastAsia="zh-CN"/>
              </w:rPr>
              <w:t>有机物</w:t>
            </w:r>
          </w:p>
        </w:tc>
        <w:tc>
          <w:tcPr>
            <w:tcW w:w="750" w:type="pct"/>
            <w:shd w:val="clear" w:color="auto" w:fill="auto"/>
            <w:vAlign w:val="center"/>
          </w:tcPr>
          <w:p w14:paraId="2F068E1C">
            <w:pPr>
              <w:pStyle w:val="5"/>
              <w:bidi w:val="0"/>
              <w:ind w:firstLine="0" w:firstLineChars="0"/>
              <w:rPr>
                <w:rFonts w:hint="default" w:ascii="Times New Roman" w:hAnsi="Times New Roman" w:eastAsia="宋体" w:cs="Times New Roman"/>
                <w:sz w:val="21"/>
                <w:szCs w:val="21"/>
                <w:lang w:val="en-US" w:eastAsia="zh-CN" w:bidi="ar-SA"/>
              </w:rPr>
            </w:pPr>
            <w:r>
              <w:rPr>
                <w:rFonts w:hint="eastAsia"/>
                <w:lang w:val="en-US" w:eastAsia="zh-CN"/>
              </w:rPr>
              <w:t>572</w:t>
            </w:r>
          </w:p>
        </w:tc>
        <w:tc>
          <w:tcPr>
            <w:tcW w:w="675" w:type="pct"/>
            <w:shd w:val="clear" w:color="auto" w:fill="auto"/>
            <w:vAlign w:val="center"/>
          </w:tcPr>
          <w:p w14:paraId="144B9349">
            <w:pPr>
              <w:pStyle w:val="5"/>
              <w:bidi w:val="0"/>
              <w:ind w:firstLine="0" w:firstLineChars="0"/>
              <w:rPr>
                <w:rFonts w:hint="default" w:ascii="Times New Roman" w:hAnsi="Times New Roman" w:eastAsia="宋体" w:cs="Times New Roman"/>
                <w:sz w:val="21"/>
                <w:szCs w:val="21"/>
                <w:lang w:val="en-US" w:eastAsia="zh-CN" w:bidi="ar-SA"/>
              </w:rPr>
            </w:pPr>
            <w:r>
              <w:rPr>
                <w:rFonts w:hint="eastAsia"/>
                <w:lang w:val="en-US" w:eastAsia="zh-CN"/>
              </w:rPr>
              <w:t>1</w:t>
            </w:r>
            <w:r>
              <w:rPr>
                <w:lang w:val="en-US" w:eastAsia="zh-CN"/>
              </w:rPr>
              <w:t>座球罐</w:t>
            </w:r>
          </w:p>
        </w:tc>
        <w:tc>
          <w:tcPr>
            <w:tcW w:w="760" w:type="pct"/>
            <w:shd w:val="clear" w:color="auto" w:fill="auto"/>
            <w:vAlign w:val="center"/>
          </w:tcPr>
          <w:p w14:paraId="7FD444CE">
            <w:pPr>
              <w:pStyle w:val="5"/>
              <w:bidi w:val="0"/>
              <w:ind w:firstLine="0" w:firstLineChars="0"/>
              <w:rPr>
                <w:rFonts w:hint="default" w:ascii="Times New Roman" w:hAnsi="Times New Roman" w:eastAsia="宋体" w:cs="Times New Roman"/>
                <w:sz w:val="21"/>
                <w:szCs w:val="21"/>
                <w:lang w:val="en-US" w:eastAsia="zh-CN" w:bidi="ar-SA"/>
              </w:rPr>
            </w:pPr>
            <w:r>
              <w:rPr>
                <w:rFonts w:hint="eastAsia"/>
                <w:lang w:val="en-US" w:eastAsia="zh-CN"/>
              </w:rPr>
              <w:t>10</w:t>
            </w:r>
          </w:p>
        </w:tc>
        <w:tc>
          <w:tcPr>
            <w:tcW w:w="514" w:type="pct"/>
            <w:vMerge w:val="restart"/>
            <w:shd w:val="clear" w:color="auto" w:fill="auto"/>
            <w:vAlign w:val="center"/>
          </w:tcPr>
          <w:p w14:paraId="3F9C1FEE">
            <w:pPr>
              <w:pStyle w:val="5"/>
              <w:bidi w:val="0"/>
              <w:ind w:firstLine="0" w:firstLineChars="0"/>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117.04</w:t>
            </w:r>
          </w:p>
        </w:tc>
      </w:tr>
      <w:tr w14:paraId="3B4A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5" w:type="pct"/>
            <w:vMerge w:val="continue"/>
            <w:vAlign w:val="center"/>
          </w:tcPr>
          <w:p w14:paraId="461C654F">
            <w:pPr>
              <w:pStyle w:val="5"/>
              <w:bidi w:val="0"/>
            </w:pPr>
          </w:p>
        </w:tc>
        <w:tc>
          <w:tcPr>
            <w:tcW w:w="768" w:type="pct"/>
            <w:shd w:val="clear" w:color="auto" w:fill="auto"/>
            <w:vAlign w:val="center"/>
          </w:tcPr>
          <w:p w14:paraId="711252C1">
            <w:pPr>
              <w:pStyle w:val="5"/>
              <w:bidi w:val="0"/>
              <w:ind w:firstLine="0" w:firstLineChars="0"/>
              <w:rPr>
                <w:rFonts w:hint="eastAsia" w:ascii="Times New Roman" w:hAnsi="Times New Roman" w:eastAsia="宋体" w:cs="Times New Roman"/>
                <w:sz w:val="21"/>
                <w:szCs w:val="21"/>
                <w:lang w:val="en-US" w:eastAsia="zh-CN" w:bidi="ar-SA"/>
              </w:rPr>
            </w:pPr>
            <w:r>
              <w:rPr>
                <w:rFonts w:hint="eastAsia"/>
                <w:lang w:val="en-US" w:eastAsia="zh-CN"/>
              </w:rPr>
              <w:t>碳五烷烃</w:t>
            </w:r>
          </w:p>
        </w:tc>
        <w:tc>
          <w:tcPr>
            <w:tcW w:w="685" w:type="pct"/>
            <w:shd w:val="clear" w:color="auto" w:fill="auto"/>
            <w:vAlign w:val="center"/>
          </w:tcPr>
          <w:p w14:paraId="373AADB7">
            <w:pPr>
              <w:pStyle w:val="5"/>
              <w:bidi w:val="0"/>
              <w:ind w:firstLine="0" w:firstLineChars="0"/>
              <w:rPr>
                <w:rFonts w:hint="eastAsia" w:ascii="Times New Roman" w:hAnsi="Times New Roman" w:eastAsia="宋体" w:cs="Times New Roman"/>
                <w:sz w:val="21"/>
                <w:szCs w:val="21"/>
                <w:lang w:val="en-US" w:eastAsia="zh-CN" w:bidi="ar-SA"/>
              </w:rPr>
            </w:pPr>
            <w:r>
              <w:rPr>
                <w:rFonts w:hint="default"/>
                <w:lang w:val="en-US" w:eastAsia="zh-CN"/>
              </w:rPr>
              <w:t>有机物</w:t>
            </w:r>
          </w:p>
        </w:tc>
        <w:tc>
          <w:tcPr>
            <w:tcW w:w="750" w:type="pct"/>
            <w:shd w:val="clear" w:color="auto" w:fill="auto"/>
            <w:vAlign w:val="center"/>
          </w:tcPr>
          <w:p w14:paraId="138444AA">
            <w:pPr>
              <w:pStyle w:val="5"/>
              <w:bidi w:val="0"/>
              <w:ind w:firstLine="0" w:firstLineChars="0"/>
              <w:rPr>
                <w:rFonts w:hint="default" w:ascii="Times New Roman" w:hAnsi="Times New Roman" w:eastAsia="宋体" w:cs="Times New Roman"/>
                <w:sz w:val="21"/>
                <w:szCs w:val="21"/>
                <w:lang w:val="en-US" w:eastAsia="zh-CN" w:bidi="ar-SA"/>
              </w:rPr>
            </w:pPr>
            <w:r>
              <w:rPr>
                <w:rFonts w:hint="eastAsia"/>
                <w:lang w:val="en-US" w:eastAsia="zh-CN"/>
              </w:rPr>
              <w:t>598.4</w:t>
            </w:r>
          </w:p>
        </w:tc>
        <w:tc>
          <w:tcPr>
            <w:tcW w:w="675" w:type="pct"/>
            <w:shd w:val="clear" w:color="auto" w:fill="auto"/>
            <w:vAlign w:val="center"/>
          </w:tcPr>
          <w:p w14:paraId="2EFF7E9E">
            <w:pPr>
              <w:pStyle w:val="5"/>
              <w:bidi w:val="0"/>
              <w:ind w:firstLine="0" w:firstLineChars="0"/>
              <w:rPr>
                <w:rFonts w:hint="eastAsia" w:ascii="Times New Roman" w:hAnsi="Times New Roman" w:eastAsia="宋体" w:cs="Times New Roman"/>
                <w:sz w:val="21"/>
                <w:szCs w:val="21"/>
                <w:lang w:val="en-US" w:eastAsia="zh-CN" w:bidi="ar-SA"/>
              </w:rPr>
            </w:pPr>
            <w:r>
              <w:rPr>
                <w:rFonts w:hint="eastAsia"/>
                <w:lang w:val="en-US" w:eastAsia="zh-CN"/>
              </w:rPr>
              <w:t>1</w:t>
            </w:r>
            <w:r>
              <w:rPr>
                <w:lang w:val="en-US" w:eastAsia="zh-CN"/>
              </w:rPr>
              <w:t>座球罐</w:t>
            </w:r>
          </w:p>
        </w:tc>
        <w:tc>
          <w:tcPr>
            <w:tcW w:w="760" w:type="pct"/>
            <w:shd w:val="clear" w:color="auto" w:fill="auto"/>
            <w:vAlign w:val="center"/>
          </w:tcPr>
          <w:p w14:paraId="601D3DF9">
            <w:pPr>
              <w:pStyle w:val="5"/>
              <w:bidi w:val="0"/>
              <w:ind w:firstLine="0" w:firstLineChars="0"/>
              <w:rPr>
                <w:rFonts w:hint="eastAsia" w:ascii="Times New Roman" w:hAnsi="Times New Roman" w:eastAsia="宋体" w:cs="Times New Roman"/>
                <w:sz w:val="21"/>
                <w:szCs w:val="21"/>
                <w:lang w:val="en-US" w:eastAsia="zh-CN" w:bidi="ar-SA"/>
              </w:rPr>
            </w:pPr>
            <w:r>
              <w:rPr>
                <w:rFonts w:hint="default"/>
                <w:lang w:val="en-US" w:eastAsia="zh-CN"/>
              </w:rPr>
              <w:t>10</w:t>
            </w:r>
          </w:p>
        </w:tc>
        <w:tc>
          <w:tcPr>
            <w:tcW w:w="514" w:type="pct"/>
            <w:vMerge w:val="continue"/>
            <w:shd w:val="clear" w:color="auto" w:fill="auto"/>
            <w:vAlign w:val="center"/>
          </w:tcPr>
          <w:p w14:paraId="6AF62DB3">
            <w:pPr>
              <w:pStyle w:val="5"/>
              <w:bidi w:val="0"/>
              <w:ind w:firstLine="0" w:firstLineChars="0"/>
              <w:rPr>
                <w:rFonts w:hint="eastAsia" w:ascii="Times New Roman" w:hAnsi="Times New Roman" w:eastAsia="宋体" w:cs="Times New Roman"/>
                <w:sz w:val="21"/>
                <w:szCs w:val="21"/>
                <w:lang w:val="en-US" w:eastAsia="zh-CN" w:bidi="ar-SA"/>
              </w:rPr>
            </w:pPr>
          </w:p>
        </w:tc>
      </w:tr>
      <w:tr w14:paraId="525E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00" w:type="pct"/>
            <w:gridSpan w:val="7"/>
            <w:vAlign w:val="center"/>
          </w:tcPr>
          <w:p w14:paraId="75DD940D">
            <w:pPr>
              <w:pStyle w:val="5"/>
              <w:keepNext/>
              <w:keepLines/>
              <w:pageBreakBefore w:val="0"/>
              <w:widowControl/>
              <w:kinsoku/>
              <w:wordWrap w:val="0"/>
              <w:overflowPunct/>
              <w:topLinePunct w:val="0"/>
              <w:autoSpaceDE/>
              <w:autoSpaceDN/>
              <w:bidi w:val="0"/>
              <w:adjustRightInd/>
              <w:snapToGrid/>
              <w:textAlignment w:val="auto"/>
              <w:rPr>
                <w:rFonts w:hint="default"/>
                <w:lang w:val="en-US" w:eastAsia="zh-CN"/>
              </w:rPr>
            </w:pPr>
            <w:r>
              <w:rPr>
                <w:rFonts w:hint="eastAsia"/>
                <w:lang w:val="en-US" w:eastAsia="zh-CN"/>
              </w:rPr>
              <w:t>本项目</w:t>
            </w:r>
            <w:r>
              <w:rPr>
                <w:rFonts w:hint="default"/>
                <w:lang w:val="en-US" w:eastAsia="zh-CN"/>
              </w:rPr>
              <w:t>环境风险物质主要为1#轻烃、碳五烷烃为C₅</w:t>
            </w:r>
            <w:r>
              <w:rPr>
                <w:rFonts w:hint="default"/>
                <w:lang w:val="en-US" w:eastAsia="zh-CN"/>
              </w:rPr>
              <w:noBreakHyphen/>
            </w:r>
            <w:r>
              <w:rPr>
                <w:rFonts w:hint="default"/>
                <w:lang w:val="en-US" w:eastAsia="zh-CN"/>
              </w:rPr>
              <w:t>C₈轻质烷烃混合物，《建设项目环境风险评价技术导则》（HJ169</w:t>
            </w:r>
            <w:r>
              <w:rPr>
                <w:rFonts w:hint="default"/>
                <w:lang w:val="en-US" w:eastAsia="zh-CN"/>
              </w:rPr>
              <w:noBreakHyphen/>
            </w:r>
            <w:r>
              <w:rPr>
                <w:rFonts w:hint="default"/>
                <w:lang w:val="en-US" w:eastAsia="zh-CN"/>
              </w:rPr>
              <w:t>2018）附录B未直接收录该类混合物质；二者理化特性、环境风险特征与石油醚相近，</w:t>
            </w:r>
            <w:r>
              <w:rPr>
                <w:rFonts w:hint="eastAsia"/>
                <w:lang w:val="en-US" w:eastAsia="zh-CN"/>
              </w:rPr>
              <w:t>故</w:t>
            </w:r>
            <w:r>
              <w:rPr>
                <w:rFonts w:hint="default"/>
                <w:lang w:val="en-US" w:eastAsia="zh-CN"/>
              </w:rPr>
              <w:t>本次环境风险潜势初判参照石油醚临界量10t开展Q值核算。</w:t>
            </w:r>
          </w:p>
        </w:tc>
      </w:tr>
    </w:tbl>
    <w:p w14:paraId="36123190">
      <w:pPr>
        <w:bidi w:val="0"/>
        <w:rPr>
          <w:rFonts w:hint="default"/>
          <w:lang w:val="en-US" w:eastAsia="zh-CN"/>
        </w:rPr>
      </w:pPr>
      <w:r>
        <w:rPr>
          <w:rFonts w:hint="eastAsia"/>
          <w:lang w:val="en-US" w:eastAsia="zh-CN"/>
        </w:rPr>
        <w:t>从环境风险最不利角度考虑，取Qmax=119.68，进行环境影响分析。</w:t>
      </w:r>
    </w:p>
    <w:p w14:paraId="6812354F">
      <w:pPr>
        <w:pStyle w:val="2"/>
        <w:bidi w:val="0"/>
        <w:rPr>
          <w:lang w:val="en-US" w:eastAsia="zh-CN"/>
        </w:rPr>
      </w:pPr>
      <w:r>
        <w:rPr>
          <w:rFonts w:hint="eastAsia"/>
          <w:lang w:val="en-US" w:eastAsia="zh-CN"/>
        </w:rPr>
        <w:t>2.2</w:t>
      </w:r>
      <w:r>
        <w:rPr>
          <w:lang w:val="en-US" w:eastAsia="zh-CN"/>
        </w:rPr>
        <w:t xml:space="preserve">  环境风险敏感特征调查</w:t>
      </w:r>
    </w:p>
    <w:p w14:paraId="1D940014">
      <w:pPr>
        <w:bidi w:val="0"/>
        <w:rPr>
          <w:lang w:val="en-US" w:eastAsia="zh-CN"/>
        </w:rPr>
      </w:pPr>
      <w:r>
        <w:rPr>
          <w:lang w:val="en-US" w:eastAsia="zh-CN"/>
        </w:rPr>
        <w:t>本项目环境风险评价范围内环境敏感目标见下表。</w:t>
      </w:r>
    </w:p>
    <w:p w14:paraId="51D3B3B7">
      <w:pPr>
        <w:pStyle w:val="4"/>
        <w:bidi w:val="0"/>
        <w:rPr>
          <w:lang w:val="en-US" w:eastAsia="zh-CN"/>
        </w:rPr>
      </w:pPr>
      <w:r>
        <w:rPr>
          <w:lang w:val="en-US" w:eastAsia="zh-CN"/>
        </w:rPr>
        <w:t>表</w:t>
      </w:r>
      <w:r>
        <w:rPr>
          <w:rFonts w:hint="eastAsia"/>
          <w:lang w:val="en-US" w:eastAsia="zh-CN"/>
        </w:rPr>
        <w:t>2-2</w:t>
      </w:r>
      <w:r>
        <w:rPr>
          <w:lang w:val="en-US" w:eastAsia="zh-CN"/>
        </w:rPr>
        <w:t xml:space="preserve">  建设项目环境敏感特征表</w:t>
      </w:r>
    </w:p>
    <w:tbl>
      <w:tblPr>
        <w:tblStyle w:val="19"/>
        <w:tblW w:w="9060" w:type="dxa"/>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108" w:type="dxa"/>
          <w:bottom w:w="0" w:type="dxa"/>
          <w:right w:w="108" w:type="dxa"/>
        </w:tblCellMar>
      </w:tblPr>
      <w:tblGrid>
        <w:gridCol w:w="712"/>
        <w:gridCol w:w="701"/>
        <w:gridCol w:w="1465"/>
        <w:gridCol w:w="1598"/>
        <w:gridCol w:w="1052"/>
        <w:gridCol w:w="793"/>
        <w:gridCol w:w="722"/>
        <w:gridCol w:w="2017"/>
      </w:tblGrid>
      <w:tr w14:paraId="5974FB2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shd w:val="clear" w:color="auto" w:fill="auto"/>
            <w:vAlign w:val="center"/>
          </w:tcPr>
          <w:p w14:paraId="62EEFF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类别</w:t>
            </w:r>
          </w:p>
        </w:tc>
        <w:tc>
          <w:tcPr>
            <w:tcW w:w="8348" w:type="dxa"/>
            <w:gridSpan w:val="7"/>
            <w:shd w:val="clear" w:color="auto" w:fill="auto"/>
            <w:vAlign w:val="center"/>
          </w:tcPr>
          <w:p w14:paraId="05DF0F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环境敏感特征</w:t>
            </w:r>
          </w:p>
        </w:tc>
      </w:tr>
      <w:tr w14:paraId="0A803C4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restart"/>
            <w:shd w:val="clear" w:color="auto" w:fill="auto"/>
            <w:vAlign w:val="center"/>
          </w:tcPr>
          <w:p w14:paraId="77D4FC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环境空气</w:t>
            </w:r>
          </w:p>
        </w:tc>
        <w:tc>
          <w:tcPr>
            <w:tcW w:w="8348" w:type="dxa"/>
            <w:gridSpan w:val="7"/>
            <w:shd w:val="clear" w:color="auto" w:fill="auto"/>
            <w:vAlign w:val="center"/>
          </w:tcPr>
          <w:p w14:paraId="40DD72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厂址周边</w:t>
            </w:r>
            <w:r>
              <w:rPr>
                <w:rFonts w:eastAsia="宋体"/>
                <w:kern w:val="2"/>
                <w:sz w:val="21"/>
                <w:szCs w:val="21"/>
                <w:lang w:val="en-US" w:eastAsia="zh-CN" w:bidi="ar-SA"/>
              </w:rPr>
              <w:t>5km</w:t>
            </w:r>
            <w:r>
              <w:rPr>
                <w:rFonts w:eastAsia="宋体" w:cs="Calibri"/>
                <w:kern w:val="2"/>
                <w:sz w:val="21"/>
                <w:szCs w:val="21"/>
                <w:lang w:val="en-US" w:eastAsia="zh-CN" w:bidi="ar-SA"/>
              </w:rPr>
              <w:t>范围内</w:t>
            </w:r>
          </w:p>
        </w:tc>
      </w:tr>
      <w:tr w14:paraId="61E42E4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74962E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701" w:type="dxa"/>
            <w:shd w:val="clear" w:color="auto" w:fill="auto"/>
            <w:vAlign w:val="center"/>
          </w:tcPr>
          <w:p w14:paraId="408FB1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序号</w:t>
            </w:r>
          </w:p>
        </w:tc>
        <w:tc>
          <w:tcPr>
            <w:tcW w:w="1465" w:type="dxa"/>
            <w:shd w:val="clear" w:color="auto" w:fill="auto"/>
            <w:vAlign w:val="center"/>
          </w:tcPr>
          <w:p w14:paraId="63A946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敏感目标</w:t>
            </w:r>
          </w:p>
        </w:tc>
        <w:tc>
          <w:tcPr>
            <w:tcW w:w="1598" w:type="dxa"/>
            <w:shd w:val="clear" w:color="auto" w:fill="auto"/>
            <w:vAlign w:val="center"/>
          </w:tcPr>
          <w:p w14:paraId="700977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相对方位</w:t>
            </w:r>
          </w:p>
        </w:tc>
        <w:tc>
          <w:tcPr>
            <w:tcW w:w="1052" w:type="dxa"/>
            <w:shd w:val="clear" w:color="auto" w:fill="auto"/>
            <w:vAlign w:val="center"/>
          </w:tcPr>
          <w:p w14:paraId="364981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距离/m</w:t>
            </w:r>
          </w:p>
        </w:tc>
        <w:tc>
          <w:tcPr>
            <w:tcW w:w="1515" w:type="dxa"/>
            <w:gridSpan w:val="2"/>
            <w:shd w:val="clear" w:color="auto" w:fill="auto"/>
            <w:vAlign w:val="center"/>
          </w:tcPr>
          <w:p w14:paraId="3CFDE3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属性</w:t>
            </w:r>
          </w:p>
        </w:tc>
        <w:tc>
          <w:tcPr>
            <w:tcW w:w="2017" w:type="dxa"/>
            <w:shd w:val="clear" w:color="auto" w:fill="auto"/>
            <w:vAlign w:val="center"/>
          </w:tcPr>
          <w:p w14:paraId="72FCA8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人口数</w:t>
            </w:r>
          </w:p>
        </w:tc>
      </w:tr>
      <w:tr w14:paraId="00DD3C6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09CFBB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701" w:type="dxa"/>
            <w:shd w:val="clear" w:color="auto" w:fill="auto"/>
            <w:vAlign w:val="center"/>
          </w:tcPr>
          <w:p w14:paraId="01512F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1</w:t>
            </w:r>
          </w:p>
        </w:tc>
        <w:tc>
          <w:tcPr>
            <w:tcW w:w="1465" w:type="dxa"/>
            <w:shd w:val="clear" w:color="auto" w:fill="auto"/>
            <w:vAlign w:val="center"/>
          </w:tcPr>
          <w:p w14:paraId="228D64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阿克亚村</w:t>
            </w:r>
          </w:p>
        </w:tc>
        <w:tc>
          <w:tcPr>
            <w:tcW w:w="1598" w:type="dxa"/>
            <w:shd w:val="clear" w:color="auto" w:fill="auto"/>
            <w:vAlign w:val="center"/>
          </w:tcPr>
          <w:p w14:paraId="255BA8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东南侧</w:t>
            </w:r>
          </w:p>
        </w:tc>
        <w:tc>
          <w:tcPr>
            <w:tcW w:w="1052" w:type="dxa"/>
            <w:shd w:val="clear" w:color="auto" w:fill="auto"/>
            <w:vAlign w:val="center"/>
          </w:tcPr>
          <w:p w14:paraId="484D94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约2.3km</w:t>
            </w:r>
          </w:p>
        </w:tc>
        <w:tc>
          <w:tcPr>
            <w:tcW w:w="1515" w:type="dxa"/>
            <w:gridSpan w:val="2"/>
            <w:shd w:val="clear" w:color="auto" w:fill="auto"/>
            <w:vAlign w:val="center"/>
          </w:tcPr>
          <w:p w14:paraId="63543A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居民</w:t>
            </w:r>
          </w:p>
        </w:tc>
        <w:tc>
          <w:tcPr>
            <w:tcW w:w="2017" w:type="dxa"/>
            <w:shd w:val="clear" w:color="auto" w:fill="auto"/>
            <w:vAlign w:val="center"/>
          </w:tcPr>
          <w:p w14:paraId="3150B9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约</w:t>
            </w:r>
            <w:r>
              <w:rPr>
                <w:rFonts w:eastAsia="宋体"/>
                <w:kern w:val="2"/>
                <w:sz w:val="21"/>
                <w:szCs w:val="21"/>
                <w:lang w:val="en-US" w:eastAsia="zh-CN" w:bidi="ar-SA"/>
              </w:rPr>
              <w:t>340</w:t>
            </w:r>
            <w:r>
              <w:rPr>
                <w:rFonts w:eastAsia="宋体" w:cs="Calibri"/>
                <w:kern w:val="2"/>
                <w:sz w:val="21"/>
                <w:szCs w:val="21"/>
                <w:lang w:val="en-US" w:eastAsia="zh-CN" w:bidi="ar-SA"/>
              </w:rPr>
              <w:t>人</w:t>
            </w:r>
          </w:p>
        </w:tc>
      </w:tr>
      <w:tr w14:paraId="6B5A685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42623C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701" w:type="dxa"/>
            <w:shd w:val="clear" w:color="auto" w:fill="auto"/>
            <w:vAlign w:val="center"/>
          </w:tcPr>
          <w:p w14:paraId="4DABED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2</w:t>
            </w:r>
          </w:p>
        </w:tc>
        <w:tc>
          <w:tcPr>
            <w:tcW w:w="1465" w:type="dxa"/>
            <w:shd w:val="clear" w:color="auto" w:fill="auto"/>
            <w:vAlign w:val="center"/>
          </w:tcPr>
          <w:p w14:paraId="57BBB5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拉依苏村</w:t>
            </w:r>
          </w:p>
        </w:tc>
        <w:tc>
          <w:tcPr>
            <w:tcW w:w="1598" w:type="dxa"/>
            <w:shd w:val="clear" w:color="auto" w:fill="auto"/>
            <w:vAlign w:val="center"/>
          </w:tcPr>
          <w:p w14:paraId="573E66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西南偏西侧</w:t>
            </w:r>
          </w:p>
        </w:tc>
        <w:tc>
          <w:tcPr>
            <w:tcW w:w="1052" w:type="dxa"/>
            <w:shd w:val="clear" w:color="auto" w:fill="auto"/>
            <w:vAlign w:val="center"/>
          </w:tcPr>
          <w:p w14:paraId="0FF64C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约3.7km</w:t>
            </w:r>
          </w:p>
        </w:tc>
        <w:tc>
          <w:tcPr>
            <w:tcW w:w="1515" w:type="dxa"/>
            <w:gridSpan w:val="2"/>
            <w:shd w:val="clear" w:color="auto" w:fill="auto"/>
            <w:vAlign w:val="center"/>
          </w:tcPr>
          <w:p w14:paraId="76EFE6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居民</w:t>
            </w:r>
          </w:p>
        </w:tc>
        <w:tc>
          <w:tcPr>
            <w:tcW w:w="2017" w:type="dxa"/>
            <w:shd w:val="clear" w:color="auto" w:fill="auto"/>
            <w:vAlign w:val="center"/>
          </w:tcPr>
          <w:p w14:paraId="6C5DF3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约</w:t>
            </w:r>
            <w:r>
              <w:rPr>
                <w:rFonts w:eastAsia="宋体"/>
                <w:kern w:val="2"/>
                <w:sz w:val="21"/>
                <w:szCs w:val="21"/>
                <w:lang w:val="en-US" w:eastAsia="zh-CN" w:bidi="ar-SA"/>
              </w:rPr>
              <w:t>320</w:t>
            </w:r>
            <w:r>
              <w:rPr>
                <w:rFonts w:eastAsia="宋体" w:cs="Calibri"/>
                <w:kern w:val="2"/>
                <w:sz w:val="21"/>
                <w:szCs w:val="21"/>
                <w:lang w:val="en-US" w:eastAsia="zh-CN" w:bidi="ar-SA"/>
              </w:rPr>
              <w:t>人</w:t>
            </w:r>
          </w:p>
        </w:tc>
      </w:tr>
      <w:tr w14:paraId="5427F9F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06620E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6331" w:type="dxa"/>
            <w:gridSpan w:val="6"/>
            <w:shd w:val="clear" w:color="auto" w:fill="auto"/>
            <w:vAlign w:val="center"/>
          </w:tcPr>
          <w:p w14:paraId="7AC79B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厂址周边</w:t>
            </w:r>
            <w:r>
              <w:rPr>
                <w:rFonts w:eastAsia="宋体"/>
                <w:kern w:val="2"/>
                <w:sz w:val="21"/>
                <w:szCs w:val="21"/>
                <w:lang w:val="en-US" w:eastAsia="zh-CN" w:bidi="ar-SA"/>
              </w:rPr>
              <w:t>500m</w:t>
            </w:r>
            <w:r>
              <w:rPr>
                <w:rFonts w:eastAsia="宋体" w:cs="Calibri"/>
                <w:kern w:val="2"/>
                <w:sz w:val="21"/>
                <w:szCs w:val="21"/>
                <w:lang w:val="en-US" w:eastAsia="zh-CN" w:bidi="ar-SA"/>
              </w:rPr>
              <w:t>范围内人口数小计</w:t>
            </w:r>
          </w:p>
        </w:tc>
        <w:tc>
          <w:tcPr>
            <w:tcW w:w="2017" w:type="dxa"/>
            <w:shd w:val="clear" w:color="auto" w:fill="auto"/>
            <w:vAlign w:val="center"/>
          </w:tcPr>
          <w:p w14:paraId="56AD5F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kern w:val="2"/>
                <w:sz w:val="21"/>
                <w:szCs w:val="21"/>
                <w:lang w:val="en-US" w:eastAsia="zh-CN" w:bidi="ar-SA"/>
              </w:rPr>
              <w:t>165</w:t>
            </w:r>
            <w:r>
              <w:rPr>
                <w:rFonts w:eastAsia="宋体" w:cs="Calibri"/>
                <w:kern w:val="2"/>
                <w:sz w:val="21"/>
                <w:szCs w:val="21"/>
                <w:lang w:val="en-US" w:eastAsia="zh-CN" w:bidi="ar-SA"/>
              </w:rPr>
              <w:t>人</w:t>
            </w:r>
          </w:p>
        </w:tc>
      </w:tr>
      <w:tr w14:paraId="6CA4748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1CAD45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6331" w:type="dxa"/>
            <w:gridSpan w:val="6"/>
            <w:shd w:val="clear" w:color="auto" w:fill="auto"/>
            <w:vAlign w:val="center"/>
          </w:tcPr>
          <w:p w14:paraId="3E48B3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厂址周边</w:t>
            </w:r>
            <w:r>
              <w:rPr>
                <w:rFonts w:eastAsia="宋体"/>
                <w:kern w:val="2"/>
                <w:sz w:val="21"/>
                <w:szCs w:val="21"/>
                <w:lang w:val="en-US" w:eastAsia="zh-CN" w:bidi="ar-SA"/>
              </w:rPr>
              <w:t>5km</w:t>
            </w:r>
            <w:r>
              <w:rPr>
                <w:rFonts w:eastAsia="宋体" w:cs="Calibri"/>
                <w:kern w:val="2"/>
                <w:sz w:val="21"/>
                <w:szCs w:val="21"/>
                <w:lang w:val="en-US" w:eastAsia="zh-CN" w:bidi="ar-SA"/>
              </w:rPr>
              <w:t>范围内人口数小计</w:t>
            </w:r>
          </w:p>
        </w:tc>
        <w:tc>
          <w:tcPr>
            <w:tcW w:w="2017" w:type="dxa"/>
            <w:shd w:val="clear" w:color="auto" w:fill="auto"/>
            <w:vAlign w:val="center"/>
          </w:tcPr>
          <w:p w14:paraId="061EF4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约</w:t>
            </w:r>
            <w:r>
              <w:rPr>
                <w:rFonts w:hint="eastAsia"/>
                <w:kern w:val="2"/>
                <w:sz w:val="21"/>
                <w:szCs w:val="21"/>
                <w:lang w:val="en-US" w:eastAsia="zh-CN" w:bidi="ar-SA"/>
              </w:rPr>
              <w:t>825</w:t>
            </w:r>
            <w:r>
              <w:rPr>
                <w:rFonts w:eastAsia="宋体" w:cs="Calibri"/>
                <w:kern w:val="2"/>
                <w:sz w:val="21"/>
                <w:szCs w:val="21"/>
                <w:lang w:val="en-US" w:eastAsia="zh-CN" w:bidi="ar-SA"/>
              </w:rPr>
              <w:t>人</w:t>
            </w:r>
          </w:p>
        </w:tc>
      </w:tr>
      <w:tr w14:paraId="525C25A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7C188D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6331" w:type="dxa"/>
            <w:gridSpan w:val="6"/>
            <w:shd w:val="clear" w:color="auto" w:fill="auto"/>
            <w:vAlign w:val="center"/>
          </w:tcPr>
          <w:p w14:paraId="54FC5B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大气环境敏感程度</w:t>
            </w:r>
            <w:r>
              <w:rPr>
                <w:rFonts w:eastAsia="宋体"/>
                <w:kern w:val="2"/>
                <w:sz w:val="21"/>
                <w:szCs w:val="21"/>
                <w:lang w:val="en-US" w:eastAsia="zh-CN" w:bidi="ar-SA"/>
              </w:rPr>
              <w:t>E</w:t>
            </w:r>
            <w:r>
              <w:rPr>
                <w:rFonts w:eastAsia="宋体" w:cs="Calibri"/>
                <w:kern w:val="2"/>
                <w:sz w:val="21"/>
                <w:szCs w:val="21"/>
                <w:lang w:val="en-US" w:eastAsia="zh-CN" w:bidi="ar-SA"/>
              </w:rPr>
              <w:t>值</w:t>
            </w:r>
          </w:p>
        </w:tc>
        <w:tc>
          <w:tcPr>
            <w:tcW w:w="2017" w:type="dxa"/>
            <w:shd w:val="clear" w:color="auto" w:fill="auto"/>
            <w:vAlign w:val="center"/>
          </w:tcPr>
          <w:p w14:paraId="705D9C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E3</w:t>
            </w:r>
          </w:p>
        </w:tc>
      </w:tr>
      <w:tr w14:paraId="6344659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restart"/>
            <w:shd w:val="clear" w:color="auto" w:fill="auto"/>
            <w:vAlign w:val="center"/>
          </w:tcPr>
          <w:p w14:paraId="341D0A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地表水</w:t>
            </w:r>
          </w:p>
        </w:tc>
        <w:tc>
          <w:tcPr>
            <w:tcW w:w="8348" w:type="dxa"/>
            <w:gridSpan w:val="7"/>
            <w:shd w:val="clear" w:color="auto" w:fill="auto"/>
            <w:vAlign w:val="center"/>
          </w:tcPr>
          <w:p w14:paraId="5927B4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受纳水体</w:t>
            </w:r>
          </w:p>
        </w:tc>
      </w:tr>
      <w:tr w14:paraId="4D729EB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51FA62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701" w:type="dxa"/>
            <w:shd w:val="clear" w:color="auto" w:fill="auto"/>
            <w:vAlign w:val="center"/>
          </w:tcPr>
          <w:p w14:paraId="0DB19E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序号</w:t>
            </w:r>
          </w:p>
        </w:tc>
        <w:tc>
          <w:tcPr>
            <w:tcW w:w="1465" w:type="dxa"/>
            <w:shd w:val="clear" w:color="auto" w:fill="auto"/>
            <w:vAlign w:val="center"/>
          </w:tcPr>
          <w:p w14:paraId="72081F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受纳水体名称</w:t>
            </w:r>
          </w:p>
        </w:tc>
        <w:tc>
          <w:tcPr>
            <w:tcW w:w="2650" w:type="dxa"/>
            <w:gridSpan w:val="2"/>
            <w:shd w:val="clear" w:color="auto" w:fill="auto"/>
            <w:vAlign w:val="center"/>
          </w:tcPr>
          <w:p w14:paraId="3C9C0B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排放点水域环境功能</w:t>
            </w:r>
          </w:p>
        </w:tc>
        <w:tc>
          <w:tcPr>
            <w:tcW w:w="3532" w:type="dxa"/>
            <w:gridSpan w:val="3"/>
            <w:shd w:val="clear" w:color="auto" w:fill="auto"/>
            <w:vAlign w:val="center"/>
          </w:tcPr>
          <w:p w14:paraId="4972A0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24h内流经范围/km</w:t>
            </w:r>
          </w:p>
        </w:tc>
      </w:tr>
      <w:tr w14:paraId="39D941D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413F88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701" w:type="dxa"/>
            <w:shd w:val="clear" w:color="auto" w:fill="auto"/>
            <w:vAlign w:val="center"/>
          </w:tcPr>
          <w:p w14:paraId="3D5ED5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1</w:t>
            </w:r>
          </w:p>
        </w:tc>
        <w:tc>
          <w:tcPr>
            <w:tcW w:w="1465" w:type="dxa"/>
            <w:shd w:val="clear" w:color="auto" w:fill="auto"/>
            <w:vAlign w:val="center"/>
          </w:tcPr>
          <w:p w14:paraId="7A32D7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不外排</w:t>
            </w:r>
          </w:p>
        </w:tc>
        <w:tc>
          <w:tcPr>
            <w:tcW w:w="2650" w:type="dxa"/>
            <w:gridSpan w:val="2"/>
            <w:shd w:val="clear" w:color="auto" w:fill="auto"/>
            <w:vAlign w:val="center"/>
          </w:tcPr>
          <w:p w14:paraId="0B8B47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w:t>
            </w:r>
          </w:p>
        </w:tc>
        <w:tc>
          <w:tcPr>
            <w:tcW w:w="3532" w:type="dxa"/>
            <w:gridSpan w:val="3"/>
            <w:shd w:val="clear" w:color="auto" w:fill="auto"/>
            <w:vAlign w:val="center"/>
          </w:tcPr>
          <w:p w14:paraId="79512A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w:t>
            </w:r>
          </w:p>
        </w:tc>
      </w:tr>
      <w:tr w14:paraId="355B48D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5EBF32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8348" w:type="dxa"/>
            <w:gridSpan w:val="7"/>
            <w:shd w:val="clear" w:color="auto" w:fill="auto"/>
            <w:vAlign w:val="center"/>
          </w:tcPr>
          <w:p w14:paraId="67F822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内陆水体排放点下游</w:t>
            </w:r>
            <w:r>
              <w:rPr>
                <w:rFonts w:eastAsia="宋体"/>
                <w:kern w:val="2"/>
                <w:sz w:val="21"/>
                <w:szCs w:val="21"/>
                <w:lang w:val="en-US" w:eastAsia="zh-CN" w:bidi="ar-SA"/>
              </w:rPr>
              <w:t>10km</w:t>
            </w:r>
            <w:r>
              <w:rPr>
                <w:rFonts w:eastAsia="宋体" w:cs="Calibri"/>
                <w:kern w:val="2"/>
                <w:sz w:val="21"/>
                <w:szCs w:val="21"/>
                <w:lang w:val="en-US" w:eastAsia="zh-CN" w:bidi="ar-SA"/>
              </w:rPr>
              <w:t>（近岸海域一个潮周期最大水平距离两倍）范围内敏感目标</w:t>
            </w:r>
          </w:p>
        </w:tc>
      </w:tr>
      <w:tr w14:paraId="48CB59C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shd w:val="clear" w:color="auto" w:fill="auto"/>
            <w:vAlign w:val="center"/>
          </w:tcPr>
          <w:p w14:paraId="0A0564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701" w:type="dxa"/>
            <w:shd w:val="clear" w:color="auto" w:fill="auto"/>
            <w:vAlign w:val="center"/>
          </w:tcPr>
          <w:p w14:paraId="0BFD9A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序号</w:t>
            </w:r>
          </w:p>
        </w:tc>
        <w:tc>
          <w:tcPr>
            <w:tcW w:w="1465" w:type="dxa"/>
            <w:shd w:val="clear" w:color="auto" w:fill="auto"/>
            <w:vAlign w:val="center"/>
          </w:tcPr>
          <w:p w14:paraId="1B13BE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敏感目标名称</w:t>
            </w:r>
          </w:p>
        </w:tc>
        <w:tc>
          <w:tcPr>
            <w:tcW w:w="1598" w:type="dxa"/>
            <w:shd w:val="clear" w:color="auto" w:fill="auto"/>
            <w:vAlign w:val="center"/>
          </w:tcPr>
          <w:p w14:paraId="5F88BC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环境敏感特征</w:t>
            </w:r>
          </w:p>
        </w:tc>
        <w:tc>
          <w:tcPr>
            <w:tcW w:w="1845" w:type="dxa"/>
            <w:gridSpan w:val="2"/>
            <w:shd w:val="clear" w:color="auto" w:fill="auto"/>
            <w:vAlign w:val="center"/>
          </w:tcPr>
          <w:p w14:paraId="1BC235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水质目标</w:t>
            </w:r>
          </w:p>
        </w:tc>
        <w:tc>
          <w:tcPr>
            <w:tcW w:w="2739" w:type="dxa"/>
            <w:gridSpan w:val="2"/>
            <w:shd w:val="clear" w:color="auto" w:fill="auto"/>
            <w:vAlign w:val="center"/>
          </w:tcPr>
          <w:p w14:paraId="04804B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与排放点距离/m</w:t>
            </w:r>
          </w:p>
        </w:tc>
      </w:tr>
      <w:tr w14:paraId="59F3859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3C3F37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701" w:type="dxa"/>
            <w:shd w:val="clear" w:color="auto" w:fill="auto"/>
            <w:vAlign w:val="center"/>
          </w:tcPr>
          <w:p w14:paraId="604F62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w:t>
            </w:r>
          </w:p>
        </w:tc>
        <w:tc>
          <w:tcPr>
            <w:tcW w:w="1465" w:type="dxa"/>
            <w:shd w:val="clear" w:color="auto" w:fill="auto"/>
            <w:vAlign w:val="center"/>
          </w:tcPr>
          <w:p w14:paraId="607E84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eastAsia="宋体"/>
                <w:kern w:val="2"/>
                <w:sz w:val="21"/>
                <w:szCs w:val="21"/>
                <w:lang w:val="en-US" w:eastAsia="zh-CN" w:bidi="ar-SA"/>
              </w:rPr>
            </w:pPr>
            <w:r>
              <w:rPr>
                <w:rFonts w:hint="eastAsia"/>
                <w:kern w:val="2"/>
                <w:sz w:val="21"/>
                <w:szCs w:val="21"/>
                <w:lang w:val="en-US" w:eastAsia="zh-CN" w:bidi="ar-SA"/>
              </w:rPr>
              <w:t>/</w:t>
            </w:r>
          </w:p>
        </w:tc>
        <w:tc>
          <w:tcPr>
            <w:tcW w:w="1598" w:type="dxa"/>
            <w:shd w:val="clear" w:color="auto" w:fill="auto"/>
            <w:vAlign w:val="center"/>
          </w:tcPr>
          <w:p w14:paraId="70A450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kern w:val="2"/>
                <w:sz w:val="21"/>
                <w:szCs w:val="21"/>
                <w:lang w:val="en-US" w:eastAsia="zh-CN" w:bidi="ar-SA"/>
              </w:rPr>
            </w:pPr>
            <w:r>
              <w:rPr>
                <w:rFonts w:hint="eastAsia"/>
                <w:kern w:val="2"/>
                <w:sz w:val="21"/>
                <w:szCs w:val="21"/>
                <w:lang w:val="en-US" w:eastAsia="zh-CN" w:bidi="ar-SA"/>
              </w:rPr>
              <w:t>/</w:t>
            </w:r>
          </w:p>
        </w:tc>
        <w:tc>
          <w:tcPr>
            <w:tcW w:w="1845" w:type="dxa"/>
            <w:gridSpan w:val="2"/>
            <w:shd w:val="clear" w:color="auto" w:fill="auto"/>
            <w:vAlign w:val="center"/>
          </w:tcPr>
          <w:p w14:paraId="6AB638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kern w:val="2"/>
                <w:sz w:val="21"/>
                <w:szCs w:val="21"/>
                <w:lang w:val="en-US" w:eastAsia="zh-CN" w:bidi="ar-SA"/>
              </w:rPr>
            </w:pPr>
            <w:r>
              <w:rPr>
                <w:rFonts w:hint="eastAsia"/>
                <w:kern w:val="2"/>
                <w:sz w:val="21"/>
                <w:szCs w:val="21"/>
                <w:lang w:val="en-US" w:eastAsia="zh-CN" w:bidi="ar-SA"/>
              </w:rPr>
              <w:t>/</w:t>
            </w:r>
          </w:p>
        </w:tc>
        <w:tc>
          <w:tcPr>
            <w:tcW w:w="2739" w:type="dxa"/>
            <w:gridSpan w:val="2"/>
            <w:shd w:val="clear" w:color="auto" w:fill="auto"/>
            <w:vAlign w:val="center"/>
          </w:tcPr>
          <w:p w14:paraId="6B9BFA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kern w:val="2"/>
                <w:sz w:val="21"/>
                <w:szCs w:val="21"/>
                <w:lang w:val="en-US" w:eastAsia="zh-CN" w:bidi="ar-SA"/>
              </w:rPr>
            </w:pPr>
            <w:r>
              <w:rPr>
                <w:rFonts w:hint="eastAsia"/>
                <w:kern w:val="2"/>
                <w:sz w:val="21"/>
                <w:szCs w:val="21"/>
                <w:lang w:val="en-US" w:eastAsia="zh-CN" w:bidi="ar-SA"/>
              </w:rPr>
              <w:t>/</w:t>
            </w:r>
          </w:p>
        </w:tc>
      </w:tr>
      <w:tr w14:paraId="49D32BE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6E57D5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6331" w:type="dxa"/>
            <w:gridSpan w:val="6"/>
            <w:shd w:val="clear" w:color="auto" w:fill="auto"/>
            <w:vAlign w:val="center"/>
          </w:tcPr>
          <w:p w14:paraId="3AAB66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地表水环境敏感程度</w:t>
            </w:r>
            <w:r>
              <w:rPr>
                <w:rFonts w:eastAsia="宋体"/>
                <w:kern w:val="2"/>
                <w:sz w:val="21"/>
                <w:szCs w:val="21"/>
                <w:lang w:val="en-US" w:eastAsia="zh-CN" w:bidi="ar-SA"/>
              </w:rPr>
              <w:t>E</w:t>
            </w:r>
            <w:r>
              <w:rPr>
                <w:rFonts w:eastAsia="宋体" w:cs="Calibri"/>
                <w:kern w:val="2"/>
                <w:sz w:val="21"/>
                <w:szCs w:val="21"/>
                <w:lang w:val="en-US" w:eastAsia="zh-CN" w:bidi="ar-SA"/>
              </w:rPr>
              <w:t>值</w:t>
            </w:r>
          </w:p>
        </w:tc>
        <w:tc>
          <w:tcPr>
            <w:tcW w:w="2017" w:type="dxa"/>
            <w:shd w:val="clear" w:color="auto" w:fill="auto"/>
            <w:vAlign w:val="center"/>
          </w:tcPr>
          <w:p w14:paraId="5C7684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E3</w:t>
            </w:r>
          </w:p>
        </w:tc>
      </w:tr>
      <w:tr w14:paraId="07E2CD1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restart"/>
            <w:shd w:val="clear" w:color="auto" w:fill="auto"/>
            <w:vAlign w:val="center"/>
          </w:tcPr>
          <w:p w14:paraId="454945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地下水</w:t>
            </w:r>
          </w:p>
        </w:tc>
        <w:tc>
          <w:tcPr>
            <w:tcW w:w="701" w:type="dxa"/>
            <w:shd w:val="clear" w:color="auto" w:fill="auto"/>
            <w:vAlign w:val="center"/>
          </w:tcPr>
          <w:p w14:paraId="26E998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序号</w:t>
            </w:r>
          </w:p>
        </w:tc>
        <w:tc>
          <w:tcPr>
            <w:tcW w:w="1465" w:type="dxa"/>
            <w:shd w:val="clear" w:color="auto" w:fill="auto"/>
            <w:vAlign w:val="center"/>
          </w:tcPr>
          <w:p w14:paraId="6A8A40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环境敏感区名称</w:t>
            </w:r>
          </w:p>
        </w:tc>
        <w:tc>
          <w:tcPr>
            <w:tcW w:w="1598" w:type="dxa"/>
            <w:shd w:val="clear" w:color="auto" w:fill="auto"/>
            <w:vAlign w:val="center"/>
          </w:tcPr>
          <w:p w14:paraId="54CB0F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环境敏感特征</w:t>
            </w:r>
          </w:p>
        </w:tc>
        <w:tc>
          <w:tcPr>
            <w:tcW w:w="1052" w:type="dxa"/>
            <w:shd w:val="clear" w:color="auto" w:fill="auto"/>
            <w:vAlign w:val="center"/>
          </w:tcPr>
          <w:p w14:paraId="0D18AF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水质目标</w:t>
            </w:r>
          </w:p>
        </w:tc>
        <w:tc>
          <w:tcPr>
            <w:tcW w:w="1515" w:type="dxa"/>
            <w:gridSpan w:val="2"/>
            <w:shd w:val="clear" w:color="auto" w:fill="auto"/>
            <w:vAlign w:val="center"/>
          </w:tcPr>
          <w:p w14:paraId="0715CB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包气带防污性能</w:t>
            </w:r>
          </w:p>
        </w:tc>
        <w:tc>
          <w:tcPr>
            <w:tcW w:w="2017" w:type="dxa"/>
            <w:shd w:val="clear" w:color="auto" w:fill="auto"/>
            <w:vAlign w:val="center"/>
          </w:tcPr>
          <w:p w14:paraId="6A20D0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与下游厂界距离/m</w:t>
            </w:r>
          </w:p>
        </w:tc>
      </w:tr>
      <w:tr w14:paraId="6238276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22E3E0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701" w:type="dxa"/>
            <w:shd w:val="clear" w:color="auto" w:fill="auto"/>
            <w:vAlign w:val="center"/>
          </w:tcPr>
          <w:p w14:paraId="1B36B7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1</w:t>
            </w:r>
          </w:p>
        </w:tc>
        <w:tc>
          <w:tcPr>
            <w:tcW w:w="1465" w:type="dxa"/>
            <w:shd w:val="clear" w:color="auto" w:fill="auto"/>
            <w:vAlign w:val="center"/>
          </w:tcPr>
          <w:p w14:paraId="1D1F51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不敏感</w:t>
            </w:r>
          </w:p>
        </w:tc>
        <w:tc>
          <w:tcPr>
            <w:tcW w:w="1598" w:type="dxa"/>
            <w:shd w:val="clear" w:color="auto" w:fill="auto"/>
            <w:vAlign w:val="center"/>
          </w:tcPr>
          <w:p w14:paraId="557A45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G3</w:t>
            </w:r>
          </w:p>
        </w:tc>
        <w:tc>
          <w:tcPr>
            <w:tcW w:w="1052" w:type="dxa"/>
            <w:shd w:val="clear" w:color="auto" w:fill="auto"/>
            <w:vAlign w:val="center"/>
          </w:tcPr>
          <w:p w14:paraId="4EBF85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hint="eastAsia"/>
                <w:kern w:val="2"/>
                <w:sz w:val="21"/>
                <w:szCs w:val="21"/>
                <w:lang w:val="en-US" w:eastAsia="zh-CN" w:bidi="ar-SA"/>
              </w:rPr>
              <w:t>Ⅲ</w:t>
            </w:r>
          </w:p>
        </w:tc>
        <w:tc>
          <w:tcPr>
            <w:tcW w:w="1515" w:type="dxa"/>
            <w:gridSpan w:val="2"/>
            <w:shd w:val="clear" w:color="auto" w:fill="auto"/>
            <w:vAlign w:val="center"/>
          </w:tcPr>
          <w:p w14:paraId="2472B8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D1</w:t>
            </w:r>
          </w:p>
        </w:tc>
        <w:tc>
          <w:tcPr>
            <w:tcW w:w="2017" w:type="dxa"/>
            <w:shd w:val="clear" w:color="auto" w:fill="auto"/>
            <w:vAlign w:val="center"/>
          </w:tcPr>
          <w:p w14:paraId="600CB2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w:t>
            </w:r>
          </w:p>
        </w:tc>
      </w:tr>
      <w:tr w14:paraId="201C04C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1F4B77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6331" w:type="dxa"/>
            <w:gridSpan w:val="6"/>
            <w:shd w:val="clear" w:color="auto" w:fill="auto"/>
            <w:vAlign w:val="center"/>
          </w:tcPr>
          <w:p w14:paraId="2D324D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地下水环境敏感程度</w:t>
            </w:r>
            <w:r>
              <w:rPr>
                <w:rFonts w:eastAsia="宋体"/>
                <w:kern w:val="2"/>
                <w:sz w:val="21"/>
                <w:szCs w:val="21"/>
                <w:lang w:val="en-US" w:eastAsia="zh-CN" w:bidi="ar-SA"/>
              </w:rPr>
              <w:t>E</w:t>
            </w:r>
            <w:r>
              <w:rPr>
                <w:rFonts w:eastAsia="宋体" w:cs="Calibri"/>
                <w:kern w:val="2"/>
                <w:sz w:val="21"/>
                <w:szCs w:val="21"/>
                <w:lang w:val="en-US" w:eastAsia="zh-CN" w:bidi="ar-SA"/>
              </w:rPr>
              <w:t>值</w:t>
            </w:r>
          </w:p>
        </w:tc>
        <w:tc>
          <w:tcPr>
            <w:tcW w:w="2017" w:type="dxa"/>
            <w:shd w:val="clear" w:color="auto" w:fill="auto"/>
            <w:vAlign w:val="center"/>
          </w:tcPr>
          <w:p w14:paraId="7DE6F3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kern w:val="2"/>
                <w:sz w:val="21"/>
                <w:szCs w:val="21"/>
                <w:lang w:val="en-US" w:eastAsia="zh-CN" w:bidi="ar-SA"/>
              </w:rPr>
            </w:pPr>
            <w:r>
              <w:rPr>
                <w:rFonts w:eastAsia="宋体"/>
                <w:kern w:val="2"/>
                <w:sz w:val="21"/>
                <w:szCs w:val="21"/>
                <w:lang w:val="en-US" w:eastAsia="zh-CN" w:bidi="ar-SA"/>
              </w:rPr>
              <w:t>E2</w:t>
            </w:r>
          </w:p>
        </w:tc>
      </w:tr>
    </w:tbl>
    <w:p w14:paraId="00B6FDB4">
      <w:pPr>
        <w:pStyle w:val="2"/>
        <w:bidi w:val="0"/>
        <w:rPr>
          <w:lang w:val="en-US" w:eastAsia="zh-CN"/>
        </w:rPr>
      </w:pPr>
      <w:r>
        <w:rPr>
          <w:rFonts w:hint="eastAsia"/>
          <w:lang w:val="en-US" w:eastAsia="zh-CN"/>
        </w:rPr>
        <w:t xml:space="preserve">3 </w:t>
      </w:r>
      <w:r>
        <w:rPr>
          <w:lang w:val="en-US" w:eastAsia="zh-CN"/>
        </w:rPr>
        <w:t>环境风险潜势初判</w:t>
      </w:r>
    </w:p>
    <w:p w14:paraId="072FA2C2">
      <w:pPr>
        <w:pStyle w:val="2"/>
        <w:bidi w:val="0"/>
        <w:rPr>
          <w:lang w:val="en-US" w:eastAsia="zh-CN"/>
        </w:rPr>
      </w:pPr>
      <w:r>
        <w:rPr>
          <w:rFonts w:hint="eastAsia"/>
          <w:lang w:val="en-US" w:eastAsia="zh-CN"/>
        </w:rPr>
        <w:t xml:space="preserve">3.1 </w:t>
      </w:r>
      <w:r>
        <w:rPr>
          <w:lang w:val="en-US" w:eastAsia="zh-CN"/>
        </w:rPr>
        <w:t>P的分级确定</w:t>
      </w:r>
    </w:p>
    <w:p w14:paraId="4983A114">
      <w:pPr>
        <w:bidi w:val="0"/>
        <w:rPr>
          <w:lang w:val="en-US" w:eastAsia="zh-CN"/>
        </w:rPr>
      </w:pPr>
      <w:r>
        <w:rPr>
          <w:lang w:val="en-US" w:eastAsia="zh-CN"/>
        </w:rPr>
        <w:t>（1）危险物质数量与临界量比值（Q）</w:t>
      </w:r>
    </w:p>
    <w:p w14:paraId="59C74EDF">
      <w:pPr>
        <w:bidi w:val="0"/>
        <w:rPr>
          <w:lang w:val="en-US" w:eastAsia="zh-CN"/>
        </w:rPr>
      </w:pPr>
      <w:r>
        <w:rPr>
          <w:lang w:val="en-US" w:eastAsia="zh-CN"/>
        </w:rPr>
        <w:t>根据《建设项目环境风险评价技术导则》（HJ169-2018）附录C中“C.1.1危险物质数量与临界量比值”，计算本项目的危险物质数量与临界量比值，计算方法如下：</w:t>
      </w:r>
    </w:p>
    <w:p w14:paraId="4E29B7FF">
      <w:pPr>
        <w:bidi w:val="0"/>
        <w:rPr>
          <w:lang w:val="en-US" w:eastAsia="zh-CN"/>
        </w:rPr>
      </w:pPr>
      <w:r>
        <w:rPr>
          <w:lang w:val="en-US" w:eastAsia="zh-CN"/>
        </w:rPr>
        <w:t>计算所涉及的每种危险物质在厂界内的最大存在总量与其在附录B中对应临界量的比值Q。在不同厂区的同一种物质，按其在厂界内的最大存在总量计算。</w:t>
      </w:r>
    </w:p>
    <w:p w14:paraId="31849C90">
      <w:pPr>
        <w:bidi w:val="0"/>
        <w:rPr>
          <w:lang w:val="en-US" w:eastAsia="zh-CN"/>
        </w:rPr>
      </w:pPr>
      <w:r>
        <w:rPr>
          <w:lang w:val="en-US" w:eastAsia="zh-CN"/>
        </w:rPr>
        <w:t>当只涉及一种危险物质时，计算该物质的总量与其临界量比值，即为Q；</w:t>
      </w:r>
    </w:p>
    <w:p w14:paraId="3A9B70BC">
      <w:pPr>
        <w:bidi w:val="0"/>
        <w:rPr>
          <w:lang w:val="en-US" w:eastAsia="zh-CN"/>
        </w:rPr>
      </w:pPr>
      <w:r>
        <w:rPr>
          <w:lang w:val="en-US" w:eastAsia="zh-CN"/>
        </w:rPr>
        <w:t>当存在多种危险物质时，则按下式计算物质总量与其临界量比值（Q）。</w:t>
      </w:r>
    </w:p>
    <w:p w14:paraId="7840B336">
      <w:pPr>
        <w:keepLines w:val="0"/>
        <w:pageBreakBefore w:val="0"/>
        <w:widowControl w:val="0"/>
        <w:kinsoku/>
        <w:wordWrap/>
        <w:overflowPunct/>
        <w:topLinePunct w:val="0"/>
        <w:autoSpaceDE/>
        <w:autoSpaceDN/>
        <w:bidi w:val="0"/>
        <w:adjustRightInd w:val="0"/>
        <w:spacing w:line="360" w:lineRule="auto"/>
        <w:jc w:val="center"/>
        <w:textAlignment w:val="auto"/>
        <w:outlineLvl w:val="9"/>
        <w:rPr>
          <w:rFonts w:eastAsia="宋体" w:cs="Calibri"/>
          <w:kern w:val="2"/>
          <w:lang w:val="en-US" w:eastAsia="zh-CN" w:bidi="ar-SA"/>
        </w:rPr>
      </w:pPr>
      <w:r>
        <w:drawing>
          <wp:inline distT="0" distB="0" distL="0" distR="0">
            <wp:extent cx="1579880" cy="393065"/>
            <wp:effectExtent l="0" t="0" r="0" b="0"/>
            <wp:docPr id="1918937318" name="IM 4"/>
            <wp:cNvGraphicFramePr/>
            <a:graphic xmlns:a="http://schemas.openxmlformats.org/drawingml/2006/main">
              <a:graphicData uri="http://schemas.openxmlformats.org/drawingml/2006/picture">
                <pic:pic xmlns:pic="http://schemas.openxmlformats.org/drawingml/2006/picture">
                  <pic:nvPicPr>
                    <pic:cNvPr id="1918937318" name="IM 4"/>
                    <pic:cNvPicPr/>
                  </pic:nvPicPr>
                  <pic:blipFill>
                    <a:blip r:embed="rId29"/>
                    <a:stretch>
                      <a:fillRect/>
                    </a:stretch>
                  </pic:blipFill>
                  <pic:spPr>
                    <a:xfrm>
                      <a:off x="0" y="0"/>
                      <a:ext cx="1580307" cy="393180"/>
                    </a:xfrm>
                    <a:prstGeom prst="rect">
                      <a:avLst/>
                    </a:prstGeom>
                  </pic:spPr>
                </pic:pic>
              </a:graphicData>
            </a:graphic>
          </wp:inline>
        </w:drawing>
      </w:r>
    </w:p>
    <w:p w14:paraId="6528136E">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式中：q</w:t>
      </w:r>
      <w:r>
        <w:rPr>
          <w:rFonts w:eastAsia="宋体" w:cs="Calibri"/>
          <w:kern w:val="2"/>
          <w:position w:val="-1"/>
          <w:sz w:val="15"/>
          <w:szCs w:val="15"/>
          <w:lang w:val="en-US" w:eastAsia="zh-CN" w:bidi="ar-SA"/>
        </w:rPr>
        <w:t>1</w:t>
      </w:r>
      <w:r>
        <w:rPr>
          <w:rFonts w:eastAsia="宋体" w:cs="Calibri"/>
          <w:kern w:val="2"/>
          <w:lang w:val="en-US" w:eastAsia="zh-CN" w:bidi="ar-SA"/>
        </w:rPr>
        <w:t>，q</w:t>
      </w:r>
      <w:r>
        <w:rPr>
          <w:rFonts w:eastAsia="宋体" w:cs="Calibri"/>
          <w:kern w:val="2"/>
          <w:position w:val="-1"/>
          <w:sz w:val="15"/>
          <w:szCs w:val="15"/>
          <w:lang w:val="en-US" w:eastAsia="zh-CN" w:bidi="ar-SA"/>
        </w:rPr>
        <w:t>2</w:t>
      </w:r>
      <w:r>
        <w:rPr>
          <w:rFonts w:eastAsia="宋体" w:cs="Calibri"/>
          <w:kern w:val="2"/>
          <w:lang w:val="en-US" w:eastAsia="zh-CN" w:bidi="ar-SA"/>
        </w:rPr>
        <w:t>........q</w:t>
      </w:r>
      <w:r>
        <w:rPr>
          <w:rFonts w:eastAsia="宋体" w:cs="Calibri"/>
          <w:kern w:val="2"/>
          <w:sz w:val="15"/>
          <w:szCs w:val="15"/>
          <w:lang w:val="en-US" w:eastAsia="zh-CN" w:bidi="ar-SA"/>
        </w:rPr>
        <w:t>n</w:t>
      </w:r>
      <w:r>
        <w:rPr>
          <w:rFonts w:eastAsia="宋体" w:cs="Calibri"/>
          <w:kern w:val="2"/>
          <w:lang w:val="en-US" w:eastAsia="zh-CN" w:bidi="ar-SA"/>
        </w:rPr>
        <w:t>—每种危险物质的最大存在总量，t；</w:t>
      </w:r>
    </w:p>
    <w:p w14:paraId="4D7E43B1">
      <w:pPr>
        <w:keepNext w:val="0"/>
        <w:keepLines w:val="0"/>
        <w:pageBreakBefore w:val="0"/>
        <w:widowControl/>
        <w:kinsoku/>
        <w:wordWrap/>
        <w:overflowPunct/>
        <w:topLinePunct w:val="0"/>
        <w:autoSpaceDE/>
        <w:autoSpaceDN/>
        <w:bidi w:val="0"/>
        <w:adjustRightInd w:val="0"/>
        <w:snapToGrid/>
        <w:spacing w:line="520" w:lineRule="exact"/>
        <w:ind w:firstLine="1200" w:firstLineChars="500"/>
        <w:jc w:val="both"/>
        <w:textAlignment w:val="auto"/>
        <w:outlineLvl w:val="9"/>
        <w:rPr>
          <w:rFonts w:eastAsia="宋体" w:cs="Calibri"/>
          <w:kern w:val="2"/>
          <w:lang w:val="en-US" w:eastAsia="zh-CN" w:bidi="ar-SA"/>
        </w:rPr>
      </w:pPr>
      <w:r>
        <w:rPr>
          <w:rFonts w:eastAsia="宋体" w:cs="Calibri"/>
          <w:kern w:val="2"/>
          <w:lang w:val="en-US" w:eastAsia="zh-CN" w:bidi="ar-SA"/>
        </w:rPr>
        <w:t>Q</w:t>
      </w:r>
      <w:r>
        <w:rPr>
          <w:rFonts w:eastAsia="宋体" w:cs="Calibri"/>
          <w:kern w:val="2"/>
          <w:position w:val="-1"/>
          <w:sz w:val="15"/>
          <w:szCs w:val="15"/>
          <w:lang w:val="en-US" w:eastAsia="zh-CN" w:bidi="ar-SA"/>
        </w:rPr>
        <w:t>1</w:t>
      </w:r>
      <w:r>
        <w:rPr>
          <w:rFonts w:eastAsia="宋体" w:cs="Calibri"/>
          <w:kern w:val="2"/>
          <w:lang w:val="en-US" w:eastAsia="zh-CN" w:bidi="ar-SA"/>
        </w:rPr>
        <w:t>，Q</w:t>
      </w:r>
      <w:r>
        <w:rPr>
          <w:rFonts w:eastAsia="宋体" w:cs="Calibri"/>
          <w:kern w:val="2"/>
          <w:position w:val="-1"/>
          <w:sz w:val="15"/>
          <w:szCs w:val="15"/>
          <w:lang w:val="en-US" w:eastAsia="zh-CN" w:bidi="ar-SA"/>
        </w:rPr>
        <w:t>2</w:t>
      </w:r>
      <w:r>
        <w:rPr>
          <w:rFonts w:eastAsia="宋体" w:cs="Calibri"/>
          <w:kern w:val="2"/>
          <w:lang w:val="en-US" w:eastAsia="zh-CN" w:bidi="ar-SA"/>
        </w:rPr>
        <w:t>........Q</w:t>
      </w:r>
      <w:r>
        <w:rPr>
          <w:rFonts w:eastAsia="宋体" w:cs="Calibri"/>
          <w:kern w:val="2"/>
          <w:sz w:val="15"/>
          <w:szCs w:val="15"/>
          <w:lang w:val="en-US" w:eastAsia="zh-CN" w:bidi="ar-SA"/>
        </w:rPr>
        <w:t>n</w:t>
      </w:r>
      <w:r>
        <w:rPr>
          <w:rFonts w:eastAsia="宋体" w:cs="Calibri"/>
          <w:kern w:val="2"/>
          <w:lang w:val="en-US" w:eastAsia="zh-CN" w:bidi="ar-SA"/>
        </w:rPr>
        <w:t>—每种危险物质的临界量，t。</w:t>
      </w:r>
    </w:p>
    <w:p w14:paraId="7FF7CA3E">
      <w:pPr>
        <w:keepNext w:val="0"/>
        <w:keepLines w:val="0"/>
        <w:pageBreakBefore w:val="0"/>
        <w:widowControl/>
        <w:kinsoku/>
        <w:wordWrap/>
        <w:overflowPunct/>
        <w:topLinePunct w:val="0"/>
        <w:autoSpaceDE/>
        <w:autoSpaceDN/>
        <w:bidi w:val="0"/>
        <w:adjustRightInd w:val="0"/>
        <w:snapToGrid/>
        <w:spacing w:line="520" w:lineRule="exact"/>
        <w:ind w:firstLine="1200" w:firstLineChars="500"/>
        <w:jc w:val="both"/>
        <w:textAlignment w:val="auto"/>
        <w:outlineLvl w:val="9"/>
        <w:rPr>
          <w:rFonts w:eastAsia="宋体" w:cs="Calibri"/>
          <w:kern w:val="2"/>
          <w:lang w:val="en-US" w:eastAsia="zh-CN" w:bidi="ar-SA"/>
        </w:rPr>
      </w:pPr>
      <w:r>
        <w:rPr>
          <w:rFonts w:eastAsia="宋体" w:cs="Calibri"/>
          <w:kern w:val="2"/>
          <w:lang w:val="en-US" w:eastAsia="zh-CN" w:bidi="ar-SA"/>
        </w:rPr>
        <w:t>当Q＜1时，该项目环境风险潜势为I。</w:t>
      </w:r>
    </w:p>
    <w:p w14:paraId="6016B0C5">
      <w:pPr>
        <w:keepNext w:val="0"/>
        <w:keepLines w:val="0"/>
        <w:pageBreakBefore w:val="0"/>
        <w:widowControl/>
        <w:kinsoku/>
        <w:wordWrap/>
        <w:overflowPunct/>
        <w:topLinePunct w:val="0"/>
        <w:autoSpaceDE/>
        <w:autoSpaceDN/>
        <w:bidi w:val="0"/>
        <w:adjustRightInd w:val="0"/>
        <w:snapToGrid/>
        <w:spacing w:line="520" w:lineRule="exact"/>
        <w:ind w:firstLine="1200" w:firstLineChars="500"/>
        <w:jc w:val="both"/>
        <w:textAlignment w:val="auto"/>
        <w:outlineLvl w:val="9"/>
        <w:rPr>
          <w:rFonts w:eastAsia="宋体" w:cs="Calibri"/>
          <w:kern w:val="2"/>
          <w:lang w:val="en-US" w:eastAsia="zh-CN" w:bidi="ar-SA"/>
        </w:rPr>
      </w:pPr>
      <w:r>
        <w:rPr>
          <w:rFonts w:eastAsia="宋体" w:cs="Calibri"/>
          <w:kern w:val="2"/>
          <w:lang w:val="en-US" w:eastAsia="zh-CN" w:bidi="ar-SA"/>
        </w:rPr>
        <w:t>当Q≥1时，将Q值划分为：</w:t>
      </w:r>
      <w:r>
        <w:rPr>
          <w:rFonts w:hint="eastAsia" w:ascii="宋体" w:hAnsi="宋体" w:eastAsia="宋体" w:cs="宋体"/>
          <w:kern w:val="2"/>
          <w:lang w:val="en-US" w:eastAsia="zh-CN" w:bidi="ar-SA"/>
        </w:rPr>
        <w:t>①</w:t>
      </w:r>
      <w:r>
        <w:rPr>
          <w:rFonts w:eastAsia="宋体" w:cs="Calibri"/>
          <w:kern w:val="2"/>
          <w:lang w:val="en-US" w:eastAsia="zh-CN" w:bidi="ar-SA"/>
        </w:rPr>
        <w:t>1≤Q＜10；</w:t>
      </w:r>
      <w:r>
        <w:rPr>
          <w:rFonts w:hint="eastAsia" w:ascii="宋体" w:hAnsi="宋体" w:eastAsia="宋体" w:cs="宋体"/>
          <w:kern w:val="2"/>
          <w:lang w:val="en-US" w:eastAsia="zh-CN" w:bidi="ar-SA"/>
        </w:rPr>
        <w:t>②</w:t>
      </w:r>
      <w:r>
        <w:rPr>
          <w:rFonts w:eastAsia="宋体" w:cs="Calibri"/>
          <w:kern w:val="2"/>
          <w:lang w:val="en-US" w:eastAsia="zh-CN" w:bidi="ar-SA"/>
        </w:rPr>
        <w:t>10≤Q＜100；</w:t>
      </w:r>
      <w:r>
        <w:rPr>
          <w:rFonts w:hint="eastAsia" w:ascii="宋体" w:hAnsi="宋体" w:eastAsia="宋体" w:cs="宋体"/>
          <w:kern w:val="2"/>
          <w:lang w:val="en-US" w:eastAsia="zh-CN" w:bidi="ar-SA"/>
        </w:rPr>
        <w:t>③</w:t>
      </w:r>
      <w:r>
        <w:rPr>
          <w:rFonts w:eastAsia="宋体" w:cs="Calibri"/>
          <w:kern w:val="2"/>
          <w:lang w:val="en-US" w:eastAsia="zh-CN" w:bidi="ar-SA"/>
        </w:rPr>
        <w:t>Q≥100。</w:t>
      </w:r>
    </w:p>
    <w:p w14:paraId="61886655">
      <w:pPr>
        <w:bidi w:val="0"/>
        <w:rPr>
          <w:lang w:val="en-US" w:eastAsia="zh-CN"/>
        </w:rPr>
      </w:pPr>
      <w:r>
        <w:rPr>
          <w:lang w:val="en-US" w:eastAsia="zh-CN"/>
        </w:rPr>
        <w:t>根据工程分析，对照《建设项目环境风险评价技术导则》（HJ169-2018）附录B，项目涉及的突发性环境事件风险物质调查情况见表</w:t>
      </w:r>
      <w:r>
        <w:rPr>
          <w:rFonts w:hint="eastAsia"/>
          <w:lang w:val="en-US" w:eastAsia="zh-CN"/>
        </w:rPr>
        <w:t>3-1</w:t>
      </w:r>
      <w:r>
        <w:rPr>
          <w:lang w:val="en-US" w:eastAsia="zh-CN"/>
        </w:rPr>
        <w:t>。</w:t>
      </w:r>
    </w:p>
    <w:p w14:paraId="48CAB2E1">
      <w:pPr>
        <w:pStyle w:val="4"/>
        <w:bidi w:val="0"/>
        <w:rPr>
          <w:lang w:val="en-US" w:eastAsia="zh-CN"/>
        </w:rPr>
      </w:pPr>
      <w:r>
        <w:rPr>
          <w:lang w:val="en-US" w:eastAsia="zh-CN"/>
        </w:rPr>
        <w:t>表</w:t>
      </w:r>
      <w:r>
        <w:rPr>
          <w:rFonts w:hint="eastAsia"/>
          <w:lang w:val="en-US" w:eastAsia="zh-CN"/>
        </w:rPr>
        <w:t>3-1</w:t>
      </w:r>
      <w:r>
        <w:rPr>
          <w:lang w:val="en-US" w:eastAsia="zh-CN"/>
        </w:rPr>
        <w:t xml:space="preserve">  项目主要环境风险物质量调查表</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1391"/>
        <w:gridCol w:w="1241"/>
        <w:gridCol w:w="1358"/>
        <w:gridCol w:w="1223"/>
        <w:gridCol w:w="1377"/>
        <w:gridCol w:w="936"/>
      </w:tblGrid>
      <w:tr w14:paraId="25E4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845" w:type="pct"/>
            <w:vAlign w:val="center"/>
          </w:tcPr>
          <w:p w14:paraId="653EA5F9">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储存情景</w:t>
            </w:r>
          </w:p>
        </w:tc>
        <w:tc>
          <w:tcPr>
            <w:tcW w:w="768" w:type="pct"/>
            <w:vAlign w:val="center"/>
          </w:tcPr>
          <w:p w14:paraId="5B22175E">
            <w:pPr>
              <w:pStyle w:val="5"/>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危险物质</w:t>
            </w:r>
          </w:p>
        </w:tc>
        <w:tc>
          <w:tcPr>
            <w:tcW w:w="685" w:type="pct"/>
            <w:vAlign w:val="center"/>
          </w:tcPr>
          <w:p w14:paraId="397EAA15">
            <w:pPr>
              <w:pStyle w:val="5"/>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主要成分</w:t>
            </w:r>
          </w:p>
        </w:tc>
        <w:tc>
          <w:tcPr>
            <w:tcW w:w="750" w:type="pct"/>
            <w:vAlign w:val="center"/>
          </w:tcPr>
          <w:p w14:paraId="4E28D123">
            <w:pPr>
              <w:pStyle w:val="5"/>
              <w:bidi w:val="0"/>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t>最大储存量</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t</w:t>
            </w:r>
            <w:r>
              <w:rPr>
                <w:rFonts w:hint="eastAsia" w:ascii="Times New Roman" w:hAnsi="Times New Roman" w:eastAsia="宋体" w:cs="Times New Roman"/>
                <w:lang w:val="en-US" w:eastAsia="zh-CN"/>
              </w:rPr>
              <w:t>）</w:t>
            </w:r>
          </w:p>
        </w:tc>
        <w:tc>
          <w:tcPr>
            <w:tcW w:w="675" w:type="pct"/>
            <w:vAlign w:val="center"/>
          </w:tcPr>
          <w:p w14:paraId="37264B81">
            <w:pPr>
              <w:pStyle w:val="5"/>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储存方式</w:t>
            </w:r>
          </w:p>
        </w:tc>
        <w:tc>
          <w:tcPr>
            <w:tcW w:w="760" w:type="pct"/>
            <w:vAlign w:val="center"/>
          </w:tcPr>
          <w:p w14:paraId="674A3272">
            <w:pPr>
              <w:pStyle w:val="5"/>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临界量（t）</w:t>
            </w:r>
          </w:p>
        </w:tc>
        <w:tc>
          <w:tcPr>
            <w:tcW w:w="514" w:type="pct"/>
            <w:vAlign w:val="center"/>
          </w:tcPr>
          <w:p w14:paraId="6C5C0D5B">
            <w:pPr>
              <w:pStyle w:val="5"/>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Q</w:t>
            </w:r>
          </w:p>
        </w:tc>
      </w:tr>
      <w:tr w14:paraId="2668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45" w:type="pct"/>
            <w:vAlign w:val="center"/>
          </w:tcPr>
          <w:p w14:paraId="7190B4E3">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均储存1#轻烃</w:t>
            </w:r>
          </w:p>
        </w:tc>
        <w:tc>
          <w:tcPr>
            <w:tcW w:w="768" w:type="pct"/>
            <w:vAlign w:val="center"/>
          </w:tcPr>
          <w:p w14:paraId="05FF6487">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1#轻烃</w:t>
            </w:r>
          </w:p>
        </w:tc>
        <w:tc>
          <w:tcPr>
            <w:tcW w:w="685" w:type="pct"/>
            <w:vAlign w:val="center"/>
          </w:tcPr>
          <w:p w14:paraId="5CC194DE">
            <w:pPr>
              <w:pStyle w:val="5"/>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有机物</w:t>
            </w:r>
          </w:p>
        </w:tc>
        <w:tc>
          <w:tcPr>
            <w:tcW w:w="750" w:type="pct"/>
            <w:vAlign w:val="center"/>
          </w:tcPr>
          <w:p w14:paraId="3F246F96">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1144</w:t>
            </w:r>
          </w:p>
        </w:tc>
        <w:tc>
          <w:tcPr>
            <w:tcW w:w="675" w:type="pct"/>
            <w:vAlign w:val="center"/>
          </w:tcPr>
          <w:p w14:paraId="693A95A5">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2座球罐</w:t>
            </w:r>
          </w:p>
        </w:tc>
        <w:tc>
          <w:tcPr>
            <w:tcW w:w="760" w:type="pct"/>
            <w:vAlign w:val="center"/>
          </w:tcPr>
          <w:p w14:paraId="1267B85D">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w:t>
            </w:r>
          </w:p>
        </w:tc>
        <w:tc>
          <w:tcPr>
            <w:tcW w:w="514" w:type="pct"/>
            <w:vAlign w:val="center"/>
          </w:tcPr>
          <w:p w14:paraId="66AFCD22">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114.4</w:t>
            </w:r>
          </w:p>
        </w:tc>
      </w:tr>
      <w:tr w14:paraId="407C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45" w:type="pct"/>
            <w:vAlign w:val="center"/>
          </w:tcPr>
          <w:p w14:paraId="511A2809">
            <w:pPr>
              <w:pStyle w:val="5"/>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均储存碳五烷烃</w:t>
            </w:r>
          </w:p>
        </w:tc>
        <w:tc>
          <w:tcPr>
            <w:tcW w:w="768" w:type="pct"/>
            <w:vAlign w:val="center"/>
          </w:tcPr>
          <w:p w14:paraId="447FC00E">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碳五烷烃</w:t>
            </w:r>
          </w:p>
        </w:tc>
        <w:tc>
          <w:tcPr>
            <w:tcW w:w="685" w:type="pct"/>
            <w:vAlign w:val="center"/>
          </w:tcPr>
          <w:p w14:paraId="796CFFA6">
            <w:pPr>
              <w:pStyle w:val="5"/>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有机物</w:t>
            </w:r>
          </w:p>
        </w:tc>
        <w:tc>
          <w:tcPr>
            <w:tcW w:w="750" w:type="pct"/>
            <w:vAlign w:val="center"/>
          </w:tcPr>
          <w:p w14:paraId="0C9F6DE2">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1196.8</w:t>
            </w:r>
          </w:p>
        </w:tc>
        <w:tc>
          <w:tcPr>
            <w:tcW w:w="675" w:type="pct"/>
            <w:vAlign w:val="center"/>
          </w:tcPr>
          <w:p w14:paraId="5FACFBD1">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2座球罐</w:t>
            </w:r>
          </w:p>
        </w:tc>
        <w:tc>
          <w:tcPr>
            <w:tcW w:w="760" w:type="pct"/>
            <w:vAlign w:val="center"/>
          </w:tcPr>
          <w:p w14:paraId="3169AAD1">
            <w:pPr>
              <w:pStyle w:val="5"/>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10</w:t>
            </w:r>
          </w:p>
        </w:tc>
        <w:tc>
          <w:tcPr>
            <w:tcW w:w="514" w:type="pct"/>
            <w:vAlign w:val="center"/>
          </w:tcPr>
          <w:p w14:paraId="27D31F10">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119.68</w:t>
            </w:r>
          </w:p>
        </w:tc>
      </w:tr>
      <w:tr w14:paraId="7728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845" w:type="pct"/>
            <w:vMerge w:val="restart"/>
            <w:vAlign w:val="center"/>
          </w:tcPr>
          <w:p w14:paraId="0E3F04E6">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一个储存1#轻烃，一个储存碳五烷烃</w:t>
            </w:r>
          </w:p>
        </w:tc>
        <w:tc>
          <w:tcPr>
            <w:tcW w:w="768" w:type="pct"/>
            <w:shd w:val="clear" w:color="auto" w:fill="auto"/>
            <w:vAlign w:val="center"/>
          </w:tcPr>
          <w:p w14:paraId="56B1DF48">
            <w:pPr>
              <w:pStyle w:val="5"/>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1#轻烃</w:t>
            </w:r>
          </w:p>
        </w:tc>
        <w:tc>
          <w:tcPr>
            <w:tcW w:w="685" w:type="pct"/>
            <w:shd w:val="clear" w:color="auto" w:fill="auto"/>
            <w:vAlign w:val="center"/>
          </w:tcPr>
          <w:p w14:paraId="7E08906A">
            <w:pPr>
              <w:pStyle w:val="5"/>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有机物</w:t>
            </w:r>
          </w:p>
        </w:tc>
        <w:tc>
          <w:tcPr>
            <w:tcW w:w="750" w:type="pct"/>
            <w:shd w:val="clear" w:color="auto" w:fill="auto"/>
            <w:vAlign w:val="center"/>
          </w:tcPr>
          <w:p w14:paraId="7305B22E">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572</w:t>
            </w:r>
          </w:p>
        </w:tc>
        <w:tc>
          <w:tcPr>
            <w:tcW w:w="675" w:type="pct"/>
            <w:shd w:val="clear" w:color="auto" w:fill="auto"/>
            <w:vAlign w:val="center"/>
          </w:tcPr>
          <w:p w14:paraId="26668310">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1座球罐</w:t>
            </w:r>
          </w:p>
        </w:tc>
        <w:tc>
          <w:tcPr>
            <w:tcW w:w="760" w:type="pct"/>
            <w:shd w:val="clear" w:color="auto" w:fill="auto"/>
            <w:vAlign w:val="center"/>
          </w:tcPr>
          <w:p w14:paraId="1BADECFD">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w:t>
            </w:r>
          </w:p>
        </w:tc>
        <w:tc>
          <w:tcPr>
            <w:tcW w:w="514" w:type="pct"/>
            <w:vMerge w:val="restart"/>
            <w:shd w:val="clear" w:color="auto" w:fill="auto"/>
            <w:vAlign w:val="center"/>
          </w:tcPr>
          <w:p w14:paraId="0ABAE2A6">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117.04</w:t>
            </w:r>
          </w:p>
        </w:tc>
      </w:tr>
      <w:tr w14:paraId="5737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5" w:type="pct"/>
            <w:vMerge w:val="continue"/>
            <w:vAlign w:val="center"/>
          </w:tcPr>
          <w:p w14:paraId="494019C7">
            <w:pPr>
              <w:pStyle w:val="5"/>
              <w:bidi w:val="0"/>
              <w:rPr>
                <w:rFonts w:hint="eastAsia" w:ascii="Times New Roman" w:hAnsi="Times New Roman" w:eastAsia="宋体" w:cs="Times New Roman"/>
                <w:lang w:val="en-US" w:eastAsia="zh-CN"/>
              </w:rPr>
            </w:pPr>
          </w:p>
        </w:tc>
        <w:tc>
          <w:tcPr>
            <w:tcW w:w="768" w:type="pct"/>
            <w:shd w:val="clear" w:color="auto" w:fill="auto"/>
            <w:vAlign w:val="center"/>
          </w:tcPr>
          <w:p w14:paraId="5BAC41B5">
            <w:pPr>
              <w:pStyle w:val="5"/>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碳五烷烃</w:t>
            </w:r>
          </w:p>
        </w:tc>
        <w:tc>
          <w:tcPr>
            <w:tcW w:w="685" w:type="pct"/>
            <w:shd w:val="clear" w:color="auto" w:fill="auto"/>
            <w:vAlign w:val="center"/>
          </w:tcPr>
          <w:p w14:paraId="45BFAAC5">
            <w:pPr>
              <w:pStyle w:val="5"/>
              <w:bidi w:val="0"/>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t>有机物</w:t>
            </w:r>
          </w:p>
        </w:tc>
        <w:tc>
          <w:tcPr>
            <w:tcW w:w="750" w:type="pct"/>
            <w:shd w:val="clear" w:color="auto" w:fill="auto"/>
            <w:vAlign w:val="center"/>
          </w:tcPr>
          <w:p w14:paraId="49C224B2">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598.4</w:t>
            </w:r>
          </w:p>
        </w:tc>
        <w:tc>
          <w:tcPr>
            <w:tcW w:w="675" w:type="pct"/>
            <w:shd w:val="clear" w:color="auto" w:fill="auto"/>
            <w:vAlign w:val="center"/>
          </w:tcPr>
          <w:p w14:paraId="65FD1326">
            <w:pPr>
              <w:pStyle w:val="5"/>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1座球罐</w:t>
            </w:r>
          </w:p>
        </w:tc>
        <w:tc>
          <w:tcPr>
            <w:tcW w:w="760" w:type="pct"/>
            <w:shd w:val="clear" w:color="auto" w:fill="auto"/>
            <w:vAlign w:val="center"/>
          </w:tcPr>
          <w:p w14:paraId="4219E568">
            <w:pPr>
              <w:pStyle w:val="5"/>
              <w:bidi w:val="0"/>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t>10</w:t>
            </w:r>
          </w:p>
        </w:tc>
        <w:tc>
          <w:tcPr>
            <w:tcW w:w="514" w:type="pct"/>
            <w:vMerge w:val="continue"/>
            <w:shd w:val="clear" w:color="auto" w:fill="auto"/>
            <w:vAlign w:val="center"/>
          </w:tcPr>
          <w:p w14:paraId="371A83E8">
            <w:pPr>
              <w:pStyle w:val="5"/>
              <w:bidi w:val="0"/>
              <w:rPr>
                <w:rFonts w:hint="eastAsia" w:ascii="Times New Roman" w:hAnsi="Times New Roman" w:eastAsia="宋体" w:cs="Times New Roman"/>
                <w:lang w:val="en-US" w:eastAsia="zh-CN"/>
              </w:rPr>
            </w:pPr>
          </w:p>
        </w:tc>
      </w:tr>
      <w:tr w14:paraId="6855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00" w:type="pct"/>
            <w:gridSpan w:val="7"/>
            <w:vAlign w:val="center"/>
          </w:tcPr>
          <w:p w14:paraId="67D4A035">
            <w:pPr>
              <w:pStyle w:val="5"/>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本项目</w:t>
            </w:r>
            <w:r>
              <w:rPr>
                <w:rFonts w:hint="default" w:ascii="Times New Roman" w:hAnsi="Times New Roman" w:eastAsia="宋体" w:cs="Times New Roman"/>
                <w:lang w:val="en-US" w:eastAsia="zh-CN"/>
              </w:rPr>
              <w:t>环境风险物质主要为1#轻烃、碳五烷烃为C₅</w:t>
            </w:r>
            <w:r>
              <w:rPr>
                <w:rFonts w:hint="default" w:ascii="Times New Roman" w:hAnsi="Times New Roman" w:eastAsia="宋体" w:cs="Times New Roman"/>
                <w:lang w:val="en-US" w:eastAsia="zh-CN"/>
              </w:rPr>
              <w:noBreakHyphen/>
            </w:r>
            <w:r>
              <w:rPr>
                <w:rFonts w:hint="default" w:ascii="Times New Roman" w:hAnsi="Times New Roman" w:eastAsia="宋体" w:cs="Times New Roman"/>
                <w:lang w:val="en-US" w:eastAsia="zh-CN"/>
              </w:rPr>
              <w:t>C₈轻质烷烃混合物，《建设项目环境风险评价技术导则》（HJ169</w:t>
            </w:r>
            <w:r>
              <w:rPr>
                <w:rFonts w:hint="default" w:ascii="Times New Roman" w:hAnsi="Times New Roman" w:eastAsia="宋体" w:cs="Times New Roman"/>
                <w:lang w:val="en-US" w:eastAsia="zh-CN"/>
              </w:rPr>
              <w:noBreakHyphen/>
            </w:r>
            <w:r>
              <w:rPr>
                <w:rFonts w:hint="default" w:ascii="Times New Roman" w:hAnsi="Times New Roman" w:eastAsia="宋体" w:cs="Times New Roman"/>
                <w:lang w:val="en-US" w:eastAsia="zh-CN"/>
              </w:rPr>
              <w:t>2018）附录B未直接收录该类混合物质；二者理化特性、环境风险特征与石油醚相近，</w:t>
            </w:r>
            <w:r>
              <w:rPr>
                <w:rFonts w:hint="eastAsia" w:ascii="Times New Roman" w:hAnsi="Times New Roman" w:eastAsia="宋体" w:cs="Times New Roman"/>
                <w:lang w:val="en-US" w:eastAsia="zh-CN"/>
              </w:rPr>
              <w:t>故</w:t>
            </w:r>
            <w:r>
              <w:rPr>
                <w:rFonts w:hint="default" w:ascii="Times New Roman" w:hAnsi="Times New Roman" w:eastAsia="宋体" w:cs="Times New Roman"/>
                <w:lang w:val="en-US" w:eastAsia="zh-CN"/>
              </w:rPr>
              <w:t>本次环境风险潜势初判参照石油醚临界量10t开展Q值核算。</w:t>
            </w:r>
          </w:p>
        </w:tc>
      </w:tr>
    </w:tbl>
    <w:p w14:paraId="525808AB">
      <w:pPr>
        <w:bidi w:val="0"/>
        <w:rPr>
          <w:lang w:val="en-US" w:eastAsia="zh-CN"/>
        </w:rPr>
      </w:pPr>
      <w:r>
        <w:rPr>
          <w:rFonts w:hint="eastAsia"/>
          <w:lang w:val="en-US" w:eastAsia="zh-CN"/>
        </w:rPr>
        <w:t>从环境风险最不利角度考虑，取Qmax=119.68，进行环境影响分析。</w:t>
      </w:r>
    </w:p>
    <w:p w14:paraId="4EAC264B">
      <w:pPr>
        <w:bidi w:val="0"/>
        <w:rPr>
          <w:lang w:val="en-US" w:eastAsia="zh-CN"/>
        </w:rPr>
      </w:pPr>
      <w:r>
        <w:rPr>
          <w:lang w:val="en-US" w:eastAsia="zh-CN"/>
        </w:rPr>
        <w:t>（2）所属行业及生产工艺特点</w:t>
      </w:r>
    </w:p>
    <w:p w14:paraId="3D45E6CF">
      <w:pPr>
        <w:bidi w:val="0"/>
        <w:rPr>
          <w:rFonts w:eastAsia="宋体" w:cs="Calibri"/>
          <w:kern w:val="2"/>
          <w:lang w:val="en-US" w:eastAsia="zh-CN" w:bidi="ar-SA"/>
        </w:rPr>
      </w:pPr>
      <w:r>
        <w:rPr>
          <w:lang w:val="en-US" w:eastAsia="zh-CN"/>
        </w:rPr>
        <w:t>根据《建设项目环境风险评价技术导则》（HJ169-2018）附录C中表C.1的规定，将M划分为</w:t>
      </w:r>
      <w:r>
        <w:rPr>
          <w:rFonts w:hint="eastAsia"/>
          <w:lang w:val="en-US" w:eastAsia="zh-CN"/>
        </w:rPr>
        <w:t>①</w:t>
      </w:r>
      <w:r>
        <w:rPr>
          <w:lang w:val="en-US" w:eastAsia="zh-CN"/>
        </w:rPr>
        <w:t>M＞20；</w:t>
      </w:r>
      <w:r>
        <w:rPr>
          <w:rFonts w:hint="eastAsia"/>
          <w:lang w:val="en-US" w:eastAsia="zh-CN"/>
        </w:rPr>
        <w:t>②</w:t>
      </w:r>
      <w:r>
        <w:rPr>
          <w:lang w:val="en-US" w:eastAsia="zh-CN"/>
        </w:rPr>
        <w:t>10＜M≤20；</w:t>
      </w:r>
      <w:r>
        <w:rPr>
          <w:rFonts w:hint="eastAsia"/>
          <w:lang w:val="en-US" w:eastAsia="zh-CN"/>
        </w:rPr>
        <w:t>③</w:t>
      </w:r>
      <w:r>
        <w:rPr>
          <w:lang w:val="en-US" w:eastAsia="zh-CN"/>
        </w:rPr>
        <w:t>5＜M≤10；</w:t>
      </w:r>
      <w:r>
        <w:rPr>
          <w:rFonts w:hint="eastAsia"/>
          <w:lang w:val="en-US" w:eastAsia="zh-CN"/>
        </w:rPr>
        <w:t>④</w:t>
      </w:r>
      <w:r>
        <w:rPr>
          <w:lang w:val="en-US" w:eastAsia="zh-CN"/>
        </w:rPr>
        <w:t>M=5，分别以M1、M2、M3和M4表示，详见</w:t>
      </w:r>
      <w:r>
        <w:rPr>
          <w:rFonts w:hint="eastAsia"/>
          <w:lang w:val="en-US" w:eastAsia="zh-CN"/>
        </w:rPr>
        <w:t>下表</w:t>
      </w:r>
      <w:r>
        <w:rPr>
          <w:lang w:val="en-US" w:eastAsia="zh-CN"/>
        </w:rPr>
        <w:t>。项目</w:t>
      </w:r>
      <w:r>
        <w:rPr>
          <w:rFonts w:hint="eastAsia"/>
          <w:lang w:val="en-US" w:eastAsia="zh-CN"/>
        </w:rPr>
        <w:t>涉及1</w:t>
      </w:r>
      <w:r>
        <w:rPr>
          <w:lang w:val="en-US" w:eastAsia="zh-CN"/>
        </w:rPr>
        <w:t>处危险物质贮存罐区，项目的M值为5，用M4表示。</w:t>
      </w:r>
    </w:p>
    <w:p w14:paraId="3DB46BB1">
      <w:pPr>
        <w:pStyle w:val="4"/>
        <w:bidi w:val="0"/>
        <w:rPr>
          <w:lang w:val="en-US" w:eastAsia="zh-CN"/>
        </w:rPr>
      </w:pPr>
      <w:r>
        <w:rPr>
          <w:lang w:val="en-US" w:eastAsia="zh-CN"/>
        </w:rPr>
        <w:t>表</w:t>
      </w:r>
      <w:r>
        <w:rPr>
          <w:rFonts w:hint="eastAsia"/>
          <w:lang w:val="en-US" w:eastAsia="zh-CN"/>
        </w:rPr>
        <w:t>3-2</w:t>
      </w:r>
      <w:r>
        <w:rPr>
          <w:lang w:val="en-US" w:eastAsia="zh-CN"/>
        </w:rPr>
        <w:t xml:space="preserve">  企业生产工艺评分表</w:t>
      </w:r>
    </w:p>
    <w:p w14:paraId="4D942CA2">
      <w:pPr>
        <w:keepLines w:val="0"/>
        <w:pageBreakBefore w:val="0"/>
        <w:widowControl w:val="0"/>
        <w:kinsoku/>
        <w:wordWrap/>
        <w:overflowPunct/>
        <w:topLinePunct w:val="0"/>
        <w:autoSpaceDE/>
        <w:autoSpaceDN/>
        <w:bidi w:val="0"/>
        <w:adjustRightInd w:val="0"/>
        <w:spacing w:line="14" w:lineRule="exact"/>
        <w:jc w:val="both"/>
        <w:textAlignment w:val="auto"/>
        <w:outlineLvl w:val="9"/>
        <w:rPr>
          <w:rFonts w:eastAsia="宋体"/>
          <w:kern w:val="2"/>
          <w:szCs w:val="22"/>
          <w:lang w:val="en-US" w:eastAsia="zh-CN" w:bidi="ar-SA"/>
        </w:rPr>
      </w:pP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1034"/>
        <w:gridCol w:w="4846"/>
        <w:gridCol w:w="1073"/>
        <w:gridCol w:w="1225"/>
        <w:gridCol w:w="883"/>
      </w:tblGrid>
      <w:tr w14:paraId="6F490C9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571" w:type="pct"/>
            <w:vAlign w:val="center"/>
          </w:tcPr>
          <w:p w14:paraId="488119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行业</w:t>
            </w:r>
          </w:p>
        </w:tc>
        <w:tc>
          <w:tcPr>
            <w:tcW w:w="2674" w:type="pct"/>
            <w:vAlign w:val="center"/>
          </w:tcPr>
          <w:p w14:paraId="1BC389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评估依据</w:t>
            </w:r>
          </w:p>
        </w:tc>
        <w:tc>
          <w:tcPr>
            <w:tcW w:w="592" w:type="pct"/>
            <w:vAlign w:val="center"/>
          </w:tcPr>
          <w:p w14:paraId="377135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分值</w:t>
            </w:r>
          </w:p>
        </w:tc>
        <w:tc>
          <w:tcPr>
            <w:tcW w:w="675" w:type="pct"/>
            <w:vAlign w:val="center"/>
          </w:tcPr>
          <w:p w14:paraId="0D138A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企业实际</w:t>
            </w:r>
          </w:p>
        </w:tc>
        <w:tc>
          <w:tcPr>
            <w:tcW w:w="487" w:type="pct"/>
            <w:vAlign w:val="center"/>
          </w:tcPr>
          <w:p w14:paraId="41C64B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分值</w:t>
            </w:r>
          </w:p>
        </w:tc>
      </w:tr>
      <w:tr w14:paraId="7A7B6D1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571" w:type="pct"/>
            <w:vMerge w:val="restart"/>
            <w:tcBorders>
              <w:bottom w:val="nil"/>
            </w:tcBorders>
            <w:vAlign w:val="center"/>
          </w:tcPr>
          <w:p w14:paraId="3B7BE5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石化、化工、医药、轻工、化纤、有色冶炼等</w:t>
            </w:r>
          </w:p>
        </w:tc>
        <w:tc>
          <w:tcPr>
            <w:tcW w:w="2674" w:type="pct"/>
            <w:vAlign w:val="center"/>
          </w:tcPr>
          <w:p w14:paraId="3D74C0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涉及光气及光气化工艺、电解工艺（氯碱）、氯化工艺、硝化工艺、合成氨工艺、裂解（裂化）工艺、氟化工艺、加氢工艺、重氮化工艺、氧化工艺、过氧化工艺、胺基化工艺、磺化工艺、聚合工艺、烷基化工艺、新型煤化工艺、电石生产工艺、偶氮化工艺</w:t>
            </w:r>
          </w:p>
        </w:tc>
        <w:tc>
          <w:tcPr>
            <w:tcW w:w="592" w:type="pct"/>
            <w:vAlign w:val="center"/>
          </w:tcPr>
          <w:p w14:paraId="4E7E82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10/套</w:t>
            </w:r>
          </w:p>
        </w:tc>
        <w:tc>
          <w:tcPr>
            <w:tcW w:w="675" w:type="pct"/>
            <w:vAlign w:val="center"/>
          </w:tcPr>
          <w:p w14:paraId="3B8B12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不涉及</w:t>
            </w:r>
          </w:p>
        </w:tc>
        <w:tc>
          <w:tcPr>
            <w:tcW w:w="487" w:type="pct"/>
            <w:vAlign w:val="center"/>
          </w:tcPr>
          <w:p w14:paraId="35362D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0</w:t>
            </w:r>
          </w:p>
        </w:tc>
      </w:tr>
      <w:tr w14:paraId="4B91412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571" w:type="pct"/>
            <w:vMerge w:val="continue"/>
            <w:tcBorders>
              <w:top w:val="nil"/>
              <w:bottom w:val="nil"/>
            </w:tcBorders>
            <w:vAlign w:val="center"/>
          </w:tcPr>
          <w:p w14:paraId="6C143DE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2674" w:type="pct"/>
            <w:vAlign w:val="center"/>
          </w:tcPr>
          <w:p w14:paraId="5F96C1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无机酸制酸工艺、焦化工艺</w:t>
            </w:r>
          </w:p>
        </w:tc>
        <w:tc>
          <w:tcPr>
            <w:tcW w:w="592" w:type="pct"/>
            <w:vAlign w:val="center"/>
          </w:tcPr>
          <w:p w14:paraId="359485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5/套</w:t>
            </w:r>
          </w:p>
        </w:tc>
        <w:tc>
          <w:tcPr>
            <w:tcW w:w="675" w:type="pct"/>
            <w:vAlign w:val="center"/>
          </w:tcPr>
          <w:p w14:paraId="1DC2E4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不涉及</w:t>
            </w:r>
          </w:p>
        </w:tc>
        <w:tc>
          <w:tcPr>
            <w:tcW w:w="487" w:type="pct"/>
            <w:vAlign w:val="center"/>
          </w:tcPr>
          <w:p w14:paraId="58C2FDD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0</w:t>
            </w:r>
          </w:p>
        </w:tc>
      </w:tr>
      <w:tr w14:paraId="41A83E1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571" w:type="pct"/>
            <w:vMerge w:val="continue"/>
            <w:tcBorders>
              <w:top w:val="nil"/>
            </w:tcBorders>
            <w:vAlign w:val="center"/>
          </w:tcPr>
          <w:p w14:paraId="1E7D4E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2674" w:type="pct"/>
            <w:vAlign w:val="center"/>
          </w:tcPr>
          <w:p w14:paraId="53D6C0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其他高温或高压、且涉及危险物质的工艺过程a、危险物质贮存罐区</w:t>
            </w:r>
          </w:p>
        </w:tc>
        <w:tc>
          <w:tcPr>
            <w:tcW w:w="592" w:type="pct"/>
            <w:vAlign w:val="center"/>
          </w:tcPr>
          <w:p w14:paraId="709CD5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5/套（罐区）</w:t>
            </w:r>
          </w:p>
        </w:tc>
        <w:tc>
          <w:tcPr>
            <w:tcW w:w="675" w:type="pct"/>
            <w:vAlign w:val="center"/>
          </w:tcPr>
          <w:p w14:paraId="4BA4E2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不涉及</w:t>
            </w:r>
          </w:p>
        </w:tc>
        <w:tc>
          <w:tcPr>
            <w:tcW w:w="487" w:type="pct"/>
            <w:vAlign w:val="center"/>
          </w:tcPr>
          <w:p w14:paraId="0F8D7A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0</w:t>
            </w:r>
          </w:p>
        </w:tc>
      </w:tr>
      <w:tr w14:paraId="2634BE4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571" w:type="pct"/>
            <w:vAlign w:val="center"/>
          </w:tcPr>
          <w:p w14:paraId="6E6249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管道、港口/码头等</w:t>
            </w:r>
          </w:p>
        </w:tc>
        <w:tc>
          <w:tcPr>
            <w:tcW w:w="2674" w:type="pct"/>
            <w:vAlign w:val="center"/>
          </w:tcPr>
          <w:p w14:paraId="4B9A46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涉及危险物质管道运输项目、港口/码头等</w:t>
            </w:r>
          </w:p>
        </w:tc>
        <w:tc>
          <w:tcPr>
            <w:tcW w:w="592" w:type="pct"/>
            <w:vAlign w:val="center"/>
          </w:tcPr>
          <w:p w14:paraId="788F8C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10</w:t>
            </w:r>
          </w:p>
        </w:tc>
        <w:tc>
          <w:tcPr>
            <w:tcW w:w="675" w:type="pct"/>
            <w:vAlign w:val="center"/>
          </w:tcPr>
          <w:p w14:paraId="360313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不涉及</w:t>
            </w:r>
          </w:p>
        </w:tc>
        <w:tc>
          <w:tcPr>
            <w:tcW w:w="487" w:type="pct"/>
            <w:vAlign w:val="center"/>
          </w:tcPr>
          <w:p w14:paraId="2F107A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0</w:t>
            </w:r>
          </w:p>
        </w:tc>
      </w:tr>
      <w:tr w14:paraId="378CCFA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571" w:type="pct"/>
            <w:vAlign w:val="center"/>
          </w:tcPr>
          <w:p w14:paraId="767358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石油天然气</w:t>
            </w:r>
          </w:p>
        </w:tc>
        <w:tc>
          <w:tcPr>
            <w:tcW w:w="2674" w:type="pct"/>
            <w:vAlign w:val="center"/>
          </w:tcPr>
          <w:p w14:paraId="397F164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石油、天然气、页岩气开采（含净化），气库（不含加气站的气库），油库（不含加气站的油库）、油气管线b（不含城镇燃气管线）</w:t>
            </w:r>
          </w:p>
        </w:tc>
        <w:tc>
          <w:tcPr>
            <w:tcW w:w="592" w:type="pct"/>
            <w:vAlign w:val="center"/>
          </w:tcPr>
          <w:p w14:paraId="5C0F0B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10</w:t>
            </w:r>
          </w:p>
        </w:tc>
        <w:tc>
          <w:tcPr>
            <w:tcW w:w="675" w:type="pct"/>
            <w:vAlign w:val="center"/>
          </w:tcPr>
          <w:p w14:paraId="13AF98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不涉及</w:t>
            </w:r>
          </w:p>
        </w:tc>
        <w:tc>
          <w:tcPr>
            <w:tcW w:w="487" w:type="pct"/>
            <w:vAlign w:val="center"/>
          </w:tcPr>
          <w:p w14:paraId="160ACD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0</w:t>
            </w:r>
          </w:p>
        </w:tc>
      </w:tr>
      <w:tr w14:paraId="63B5161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571" w:type="pct"/>
            <w:vAlign w:val="center"/>
          </w:tcPr>
          <w:p w14:paraId="30071F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其他</w:t>
            </w:r>
          </w:p>
        </w:tc>
        <w:tc>
          <w:tcPr>
            <w:tcW w:w="2674" w:type="pct"/>
            <w:vAlign w:val="center"/>
          </w:tcPr>
          <w:p w14:paraId="1C58BE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涉及危险物质使用、贮存的项目</w:t>
            </w:r>
          </w:p>
        </w:tc>
        <w:tc>
          <w:tcPr>
            <w:tcW w:w="592" w:type="pct"/>
            <w:vAlign w:val="center"/>
          </w:tcPr>
          <w:p w14:paraId="139D44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5</w:t>
            </w:r>
          </w:p>
        </w:tc>
        <w:tc>
          <w:tcPr>
            <w:tcW w:w="675" w:type="pct"/>
            <w:vAlign w:val="center"/>
          </w:tcPr>
          <w:p w14:paraId="134B3E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rFonts w:hint="eastAsia"/>
                <w:sz w:val="21"/>
                <w:szCs w:val="21"/>
                <w:lang w:val="en-US" w:eastAsia="zh-CN"/>
              </w:rPr>
              <w:t>1</w:t>
            </w:r>
            <w:r>
              <w:rPr>
                <w:sz w:val="21"/>
                <w:szCs w:val="21"/>
                <w:lang w:val="en-US" w:eastAsia="zh-CN"/>
              </w:rPr>
              <w:t>处罐区</w:t>
            </w:r>
          </w:p>
        </w:tc>
        <w:tc>
          <w:tcPr>
            <w:tcW w:w="487" w:type="pct"/>
            <w:vAlign w:val="center"/>
          </w:tcPr>
          <w:p w14:paraId="489DAA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5</w:t>
            </w:r>
          </w:p>
        </w:tc>
      </w:tr>
      <w:tr w14:paraId="591575B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4513" w:type="pct"/>
            <w:gridSpan w:val="4"/>
            <w:vAlign w:val="center"/>
          </w:tcPr>
          <w:p w14:paraId="54966E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总分</w:t>
            </w:r>
          </w:p>
        </w:tc>
        <w:tc>
          <w:tcPr>
            <w:tcW w:w="487" w:type="pct"/>
            <w:vAlign w:val="center"/>
          </w:tcPr>
          <w:p w14:paraId="2A2143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5</w:t>
            </w:r>
          </w:p>
        </w:tc>
      </w:tr>
      <w:tr w14:paraId="72C26C2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5000" w:type="pct"/>
            <w:gridSpan w:val="5"/>
            <w:vAlign w:val="center"/>
          </w:tcPr>
          <w:p w14:paraId="53D13B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注a：高温指工艺温度≥300℃,高压指压力容器的设计压力（P）≥10.0MPa；</w:t>
            </w:r>
          </w:p>
          <w:p w14:paraId="4A45CC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注b：长输管道运输项目应按站场、管线分段进行评价。</w:t>
            </w:r>
          </w:p>
        </w:tc>
      </w:tr>
    </w:tbl>
    <w:p w14:paraId="17BE9C91">
      <w:pPr>
        <w:bidi w:val="0"/>
        <w:rPr>
          <w:lang w:val="en-US" w:eastAsia="zh-CN"/>
        </w:rPr>
      </w:pPr>
      <w:r>
        <w:rPr>
          <w:lang w:val="en-US" w:eastAsia="zh-CN"/>
        </w:rPr>
        <w:t>（3）危险物质及工艺系统危险性（P）分级</w:t>
      </w:r>
    </w:p>
    <w:p w14:paraId="068920F9">
      <w:pPr>
        <w:bidi w:val="0"/>
        <w:rPr>
          <w:rFonts w:eastAsia="宋体" w:cs="Calibri"/>
          <w:kern w:val="2"/>
          <w:lang w:val="en-US" w:eastAsia="zh-CN" w:bidi="ar-SA"/>
        </w:rPr>
      </w:pPr>
      <w:r>
        <w:rPr>
          <w:lang w:val="en-US" w:eastAsia="zh-CN"/>
        </w:rPr>
        <w:t>根据危险物质数量与临界量比值（Q）和行业及生产工艺（M），按照表C.2确定危险物质</w:t>
      </w:r>
      <w:r>
        <w:rPr>
          <w:rFonts w:eastAsia="宋体" w:cs="Calibri"/>
          <w:kern w:val="2"/>
          <w:lang w:val="en-US" w:eastAsia="zh-CN" w:bidi="ar-SA"/>
        </w:rPr>
        <w:t>及工艺系统危险性等级（</w:t>
      </w:r>
      <w:r>
        <w:rPr>
          <w:kern w:val="2"/>
          <w:lang w:val="en-US" w:eastAsia="zh-CN" w:bidi="ar-SA"/>
        </w:rPr>
        <w:t>P</w:t>
      </w:r>
      <w:r>
        <w:rPr>
          <w:rFonts w:eastAsia="宋体" w:cs="Calibri"/>
          <w:kern w:val="2"/>
          <w:lang w:val="en-US" w:eastAsia="zh-CN" w:bidi="ar-SA"/>
        </w:rPr>
        <w:t>），分别以</w:t>
      </w:r>
      <w:r>
        <w:rPr>
          <w:kern w:val="2"/>
          <w:lang w:val="en-US" w:eastAsia="zh-CN" w:bidi="ar-SA"/>
        </w:rPr>
        <w:t>P1</w:t>
      </w:r>
      <w:r>
        <w:rPr>
          <w:rFonts w:eastAsia="宋体" w:cs="Calibri"/>
          <w:kern w:val="2"/>
          <w:lang w:val="en-US" w:eastAsia="zh-CN" w:bidi="ar-SA"/>
        </w:rPr>
        <w:t>、</w:t>
      </w:r>
      <w:r>
        <w:rPr>
          <w:kern w:val="2"/>
          <w:lang w:val="en-US" w:eastAsia="zh-CN" w:bidi="ar-SA"/>
        </w:rPr>
        <w:t>P2</w:t>
      </w:r>
      <w:r>
        <w:rPr>
          <w:rFonts w:eastAsia="宋体" w:cs="Calibri"/>
          <w:kern w:val="2"/>
          <w:lang w:val="en-US" w:eastAsia="zh-CN" w:bidi="ar-SA"/>
        </w:rPr>
        <w:t>、</w:t>
      </w:r>
      <w:r>
        <w:rPr>
          <w:kern w:val="2"/>
          <w:lang w:val="en-US" w:eastAsia="zh-CN" w:bidi="ar-SA"/>
        </w:rPr>
        <w:t>P3</w:t>
      </w:r>
      <w:r>
        <w:rPr>
          <w:rFonts w:eastAsia="宋体" w:cs="Calibri"/>
          <w:kern w:val="2"/>
          <w:lang w:val="en-US" w:eastAsia="zh-CN" w:bidi="ar-SA"/>
        </w:rPr>
        <w:t>、</w:t>
      </w:r>
      <w:r>
        <w:rPr>
          <w:kern w:val="2"/>
          <w:lang w:val="en-US" w:eastAsia="zh-CN" w:bidi="ar-SA"/>
        </w:rPr>
        <w:t>P4</w:t>
      </w:r>
      <w:r>
        <w:rPr>
          <w:rFonts w:eastAsia="宋体" w:cs="Calibri"/>
          <w:kern w:val="2"/>
          <w:lang w:val="en-US" w:eastAsia="zh-CN" w:bidi="ar-SA"/>
        </w:rPr>
        <w:t>表示。见表</w:t>
      </w:r>
      <w:r>
        <w:rPr>
          <w:rFonts w:hint="eastAsia"/>
          <w:kern w:val="2"/>
          <w:lang w:val="en-US" w:eastAsia="zh-CN" w:bidi="ar-SA"/>
        </w:rPr>
        <w:t>3-3</w:t>
      </w:r>
      <w:r>
        <w:rPr>
          <w:rFonts w:eastAsia="宋体" w:cs="Calibri"/>
          <w:kern w:val="2"/>
          <w:lang w:val="en-US" w:eastAsia="zh-CN" w:bidi="ar-SA"/>
        </w:rPr>
        <w:t>。</w:t>
      </w:r>
    </w:p>
    <w:p w14:paraId="55C2B012">
      <w:pPr>
        <w:pStyle w:val="4"/>
        <w:bidi w:val="0"/>
        <w:rPr>
          <w:lang w:val="en-US" w:eastAsia="zh-CN"/>
        </w:rPr>
      </w:pPr>
      <w:r>
        <w:rPr>
          <w:lang w:val="en-US" w:eastAsia="zh-CN"/>
        </w:rPr>
        <w:t>表</w:t>
      </w:r>
      <w:r>
        <w:rPr>
          <w:rFonts w:hint="eastAsia"/>
          <w:lang w:val="en-US" w:eastAsia="zh-CN"/>
        </w:rPr>
        <w:t>3-3</w:t>
      </w:r>
      <w:r>
        <w:rPr>
          <w:lang w:val="en-US" w:eastAsia="zh-CN"/>
        </w:rPr>
        <w:t xml:space="preserve">  危险物质及工艺系统危险性等级判断（P）</w:t>
      </w: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108" w:type="dxa"/>
          <w:bottom w:w="0" w:type="dxa"/>
          <w:right w:w="108" w:type="dxa"/>
        </w:tblCellMar>
      </w:tblPr>
      <w:tblGrid>
        <w:gridCol w:w="4275"/>
        <w:gridCol w:w="1194"/>
        <w:gridCol w:w="1194"/>
        <w:gridCol w:w="1194"/>
        <w:gridCol w:w="1204"/>
      </w:tblGrid>
      <w:tr w14:paraId="22B0B8C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359" w:type="pct"/>
            <w:vMerge w:val="restart"/>
            <w:vAlign w:val="center"/>
          </w:tcPr>
          <w:p w14:paraId="17CE7B94">
            <w:pPr>
              <w:pStyle w:val="5"/>
              <w:bidi w:val="0"/>
              <w:rPr>
                <w:lang w:val="en-US" w:eastAsia="zh-CN"/>
              </w:rPr>
            </w:pPr>
            <w:r>
              <w:rPr>
                <w:lang w:val="en-US" w:eastAsia="zh-CN"/>
              </w:rPr>
              <w:t>危险物质数量</w:t>
            </w:r>
          </w:p>
          <w:p w14:paraId="67678CA5">
            <w:pPr>
              <w:pStyle w:val="5"/>
              <w:bidi w:val="0"/>
              <w:rPr>
                <w:lang w:val="en-US" w:eastAsia="zh-CN"/>
              </w:rPr>
            </w:pPr>
            <w:r>
              <w:rPr>
                <w:lang w:val="en-US" w:eastAsia="zh-CN"/>
              </w:rPr>
              <w:t>与临界量比值（Q）</w:t>
            </w:r>
          </w:p>
        </w:tc>
        <w:tc>
          <w:tcPr>
            <w:tcW w:w="2641" w:type="pct"/>
            <w:gridSpan w:val="4"/>
            <w:vAlign w:val="center"/>
          </w:tcPr>
          <w:p w14:paraId="0A8B7268">
            <w:pPr>
              <w:pStyle w:val="5"/>
              <w:bidi w:val="0"/>
              <w:rPr>
                <w:lang w:val="en-US" w:eastAsia="zh-CN"/>
              </w:rPr>
            </w:pPr>
            <w:r>
              <w:rPr>
                <w:lang w:val="en-US" w:eastAsia="zh-CN"/>
              </w:rPr>
              <w:t>行业及生产工艺（M）</w:t>
            </w:r>
          </w:p>
        </w:tc>
      </w:tr>
      <w:tr w14:paraId="5F966F3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359" w:type="pct"/>
            <w:vMerge w:val="continue"/>
            <w:vAlign w:val="center"/>
          </w:tcPr>
          <w:p w14:paraId="70AE7313">
            <w:pPr>
              <w:pStyle w:val="5"/>
              <w:bidi w:val="0"/>
              <w:rPr>
                <w:lang w:val="en-US" w:eastAsia="zh-CN"/>
              </w:rPr>
            </w:pPr>
          </w:p>
        </w:tc>
        <w:tc>
          <w:tcPr>
            <w:tcW w:w="659" w:type="pct"/>
            <w:vAlign w:val="center"/>
          </w:tcPr>
          <w:p w14:paraId="6F81A19A">
            <w:pPr>
              <w:pStyle w:val="5"/>
              <w:bidi w:val="0"/>
              <w:rPr>
                <w:lang w:val="en-US" w:eastAsia="zh-CN"/>
              </w:rPr>
            </w:pPr>
            <w:r>
              <w:rPr>
                <w:lang w:val="en-US" w:eastAsia="zh-CN"/>
              </w:rPr>
              <w:t>M1</w:t>
            </w:r>
          </w:p>
        </w:tc>
        <w:tc>
          <w:tcPr>
            <w:tcW w:w="659" w:type="pct"/>
            <w:vAlign w:val="center"/>
          </w:tcPr>
          <w:p w14:paraId="5B217AF8">
            <w:pPr>
              <w:pStyle w:val="5"/>
              <w:bidi w:val="0"/>
              <w:rPr>
                <w:lang w:val="en-US" w:eastAsia="zh-CN"/>
              </w:rPr>
            </w:pPr>
            <w:r>
              <w:rPr>
                <w:lang w:val="en-US" w:eastAsia="zh-CN"/>
              </w:rPr>
              <w:t>M2</w:t>
            </w:r>
          </w:p>
        </w:tc>
        <w:tc>
          <w:tcPr>
            <w:tcW w:w="659" w:type="pct"/>
            <w:vAlign w:val="center"/>
          </w:tcPr>
          <w:p w14:paraId="2E7756D5">
            <w:pPr>
              <w:pStyle w:val="5"/>
              <w:bidi w:val="0"/>
              <w:rPr>
                <w:lang w:val="en-US" w:eastAsia="zh-CN"/>
              </w:rPr>
            </w:pPr>
            <w:r>
              <w:rPr>
                <w:lang w:val="en-US" w:eastAsia="zh-CN"/>
              </w:rPr>
              <w:t>M3</w:t>
            </w:r>
          </w:p>
        </w:tc>
        <w:tc>
          <w:tcPr>
            <w:tcW w:w="666" w:type="pct"/>
            <w:vAlign w:val="center"/>
          </w:tcPr>
          <w:p w14:paraId="334B01F2">
            <w:pPr>
              <w:pStyle w:val="5"/>
              <w:bidi w:val="0"/>
              <w:rPr>
                <w:lang w:val="en-US" w:eastAsia="zh-CN"/>
              </w:rPr>
            </w:pPr>
            <w:r>
              <w:rPr>
                <w:lang w:val="en-US" w:eastAsia="zh-CN"/>
              </w:rPr>
              <w:t>M4</w:t>
            </w:r>
          </w:p>
        </w:tc>
      </w:tr>
      <w:tr w14:paraId="4F32A5F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359" w:type="pct"/>
            <w:vAlign w:val="center"/>
          </w:tcPr>
          <w:p w14:paraId="293563B4">
            <w:pPr>
              <w:pStyle w:val="5"/>
              <w:bidi w:val="0"/>
              <w:rPr>
                <w:lang w:val="en-US" w:eastAsia="zh-CN"/>
              </w:rPr>
            </w:pPr>
            <w:r>
              <w:rPr>
                <w:lang w:val="en-US" w:eastAsia="zh-CN"/>
              </w:rPr>
              <w:t>Q≥100</w:t>
            </w:r>
          </w:p>
        </w:tc>
        <w:tc>
          <w:tcPr>
            <w:tcW w:w="659" w:type="pct"/>
            <w:vAlign w:val="center"/>
          </w:tcPr>
          <w:p w14:paraId="003EB840">
            <w:pPr>
              <w:pStyle w:val="5"/>
              <w:bidi w:val="0"/>
              <w:rPr>
                <w:lang w:val="en-US" w:eastAsia="zh-CN"/>
              </w:rPr>
            </w:pPr>
            <w:r>
              <w:rPr>
                <w:lang w:val="en-US" w:eastAsia="zh-CN"/>
              </w:rPr>
              <w:t>P1</w:t>
            </w:r>
          </w:p>
        </w:tc>
        <w:tc>
          <w:tcPr>
            <w:tcW w:w="659" w:type="pct"/>
            <w:vAlign w:val="center"/>
          </w:tcPr>
          <w:p w14:paraId="012F2A26">
            <w:pPr>
              <w:pStyle w:val="5"/>
              <w:bidi w:val="0"/>
              <w:rPr>
                <w:lang w:val="en-US" w:eastAsia="zh-CN"/>
              </w:rPr>
            </w:pPr>
            <w:r>
              <w:rPr>
                <w:lang w:val="en-US" w:eastAsia="zh-CN"/>
              </w:rPr>
              <w:t>P1</w:t>
            </w:r>
          </w:p>
        </w:tc>
        <w:tc>
          <w:tcPr>
            <w:tcW w:w="659" w:type="pct"/>
            <w:vAlign w:val="center"/>
          </w:tcPr>
          <w:p w14:paraId="09709E72">
            <w:pPr>
              <w:pStyle w:val="5"/>
              <w:bidi w:val="0"/>
              <w:rPr>
                <w:lang w:val="en-US" w:eastAsia="zh-CN"/>
              </w:rPr>
            </w:pPr>
            <w:r>
              <w:rPr>
                <w:lang w:val="en-US" w:eastAsia="zh-CN"/>
              </w:rPr>
              <w:t>P2</w:t>
            </w:r>
          </w:p>
        </w:tc>
        <w:tc>
          <w:tcPr>
            <w:tcW w:w="666" w:type="pct"/>
            <w:shd w:val="clear" w:color="auto" w:fill="FDEADA"/>
            <w:vAlign w:val="center"/>
          </w:tcPr>
          <w:p w14:paraId="407B2476">
            <w:pPr>
              <w:pStyle w:val="5"/>
              <w:bidi w:val="0"/>
              <w:rPr>
                <w:lang w:val="en-US" w:eastAsia="zh-CN"/>
              </w:rPr>
            </w:pPr>
            <w:r>
              <w:rPr>
                <w:lang w:val="en-US" w:eastAsia="zh-CN"/>
              </w:rPr>
              <w:t>P3</w:t>
            </w:r>
          </w:p>
        </w:tc>
      </w:tr>
      <w:tr w14:paraId="4B2D791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359" w:type="pct"/>
            <w:vAlign w:val="center"/>
          </w:tcPr>
          <w:p w14:paraId="65170D63">
            <w:pPr>
              <w:pStyle w:val="5"/>
              <w:bidi w:val="0"/>
              <w:rPr>
                <w:lang w:val="en-US" w:eastAsia="zh-CN"/>
              </w:rPr>
            </w:pPr>
            <w:r>
              <w:rPr>
                <w:lang w:val="en-US" w:eastAsia="zh-CN"/>
              </w:rPr>
              <w:t>10≤Q&lt;100</w:t>
            </w:r>
          </w:p>
        </w:tc>
        <w:tc>
          <w:tcPr>
            <w:tcW w:w="659" w:type="pct"/>
            <w:vAlign w:val="center"/>
          </w:tcPr>
          <w:p w14:paraId="4069826E">
            <w:pPr>
              <w:pStyle w:val="5"/>
              <w:bidi w:val="0"/>
              <w:rPr>
                <w:lang w:val="en-US" w:eastAsia="zh-CN"/>
              </w:rPr>
            </w:pPr>
            <w:r>
              <w:rPr>
                <w:lang w:val="en-US" w:eastAsia="zh-CN"/>
              </w:rPr>
              <w:t>P1</w:t>
            </w:r>
          </w:p>
        </w:tc>
        <w:tc>
          <w:tcPr>
            <w:tcW w:w="659" w:type="pct"/>
            <w:vAlign w:val="center"/>
          </w:tcPr>
          <w:p w14:paraId="2ABD8C48">
            <w:pPr>
              <w:pStyle w:val="5"/>
              <w:bidi w:val="0"/>
              <w:rPr>
                <w:lang w:val="en-US" w:eastAsia="zh-CN"/>
              </w:rPr>
            </w:pPr>
            <w:r>
              <w:rPr>
                <w:lang w:val="en-US" w:eastAsia="zh-CN"/>
              </w:rPr>
              <w:t>P2</w:t>
            </w:r>
          </w:p>
        </w:tc>
        <w:tc>
          <w:tcPr>
            <w:tcW w:w="659" w:type="pct"/>
            <w:vAlign w:val="center"/>
          </w:tcPr>
          <w:p w14:paraId="44BB6339">
            <w:pPr>
              <w:pStyle w:val="5"/>
              <w:bidi w:val="0"/>
              <w:rPr>
                <w:lang w:val="en-US" w:eastAsia="zh-CN"/>
              </w:rPr>
            </w:pPr>
            <w:r>
              <w:rPr>
                <w:lang w:val="en-US" w:eastAsia="zh-CN"/>
              </w:rPr>
              <w:t>P3</w:t>
            </w:r>
          </w:p>
        </w:tc>
        <w:tc>
          <w:tcPr>
            <w:tcW w:w="666" w:type="pct"/>
            <w:vAlign w:val="center"/>
          </w:tcPr>
          <w:p w14:paraId="63DA5CF8">
            <w:pPr>
              <w:pStyle w:val="5"/>
              <w:bidi w:val="0"/>
              <w:rPr>
                <w:lang w:val="en-US" w:eastAsia="zh-CN"/>
              </w:rPr>
            </w:pPr>
            <w:r>
              <w:rPr>
                <w:lang w:val="en-US" w:eastAsia="zh-CN"/>
              </w:rPr>
              <w:t>P4</w:t>
            </w:r>
          </w:p>
        </w:tc>
      </w:tr>
      <w:tr w14:paraId="3143B96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359" w:type="pct"/>
            <w:vAlign w:val="center"/>
          </w:tcPr>
          <w:p w14:paraId="2A8AA5B8">
            <w:pPr>
              <w:pStyle w:val="5"/>
              <w:bidi w:val="0"/>
              <w:rPr>
                <w:lang w:val="en-US" w:eastAsia="zh-CN"/>
              </w:rPr>
            </w:pPr>
            <w:r>
              <w:rPr>
                <w:lang w:val="en-US" w:eastAsia="zh-CN"/>
              </w:rPr>
              <w:t>1≤Q&lt;10</w:t>
            </w:r>
          </w:p>
        </w:tc>
        <w:tc>
          <w:tcPr>
            <w:tcW w:w="659" w:type="pct"/>
            <w:vAlign w:val="center"/>
          </w:tcPr>
          <w:p w14:paraId="24045930">
            <w:pPr>
              <w:pStyle w:val="5"/>
              <w:bidi w:val="0"/>
              <w:rPr>
                <w:lang w:val="en-US" w:eastAsia="zh-CN"/>
              </w:rPr>
            </w:pPr>
            <w:r>
              <w:rPr>
                <w:lang w:val="en-US" w:eastAsia="zh-CN"/>
              </w:rPr>
              <w:t>P2</w:t>
            </w:r>
          </w:p>
        </w:tc>
        <w:tc>
          <w:tcPr>
            <w:tcW w:w="659" w:type="pct"/>
            <w:vAlign w:val="center"/>
          </w:tcPr>
          <w:p w14:paraId="55DE5C01">
            <w:pPr>
              <w:pStyle w:val="5"/>
              <w:bidi w:val="0"/>
              <w:rPr>
                <w:lang w:val="en-US" w:eastAsia="zh-CN"/>
              </w:rPr>
            </w:pPr>
            <w:r>
              <w:rPr>
                <w:lang w:val="en-US" w:eastAsia="zh-CN"/>
              </w:rPr>
              <w:t>P3</w:t>
            </w:r>
          </w:p>
        </w:tc>
        <w:tc>
          <w:tcPr>
            <w:tcW w:w="659" w:type="pct"/>
            <w:vAlign w:val="center"/>
          </w:tcPr>
          <w:p w14:paraId="4E7C7CD6">
            <w:pPr>
              <w:pStyle w:val="5"/>
              <w:bidi w:val="0"/>
              <w:rPr>
                <w:lang w:val="en-US" w:eastAsia="zh-CN"/>
              </w:rPr>
            </w:pPr>
            <w:r>
              <w:rPr>
                <w:lang w:val="en-US" w:eastAsia="zh-CN"/>
              </w:rPr>
              <w:t>P4</w:t>
            </w:r>
          </w:p>
        </w:tc>
        <w:tc>
          <w:tcPr>
            <w:tcW w:w="666" w:type="pct"/>
            <w:vAlign w:val="center"/>
          </w:tcPr>
          <w:p w14:paraId="18CDFBDB">
            <w:pPr>
              <w:pStyle w:val="5"/>
              <w:bidi w:val="0"/>
              <w:rPr>
                <w:lang w:val="en-US" w:eastAsia="zh-CN"/>
              </w:rPr>
            </w:pPr>
            <w:r>
              <w:rPr>
                <w:lang w:val="en-US" w:eastAsia="zh-CN"/>
              </w:rPr>
              <w:t>P4</w:t>
            </w:r>
          </w:p>
        </w:tc>
      </w:tr>
    </w:tbl>
    <w:p w14:paraId="11EF419D">
      <w:pPr>
        <w:bidi w:val="0"/>
        <w:rPr>
          <w:lang w:val="en-US" w:eastAsia="zh-CN"/>
        </w:rPr>
      </w:pPr>
      <w:r>
        <w:rPr>
          <w:lang w:val="en-US" w:eastAsia="zh-CN"/>
        </w:rPr>
        <w:t>本项目Q=</w:t>
      </w:r>
      <w:r>
        <w:rPr>
          <w:rFonts w:hint="eastAsia"/>
          <w:lang w:val="en-US" w:eastAsia="zh-CN"/>
        </w:rPr>
        <w:t>119.68</w:t>
      </w:r>
      <w:r>
        <w:rPr>
          <w:lang w:val="en-US" w:eastAsia="zh-CN"/>
        </w:rPr>
        <w:t>，Q＞100，行业及生产工艺（M）为M4，根据上表，得出本项目危险物质及工艺系统危险性等级为P3。</w:t>
      </w:r>
    </w:p>
    <w:p w14:paraId="22B4DBDC">
      <w:pPr>
        <w:pStyle w:val="2"/>
        <w:bidi w:val="0"/>
        <w:rPr>
          <w:lang w:val="en-US" w:eastAsia="zh-CN"/>
        </w:rPr>
      </w:pPr>
      <w:r>
        <w:rPr>
          <w:rFonts w:hint="eastAsia"/>
          <w:lang w:val="en-US" w:eastAsia="zh-CN"/>
        </w:rPr>
        <w:t xml:space="preserve">3.2 </w:t>
      </w:r>
      <w:r>
        <w:rPr>
          <w:lang w:val="en-US" w:eastAsia="zh-CN"/>
        </w:rPr>
        <w:t>环境敏感程度（E）等级判定</w:t>
      </w:r>
    </w:p>
    <w:p w14:paraId="0F6346C4">
      <w:pPr>
        <w:bidi w:val="0"/>
        <w:rPr>
          <w:lang w:val="en-US" w:eastAsia="zh-CN"/>
        </w:rPr>
      </w:pPr>
      <w:r>
        <w:rPr>
          <w:lang w:val="en-US" w:eastAsia="zh-CN"/>
        </w:rPr>
        <w:t>（1）大气环境</w:t>
      </w:r>
    </w:p>
    <w:p w14:paraId="6E9E7763">
      <w:pPr>
        <w:bidi w:val="0"/>
        <w:rPr>
          <w:lang w:val="en-US" w:eastAsia="zh-CN"/>
        </w:rPr>
      </w:pPr>
      <w:r>
        <w:rPr>
          <w:lang w:val="en-US" w:eastAsia="zh-CN"/>
        </w:rPr>
        <w:t>依据《建设项目环境风险评价技术导则》（HJ/T169-2018），环境敏感目标环境敏感性及人口密度划分环境风险受体的敏感性，共分三种类型，E1为环境高度敏感区，E2为环境中度敏感区，E3为环境低度敏感区，分级原则见表</w:t>
      </w:r>
      <w:r>
        <w:rPr>
          <w:rFonts w:hint="eastAsia"/>
          <w:lang w:val="en-US" w:eastAsia="zh-CN"/>
        </w:rPr>
        <w:t>3-4</w:t>
      </w:r>
      <w:r>
        <w:rPr>
          <w:lang w:val="en-US" w:eastAsia="zh-CN"/>
        </w:rPr>
        <w:t>。</w:t>
      </w:r>
    </w:p>
    <w:p w14:paraId="5056F4EB">
      <w:pPr>
        <w:pStyle w:val="4"/>
        <w:bidi w:val="0"/>
        <w:rPr>
          <w:lang w:val="en-US" w:eastAsia="zh-CN"/>
        </w:rPr>
      </w:pPr>
      <w:r>
        <w:rPr>
          <w:lang w:val="en-US" w:eastAsia="zh-CN"/>
        </w:rPr>
        <w:t>表</w:t>
      </w:r>
      <w:r>
        <w:rPr>
          <w:rFonts w:hint="eastAsia"/>
          <w:lang w:val="en-US" w:eastAsia="zh-CN"/>
        </w:rPr>
        <w:t>3-4</w:t>
      </w:r>
      <w:r>
        <w:rPr>
          <w:lang w:val="en-US" w:eastAsia="zh-CN"/>
        </w:rPr>
        <w:t xml:space="preserve">  大气环境敏感性分级</w:t>
      </w:r>
    </w:p>
    <w:p w14:paraId="32FEC133">
      <w:pPr>
        <w:keepLines w:val="0"/>
        <w:pageBreakBefore w:val="0"/>
        <w:widowControl w:val="0"/>
        <w:kinsoku/>
        <w:wordWrap/>
        <w:overflowPunct/>
        <w:topLinePunct w:val="0"/>
        <w:autoSpaceDE/>
        <w:autoSpaceDN/>
        <w:bidi w:val="0"/>
        <w:adjustRightInd w:val="0"/>
        <w:spacing w:line="14" w:lineRule="exact"/>
        <w:jc w:val="both"/>
        <w:textAlignment w:val="auto"/>
        <w:outlineLvl w:val="9"/>
        <w:rPr>
          <w:rFonts w:eastAsia="宋体"/>
          <w:kern w:val="2"/>
          <w:szCs w:val="22"/>
          <w:lang w:val="en-US" w:eastAsia="zh-CN" w:bidi="ar-SA"/>
        </w:rPr>
      </w:pP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817"/>
        <w:gridCol w:w="8244"/>
      </w:tblGrid>
      <w:tr w14:paraId="45ED162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451" w:type="pct"/>
            <w:vAlign w:val="center"/>
          </w:tcPr>
          <w:p w14:paraId="724695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分级</w:t>
            </w:r>
          </w:p>
        </w:tc>
        <w:tc>
          <w:tcPr>
            <w:tcW w:w="4549" w:type="pct"/>
            <w:vAlign w:val="center"/>
          </w:tcPr>
          <w:p w14:paraId="18E5E0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大气环境敏感性</w:t>
            </w:r>
          </w:p>
        </w:tc>
      </w:tr>
      <w:tr w14:paraId="542D9FE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451" w:type="pct"/>
            <w:vAlign w:val="center"/>
          </w:tcPr>
          <w:p w14:paraId="2F219A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E1</w:t>
            </w:r>
          </w:p>
        </w:tc>
        <w:tc>
          <w:tcPr>
            <w:tcW w:w="4549" w:type="pct"/>
            <w:vAlign w:val="center"/>
          </w:tcPr>
          <w:p w14:paraId="374103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周边</w:t>
            </w:r>
            <w:r>
              <w:rPr>
                <w:kern w:val="2"/>
                <w:sz w:val="21"/>
                <w:lang w:val="en-US" w:eastAsia="zh-CN" w:bidi="ar-SA"/>
              </w:rPr>
              <w:t>5km</w:t>
            </w:r>
            <w:r>
              <w:rPr>
                <w:rFonts w:eastAsia="宋体" w:cs="Calibri"/>
                <w:kern w:val="2"/>
                <w:sz w:val="21"/>
                <w:lang w:val="en-US" w:eastAsia="zh-CN" w:bidi="ar-SA"/>
              </w:rPr>
              <w:t>范围内居住区、医疗卫生、文化教育、科研、行政办公等机构人口总数大于</w:t>
            </w:r>
            <w:r>
              <w:rPr>
                <w:kern w:val="2"/>
                <w:sz w:val="21"/>
                <w:lang w:val="en-US" w:eastAsia="zh-CN" w:bidi="ar-SA"/>
              </w:rPr>
              <w:t>5</w:t>
            </w:r>
            <w:r>
              <w:rPr>
                <w:rFonts w:eastAsia="宋体" w:cs="Calibri"/>
                <w:kern w:val="2"/>
                <w:sz w:val="21"/>
                <w:lang w:val="en-US" w:eastAsia="zh-CN" w:bidi="ar-SA"/>
              </w:rPr>
              <w:t>万人，或其他需要特殊保护区域；或周边</w:t>
            </w:r>
            <w:r>
              <w:rPr>
                <w:kern w:val="2"/>
                <w:sz w:val="21"/>
                <w:lang w:val="en-US" w:eastAsia="zh-CN" w:bidi="ar-SA"/>
              </w:rPr>
              <w:t>500m</w:t>
            </w:r>
            <w:r>
              <w:rPr>
                <w:rFonts w:eastAsia="宋体" w:cs="Calibri"/>
                <w:kern w:val="2"/>
                <w:sz w:val="21"/>
                <w:lang w:val="en-US" w:eastAsia="zh-CN" w:bidi="ar-SA"/>
              </w:rPr>
              <w:t>范围内人口总数大于</w:t>
            </w:r>
            <w:r>
              <w:rPr>
                <w:kern w:val="2"/>
                <w:sz w:val="21"/>
                <w:lang w:val="en-US" w:eastAsia="zh-CN" w:bidi="ar-SA"/>
              </w:rPr>
              <w:t>1000</w:t>
            </w:r>
            <w:r>
              <w:rPr>
                <w:rFonts w:eastAsia="宋体" w:cs="Calibri"/>
                <w:kern w:val="2"/>
                <w:sz w:val="21"/>
                <w:lang w:val="en-US" w:eastAsia="zh-CN" w:bidi="ar-SA"/>
              </w:rPr>
              <w:t>人；油气、化学品输送管线管段周边</w:t>
            </w:r>
            <w:r>
              <w:rPr>
                <w:kern w:val="2"/>
                <w:sz w:val="21"/>
                <w:lang w:val="en-US" w:eastAsia="zh-CN" w:bidi="ar-SA"/>
              </w:rPr>
              <w:t>200m</w:t>
            </w:r>
            <w:r>
              <w:rPr>
                <w:rFonts w:eastAsia="宋体" w:cs="Calibri"/>
                <w:kern w:val="2"/>
                <w:sz w:val="21"/>
                <w:lang w:val="en-US" w:eastAsia="zh-CN" w:bidi="ar-SA"/>
              </w:rPr>
              <w:t>范围内，每千米管段人口数大于</w:t>
            </w:r>
            <w:r>
              <w:rPr>
                <w:kern w:val="2"/>
                <w:sz w:val="21"/>
                <w:lang w:val="en-US" w:eastAsia="zh-CN" w:bidi="ar-SA"/>
              </w:rPr>
              <w:t>200</w:t>
            </w:r>
            <w:r>
              <w:rPr>
                <w:rFonts w:eastAsia="宋体" w:cs="Calibri"/>
                <w:kern w:val="2"/>
                <w:sz w:val="21"/>
                <w:lang w:val="en-US" w:eastAsia="zh-CN" w:bidi="ar-SA"/>
              </w:rPr>
              <w:t>人。</w:t>
            </w:r>
          </w:p>
        </w:tc>
      </w:tr>
      <w:tr w14:paraId="765DC2B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451" w:type="pct"/>
            <w:vAlign w:val="center"/>
          </w:tcPr>
          <w:p w14:paraId="0A552D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E2</w:t>
            </w:r>
          </w:p>
        </w:tc>
        <w:tc>
          <w:tcPr>
            <w:tcW w:w="4549" w:type="pct"/>
            <w:vAlign w:val="center"/>
          </w:tcPr>
          <w:p w14:paraId="00D13E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周边</w:t>
            </w:r>
            <w:r>
              <w:rPr>
                <w:kern w:val="2"/>
                <w:sz w:val="21"/>
                <w:lang w:val="en-US" w:eastAsia="zh-CN" w:bidi="ar-SA"/>
              </w:rPr>
              <w:t>5km</w:t>
            </w:r>
            <w:r>
              <w:rPr>
                <w:rFonts w:eastAsia="宋体" w:cs="Calibri"/>
                <w:kern w:val="2"/>
                <w:sz w:val="21"/>
                <w:lang w:val="en-US" w:eastAsia="zh-CN" w:bidi="ar-SA"/>
              </w:rPr>
              <w:t>范围内居住区、医疗卫生、文化教育、科研、行政办公等机构人口总数大于</w:t>
            </w:r>
            <w:r>
              <w:rPr>
                <w:kern w:val="2"/>
                <w:sz w:val="21"/>
                <w:lang w:val="en-US" w:eastAsia="zh-CN" w:bidi="ar-SA"/>
              </w:rPr>
              <w:t>1</w:t>
            </w:r>
            <w:r>
              <w:rPr>
                <w:rFonts w:eastAsia="宋体" w:cs="Calibri"/>
                <w:kern w:val="2"/>
                <w:sz w:val="21"/>
                <w:lang w:val="en-US" w:eastAsia="zh-CN" w:bidi="ar-SA"/>
              </w:rPr>
              <w:t>万人，或其他需要特殊保护区域；或周边</w:t>
            </w:r>
            <w:r>
              <w:rPr>
                <w:kern w:val="2"/>
                <w:sz w:val="21"/>
                <w:lang w:val="en-US" w:eastAsia="zh-CN" w:bidi="ar-SA"/>
              </w:rPr>
              <w:t>500m</w:t>
            </w:r>
            <w:r>
              <w:rPr>
                <w:rFonts w:eastAsia="宋体" w:cs="Calibri"/>
                <w:kern w:val="2"/>
                <w:sz w:val="21"/>
                <w:lang w:val="en-US" w:eastAsia="zh-CN" w:bidi="ar-SA"/>
              </w:rPr>
              <w:t>范围内人口总数大于</w:t>
            </w:r>
            <w:r>
              <w:rPr>
                <w:kern w:val="2"/>
                <w:sz w:val="21"/>
                <w:lang w:val="en-US" w:eastAsia="zh-CN" w:bidi="ar-SA"/>
              </w:rPr>
              <w:t>500</w:t>
            </w:r>
            <w:r>
              <w:rPr>
                <w:rFonts w:eastAsia="宋体" w:cs="Calibri"/>
                <w:kern w:val="2"/>
                <w:sz w:val="21"/>
                <w:lang w:val="en-US" w:eastAsia="zh-CN" w:bidi="ar-SA"/>
              </w:rPr>
              <w:t>人、小于</w:t>
            </w:r>
            <w:r>
              <w:rPr>
                <w:kern w:val="2"/>
                <w:sz w:val="21"/>
                <w:lang w:val="en-US" w:eastAsia="zh-CN" w:bidi="ar-SA"/>
              </w:rPr>
              <w:t>1000</w:t>
            </w:r>
            <w:r>
              <w:rPr>
                <w:rFonts w:eastAsia="宋体" w:cs="Calibri"/>
                <w:kern w:val="2"/>
                <w:sz w:val="21"/>
                <w:lang w:val="en-US" w:eastAsia="zh-CN" w:bidi="ar-SA"/>
              </w:rPr>
              <w:t>人；油气、化学品输送管线管段周边</w:t>
            </w:r>
            <w:r>
              <w:rPr>
                <w:kern w:val="2"/>
                <w:sz w:val="21"/>
                <w:lang w:val="en-US" w:eastAsia="zh-CN" w:bidi="ar-SA"/>
              </w:rPr>
              <w:t>200m</w:t>
            </w:r>
            <w:r>
              <w:rPr>
                <w:rFonts w:eastAsia="宋体" w:cs="Calibri"/>
                <w:kern w:val="2"/>
                <w:sz w:val="21"/>
                <w:lang w:val="en-US" w:eastAsia="zh-CN" w:bidi="ar-SA"/>
              </w:rPr>
              <w:t>范围内，每千米管段人口数大于</w:t>
            </w:r>
            <w:r>
              <w:rPr>
                <w:kern w:val="2"/>
                <w:sz w:val="21"/>
                <w:lang w:val="en-US" w:eastAsia="zh-CN" w:bidi="ar-SA"/>
              </w:rPr>
              <w:t>100</w:t>
            </w:r>
            <w:r>
              <w:rPr>
                <w:rFonts w:eastAsia="宋体" w:cs="Calibri"/>
                <w:kern w:val="2"/>
                <w:sz w:val="21"/>
                <w:lang w:val="en-US" w:eastAsia="zh-CN" w:bidi="ar-SA"/>
              </w:rPr>
              <w:t>人、小于</w:t>
            </w:r>
            <w:r>
              <w:rPr>
                <w:kern w:val="2"/>
                <w:sz w:val="21"/>
                <w:lang w:val="en-US" w:eastAsia="zh-CN" w:bidi="ar-SA"/>
              </w:rPr>
              <w:t>200</w:t>
            </w:r>
            <w:r>
              <w:rPr>
                <w:rFonts w:eastAsia="宋体" w:cs="Calibri"/>
                <w:kern w:val="2"/>
                <w:sz w:val="21"/>
                <w:lang w:val="en-US" w:eastAsia="zh-CN" w:bidi="ar-SA"/>
              </w:rPr>
              <w:t>人。</w:t>
            </w:r>
          </w:p>
        </w:tc>
      </w:tr>
      <w:tr w14:paraId="3C21091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trPr>
        <w:tc>
          <w:tcPr>
            <w:tcW w:w="451" w:type="pct"/>
            <w:shd w:val="clear" w:color="auto" w:fill="FDE9D9"/>
            <w:vAlign w:val="center"/>
          </w:tcPr>
          <w:p w14:paraId="036D3D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E3</w:t>
            </w:r>
          </w:p>
        </w:tc>
        <w:tc>
          <w:tcPr>
            <w:tcW w:w="4549" w:type="pct"/>
            <w:shd w:val="clear" w:color="auto" w:fill="FDE9D9"/>
            <w:vAlign w:val="center"/>
          </w:tcPr>
          <w:p w14:paraId="10EF01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周边</w:t>
            </w:r>
            <w:r>
              <w:rPr>
                <w:kern w:val="2"/>
                <w:sz w:val="21"/>
                <w:lang w:val="en-US" w:eastAsia="zh-CN" w:bidi="ar-SA"/>
              </w:rPr>
              <w:t>5km</w:t>
            </w:r>
            <w:r>
              <w:rPr>
                <w:rFonts w:eastAsia="宋体" w:cs="Calibri"/>
                <w:kern w:val="2"/>
                <w:sz w:val="21"/>
                <w:lang w:val="en-US" w:eastAsia="zh-CN" w:bidi="ar-SA"/>
              </w:rPr>
              <w:t>范围内居住区、医疗卫生、文化教育、科研、行政办公等机构人口总数小于</w:t>
            </w:r>
            <w:r>
              <w:rPr>
                <w:kern w:val="2"/>
                <w:sz w:val="21"/>
                <w:lang w:val="en-US" w:eastAsia="zh-CN" w:bidi="ar-SA"/>
              </w:rPr>
              <w:t>1</w:t>
            </w:r>
            <w:r>
              <w:rPr>
                <w:rFonts w:eastAsia="宋体" w:cs="Calibri"/>
                <w:kern w:val="2"/>
                <w:sz w:val="21"/>
                <w:lang w:val="en-US" w:eastAsia="zh-CN" w:bidi="ar-SA"/>
              </w:rPr>
              <w:t>万人，或其他需要特殊保护区域；或周边</w:t>
            </w:r>
            <w:r>
              <w:rPr>
                <w:kern w:val="2"/>
                <w:sz w:val="21"/>
                <w:lang w:val="en-US" w:eastAsia="zh-CN" w:bidi="ar-SA"/>
              </w:rPr>
              <w:t>500m</w:t>
            </w:r>
            <w:r>
              <w:rPr>
                <w:rFonts w:eastAsia="宋体" w:cs="Calibri"/>
                <w:kern w:val="2"/>
                <w:sz w:val="21"/>
                <w:lang w:val="en-US" w:eastAsia="zh-CN" w:bidi="ar-SA"/>
              </w:rPr>
              <w:t>范围内人口总数小于</w:t>
            </w:r>
            <w:r>
              <w:rPr>
                <w:kern w:val="2"/>
                <w:sz w:val="21"/>
                <w:lang w:val="en-US" w:eastAsia="zh-CN" w:bidi="ar-SA"/>
              </w:rPr>
              <w:t>500</w:t>
            </w:r>
            <w:r>
              <w:rPr>
                <w:rFonts w:eastAsia="宋体" w:cs="Calibri"/>
                <w:kern w:val="2"/>
                <w:sz w:val="21"/>
                <w:lang w:val="en-US" w:eastAsia="zh-CN" w:bidi="ar-SA"/>
              </w:rPr>
              <w:t>人；油气、化学品输送管线管段周边</w:t>
            </w:r>
            <w:r>
              <w:rPr>
                <w:kern w:val="2"/>
                <w:sz w:val="21"/>
                <w:lang w:val="en-US" w:eastAsia="zh-CN" w:bidi="ar-SA"/>
              </w:rPr>
              <w:t>200m</w:t>
            </w:r>
            <w:r>
              <w:rPr>
                <w:rFonts w:eastAsia="宋体" w:cs="Calibri"/>
                <w:kern w:val="2"/>
                <w:sz w:val="21"/>
                <w:lang w:val="en-US" w:eastAsia="zh-CN" w:bidi="ar-SA"/>
              </w:rPr>
              <w:t>范围内，每千米管段人口数小于</w:t>
            </w:r>
            <w:r>
              <w:rPr>
                <w:kern w:val="2"/>
                <w:sz w:val="21"/>
                <w:lang w:val="en-US" w:eastAsia="zh-CN" w:bidi="ar-SA"/>
              </w:rPr>
              <w:t>100</w:t>
            </w:r>
            <w:r>
              <w:rPr>
                <w:rFonts w:eastAsia="宋体" w:cs="Calibri"/>
                <w:kern w:val="2"/>
                <w:sz w:val="21"/>
                <w:lang w:val="en-US" w:eastAsia="zh-CN" w:bidi="ar-SA"/>
              </w:rPr>
              <w:t>人。</w:t>
            </w:r>
          </w:p>
        </w:tc>
      </w:tr>
    </w:tbl>
    <w:p w14:paraId="0914BD64">
      <w:pPr>
        <w:bidi w:val="0"/>
        <w:rPr>
          <w:lang w:val="en-US" w:eastAsia="zh-CN"/>
        </w:rPr>
      </w:pPr>
      <w:r>
        <w:rPr>
          <w:lang w:val="en-US" w:eastAsia="zh-CN"/>
        </w:rPr>
        <w:t>本项目周边5km范围内主要敏感目标为阿克亚村和拉依苏村居民，总人数约</w:t>
      </w:r>
      <w:r>
        <w:rPr>
          <w:rFonts w:hint="eastAsia"/>
          <w:lang w:val="en-US" w:eastAsia="zh-CN"/>
        </w:rPr>
        <w:t>825</w:t>
      </w:r>
      <w:r>
        <w:rPr>
          <w:lang w:val="en-US" w:eastAsia="zh-CN"/>
        </w:rPr>
        <w:t>人小于1万人；500m范围内人数主要为巴州巨融能源燃气有限公司LNG工厂、同益新能源公司CNG加气站、塔新二期在建项目及本项目工作人员，约165人小于500人。根据上表，项目属于大气环境低度敏感区E3。</w:t>
      </w:r>
    </w:p>
    <w:p w14:paraId="7BB24F0F">
      <w:pPr>
        <w:bidi w:val="0"/>
        <w:rPr>
          <w:lang w:val="en-US" w:eastAsia="zh-CN"/>
        </w:rPr>
      </w:pPr>
      <w:r>
        <w:rPr>
          <w:lang w:val="en-US" w:eastAsia="zh-CN"/>
        </w:rPr>
        <w:t>（2）地表水环境</w:t>
      </w:r>
    </w:p>
    <w:p w14:paraId="028FF953">
      <w:pPr>
        <w:bidi w:val="0"/>
        <w:rPr>
          <w:lang w:val="en-US" w:eastAsia="zh-CN"/>
        </w:rPr>
      </w:pPr>
      <w:r>
        <w:rPr>
          <w:lang w:val="en-US" w:eastAsia="zh-CN"/>
        </w:rPr>
        <w:t>根据《建设项目环境风险评价技术导则》（HJ169-2018），地表水功能敏感性分区和环境敏感目标分级分别见下表。</w:t>
      </w:r>
    </w:p>
    <w:p w14:paraId="2C1B2619">
      <w:pPr>
        <w:pStyle w:val="4"/>
        <w:bidi w:val="0"/>
        <w:rPr>
          <w:lang w:val="en-US" w:eastAsia="zh-CN"/>
        </w:rPr>
      </w:pPr>
      <w:r>
        <w:rPr>
          <w:lang w:val="en-US" w:eastAsia="zh-CN"/>
        </w:rPr>
        <w:t>表</w:t>
      </w:r>
      <w:r>
        <w:rPr>
          <w:rFonts w:hint="eastAsia"/>
          <w:lang w:val="en-US" w:eastAsia="zh-CN"/>
        </w:rPr>
        <w:t>3-5</w:t>
      </w:r>
      <w:r>
        <w:rPr>
          <w:lang w:val="en-US" w:eastAsia="zh-CN"/>
        </w:rPr>
        <w:t xml:space="preserve">  地表水环境敏感程度分级</w:t>
      </w:r>
    </w:p>
    <w:p w14:paraId="28915803">
      <w:pPr>
        <w:keepLines w:val="0"/>
        <w:pageBreakBefore w:val="0"/>
        <w:widowControl w:val="0"/>
        <w:kinsoku/>
        <w:wordWrap/>
        <w:overflowPunct/>
        <w:topLinePunct w:val="0"/>
        <w:autoSpaceDE/>
        <w:autoSpaceDN/>
        <w:bidi w:val="0"/>
        <w:adjustRightInd w:val="0"/>
        <w:spacing w:line="14" w:lineRule="exact"/>
        <w:jc w:val="both"/>
        <w:textAlignment w:val="auto"/>
        <w:outlineLvl w:val="9"/>
        <w:rPr>
          <w:rFonts w:eastAsia="宋体"/>
          <w:kern w:val="2"/>
          <w:szCs w:val="22"/>
          <w:lang w:val="en-US" w:eastAsia="zh-CN" w:bidi="ar-SA"/>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1028"/>
        <w:gridCol w:w="8033"/>
      </w:tblGrid>
      <w:tr w14:paraId="0D9E460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567" w:type="pct"/>
            <w:vAlign w:val="center"/>
          </w:tcPr>
          <w:p w14:paraId="6AEA37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敏感性</w:t>
            </w:r>
          </w:p>
        </w:tc>
        <w:tc>
          <w:tcPr>
            <w:tcW w:w="4433" w:type="pct"/>
            <w:vAlign w:val="center"/>
          </w:tcPr>
          <w:p w14:paraId="365247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地表水环境敏感特征</w:t>
            </w:r>
          </w:p>
        </w:tc>
      </w:tr>
      <w:tr w14:paraId="1CF582E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567" w:type="pct"/>
            <w:vAlign w:val="center"/>
          </w:tcPr>
          <w:p w14:paraId="29045E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F1</w:t>
            </w:r>
          </w:p>
        </w:tc>
        <w:tc>
          <w:tcPr>
            <w:tcW w:w="4433" w:type="pct"/>
            <w:vAlign w:val="center"/>
          </w:tcPr>
          <w:p w14:paraId="02B2B5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排放点进入地表水水域环境功能为Ⅱ类及以上，或海水水质分类第一类；或以发生事故时，危险物质泄漏到水体的排放点算起，排放进入受纳河流最大流速时，</w:t>
            </w:r>
            <w:r>
              <w:rPr>
                <w:kern w:val="2"/>
                <w:sz w:val="21"/>
                <w:lang w:val="en-US" w:eastAsia="zh-CN" w:bidi="ar-SA"/>
              </w:rPr>
              <w:t>24h</w:t>
            </w:r>
            <w:r>
              <w:rPr>
                <w:rFonts w:eastAsia="宋体" w:cs="Calibri"/>
                <w:kern w:val="2"/>
                <w:sz w:val="21"/>
                <w:lang w:val="en-US" w:eastAsia="zh-CN" w:bidi="ar-SA"/>
              </w:rPr>
              <w:t>流经范围内涉跨国界的</w:t>
            </w:r>
          </w:p>
        </w:tc>
      </w:tr>
      <w:tr w14:paraId="503AB9A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567" w:type="pct"/>
            <w:vAlign w:val="center"/>
          </w:tcPr>
          <w:p w14:paraId="724DC6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F2</w:t>
            </w:r>
          </w:p>
        </w:tc>
        <w:tc>
          <w:tcPr>
            <w:tcW w:w="4433" w:type="pct"/>
            <w:vAlign w:val="center"/>
          </w:tcPr>
          <w:p w14:paraId="3A89B6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排放点进入地表水水域环境功能为Ⅲ类，或海水水质分类第二类；或以发生事故时，危险物质泄漏到水体的排放点算起，排放进入受纳河流最大流速时，</w:t>
            </w:r>
            <w:r>
              <w:rPr>
                <w:kern w:val="2"/>
                <w:sz w:val="21"/>
                <w:lang w:val="en-US" w:eastAsia="zh-CN" w:bidi="ar-SA"/>
              </w:rPr>
              <w:t>24h</w:t>
            </w:r>
            <w:r>
              <w:rPr>
                <w:rFonts w:eastAsia="宋体" w:cs="Calibri"/>
                <w:kern w:val="2"/>
                <w:sz w:val="21"/>
                <w:lang w:val="en-US" w:eastAsia="zh-CN" w:bidi="ar-SA"/>
              </w:rPr>
              <w:t>流经范围内涉跨省界的</w:t>
            </w:r>
          </w:p>
        </w:tc>
      </w:tr>
      <w:tr w14:paraId="5F01C98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567" w:type="pct"/>
            <w:shd w:val="clear" w:color="auto" w:fill="FDEADA"/>
            <w:vAlign w:val="center"/>
          </w:tcPr>
          <w:p w14:paraId="77F0E7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F3</w:t>
            </w:r>
          </w:p>
        </w:tc>
        <w:tc>
          <w:tcPr>
            <w:tcW w:w="4433" w:type="pct"/>
            <w:shd w:val="clear" w:color="auto" w:fill="FDEADA"/>
            <w:vAlign w:val="center"/>
          </w:tcPr>
          <w:p w14:paraId="6FE27D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上述地区之外的其他地区</w:t>
            </w:r>
          </w:p>
        </w:tc>
      </w:tr>
    </w:tbl>
    <w:p w14:paraId="2CC921AA">
      <w:pPr>
        <w:pStyle w:val="4"/>
        <w:bidi w:val="0"/>
        <w:rPr>
          <w:lang w:val="en-US" w:eastAsia="zh-CN"/>
        </w:rPr>
      </w:pPr>
      <w:r>
        <w:rPr>
          <w:lang w:val="en-US" w:eastAsia="zh-CN"/>
        </w:rPr>
        <w:t>表</w:t>
      </w:r>
      <w:r>
        <w:rPr>
          <w:rFonts w:hint="eastAsia"/>
          <w:lang w:val="en-US" w:eastAsia="zh-CN"/>
        </w:rPr>
        <w:t>3-6</w:t>
      </w:r>
      <w:r>
        <w:rPr>
          <w:lang w:val="en-US" w:eastAsia="zh-CN"/>
        </w:rPr>
        <w:t xml:space="preserve">  环境敏感目标分级</w:t>
      </w:r>
    </w:p>
    <w:p w14:paraId="3B1D3C11">
      <w:pPr>
        <w:keepLines w:val="0"/>
        <w:pageBreakBefore w:val="0"/>
        <w:widowControl w:val="0"/>
        <w:kinsoku/>
        <w:wordWrap/>
        <w:overflowPunct/>
        <w:topLinePunct w:val="0"/>
        <w:autoSpaceDE/>
        <w:autoSpaceDN/>
        <w:bidi w:val="0"/>
        <w:adjustRightInd w:val="0"/>
        <w:spacing w:line="14" w:lineRule="exact"/>
        <w:jc w:val="both"/>
        <w:textAlignment w:val="auto"/>
        <w:outlineLvl w:val="9"/>
        <w:rPr>
          <w:rFonts w:eastAsia="宋体"/>
          <w:kern w:val="2"/>
          <w:szCs w:val="22"/>
          <w:lang w:val="en-US" w:eastAsia="zh-CN" w:bidi="ar-SA"/>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727"/>
        <w:gridCol w:w="8334"/>
      </w:tblGrid>
      <w:tr w14:paraId="77247F1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PrEx>
        <w:trPr>
          <w:trHeight w:val="321" w:hRule="atLeast"/>
          <w:jc w:val="center"/>
        </w:trPr>
        <w:tc>
          <w:tcPr>
            <w:tcW w:w="401" w:type="pct"/>
            <w:vAlign w:val="center"/>
          </w:tcPr>
          <w:p w14:paraId="6B9632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分级</w:t>
            </w:r>
          </w:p>
        </w:tc>
        <w:tc>
          <w:tcPr>
            <w:tcW w:w="4599" w:type="pct"/>
            <w:vAlign w:val="center"/>
          </w:tcPr>
          <w:p w14:paraId="7C2373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地表水环境敏感特征</w:t>
            </w:r>
          </w:p>
        </w:tc>
      </w:tr>
      <w:tr w14:paraId="5C670E6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1019" w:hRule="atLeast"/>
          <w:jc w:val="center"/>
        </w:trPr>
        <w:tc>
          <w:tcPr>
            <w:tcW w:w="401" w:type="pct"/>
            <w:vAlign w:val="center"/>
          </w:tcPr>
          <w:p w14:paraId="229202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S1</w:t>
            </w:r>
          </w:p>
        </w:tc>
        <w:tc>
          <w:tcPr>
            <w:tcW w:w="4599" w:type="pct"/>
            <w:vAlign w:val="center"/>
          </w:tcPr>
          <w:p w14:paraId="429800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发生事故时，危险物质泄漏到内陆水体的排放点下游（顺水流向）</w:t>
            </w:r>
            <w:r>
              <w:rPr>
                <w:kern w:val="2"/>
                <w:sz w:val="21"/>
                <w:lang w:val="en-US" w:eastAsia="zh-CN" w:bidi="ar-SA"/>
              </w:rPr>
              <w:t>10km</w:t>
            </w:r>
            <w:r>
              <w:rPr>
                <w:rFonts w:eastAsia="宋体" w:cs="Calibri"/>
                <w:kern w:val="2"/>
                <w:sz w:val="21"/>
                <w:lang w:val="en-US" w:eastAsia="zh-CN" w:bidi="ar-SA"/>
              </w:rPr>
              <w:t>范围内、近岸海域一个潮周期水质点可能达到的最大水平距离的两倍范围内，有如下一类或多类环境风险受体：集中式地表水饮用水水源保护区（包括一级保护区、二级保护区及准保护区）；农村及分散式饮用水水源保护区；自然保护区；重要湿地；珍稀濒危野生动植物天然集中分布区；重要水生生物的自然产卵场及索饵场、越冬场和洄游通道；世界文化和自然遗产地；红树林、珊瑚礁等滨海湿地生态系统；珍稀、濒危海洋生物的天然集中分布区；海洋特别保护区；海上自然保护区；盐场保护区；海水浴场；海洋自然历史遗迹；风景名胜区；或其他特殊重要保护区域</w:t>
            </w:r>
          </w:p>
        </w:tc>
      </w:tr>
      <w:tr w14:paraId="59973F0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401" w:type="pct"/>
            <w:vAlign w:val="center"/>
          </w:tcPr>
          <w:p w14:paraId="2987A5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S2</w:t>
            </w:r>
          </w:p>
        </w:tc>
        <w:tc>
          <w:tcPr>
            <w:tcW w:w="4599" w:type="pct"/>
            <w:vAlign w:val="center"/>
          </w:tcPr>
          <w:p w14:paraId="53E029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发生事故时，危险物质泄漏到内陆水体的排放点下游（顺水流向）</w:t>
            </w:r>
            <w:r>
              <w:rPr>
                <w:kern w:val="2"/>
                <w:sz w:val="21"/>
                <w:lang w:val="en-US" w:eastAsia="zh-CN" w:bidi="ar-SA"/>
              </w:rPr>
              <w:t>10km</w:t>
            </w:r>
            <w:r>
              <w:rPr>
                <w:rFonts w:eastAsia="宋体" w:cs="Calibri"/>
                <w:kern w:val="2"/>
                <w:sz w:val="21"/>
                <w:lang w:val="en-US" w:eastAsia="zh-CN" w:bidi="ar-SA"/>
              </w:rPr>
              <w:t>范围内、近岸海域一个潮周期水质点可能达到的最大水平距离的两倍范围内，有如下一类或多类环境风险受体的：水产养殖区；天然渔场；森林公园；地质公园；海滨风景游览区；具有重要经济价值的海洋生物生存区域</w:t>
            </w:r>
          </w:p>
        </w:tc>
      </w:tr>
      <w:tr w14:paraId="72CAF09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641" w:hRule="atLeast"/>
          <w:jc w:val="center"/>
        </w:trPr>
        <w:tc>
          <w:tcPr>
            <w:tcW w:w="401" w:type="pct"/>
            <w:shd w:val="clear" w:color="auto" w:fill="FDE9D9"/>
            <w:vAlign w:val="center"/>
          </w:tcPr>
          <w:p w14:paraId="1A5A51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S3</w:t>
            </w:r>
          </w:p>
        </w:tc>
        <w:tc>
          <w:tcPr>
            <w:tcW w:w="4599" w:type="pct"/>
            <w:shd w:val="clear" w:color="auto" w:fill="FDE9D9"/>
            <w:vAlign w:val="center"/>
          </w:tcPr>
          <w:p w14:paraId="15EAFB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排放点下游（顺水流向）</w:t>
            </w:r>
            <w:r>
              <w:rPr>
                <w:kern w:val="2"/>
                <w:sz w:val="21"/>
                <w:lang w:val="en-US" w:eastAsia="zh-CN" w:bidi="ar-SA"/>
              </w:rPr>
              <w:t>10km</w:t>
            </w:r>
            <w:r>
              <w:rPr>
                <w:rFonts w:eastAsia="宋体" w:cs="Calibri"/>
                <w:kern w:val="2"/>
                <w:sz w:val="21"/>
                <w:lang w:val="en-US" w:eastAsia="zh-CN" w:bidi="ar-SA"/>
              </w:rPr>
              <w:t>范围、近岸海域一个潮周期水质点可能达到的最大水平距离的两倍范围内无上述类型</w:t>
            </w:r>
            <w:r>
              <w:rPr>
                <w:kern w:val="2"/>
                <w:sz w:val="21"/>
                <w:lang w:val="en-US" w:eastAsia="zh-CN" w:bidi="ar-SA"/>
              </w:rPr>
              <w:t>1</w:t>
            </w:r>
            <w:r>
              <w:rPr>
                <w:rFonts w:eastAsia="宋体" w:cs="Calibri"/>
                <w:kern w:val="2"/>
                <w:sz w:val="21"/>
                <w:lang w:val="en-US" w:eastAsia="zh-CN" w:bidi="ar-SA"/>
              </w:rPr>
              <w:t>和类型</w:t>
            </w:r>
            <w:r>
              <w:rPr>
                <w:kern w:val="2"/>
                <w:sz w:val="21"/>
                <w:lang w:val="en-US" w:eastAsia="zh-CN" w:bidi="ar-SA"/>
              </w:rPr>
              <w:t>2</w:t>
            </w:r>
            <w:r>
              <w:rPr>
                <w:rFonts w:eastAsia="宋体" w:cs="Calibri"/>
                <w:kern w:val="2"/>
                <w:sz w:val="21"/>
                <w:lang w:val="en-US" w:eastAsia="zh-CN" w:bidi="ar-SA"/>
              </w:rPr>
              <w:t>包括的敏感保护目标</w:t>
            </w:r>
          </w:p>
        </w:tc>
      </w:tr>
    </w:tbl>
    <w:p w14:paraId="62098B24">
      <w:pPr>
        <w:bidi w:val="0"/>
        <w:rPr>
          <w:lang w:val="en-US" w:eastAsia="zh-CN"/>
        </w:rPr>
      </w:pPr>
      <w:r>
        <w:rPr>
          <w:lang w:val="en-US" w:eastAsia="zh-CN"/>
        </w:rPr>
        <w:t>依据事故情况下危险物质泄漏到水体排放点受纳地表水体功能敏感性，与下游环境敏感目标，地表水环境敏感程度共分为三种类型，E1为环境高度敏感区，E2为环境中度敏感区，E3为环境低度敏感区，分级原则见表</w:t>
      </w:r>
      <w:r>
        <w:rPr>
          <w:rFonts w:hint="eastAsia"/>
          <w:lang w:val="en-US" w:eastAsia="zh-CN"/>
        </w:rPr>
        <w:t>3-7</w:t>
      </w:r>
      <w:r>
        <w:rPr>
          <w:lang w:val="en-US" w:eastAsia="zh-CN"/>
        </w:rPr>
        <w:t>。</w:t>
      </w:r>
    </w:p>
    <w:p w14:paraId="5894A433">
      <w:pPr>
        <w:pStyle w:val="4"/>
        <w:bidi w:val="0"/>
        <w:rPr>
          <w:rFonts w:eastAsia="宋体" w:cs="Calibri"/>
          <w:b/>
          <w:kern w:val="2"/>
          <w:lang w:val="en-US" w:eastAsia="zh-CN" w:bidi="ar-SA"/>
        </w:rPr>
      </w:pPr>
      <w:r>
        <w:rPr>
          <w:rFonts w:eastAsia="宋体" w:cs="Calibri"/>
          <w:b/>
          <w:kern w:val="2"/>
          <w:lang w:val="en-US" w:eastAsia="zh-CN" w:bidi="ar-SA"/>
        </w:rPr>
        <w:t>表</w:t>
      </w:r>
      <w:r>
        <w:rPr>
          <w:rFonts w:hint="eastAsia" w:cs="Calibri"/>
          <w:b/>
          <w:kern w:val="2"/>
          <w:lang w:val="en-US" w:eastAsia="zh-CN" w:bidi="ar-SA"/>
        </w:rPr>
        <w:t>3-7</w:t>
      </w:r>
      <w:r>
        <w:rPr>
          <w:rFonts w:eastAsia="宋体" w:cs="Calibri"/>
          <w:b/>
          <w:kern w:val="2"/>
          <w:lang w:val="en-US" w:eastAsia="zh-CN" w:bidi="ar-SA"/>
        </w:rPr>
        <w:t xml:space="preserve">  地表水环境敏感程度分级</w:t>
      </w: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3968"/>
        <w:gridCol w:w="1693"/>
        <w:gridCol w:w="1693"/>
        <w:gridCol w:w="1707"/>
      </w:tblGrid>
      <w:tr w14:paraId="71DE70A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190" w:type="pct"/>
            <w:vMerge w:val="restart"/>
            <w:tcBorders>
              <w:bottom w:val="nil"/>
            </w:tcBorders>
            <w:vAlign w:val="center"/>
          </w:tcPr>
          <w:p w14:paraId="618402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环境敏感目标</w:t>
            </w:r>
          </w:p>
        </w:tc>
        <w:tc>
          <w:tcPr>
            <w:tcW w:w="2810" w:type="pct"/>
            <w:gridSpan w:val="3"/>
            <w:vAlign w:val="center"/>
          </w:tcPr>
          <w:p w14:paraId="1AB0D6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地表水功能敏感性</w:t>
            </w:r>
          </w:p>
        </w:tc>
      </w:tr>
      <w:tr w14:paraId="160BC65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190" w:type="pct"/>
            <w:vMerge w:val="continue"/>
            <w:tcBorders>
              <w:top w:val="nil"/>
            </w:tcBorders>
            <w:vAlign w:val="center"/>
          </w:tcPr>
          <w:p w14:paraId="443797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934" w:type="pct"/>
            <w:vAlign w:val="center"/>
          </w:tcPr>
          <w:p w14:paraId="6B46B4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F1</w:t>
            </w:r>
          </w:p>
        </w:tc>
        <w:tc>
          <w:tcPr>
            <w:tcW w:w="934" w:type="pct"/>
            <w:vAlign w:val="center"/>
          </w:tcPr>
          <w:p w14:paraId="462C0F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F2</w:t>
            </w:r>
          </w:p>
        </w:tc>
        <w:tc>
          <w:tcPr>
            <w:tcW w:w="942" w:type="pct"/>
            <w:vAlign w:val="center"/>
          </w:tcPr>
          <w:p w14:paraId="02C83D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F3</w:t>
            </w:r>
          </w:p>
        </w:tc>
      </w:tr>
      <w:tr w14:paraId="6E97D27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190" w:type="pct"/>
            <w:vAlign w:val="center"/>
          </w:tcPr>
          <w:p w14:paraId="7E7E8A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S1</w:t>
            </w:r>
          </w:p>
        </w:tc>
        <w:tc>
          <w:tcPr>
            <w:tcW w:w="934" w:type="pct"/>
            <w:vAlign w:val="center"/>
          </w:tcPr>
          <w:p w14:paraId="09F1E4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E1</w:t>
            </w:r>
          </w:p>
        </w:tc>
        <w:tc>
          <w:tcPr>
            <w:tcW w:w="934" w:type="pct"/>
            <w:vAlign w:val="center"/>
          </w:tcPr>
          <w:p w14:paraId="12463B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E1</w:t>
            </w:r>
          </w:p>
        </w:tc>
        <w:tc>
          <w:tcPr>
            <w:tcW w:w="942" w:type="pct"/>
            <w:vAlign w:val="center"/>
          </w:tcPr>
          <w:p w14:paraId="7B8027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E2</w:t>
            </w:r>
          </w:p>
        </w:tc>
      </w:tr>
      <w:tr w14:paraId="1D79D5D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190" w:type="pct"/>
            <w:vAlign w:val="center"/>
          </w:tcPr>
          <w:p w14:paraId="48A5AC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S2</w:t>
            </w:r>
          </w:p>
        </w:tc>
        <w:tc>
          <w:tcPr>
            <w:tcW w:w="934" w:type="pct"/>
            <w:vAlign w:val="center"/>
          </w:tcPr>
          <w:p w14:paraId="395DB7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E1</w:t>
            </w:r>
          </w:p>
        </w:tc>
        <w:tc>
          <w:tcPr>
            <w:tcW w:w="934" w:type="pct"/>
            <w:vAlign w:val="center"/>
          </w:tcPr>
          <w:p w14:paraId="2C2704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E2</w:t>
            </w:r>
          </w:p>
        </w:tc>
        <w:tc>
          <w:tcPr>
            <w:tcW w:w="942" w:type="pct"/>
            <w:vAlign w:val="center"/>
          </w:tcPr>
          <w:p w14:paraId="3A9F8E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E3</w:t>
            </w:r>
          </w:p>
        </w:tc>
      </w:tr>
      <w:tr w14:paraId="7E19E29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190" w:type="pct"/>
            <w:vAlign w:val="center"/>
          </w:tcPr>
          <w:p w14:paraId="5CBEF7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S3</w:t>
            </w:r>
          </w:p>
        </w:tc>
        <w:tc>
          <w:tcPr>
            <w:tcW w:w="934" w:type="pct"/>
            <w:vAlign w:val="center"/>
          </w:tcPr>
          <w:p w14:paraId="7068AF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E1</w:t>
            </w:r>
          </w:p>
        </w:tc>
        <w:tc>
          <w:tcPr>
            <w:tcW w:w="934" w:type="pct"/>
            <w:vAlign w:val="center"/>
          </w:tcPr>
          <w:p w14:paraId="15F93D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E2</w:t>
            </w:r>
          </w:p>
        </w:tc>
        <w:tc>
          <w:tcPr>
            <w:tcW w:w="942" w:type="pct"/>
            <w:shd w:val="clear" w:color="auto" w:fill="FDEADA"/>
            <w:vAlign w:val="center"/>
          </w:tcPr>
          <w:p w14:paraId="484E6A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E3</w:t>
            </w:r>
          </w:p>
        </w:tc>
      </w:tr>
    </w:tbl>
    <w:p w14:paraId="20E424BA">
      <w:pPr>
        <w:bidi w:val="0"/>
        <w:rPr>
          <w:lang w:val="en-US" w:eastAsia="zh-CN"/>
        </w:rPr>
      </w:pPr>
      <w:r>
        <w:rPr>
          <w:lang w:val="en-US" w:eastAsia="zh-CN"/>
        </w:rPr>
        <w:t>根据项目工程分析，本项目设置导流、截流措施，用于事故状态下污水的收集，防止事故水的漫流。使污染控制在本区域内，风险评价范围内无环境地表水体。本项目的</w:t>
      </w:r>
      <w:r>
        <w:rPr>
          <w:rFonts w:hint="eastAsia"/>
          <w:lang w:val="en-US" w:eastAsia="zh-CN"/>
        </w:rPr>
        <w:t>污废水产生</w:t>
      </w:r>
      <w:r>
        <w:rPr>
          <w:lang w:val="en-US" w:eastAsia="zh-CN"/>
        </w:rPr>
        <w:t>，与地表水无水力联系，无地表水系敏感目标。因此，本项目地表水环境敏感特征为低敏感F3，环境敏感目标分级为S3，地表水环境敏感程度分级为E3（环境低度敏感区）。</w:t>
      </w:r>
    </w:p>
    <w:p w14:paraId="6B61BD86">
      <w:pPr>
        <w:bidi w:val="0"/>
        <w:rPr>
          <w:lang w:val="en-US" w:eastAsia="zh-CN"/>
        </w:rPr>
      </w:pPr>
      <w:r>
        <w:rPr>
          <w:lang w:val="en-US" w:eastAsia="zh-CN"/>
        </w:rPr>
        <w:t>（3）地下水环境</w:t>
      </w:r>
    </w:p>
    <w:p w14:paraId="4A79C9AD">
      <w:pPr>
        <w:bidi w:val="0"/>
        <w:rPr>
          <w:lang w:val="en-US" w:eastAsia="zh-CN"/>
        </w:rPr>
      </w:pPr>
      <w:r>
        <w:rPr>
          <w:lang w:val="en-US" w:eastAsia="zh-CN"/>
        </w:rPr>
        <w:t>根据《建设项目环境风险评价技术导则》（HJ169-2018），地下水功能敏感性分区和包气带防污性能分级见下表。当同一建设项目涉及两个G分区或D分级及以上时，取相对高值。</w:t>
      </w:r>
    </w:p>
    <w:p w14:paraId="02DE2325">
      <w:pPr>
        <w:pStyle w:val="4"/>
        <w:bidi w:val="0"/>
        <w:rPr>
          <w:lang w:val="en-US" w:eastAsia="zh-CN"/>
        </w:rPr>
      </w:pPr>
      <w:r>
        <w:rPr>
          <w:lang w:val="en-US" w:eastAsia="zh-CN"/>
        </w:rPr>
        <w:t>表3-</w:t>
      </w:r>
      <w:r>
        <w:rPr>
          <w:rFonts w:hint="eastAsia"/>
          <w:lang w:val="en-US" w:eastAsia="zh-CN"/>
        </w:rPr>
        <w:t>8</w:t>
      </w:r>
      <w:r>
        <w:rPr>
          <w:lang w:val="en-US" w:eastAsia="zh-CN"/>
        </w:rPr>
        <w:t xml:space="preserve">  地下水功能敏感性分区</w:t>
      </w:r>
    </w:p>
    <w:p w14:paraId="1EF6EA02">
      <w:pPr>
        <w:keepLines w:val="0"/>
        <w:pageBreakBefore w:val="0"/>
        <w:widowControl w:val="0"/>
        <w:kinsoku/>
        <w:wordWrap/>
        <w:overflowPunct/>
        <w:topLinePunct w:val="0"/>
        <w:autoSpaceDE/>
        <w:autoSpaceDN/>
        <w:bidi w:val="0"/>
        <w:adjustRightInd w:val="0"/>
        <w:spacing w:line="14" w:lineRule="exact"/>
        <w:jc w:val="both"/>
        <w:textAlignment w:val="auto"/>
        <w:outlineLvl w:val="9"/>
        <w:rPr>
          <w:rFonts w:eastAsia="宋体"/>
          <w:kern w:val="2"/>
          <w:szCs w:val="22"/>
          <w:lang w:val="en-US" w:eastAsia="zh-CN" w:bidi="ar-SA"/>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1294"/>
        <w:gridCol w:w="7767"/>
      </w:tblGrid>
      <w:tr w14:paraId="0CDD494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20" w:hRule="atLeast"/>
          <w:jc w:val="center"/>
        </w:trPr>
        <w:tc>
          <w:tcPr>
            <w:tcW w:w="714" w:type="pct"/>
            <w:vAlign w:val="center"/>
          </w:tcPr>
          <w:p w14:paraId="017BFE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敏感性</w:t>
            </w:r>
          </w:p>
        </w:tc>
        <w:tc>
          <w:tcPr>
            <w:tcW w:w="4285" w:type="pct"/>
            <w:vAlign w:val="center"/>
          </w:tcPr>
          <w:p w14:paraId="0CE373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地下水环境敏感性</w:t>
            </w:r>
          </w:p>
        </w:tc>
      </w:tr>
      <w:tr w14:paraId="20BDCB5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24" w:hRule="atLeast"/>
          <w:jc w:val="center"/>
        </w:trPr>
        <w:tc>
          <w:tcPr>
            <w:tcW w:w="714" w:type="pct"/>
            <w:vAlign w:val="center"/>
          </w:tcPr>
          <w:p w14:paraId="340A0F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rFonts w:eastAsia="宋体" w:cs="Calibri"/>
                <w:kern w:val="2"/>
                <w:sz w:val="21"/>
                <w:lang w:val="en-US" w:eastAsia="zh-CN" w:bidi="ar-SA"/>
              </w:rPr>
              <w:t>敏感</w:t>
            </w:r>
            <w:r>
              <w:rPr>
                <w:kern w:val="2"/>
                <w:sz w:val="20"/>
                <w:szCs w:val="20"/>
                <w:lang w:val="en-US" w:eastAsia="zh-CN" w:bidi="ar-SA"/>
              </w:rPr>
              <w:t>G1</w:t>
            </w:r>
          </w:p>
        </w:tc>
        <w:tc>
          <w:tcPr>
            <w:tcW w:w="4285" w:type="pct"/>
            <w:vAlign w:val="center"/>
          </w:tcPr>
          <w:p w14:paraId="010E68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集中式饮用水水源（包括已建成的在用、备用、应急水源，在建和规划的饮用水水源）准保护区；除集中式饮用水水源以外的国家或地方政府设定的地下水环境相关的其他保护区，如热水、矿泉水、温泉等特殊地下水资源保护区。</w:t>
            </w:r>
          </w:p>
        </w:tc>
      </w:tr>
      <w:tr w14:paraId="59941F9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714" w:type="pct"/>
            <w:vAlign w:val="center"/>
          </w:tcPr>
          <w:p w14:paraId="2911F9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rFonts w:eastAsia="宋体" w:cs="Calibri"/>
                <w:kern w:val="2"/>
                <w:sz w:val="21"/>
                <w:lang w:val="en-US" w:eastAsia="zh-CN" w:bidi="ar-SA"/>
              </w:rPr>
              <w:t>较敏感</w:t>
            </w:r>
            <w:r>
              <w:rPr>
                <w:kern w:val="2"/>
                <w:sz w:val="20"/>
                <w:szCs w:val="20"/>
                <w:lang w:val="en-US" w:eastAsia="zh-CN" w:bidi="ar-SA"/>
              </w:rPr>
              <w:t>G2</w:t>
            </w:r>
          </w:p>
        </w:tc>
        <w:tc>
          <w:tcPr>
            <w:tcW w:w="4285" w:type="pct"/>
            <w:vAlign w:val="center"/>
          </w:tcPr>
          <w:p w14:paraId="318BC1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集中式饮用水水源（包括已建成的在用、备用、应急水源，在建和规划的饮用水水源）准保护区以外的补给径流区；未划定准保护区的集中式饮用水水源，其保护区以外的补给径流区；分散式饮用水水源地；特殊地下水资源（如热水、矿泉水、温泉等）保护区以外的分布区等其他未列入上述敏感分级的环境敏感区</w:t>
            </w:r>
            <w:r>
              <w:rPr>
                <w:kern w:val="2"/>
                <w:position w:val="6"/>
                <w:sz w:val="13"/>
                <w:szCs w:val="13"/>
                <w:lang w:val="en-US" w:eastAsia="zh-CN" w:bidi="ar-SA"/>
              </w:rPr>
              <w:t>a</w:t>
            </w:r>
            <w:r>
              <w:rPr>
                <w:rFonts w:eastAsia="宋体" w:cs="Calibri"/>
                <w:kern w:val="2"/>
                <w:sz w:val="21"/>
                <w:lang w:val="en-US" w:eastAsia="zh-CN" w:bidi="ar-SA"/>
              </w:rPr>
              <w:t>。</w:t>
            </w:r>
          </w:p>
        </w:tc>
      </w:tr>
      <w:tr w14:paraId="62C088E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714" w:type="pct"/>
            <w:shd w:val="clear" w:color="auto" w:fill="FDE9D9"/>
            <w:vAlign w:val="center"/>
          </w:tcPr>
          <w:p w14:paraId="304489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rFonts w:eastAsia="宋体" w:cs="Calibri"/>
                <w:kern w:val="2"/>
                <w:sz w:val="21"/>
                <w:lang w:val="en-US" w:eastAsia="zh-CN" w:bidi="ar-SA"/>
              </w:rPr>
              <w:t>不敏感</w:t>
            </w:r>
            <w:r>
              <w:rPr>
                <w:kern w:val="2"/>
                <w:sz w:val="20"/>
                <w:szCs w:val="20"/>
                <w:lang w:val="en-US" w:eastAsia="zh-CN" w:bidi="ar-SA"/>
              </w:rPr>
              <w:t>G3</w:t>
            </w:r>
          </w:p>
        </w:tc>
        <w:tc>
          <w:tcPr>
            <w:tcW w:w="4285" w:type="pct"/>
            <w:shd w:val="clear" w:color="auto" w:fill="FDE9D9"/>
            <w:vAlign w:val="center"/>
          </w:tcPr>
          <w:p w14:paraId="505B89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上述地区之外的其他地区</w:t>
            </w:r>
          </w:p>
        </w:tc>
      </w:tr>
      <w:tr w14:paraId="54369F6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641" w:hRule="atLeast"/>
          <w:jc w:val="center"/>
        </w:trPr>
        <w:tc>
          <w:tcPr>
            <w:tcW w:w="5000" w:type="pct"/>
            <w:gridSpan w:val="2"/>
            <w:vAlign w:val="center"/>
          </w:tcPr>
          <w:p w14:paraId="0F51E7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kern w:val="2"/>
                <w:position w:val="6"/>
                <w:sz w:val="13"/>
                <w:szCs w:val="13"/>
                <w:lang w:val="en-US" w:eastAsia="zh-CN" w:bidi="ar-SA"/>
              </w:rPr>
              <w:t>A</w:t>
            </w:r>
            <w:r>
              <w:rPr>
                <w:rFonts w:eastAsia="宋体" w:cs="Calibri"/>
                <w:kern w:val="2"/>
                <w:sz w:val="21"/>
                <w:lang w:val="en-US" w:eastAsia="zh-CN" w:bidi="ar-SA"/>
              </w:rPr>
              <w:t>“环境敏感区”是指《建设项目环境影响评价分类管理名录》中所界定的涉及地下水的环境敏感区。</w:t>
            </w:r>
          </w:p>
        </w:tc>
      </w:tr>
    </w:tbl>
    <w:p w14:paraId="3CF734F0">
      <w:pPr>
        <w:pStyle w:val="4"/>
        <w:bidi w:val="0"/>
        <w:rPr>
          <w:lang w:val="en-US" w:eastAsia="zh-CN"/>
        </w:rPr>
      </w:pPr>
      <w:r>
        <w:rPr>
          <w:lang w:val="en-US" w:eastAsia="zh-CN"/>
        </w:rPr>
        <w:t>表</w:t>
      </w:r>
      <w:r>
        <w:rPr>
          <w:rFonts w:hint="eastAsia"/>
          <w:lang w:val="en-US" w:eastAsia="zh-CN"/>
        </w:rPr>
        <w:t>3-9</w:t>
      </w:r>
      <w:r>
        <w:rPr>
          <w:lang w:val="en-US" w:eastAsia="zh-CN"/>
        </w:rPr>
        <w:t xml:space="preserve">  包气带防污性能分级</w:t>
      </w:r>
    </w:p>
    <w:p w14:paraId="72B6BA6B">
      <w:pPr>
        <w:keepLines w:val="0"/>
        <w:pageBreakBefore w:val="0"/>
        <w:widowControl w:val="0"/>
        <w:kinsoku/>
        <w:wordWrap/>
        <w:overflowPunct/>
        <w:topLinePunct w:val="0"/>
        <w:autoSpaceDE/>
        <w:autoSpaceDN/>
        <w:bidi w:val="0"/>
        <w:adjustRightInd w:val="0"/>
        <w:spacing w:line="15" w:lineRule="exact"/>
        <w:jc w:val="both"/>
        <w:textAlignment w:val="auto"/>
        <w:outlineLvl w:val="9"/>
        <w:rPr>
          <w:rFonts w:eastAsia="宋体"/>
          <w:kern w:val="2"/>
          <w:szCs w:val="22"/>
          <w:lang w:val="en-US" w:eastAsia="zh-CN" w:bidi="ar-SA"/>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727"/>
        <w:gridCol w:w="8334"/>
      </w:tblGrid>
      <w:tr w14:paraId="476D8B1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19" w:hRule="atLeast"/>
          <w:jc w:val="center"/>
        </w:trPr>
        <w:tc>
          <w:tcPr>
            <w:tcW w:w="401" w:type="pct"/>
            <w:vAlign w:val="center"/>
          </w:tcPr>
          <w:p w14:paraId="671A95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分级</w:t>
            </w:r>
          </w:p>
        </w:tc>
        <w:tc>
          <w:tcPr>
            <w:tcW w:w="4599" w:type="pct"/>
            <w:vAlign w:val="center"/>
          </w:tcPr>
          <w:p w14:paraId="01F5A2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包气带岩土的防污性能</w:t>
            </w:r>
          </w:p>
        </w:tc>
      </w:tr>
      <w:tr w14:paraId="21ED981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421" w:hRule="atLeast"/>
          <w:jc w:val="center"/>
        </w:trPr>
        <w:tc>
          <w:tcPr>
            <w:tcW w:w="401" w:type="pct"/>
            <w:vAlign w:val="center"/>
          </w:tcPr>
          <w:p w14:paraId="507D50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D3</w:t>
            </w:r>
          </w:p>
        </w:tc>
        <w:tc>
          <w:tcPr>
            <w:tcW w:w="4599" w:type="pct"/>
            <w:vAlign w:val="center"/>
          </w:tcPr>
          <w:p w14:paraId="729039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kern w:val="2"/>
                <w:sz w:val="21"/>
                <w:lang w:val="en-US" w:eastAsia="zh-CN" w:bidi="ar-SA"/>
              </w:rPr>
              <w:t>Mb≥1.0m</w:t>
            </w:r>
            <w:r>
              <w:rPr>
                <w:rFonts w:eastAsia="宋体" w:cs="Calibri"/>
                <w:kern w:val="2"/>
                <w:sz w:val="21"/>
                <w:lang w:val="en-US" w:eastAsia="zh-CN" w:bidi="ar-SA"/>
              </w:rPr>
              <w:t>，</w:t>
            </w:r>
            <w:r>
              <w:rPr>
                <w:kern w:val="2"/>
                <w:sz w:val="21"/>
                <w:lang w:val="en-US" w:eastAsia="zh-CN" w:bidi="ar-SA"/>
              </w:rPr>
              <w:t>K≤1.0×10</w:t>
            </w:r>
            <w:r>
              <w:rPr>
                <w:kern w:val="2"/>
                <w:position w:val="6"/>
                <w:sz w:val="13"/>
                <w:szCs w:val="13"/>
                <w:lang w:val="en-US" w:eastAsia="zh-CN" w:bidi="ar-SA"/>
              </w:rPr>
              <w:t>-6</w:t>
            </w:r>
            <w:r>
              <w:rPr>
                <w:kern w:val="2"/>
                <w:sz w:val="21"/>
                <w:lang w:val="en-US" w:eastAsia="zh-CN" w:bidi="ar-SA"/>
              </w:rPr>
              <w:t>cm/s</w:t>
            </w:r>
            <w:r>
              <w:rPr>
                <w:rFonts w:eastAsia="宋体" w:cs="Calibri"/>
                <w:kern w:val="2"/>
                <w:sz w:val="21"/>
                <w:lang w:val="en-US" w:eastAsia="zh-CN" w:bidi="ar-SA"/>
              </w:rPr>
              <w:t>，且分布连续、稳定</w:t>
            </w:r>
          </w:p>
        </w:tc>
      </w:tr>
      <w:tr w14:paraId="64F6E06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624" w:hRule="atLeast"/>
          <w:jc w:val="center"/>
        </w:trPr>
        <w:tc>
          <w:tcPr>
            <w:tcW w:w="401" w:type="pct"/>
            <w:vAlign w:val="center"/>
          </w:tcPr>
          <w:p w14:paraId="32F054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D2</w:t>
            </w:r>
          </w:p>
        </w:tc>
        <w:tc>
          <w:tcPr>
            <w:tcW w:w="4599" w:type="pct"/>
            <w:vAlign w:val="center"/>
          </w:tcPr>
          <w:p w14:paraId="48F395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kern w:val="2"/>
                <w:sz w:val="21"/>
                <w:lang w:val="en-US" w:eastAsia="zh-CN" w:bidi="ar-SA"/>
              </w:rPr>
              <w:t>0.5m≤Mb</w:t>
            </w:r>
            <w:r>
              <w:rPr>
                <w:rFonts w:eastAsia="宋体" w:cs="Calibri"/>
                <w:kern w:val="2"/>
                <w:sz w:val="21"/>
                <w:lang w:val="en-US" w:eastAsia="zh-CN" w:bidi="ar-SA"/>
              </w:rPr>
              <w:t>＜</w:t>
            </w:r>
            <w:r>
              <w:rPr>
                <w:kern w:val="2"/>
                <w:sz w:val="21"/>
                <w:lang w:val="en-US" w:eastAsia="zh-CN" w:bidi="ar-SA"/>
              </w:rPr>
              <w:t>1.0m</w:t>
            </w:r>
            <w:r>
              <w:rPr>
                <w:rFonts w:eastAsia="宋体" w:cs="Calibri"/>
                <w:kern w:val="2"/>
                <w:sz w:val="21"/>
                <w:lang w:val="en-US" w:eastAsia="zh-CN" w:bidi="ar-SA"/>
              </w:rPr>
              <w:t>，</w:t>
            </w:r>
            <w:r>
              <w:rPr>
                <w:kern w:val="2"/>
                <w:sz w:val="21"/>
                <w:lang w:val="en-US" w:eastAsia="zh-CN" w:bidi="ar-SA"/>
              </w:rPr>
              <w:t>K≤1.0×10</w:t>
            </w:r>
            <w:r>
              <w:rPr>
                <w:kern w:val="2"/>
                <w:position w:val="6"/>
                <w:sz w:val="13"/>
                <w:szCs w:val="13"/>
                <w:lang w:val="en-US" w:eastAsia="zh-CN" w:bidi="ar-SA"/>
              </w:rPr>
              <w:t>-6</w:t>
            </w:r>
            <w:r>
              <w:rPr>
                <w:kern w:val="2"/>
                <w:sz w:val="21"/>
                <w:lang w:val="en-US" w:eastAsia="zh-CN" w:bidi="ar-SA"/>
              </w:rPr>
              <w:t>cm/s</w:t>
            </w:r>
            <w:r>
              <w:rPr>
                <w:rFonts w:eastAsia="宋体" w:cs="Calibri"/>
                <w:kern w:val="2"/>
                <w:sz w:val="21"/>
                <w:lang w:val="en-US" w:eastAsia="zh-CN" w:bidi="ar-SA"/>
              </w:rPr>
              <w:t>，且分布连续、稳定</w:t>
            </w:r>
          </w:p>
          <w:p w14:paraId="43BDD7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kern w:val="2"/>
                <w:sz w:val="21"/>
                <w:lang w:val="en-US" w:eastAsia="zh-CN" w:bidi="ar-SA"/>
              </w:rPr>
              <w:t>Mb≥1.0m</w:t>
            </w:r>
            <w:r>
              <w:rPr>
                <w:rFonts w:eastAsia="宋体" w:cs="Calibri"/>
                <w:kern w:val="2"/>
                <w:sz w:val="21"/>
                <w:lang w:val="en-US" w:eastAsia="zh-CN" w:bidi="ar-SA"/>
              </w:rPr>
              <w:t>，</w:t>
            </w:r>
            <w:r>
              <w:rPr>
                <w:kern w:val="2"/>
                <w:sz w:val="21"/>
                <w:lang w:val="en-US" w:eastAsia="zh-CN" w:bidi="ar-SA"/>
              </w:rPr>
              <w:t>1.0×10</w:t>
            </w:r>
            <w:r>
              <w:rPr>
                <w:kern w:val="2"/>
                <w:position w:val="6"/>
                <w:sz w:val="13"/>
                <w:szCs w:val="13"/>
                <w:lang w:val="en-US" w:eastAsia="zh-CN" w:bidi="ar-SA"/>
              </w:rPr>
              <w:t>-6</w:t>
            </w:r>
            <w:r>
              <w:rPr>
                <w:kern w:val="2"/>
                <w:sz w:val="21"/>
                <w:lang w:val="en-US" w:eastAsia="zh-CN" w:bidi="ar-SA"/>
              </w:rPr>
              <w:t>cm/s</w:t>
            </w:r>
            <w:r>
              <w:rPr>
                <w:rFonts w:eastAsia="宋体" w:cs="Calibri"/>
                <w:kern w:val="2"/>
                <w:sz w:val="21"/>
                <w:lang w:val="en-US" w:eastAsia="zh-CN" w:bidi="ar-SA"/>
              </w:rPr>
              <w:t>＜</w:t>
            </w:r>
            <w:r>
              <w:rPr>
                <w:kern w:val="2"/>
                <w:sz w:val="21"/>
                <w:lang w:val="en-US" w:eastAsia="zh-CN" w:bidi="ar-SA"/>
              </w:rPr>
              <w:t>K≤1.0×10</w:t>
            </w:r>
            <w:r>
              <w:rPr>
                <w:kern w:val="2"/>
                <w:position w:val="6"/>
                <w:sz w:val="13"/>
                <w:szCs w:val="13"/>
                <w:lang w:val="en-US" w:eastAsia="zh-CN" w:bidi="ar-SA"/>
              </w:rPr>
              <w:t>-4</w:t>
            </w:r>
            <w:r>
              <w:rPr>
                <w:kern w:val="2"/>
                <w:sz w:val="21"/>
                <w:lang w:val="en-US" w:eastAsia="zh-CN" w:bidi="ar-SA"/>
              </w:rPr>
              <w:t>cm/s</w:t>
            </w:r>
            <w:r>
              <w:rPr>
                <w:rFonts w:eastAsia="宋体" w:cs="Calibri"/>
                <w:kern w:val="2"/>
                <w:sz w:val="21"/>
                <w:lang w:val="en-US" w:eastAsia="zh-CN" w:bidi="ar-SA"/>
              </w:rPr>
              <w:t>，且分布连续、稳定</w:t>
            </w:r>
          </w:p>
        </w:tc>
      </w:tr>
      <w:tr w14:paraId="3B782FA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15" w:hRule="atLeast"/>
          <w:jc w:val="center"/>
        </w:trPr>
        <w:tc>
          <w:tcPr>
            <w:tcW w:w="401" w:type="pct"/>
            <w:shd w:val="clear" w:color="auto" w:fill="FDEADA"/>
            <w:vAlign w:val="center"/>
          </w:tcPr>
          <w:p w14:paraId="6E0CA8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D1</w:t>
            </w:r>
          </w:p>
        </w:tc>
        <w:tc>
          <w:tcPr>
            <w:tcW w:w="4599" w:type="pct"/>
            <w:shd w:val="clear" w:color="auto" w:fill="FDEADA"/>
            <w:vAlign w:val="center"/>
          </w:tcPr>
          <w:p w14:paraId="76A1E2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岩（土）层不满足上述“</w:t>
            </w:r>
            <w:r>
              <w:rPr>
                <w:kern w:val="2"/>
                <w:sz w:val="21"/>
                <w:lang w:val="en-US" w:eastAsia="zh-CN" w:bidi="ar-SA"/>
              </w:rPr>
              <w:t>D2</w:t>
            </w:r>
            <w:r>
              <w:rPr>
                <w:rFonts w:eastAsia="宋体" w:cs="Calibri"/>
                <w:kern w:val="2"/>
                <w:sz w:val="21"/>
                <w:lang w:val="en-US" w:eastAsia="zh-CN" w:bidi="ar-SA"/>
              </w:rPr>
              <w:t>”和“</w:t>
            </w:r>
            <w:r>
              <w:rPr>
                <w:kern w:val="2"/>
                <w:sz w:val="21"/>
                <w:lang w:val="en-US" w:eastAsia="zh-CN" w:bidi="ar-SA"/>
              </w:rPr>
              <w:t>D3</w:t>
            </w:r>
            <w:r>
              <w:rPr>
                <w:rFonts w:eastAsia="宋体" w:cs="Calibri"/>
                <w:kern w:val="2"/>
                <w:sz w:val="21"/>
                <w:lang w:val="en-US" w:eastAsia="zh-CN" w:bidi="ar-SA"/>
              </w:rPr>
              <w:t>”条件</w:t>
            </w:r>
          </w:p>
        </w:tc>
      </w:tr>
      <w:tr w14:paraId="21727B4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29" w:hRule="atLeast"/>
          <w:jc w:val="center"/>
        </w:trPr>
        <w:tc>
          <w:tcPr>
            <w:tcW w:w="5000" w:type="pct"/>
            <w:gridSpan w:val="2"/>
            <w:vAlign w:val="center"/>
          </w:tcPr>
          <w:p w14:paraId="0CC94B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kern w:val="2"/>
                <w:sz w:val="21"/>
                <w:lang w:val="en-US" w:eastAsia="zh-CN" w:bidi="ar-SA"/>
              </w:rPr>
              <w:t>Mb</w:t>
            </w:r>
            <w:r>
              <w:rPr>
                <w:rFonts w:eastAsia="宋体" w:cs="Calibri"/>
                <w:kern w:val="2"/>
                <w:sz w:val="21"/>
                <w:lang w:val="en-US" w:eastAsia="zh-CN" w:bidi="ar-SA"/>
              </w:rPr>
              <w:t>：岩土层单层厚度。</w:t>
            </w:r>
            <w:r>
              <w:rPr>
                <w:kern w:val="2"/>
                <w:sz w:val="21"/>
                <w:lang w:val="en-US" w:eastAsia="zh-CN" w:bidi="ar-SA"/>
              </w:rPr>
              <w:t>K</w:t>
            </w:r>
            <w:r>
              <w:rPr>
                <w:rFonts w:eastAsia="宋体" w:cs="Calibri"/>
                <w:kern w:val="2"/>
                <w:sz w:val="21"/>
                <w:lang w:val="en-US" w:eastAsia="zh-CN" w:bidi="ar-SA"/>
              </w:rPr>
              <w:t>：渗透系数。</w:t>
            </w:r>
          </w:p>
        </w:tc>
      </w:tr>
    </w:tbl>
    <w:p w14:paraId="1FFF75F9">
      <w:pPr>
        <w:pStyle w:val="4"/>
        <w:bidi w:val="0"/>
        <w:rPr>
          <w:lang w:val="en-US" w:eastAsia="zh-CN"/>
        </w:rPr>
      </w:pPr>
      <w:r>
        <w:rPr>
          <w:lang w:val="en-US" w:eastAsia="zh-CN"/>
        </w:rPr>
        <w:t>表</w:t>
      </w:r>
      <w:r>
        <w:rPr>
          <w:rFonts w:hint="eastAsia"/>
          <w:lang w:val="en-US" w:eastAsia="zh-CN"/>
        </w:rPr>
        <w:t>3-10</w:t>
      </w:r>
      <w:r>
        <w:rPr>
          <w:lang w:val="en-US" w:eastAsia="zh-CN"/>
        </w:rPr>
        <w:t xml:space="preserve">  地下水环境敏感程度分级</w:t>
      </w: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2270"/>
        <w:gridCol w:w="2260"/>
        <w:gridCol w:w="2260"/>
        <w:gridCol w:w="2271"/>
      </w:tblGrid>
      <w:tr w14:paraId="1D111C7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253" w:type="pct"/>
            <w:vMerge w:val="restart"/>
            <w:tcBorders>
              <w:bottom w:val="nil"/>
            </w:tcBorders>
            <w:vAlign w:val="center"/>
          </w:tcPr>
          <w:p w14:paraId="7F97AB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包气带防污性能</w:t>
            </w:r>
          </w:p>
        </w:tc>
        <w:tc>
          <w:tcPr>
            <w:tcW w:w="3747" w:type="pct"/>
            <w:gridSpan w:val="3"/>
            <w:vAlign w:val="center"/>
          </w:tcPr>
          <w:p w14:paraId="299CC8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r>
              <w:rPr>
                <w:rFonts w:eastAsia="宋体" w:cs="Calibri"/>
                <w:kern w:val="2"/>
                <w:sz w:val="21"/>
                <w:szCs w:val="21"/>
                <w:lang w:val="en-US" w:eastAsia="zh-CN" w:bidi="ar-SA"/>
              </w:rPr>
              <w:t>地下水功能敏感性</w:t>
            </w:r>
          </w:p>
        </w:tc>
      </w:tr>
      <w:tr w14:paraId="199B133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253" w:type="pct"/>
            <w:vMerge w:val="continue"/>
            <w:tcBorders>
              <w:top w:val="nil"/>
            </w:tcBorders>
            <w:vAlign w:val="center"/>
          </w:tcPr>
          <w:p w14:paraId="4067AE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szCs w:val="21"/>
                <w:lang w:val="en-US" w:eastAsia="zh-CN" w:bidi="ar-SA"/>
              </w:rPr>
            </w:pPr>
          </w:p>
        </w:tc>
        <w:tc>
          <w:tcPr>
            <w:tcW w:w="1247" w:type="pct"/>
            <w:vAlign w:val="center"/>
          </w:tcPr>
          <w:p w14:paraId="765505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G1</w:t>
            </w:r>
          </w:p>
        </w:tc>
        <w:tc>
          <w:tcPr>
            <w:tcW w:w="1247" w:type="pct"/>
            <w:vAlign w:val="center"/>
          </w:tcPr>
          <w:p w14:paraId="6FDB67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G2</w:t>
            </w:r>
          </w:p>
        </w:tc>
        <w:tc>
          <w:tcPr>
            <w:tcW w:w="1253" w:type="pct"/>
            <w:vAlign w:val="center"/>
          </w:tcPr>
          <w:p w14:paraId="30AEDD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G3</w:t>
            </w:r>
          </w:p>
        </w:tc>
      </w:tr>
      <w:tr w14:paraId="0D24D85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253" w:type="pct"/>
            <w:vAlign w:val="center"/>
          </w:tcPr>
          <w:p w14:paraId="18B36B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D1</w:t>
            </w:r>
          </w:p>
        </w:tc>
        <w:tc>
          <w:tcPr>
            <w:tcW w:w="1247" w:type="pct"/>
            <w:vAlign w:val="center"/>
          </w:tcPr>
          <w:p w14:paraId="648A7C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E1</w:t>
            </w:r>
          </w:p>
        </w:tc>
        <w:tc>
          <w:tcPr>
            <w:tcW w:w="1247" w:type="pct"/>
            <w:vAlign w:val="center"/>
          </w:tcPr>
          <w:p w14:paraId="0D795E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E1</w:t>
            </w:r>
          </w:p>
        </w:tc>
        <w:tc>
          <w:tcPr>
            <w:tcW w:w="1253" w:type="pct"/>
            <w:shd w:val="clear" w:color="auto" w:fill="FDEADA"/>
            <w:vAlign w:val="center"/>
          </w:tcPr>
          <w:p w14:paraId="13DD49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E2</w:t>
            </w:r>
          </w:p>
        </w:tc>
      </w:tr>
      <w:tr w14:paraId="7996EDA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253" w:type="pct"/>
            <w:vAlign w:val="center"/>
          </w:tcPr>
          <w:p w14:paraId="51A02F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D2</w:t>
            </w:r>
          </w:p>
        </w:tc>
        <w:tc>
          <w:tcPr>
            <w:tcW w:w="1247" w:type="pct"/>
            <w:vAlign w:val="center"/>
          </w:tcPr>
          <w:p w14:paraId="723380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E1</w:t>
            </w:r>
          </w:p>
        </w:tc>
        <w:tc>
          <w:tcPr>
            <w:tcW w:w="1247" w:type="pct"/>
            <w:vAlign w:val="center"/>
          </w:tcPr>
          <w:p w14:paraId="6CE5E5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E2</w:t>
            </w:r>
          </w:p>
        </w:tc>
        <w:tc>
          <w:tcPr>
            <w:tcW w:w="1253" w:type="pct"/>
            <w:vAlign w:val="center"/>
          </w:tcPr>
          <w:p w14:paraId="7C8149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E3</w:t>
            </w:r>
          </w:p>
        </w:tc>
      </w:tr>
      <w:tr w14:paraId="48CA2DA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253" w:type="pct"/>
            <w:vAlign w:val="center"/>
          </w:tcPr>
          <w:p w14:paraId="25DE8E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D3</w:t>
            </w:r>
          </w:p>
        </w:tc>
        <w:tc>
          <w:tcPr>
            <w:tcW w:w="1247" w:type="pct"/>
            <w:vAlign w:val="center"/>
          </w:tcPr>
          <w:p w14:paraId="6629FE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E2</w:t>
            </w:r>
          </w:p>
        </w:tc>
        <w:tc>
          <w:tcPr>
            <w:tcW w:w="1247" w:type="pct"/>
            <w:vAlign w:val="center"/>
          </w:tcPr>
          <w:p w14:paraId="7F2FBF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E3</w:t>
            </w:r>
          </w:p>
        </w:tc>
        <w:tc>
          <w:tcPr>
            <w:tcW w:w="1253" w:type="pct"/>
            <w:vAlign w:val="center"/>
          </w:tcPr>
          <w:p w14:paraId="70191F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szCs w:val="21"/>
                <w:lang w:val="en-US" w:eastAsia="zh-CN" w:bidi="ar-SA"/>
              </w:rPr>
            </w:pPr>
            <w:r>
              <w:rPr>
                <w:kern w:val="2"/>
                <w:sz w:val="21"/>
                <w:szCs w:val="21"/>
                <w:lang w:val="en-US" w:eastAsia="zh-CN" w:bidi="ar-SA"/>
              </w:rPr>
              <w:t>E3</w:t>
            </w:r>
          </w:p>
        </w:tc>
      </w:tr>
    </w:tbl>
    <w:p w14:paraId="3846E9A0">
      <w:pPr>
        <w:bidi w:val="0"/>
        <w:rPr>
          <w:lang w:val="en-US" w:eastAsia="zh-CN"/>
        </w:rPr>
      </w:pPr>
      <w:r>
        <w:rPr>
          <w:lang w:val="en-US" w:eastAsia="zh-CN"/>
        </w:rPr>
        <w:t>本项目占地为规划的工业用地，项目与所在区域地下水无水力联系，不是集中式饮用水水源（包括已建成的在用、备用、应急水源，在建和规划的饮用水水源）准保护区和补给径流区，不是分散式水源地，根据上表的判定依据，本项目所在区域地下水功能敏感性为G3。</w:t>
      </w:r>
    </w:p>
    <w:p w14:paraId="137D6496">
      <w:pPr>
        <w:bidi w:val="0"/>
        <w:rPr>
          <w:lang w:val="en-US" w:eastAsia="zh-CN"/>
        </w:rPr>
      </w:pPr>
      <w:r>
        <w:rPr>
          <w:lang w:val="en-US" w:eastAsia="zh-CN"/>
        </w:rPr>
        <w:t>根据《巴州海祥石油化工有限公司10万吨/年精粗苯项目</w:t>
      </w:r>
      <w:r>
        <w:rPr>
          <w:rFonts w:hint="eastAsia"/>
          <w:lang w:val="en-US" w:eastAsia="zh-CN"/>
        </w:rPr>
        <w:t>环境影响评价报告书</w:t>
      </w:r>
      <w:r>
        <w:rPr>
          <w:lang w:val="en-US" w:eastAsia="zh-CN"/>
        </w:rPr>
        <w:t>》（北京欣国环环境技术发展有限公司）水文地质调查可知：厂区利用单环渗水试验确定包气带的渗透性能，其环内面积为176.8cm</w:t>
      </w:r>
      <w:r>
        <w:rPr>
          <w:vertAlign w:val="superscript"/>
          <w:lang w:val="en-US" w:eastAsia="zh-CN"/>
        </w:rPr>
        <w:t>2</w:t>
      </w:r>
      <w:r>
        <w:rPr>
          <w:lang w:val="en-US" w:eastAsia="zh-CN"/>
        </w:rPr>
        <w:t>；厂址区包气带没有连续的粘性土层分布，上部为砂砾石，垂直渗透系数为35.56m/d（0.041cm/s）＞1.0×10</w:t>
      </w:r>
      <w:r>
        <w:rPr>
          <w:vertAlign w:val="superscript"/>
          <w:lang w:val="en-US" w:eastAsia="zh-CN"/>
        </w:rPr>
        <w:t>-4</w:t>
      </w:r>
      <w:r>
        <w:rPr>
          <w:lang w:val="en-US" w:eastAsia="zh-CN"/>
        </w:rPr>
        <w:t>cm/s，根据包气带防污性能分级的判定依据，项目所在区域包气带防污性能分级为D1（包气带天然防渗性能弱）。根据地下水敏感程度的判定依据，项目所在区域的地下水环境敏感程度分级为E2。</w:t>
      </w:r>
    </w:p>
    <w:p w14:paraId="4C889094">
      <w:pPr>
        <w:pStyle w:val="2"/>
        <w:bidi w:val="0"/>
        <w:rPr>
          <w:lang w:val="en-US" w:eastAsia="zh-CN"/>
        </w:rPr>
      </w:pPr>
      <w:r>
        <w:rPr>
          <w:rFonts w:hint="eastAsia"/>
          <w:lang w:val="en-US" w:eastAsia="zh-CN"/>
        </w:rPr>
        <w:t xml:space="preserve">3.3 </w:t>
      </w:r>
      <w:r>
        <w:rPr>
          <w:lang w:val="en-US" w:eastAsia="zh-CN"/>
        </w:rPr>
        <w:t>环境风险潜势划分</w:t>
      </w:r>
    </w:p>
    <w:p w14:paraId="04A15947">
      <w:pPr>
        <w:bidi w:val="0"/>
        <w:rPr>
          <w:rFonts w:eastAsia="宋体" w:cs="Calibri"/>
          <w:kern w:val="2"/>
          <w:lang w:val="en-US" w:eastAsia="zh-CN" w:bidi="ar-SA"/>
        </w:rPr>
      </w:pPr>
      <w:r>
        <w:rPr>
          <w:rFonts w:eastAsia="宋体" w:cs="Calibri"/>
          <w:kern w:val="2"/>
          <w:lang w:val="en-US" w:eastAsia="zh-CN" w:bidi="ar-SA"/>
        </w:rPr>
        <w:t>按照《建设项目环境风险评价技术导则》（HJ169-2018）中的有关规定，建设项目环境风险潜势划分为I、Ⅱ、Ⅲ、Ⅳ/Ⅳ</w:t>
      </w:r>
      <w:r>
        <w:rPr>
          <w:rFonts w:eastAsia="宋体" w:cs="Calibri"/>
          <w:kern w:val="2"/>
          <w:vertAlign w:val="superscript"/>
          <w:lang w:val="en-US" w:eastAsia="zh-CN" w:bidi="ar-SA"/>
        </w:rPr>
        <w:t>+</w:t>
      </w:r>
      <w:r>
        <w:rPr>
          <w:rFonts w:eastAsia="宋体" w:cs="Calibri"/>
          <w:kern w:val="2"/>
          <w:lang w:val="en-US" w:eastAsia="zh-CN" w:bidi="ar-SA"/>
        </w:rPr>
        <w:t>级。风险评价工作等级划分见下表。</w:t>
      </w:r>
    </w:p>
    <w:p w14:paraId="3CEA9CFC">
      <w:pPr>
        <w:pStyle w:val="4"/>
        <w:bidi w:val="0"/>
        <w:rPr>
          <w:lang w:val="en-US" w:eastAsia="zh-CN"/>
        </w:rPr>
      </w:pPr>
      <w:r>
        <w:rPr>
          <w:lang w:val="en-US" w:eastAsia="zh-CN"/>
        </w:rPr>
        <w:t>表3-11  建设项目环境风险潜势划分</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4"/>
        <w:gridCol w:w="2264"/>
        <w:gridCol w:w="2266"/>
        <w:gridCol w:w="2267"/>
      </w:tblGrid>
      <w:tr w14:paraId="2AF8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14:paraId="549E44E1">
            <w:pPr>
              <w:pStyle w:val="5"/>
              <w:bidi w:val="0"/>
              <w:rPr>
                <w:lang w:val="en-US" w:eastAsia="zh-CN"/>
              </w:rPr>
            </w:pPr>
            <w:r>
              <w:rPr>
                <w:lang w:val="en-US" w:eastAsia="zh-CN"/>
              </w:rPr>
              <w:t>影响途径</w:t>
            </w:r>
          </w:p>
        </w:tc>
        <w:tc>
          <w:tcPr>
            <w:tcW w:w="1249" w:type="pct"/>
            <w:vAlign w:val="center"/>
          </w:tcPr>
          <w:p w14:paraId="0594FCE8">
            <w:pPr>
              <w:pStyle w:val="5"/>
              <w:bidi w:val="0"/>
              <w:rPr>
                <w:lang w:val="en-US" w:eastAsia="zh-CN"/>
              </w:rPr>
            </w:pPr>
            <w:r>
              <w:rPr>
                <w:lang w:val="en-US" w:eastAsia="zh-CN"/>
              </w:rPr>
              <w:t>P值</w:t>
            </w:r>
          </w:p>
        </w:tc>
        <w:tc>
          <w:tcPr>
            <w:tcW w:w="1250" w:type="pct"/>
            <w:vAlign w:val="center"/>
          </w:tcPr>
          <w:p w14:paraId="2D9494FF">
            <w:pPr>
              <w:pStyle w:val="5"/>
              <w:bidi w:val="0"/>
              <w:rPr>
                <w:lang w:val="en-US" w:eastAsia="zh-CN"/>
              </w:rPr>
            </w:pPr>
            <w:r>
              <w:rPr>
                <w:lang w:val="en-US" w:eastAsia="zh-CN"/>
              </w:rPr>
              <w:t>E值</w:t>
            </w:r>
          </w:p>
        </w:tc>
        <w:tc>
          <w:tcPr>
            <w:tcW w:w="1250" w:type="pct"/>
            <w:vAlign w:val="center"/>
          </w:tcPr>
          <w:p w14:paraId="65E8BA00">
            <w:pPr>
              <w:pStyle w:val="5"/>
              <w:bidi w:val="0"/>
              <w:rPr>
                <w:lang w:val="en-US" w:eastAsia="zh-CN"/>
              </w:rPr>
            </w:pPr>
            <w:r>
              <w:rPr>
                <w:lang w:val="en-US" w:eastAsia="zh-CN"/>
              </w:rPr>
              <w:t>环境风险潜势级别</w:t>
            </w:r>
          </w:p>
        </w:tc>
      </w:tr>
      <w:tr w14:paraId="17B2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249" w:type="pct"/>
            <w:vAlign w:val="center"/>
          </w:tcPr>
          <w:p w14:paraId="21869F46">
            <w:pPr>
              <w:pStyle w:val="5"/>
              <w:bidi w:val="0"/>
              <w:rPr>
                <w:lang w:val="en-US" w:eastAsia="zh-CN"/>
              </w:rPr>
            </w:pPr>
            <w:r>
              <w:rPr>
                <w:lang w:val="en-US" w:eastAsia="zh-CN"/>
              </w:rPr>
              <w:t>大气环境</w:t>
            </w:r>
          </w:p>
        </w:tc>
        <w:tc>
          <w:tcPr>
            <w:tcW w:w="1249" w:type="pct"/>
            <w:vMerge w:val="restart"/>
            <w:vAlign w:val="center"/>
          </w:tcPr>
          <w:p w14:paraId="69C54809">
            <w:pPr>
              <w:pStyle w:val="5"/>
              <w:bidi w:val="0"/>
              <w:rPr>
                <w:lang w:val="en-US" w:eastAsia="zh-CN"/>
              </w:rPr>
            </w:pPr>
            <w:r>
              <w:rPr>
                <w:lang w:val="en-US" w:eastAsia="zh-CN"/>
              </w:rPr>
              <w:t>P</w:t>
            </w:r>
            <w:r>
              <w:rPr>
                <w:rFonts w:hint="eastAsia"/>
                <w:lang w:val="en-US" w:eastAsia="zh-CN"/>
              </w:rPr>
              <w:t>3</w:t>
            </w:r>
          </w:p>
        </w:tc>
        <w:tc>
          <w:tcPr>
            <w:tcW w:w="1250" w:type="pct"/>
            <w:vAlign w:val="center"/>
          </w:tcPr>
          <w:p w14:paraId="42946291">
            <w:pPr>
              <w:pStyle w:val="5"/>
              <w:bidi w:val="0"/>
              <w:rPr>
                <w:lang w:val="en-US" w:eastAsia="zh-CN"/>
              </w:rPr>
            </w:pPr>
            <w:r>
              <w:rPr>
                <w:lang w:val="en-US" w:eastAsia="zh-CN"/>
              </w:rPr>
              <w:t>E</w:t>
            </w:r>
            <w:r>
              <w:rPr>
                <w:rFonts w:hint="eastAsia"/>
                <w:lang w:val="en-US" w:eastAsia="zh-CN"/>
              </w:rPr>
              <w:t>3</w:t>
            </w:r>
          </w:p>
        </w:tc>
        <w:tc>
          <w:tcPr>
            <w:tcW w:w="1250" w:type="pct"/>
            <w:vAlign w:val="center"/>
          </w:tcPr>
          <w:p w14:paraId="274D0F81">
            <w:pPr>
              <w:pStyle w:val="5"/>
              <w:bidi w:val="0"/>
              <w:rPr>
                <w:lang w:val="en-US" w:eastAsia="zh-CN"/>
              </w:rPr>
            </w:pPr>
            <w:r>
              <w:rPr>
                <w:lang w:val="en-US" w:eastAsia="zh-CN"/>
              </w:rPr>
              <w:t>Ⅱ</w:t>
            </w:r>
          </w:p>
        </w:tc>
      </w:tr>
      <w:tr w14:paraId="3E20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14:paraId="18C78ED5">
            <w:pPr>
              <w:pStyle w:val="5"/>
              <w:bidi w:val="0"/>
              <w:rPr>
                <w:lang w:val="en-US" w:eastAsia="zh-CN"/>
              </w:rPr>
            </w:pPr>
            <w:r>
              <w:rPr>
                <w:lang w:val="en-US" w:eastAsia="zh-CN"/>
              </w:rPr>
              <w:t>地表水环境</w:t>
            </w:r>
          </w:p>
        </w:tc>
        <w:tc>
          <w:tcPr>
            <w:tcW w:w="1249" w:type="pct"/>
            <w:vMerge w:val="continue"/>
            <w:vAlign w:val="center"/>
          </w:tcPr>
          <w:p w14:paraId="055FBAD0">
            <w:pPr>
              <w:pStyle w:val="5"/>
              <w:bidi w:val="0"/>
              <w:rPr>
                <w:lang w:val="en-US" w:eastAsia="zh-CN"/>
              </w:rPr>
            </w:pPr>
          </w:p>
        </w:tc>
        <w:tc>
          <w:tcPr>
            <w:tcW w:w="1250" w:type="pct"/>
            <w:vAlign w:val="center"/>
          </w:tcPr>
          <w:p w14:paraId="53A24BFB">
            <w:pPr>
              <w:pStyle w:val="5"/>
              <w:bidi w:val="0"/>
              <w:rPr>
                <w:lang w:val="en-US" w:eastAsia="zh-CN"/>
              </w:rPr>
            </w:pPr>
            <w:r>
              <w:rPr>
                <w:lang w:val="en-US" w:eastAsia="zh-CN"/>
              </w:rPr>
              <w:t>E3</w:t>
            </w:r>
          </w:p>
        </w:tc>
        <w:tc>
          <w:tcPr>
            <w:tcW w:w="1250" w:type="pct"/>
            <w:vAlign w:val="center"/>
          </w:tcPr>
          <w:p w14:paraId="6E66C9F6">
            <w:pPr>
              <w:pStyle w:val="5"/>
              <w:bidi w:val="0"/>
              <w:rPr>
                <w:lang w:val="en-US" w:eastAsia="zh-CN"/>
              </w:rPr>
            </w:pPr>
            <w:r>
              <w:rPr>
                <w:lang w:val="en-US" w:eastAsia="zh-CN"/>
              </w:rPr>
              <w:t>Ⅱ</w:t>
            </w:r>
          </w:p>
        </w:tc>
      </w:tr>
      <w:tr w14:paraId="3648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trPr>
        <w:tc>
          <w:tcPr>
            <w:tcW w:w="1249" w:type="pct"/>
            <w:vAlign w:val="center"/>
          </w:tcPr>
          <w:p w14:paraId="32ECEC62">
            <w:pPr>
              <w:pStyle w:val="5"/>
              <w:bidi w:val="0"/>
              <w:rPr>
                <w:lang w:val="en-US" w:eastAsia="zh-CN"/>
              </w:rPr>
            </w:pPr>
            <w:r>
              <w:rPr>
                <w:lang w:val="en-US" w:eastAsia="zh-CN"/>
              </w:rPr>
              <w:t>地下水环境</w:t>
            </w:r>
          </w:p>
        </w:tc>
        <w:tc>
          <w:tcPr>
            <w:tcW w:w="1249" w:type="pct"/>
            <w:vMerge w:val="continue"/>
            <w:vAlign w:val="center"/>
          </w:tcPr>
          <w:p w14:paraId="70FEA253">
            <w:pPr>
              <w:pStyle w:val="5"/>
              <w:bidi w:val="0"/>
              <w:rPr>
                <w:lang w:val="en-US" w:eastAsia="zh-CN"/>
              </w:rPr>
            </w:pPr>
          </w:p>
        </w:tc>
        <w:tc>
          <w:tcPr>
            <w:tcW w:w="1250" w:type="pct"/>
            <w:vAlign w:val="center"/>
          </w:tcPr>
          <w:p w14:paraId="13BC1576">
            <w:pPr>
              <w:pStyle w:val="5"/>
              <w:bidi w:val="0"/>
              <w:rPr>
                <w:lang w:val="en-US" w:eastAsia="zh-CN"/>
              </w:rPr>
            </w:pPr>
            <w:r>
              <w:rPr>
                <w:lang w:val="en-US" w:eastAsia="zh-CN"/>
              </w:rPr>
              <w:t>E2</w:t>
            </w:r>
          </w:p>
        </w:tc>
        <w:tc>
          <w:tcPr>
            <w:tcW w:w="1250" w:type="pct"/>
            <w:vAlign w:val="center"/>
          </w:tcPr>
          <w:p w14:paraId="09F987C7">
            <w:pPr>
              <w:pStyle w:val="5"/>
              <w:bidi w:val="0"/>
              <w:rPr>
                <w:lang w:val="en-US" w:eastAsia="zh-CN"/>
              </w:rPr>
            </w:pPr>
            <w:r>
              <w:rPr>
                <w:lang w:val="en-US" w:eastAsia="zh-CN"/>
              </w:rPr>
              <w:t>Ⅲ</w:t>
            </w:r>
          </w:p>
        </w:tc>
      </w:tr>
    </w:tbl>
    <w:p w14:paraId="3DAE2F87">
      <w:pPr>
        <w:bidi w:val="0"/>
        <w:rPr>
          <w:rFonts w:eastAsia="宋体" w:cs="Calibri"/>
          <w:color w:val="000000"/>
          <w:kern w:val="2"/>
          <w:lang w:val="en-US" w:eastAsia="zh-CN" w:bidi="ar-SA"/>
        </w:rPr>
      </w:pPr>
      <w:r>
        <w:rPr>
          <w:rFonts w:eastAsia="宋体" w:cs="Calibri"/>
          <w:kern w:val="2"/>
          <w:lang w:val="en-US" w:eastAsia="zh-CN" w:bidi="ar-SA"/>
        </w:rPr>
        <w:t>根据前文分析可知，本项目危险物质及工艺系统危险性为</w:t>
      </w:r>
      <w:r>
        <w:rPr>
          <w:kern w:val="2"/>
          <w:lang w:val="en-US" w:eastAsia="zh-CN" w:bidi="ar-SA"/>
        </w:rPr>
        <w:t>P3</w:t>
      </w:r>
      <w:r>
        <w:rPr>
          <w:rFonts w:eastAsia="宋体" w:cs="Calibri"/>
          <w:kern w:val="2"/>
          <w:lang w:val="en-US" w:eastAsia="zh-CN" w:bidi="ar-SA"/>
        </w:rPr>
        <w:t>；大气环境为低度敏感区（</w:t>
      </w:r>
      <w:r>
        <w:rPr>
          <w:kern w:val="2"/>
          <w:lang w:val="en-US" w:eastAsia="zh-CN" w:bidi="ar-SA"/>
        </w:rPr>
        <w:t>E3</w:t>
      </w:r>
      <w:r>
        <w:rPr>
          <w:rFonts w:eastAsia="宋体" w:cs="Calibri"/>
          <w:kern w:val="2"/>
          <w:lang w:val="en-US" w:eastAsia="zh-CN" w:bidi="ar-SA"/>
        </w:rPr>
        <w:t>），地表水环境为环境低度敏感区（</w:t>
      </w:r>
      <w:r>
        <w:rPr>
          <w:kern w:val="2"/>
          <w:lang w:val="en-US" w:eastAsia="zh-CN" w:bidi="ar-SA"/>
        </w:rPr>
        <w:t>E3</w:t>
      </w:r>
      <w:r>
        <w:rPr>
          <w:rFonts w:eastAsia="宋体" w:cs="Calibri"/>
          <w:kern w:val="2"/>
          <w:lang w:val="en-US" w:eastAsia="zh-CN" w:bidi="ar-SA"/>
        </w:rPr>
        <w:t>），地下水环境为中度敏感区（</w:t>
      </w:r>
      <w:r>
        <w:rPr>
          <w:kern w:val="2"/>
          <w:lang w:val="en-US" w:eastAsia="zh-CN" w:bidi="ar-SA"/>
        </w:rPr>
        <w:t>E2</w:t>
      </w:r>
      <w:r>
        <w:rPr>
          <w:rFonts w:eastAsia="宋体" w:cs="Calibri"/>
          <w:kern w:val="2"/>
          <w:lang w:val="en-US" w:eastAsia="zh-CN" w:bidi="ar-SA"/>
        </w:rPr>
        <w:t>），建设项目环境风险潜势综合等级取各要素等级的相对高值</w:t>
      </w:r>
      <w:r>
        <w:rPr>
          <w:rFonts w:eastAsia="宋体" w:cs="Calibri"/>
          <w:color w:val="000000"/>
          <w:kern w:val="2"/>
          <w:lang w:val="en-US" w:eastAsia="zh-CN" w:bidi="ar-SA"/>
        </w:rPr>
        <w:t>，因此本项目环境风险潜势划分为Ⅲ级。</w:t>
      </w:r>
    </w:p>
    <w:p w14:paraId="5E622FBF">
      <w:pPr>
        <w:pStyle w:val="2"/>
        <w:bidi w:val="0"/>
        <w:rPr>
          <w:lang w:val="en-US" w:eastAsia="zh-CN"/>
        </w:rPr>
      </w:pPr>
      <w:r>
        <w:rPr>
          <w:rFonts w:hint="eastAsia"/>
          <w:lang w:val="en-US" w:eastAsia="zh-CN"/>
        </w:rPr>
        <w:t xml:space="preserve">4 </w:t>
      </w:r>
      <w:r>
        <w:rPr>
          <w:lang w:val="en-US" w:eastAsia="zh-CN"/>
        </w:rPr>
        <w:t>评价工作等级及范围</w:t>
      </w:r>
    </w:p>
    <w:p w14:paraId="77CEAD31">
      <w:pPr>
        <w:bidi w:val="0"/>
        <w:rPr>
          <w:lang w:val="en-US" w:eastAsia="zh-CN"/>
        </w:rPr>
      </w:pPr>
      <w:r>
        <w:rPr>
          <w:lang w:val="en-US" w:eastAsia="zh-CN"/>
        </w:rPr>
        <w:t>（1）评价工作等级</w:t>
      </w:r>
    </w:p>
    <w:p w14:paraId="7655FDF0">
      <w:pPr>
        <w:bidi w:val="0"/>
        <w:rPr>
          <w:lang w:val="en-US" w:eastAsia="zh-CN"/>
        </w:rPr>
      </w:pPr>
      <w:r>
        <w:rPr>
          <w:lang w:val="en-US" w:eastAsia="zh-CN"/>
        </w:rPr>
        <w:t>根据《建设项目环境风险评价技术导则》（HJ169-2018）规定：“环境风险评价工作是依据建设项目涉及的物质及工艺系统危险性和所在地的环境敏感性确定环境风险潜势进行分级，环境影响评价工作等级划分为一级、二级、三级”，其具体分级判据，见表</w:t>
      </w:r>
      <w:r>
        <w:rPr>
          <w:rFonts w:hint="eastAsia"/>
          <w:lang w:val="en-US" w:eastAsia="zh-CN"/>
        </w:rPr>
        <w:t>4</w:t>
      </w:r>
      <w:r>
        <w:rPr>
          <w:lang w:val="en-US" w:eastAsia="zh-CN"/>
        </w:rPr>
        <w:t>-1。</w:t>
      </w:r>
    </w:p>
    <w:p w14:paraId="67B7186D">
      <w:pPr>
        <w:pStyle w:val="4"/>
        <w:bidi w:val="0"/>
        <w:rPr>
          <w:lang w:val="en-US" w:eastAsia="zh-CN"/>
        </w:rPr>
      </w:pPr>
      <w:r>
        <w:rPr>
          <w:lang w:val="en-US" w:eastAsia="zh-CN"/>
        </w:rPr>
        <w:t>表</w:t>
      </w:r>
      <w:r>
        <w:rPr>
          <w:rFonts w:hint="eastAsia"/>
          <w:lang w:val="en-US" w:eastAsia="zh-CN"/>
        </w:rPr>
        <w:t>4-1</w:t>
      </w:r>
      <w:r>
        <w:rPr>
          <w:lang w:val="en-US" w:eastAsia="zh-CN"/>
        </w:rPr>
        <w:t xml:space="preserve">  评价工作级别划分表</w:t>
      </w:r>
    </w:p>
    <w:p w14:paraId="76310A0D">
      <w:pPr>
        <w:keepLines w:val="0"/>
        <w:pageBreakBefore w:val="0"/>
        <w:widowControl w:val="0"/>
        <w:kinsoku/>
        <w:wordWrap/>
        <w:overflowPunct/>
        <w:topLinePunct w:val="0"/>
        <w:autoSpaceDE/>
        <w:autoSpaceDN/>
        <w:bidi w:val="0"/>
        <w:adjustRightInd w:val="0"/>
        <w:spacing w:line="15" w:lineRule="exact"/>
        <w:jc w:val="both"/>
        <w:textAlignment w:val="auto"/>
        <w:outlineLvl w:val="9"/>
        <w:rPr>
          <w:rFonts w:eastAsia="宋体"/>
          <w:kern w:val="2"/>
          <w:szCs w:val="22"/>
          <w:lang w:val="en-US" w:eastAsia="zh-CN" w:bidi="ar-SA"/>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1781"/>
        <w:gridCol w:w="1653"/>
        <w:gridCol w:w="1879"/>
        <w:gridCol w:w="2068"/>
        <w:gridCol w:w="1680"/>
      </w:tblGrid>
      <w:tr w14:paraId="0F47698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18" w:hRule="atLeast"/>
          <w:jc w:val="center"/>
        </w:trPr>
        <w:tc>
          <w:tcPr>
            <w:tcW w:w="983" w:type="pct"/>
            <w:vAlign w:val="center"/>
          </w:tcPr>
          <w:p w14:paraId="525B89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环境风险潜势</w:t>
            </w:r>
          </w:p>
        </w:tc>
        <w:tc>
          <w:tcPr>
            <w:tcW w:w="912" w:type="pct"/>
            <w:vAlign w:val="center"/>
          </w:tcPr>
          <w:p w14:paraId="1CBB0D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13"/>
                <w:szCs w:val="13"/>
                <w:lang w:val="en-US" w:eastAsia="zh-CN" w:bidi="ar-SA"/>
              </w:rPr>
            </w:pPr>
            <w:r>
              <w:rPr>
                <w:kern w:val="2"/>
                <w:sz w:val="21"/>
                <w:lang w:val="en-US" w:eastAsia="zh-CN" w:bidi="ar-SA"/>
              </w:rPr>
              <w:t>IV</w:t>
            </w:r>
            <w:r>
              <w:rPr>
                <w:rFonts w:eastAsia="宋体" w:cs="Calibri"/>
                <w:kern w:val="2"/>
                <w:sz w:val="21"/>
                <w:lang w:val="en-US" w:eastAsia="zh-CN" w:bidi="ar-SA"/>
              </w:rPr>
              <w:t>、</w:t>
            </w:r>
            <w:r>
              <w:rPr>
                <w:kern w:val="2"/>
                <w:sz w:val="21"/>
                <w:lang w:val="en-US" w:eastAsia="zh-CN" w:bidi="ar-SA"/>
              </w:rPr>
              <w:t>IV</w:t>
            </w:r>
            <w:r>
              <w:rPr>
                <w:kern w:val="2"/>
                <w:position w:val="6"/>
                <w:sz w:val="13"/>
                <w:szCs w:val="13"/>
                <w:lang w:val="en-US" w:eastAsia="zh-CN" w:bidi="ar-SA"/>
              </w:rPr>
              <w:t>+</w:t>
            </w:r>
          </w:p>
        </w:tc>
        <w:tc>
          <w:tcPr>
            <w:tcW w:w="1037" w:type="pct"/>
            <w:vAlign w:val="center"/>
          </w:tcPr>
          <w:p w14:paraId="4EF9FE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III</w:t>
            </w:r>
          </w:p>
        </w:tc>
        <w:tc>
          <w:tcPr>
            <w:tcW w:w="1141" w:type="pct"/>
            <w:vAlign w:val="center"/>
          </w:tcPr>
          <w:p w14:paraId="67A3FD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II</w:t>
            </w:r>
          </w:p>
        </w:tc>
        <w:tc>
          <w:tcPr>
            <w:tcW w:w="927" w:type="pct"/>
            <w:vAlign w:val="center"/>
          </w:tcPr>
          <w:p w14:paraId="194536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I</w:t>
            </w:r>
          </w:p>
        </w:tc>
      </w:tr>
      <w:tr w14:paraId="2D8F69D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13" w:hRule="atLeast"/>
          <w:jc w:val="center"/>
        </w:trPr>
        <w:tc>
          <w:tcPr>
            <w:tcW w:w="983" w:type="pct"/>
            <w:vAlign w:val="center"/>
          </w:tcPr>
          <w:p w14:paraId="41A8CC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评价工作等级</w:t>
            </w:r>
          </w:p>
        </w:tc>
        <w:tc>
          <w:tcPr>
            <w:tcW w:w="912" w:type="pct"/>
            <w:vAlign w:val="center"/>
          </w:tcPr>
          <w:p w14:paraId="03A988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position w:val="-4"/>
                <w:sz w:val="21"/>
                <w:lang w:val="en-US" w:eastAsia="zh-CN" w:bidi="ar-SA"/>
              </w:rPr>
              <w:t>一</w:t>
            </w:r>
          </w:p>
        </w:tc>
        <w:tc>
          <w:tcPr>
            <w:tcW w:w="1037" w:type="pct"/>
            <w:vAlign w:val="center"/>
          </w:tcPr>
          <w:p w14:paraId="19E4DA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二</w:t>
            </w:r>
          </w:p>
        </w:tc>
        <w:tc>
          <w:tcPr>
            <w:tcW w:w="1141" w:type="pct"/>
            <w:vAlign w:val="center"/>
          </w:tcPr>
          <w:p w14:paraId="7B8C28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三</w:t>
            </w:r>
          </w:p>
        </w:tc>
        <w:tc>
          <w:tcPr>
            <w:tcW w:w="927" w:type="pct"/>
            <w:vAlign w:val="center"/>
          </w:tcPr>
          <w:p w14:paraId="4AFED7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13"/>
                <w:szCs w:val="13"/>
                <w:lang w:val="en-US" w:eastAsia="zh-CN" w:bidi="ar-SA"/>
              </w:rPr>
            </w:pPr>
            <w:r>
              <w:rPr>
                <w:rFonts w:eastAsia="宋体" w:cs="Calibri"/>
                <w:kern w:val="2"/>
                <w:sz w:val="21"/>
                <w:lang w:val="en-US" w:eastAsia="zh-CN" w:bidi="ar-SA"/>
              </w:rPr>
              <w:t>简单分析</w:t>
            </w:r>
            <w:r>
              <w:rPr>
                <w:kern w:val="2"/>
                <w:position w:val="6"/>
                <w:sz w:val="13"/>
                <w:szCs w:val="13"/>
                <w:lang w:val="en-US" w:eastAsia="zh-CN" w:bidi="ar-SA"/>
              </w:rPr>
              <w:t>a</w:t>
            </w:r>
          </w:p>
        </w:tc>
      </w:tr>
      <w:tr w14:paraId="329D5BB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636" w:hRule="atLeast"/>
          <w:jc w:val="center"/>
        </w:trPr>
        <w:tc>
          <w:tcPr>
            <w:tcW w:w="5000" w:type="pct"/>
            <w:gridSpan w:val="5"/>
            <w:vAlign w:val="center"/>
          </w:tcPr>
          <w:p w14:paraId="71DC7C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kern w:val="2"/>
                <w:sz w:val="13"/>
                <w:szCs w:val="13"/>
                <w:lang w:val="en-US" w:eastAsia="zh-CN" w:bidi="ar-SA"/>
              </w:rPr>
              <w:t>a</w:t>
            </w:r>
            <w:r>
              <w:rPr>
                <w:rFonts w:eastAsia="宋体" w:cs="Calibri"/>
                <w:kern w:val="2"/>
                <w:sz w:val="21"/>
                <w:lang w:val="en-US" w:eastAsia="zh-CN" w:bidi="ar-SA"/>
              </w:rPr>
              <w:t>是相对于详细评价工作内容而言</w:t>
            </w:r>
            <w:r>
              <w:rPr>
                <w:rFonts w:hint="eastAsia" w:cs="Calibri"/>
                <w:kern w:val="2"/>
                <w:sz w:val="21"/>
                <w:lang w:val="en-US" w:eastAsia="zh-CN" w:bidi="ar-SA"/>
              </w:rPr>
              <w:t>,</w:t>
            </w:r>
            <w:r>
              <w:rPr>
                <w:rFonts w:eastAsia="宋体" w:cs="Calibri"/>
                <w:kern w:val="2"/>
                <w:sz w:val="21"/>
                <w:lang w:val="en-US" w:eastAsia="zh-CN" w:bidi="ar-SA"/>
              </w:rPr>
              <w:t>在描述危险物质、环境影响途径、环境危害后果、环境风险防范措施等方面给出定性的说明。见《建设项目环境风险评价技术导则》（</w:t>
            </w:r>
            <w:r>
              <w:rPr>
                <w:kern w:val="2"/>
                <w:sz w:val="21"/>
                <w:lang w:val="en-US" w:eastAsia="zh-CN" w:bidi="ar-SA"/>
              </w:rPr>
              <w:t>HJ169-2018</w:t>
            </w:r>
            <w:r>
              <w:rPr>
                <w:rFonts w:eastAsia="宋体" w:cs="Calibri"/>
                <w:kern w:val="2"/>
                <w:sz w:val="21"/>
                <w:lang w:val="en-US" w:eastAsia="zh-CN" w:bidi="ar-SA"/>
              </w:rPr>
              <w:t>）附录</w:t>
            </w:r>
            <w:r>
              <w:rPr>
                <w:kern w:val="2"/>
                <w:sz w:val="21"/>
                <w:lang w:val="en-US" w:eastAsia="zh-CN" w:bidi="ar-SA"/>
              </w:rPr>
              <w:t>A</w:t>
            </w:r>
            <w:r>
              <w:rPr>
                <w:rFonts w:eastAsia="宋体" w:cs="Calibri"/>
                <w:kern w:val="2"/>
                <w:sz w:val="21"/>
                <w:lang w:val="en-US" w:eastAsia="zh-CN" w:bidi="ar-SA"/>
              </w:rPr>
              <w:t>。</w:t>
            </w:r>
          </w:p>
        </w:tc>
      </w:tr>
    </w:tbl>
    <w:p w14:paraId="59D3CB9A">
      <w:pPr>
        <w:bidi w:val="0"/>
        <w:rPr>
          <w:lang w:val="en-US" w:eastAsia="zh-CN"/>
        </w:rPr>
      </w:pPr>
      <w:r>
        <w:rPr>
          <w:lang w:val="en-US" w:eastAsia="zh-CN"/>
        </w:rPr>
        <w:t>本项目各要素及综合环境风险潜势综合等级判定情况见表</w:t>
      </w:r>
      <w:r>
        <w:rPr>
          <w:rFonts w:hint="eastAsia"/>
          <w:lang w:val="en-US" w:eastAsia="zh-CN"/>
        </w:rPr>
        <w:t>4-2</w:t>
      </w:r>
      <w:r>
        <w:rPr>
          <w:lang w:val="en-US" w:eastAsia="zh-CN"/>
        </w:rPr>
        <w:t>。</w:t>
      </w:r>
    </w:p>
    <w:p w14:paraId="2D36AA2A">
      <w:pPr>
        <w:pStyle w:val="4"/>
        <w:bidi w:val="0"/>
        <w:rPr>
          <w:lang w:val="en-US" w:eastAsia="zh-CN"/>
        </w:rPr>
      </w:pPr>
      <w:r>
        <w:rPr>
          <w:lang w:val="en-US" w:eastAsia="zh-CN"/>
        </w:rPr>
        <w:t>表</w:t>
      </w:r>
      <w:r>
        <w:rPr>
          <w:rFonts w:hint="eastAsia"/>
          <w:lang w:val="en-US" w:eastAsia="zh-CN"/>
        </w:rPr>
        <w:t>4-2</w:t>
      </w:r>
      <w:r>
        <w:rPr>
          <w:lang w:val="en-US" w:eastAsia="zh-CN"/>
        </w:rPr>
        <w:t xml:space="preserve">  本项目各要素及综合环境风险潜势综合等级判定情况</w:t>
      </w:r>
    </w:p>
    <w:p w14:paraId="252AD138">
      <w:pPr>
        <w:keepLines w:val="0"/>
        <w:pageBreakBefore w:val="0"/>
        <w:widowControl w:val="0"/>
        <w:kinsoku/>
        <w:wordWrap/>
        <w:overflowPunct/>
        <w:topLinePunct w:val="0"/>
        <w:autoSpaceDE/>
        <w:autoSpaceDN/>
        <w:bidi w:val="0"/>
        <w:adjustRightInd w:val="0"/>
        <w:spacing w:line="14" w:lineRule="exact"/>
        <w:jc w:val="both"/>
        <w:textAlignment w:val="auto"/>
        <w:outlineLvl w:val="9"/>
        <w:rPr>
          <w:rFonts w:eastAsia="宋体"/>
          <w:kern w:val="2"/>
          <w:szCs w:val="22"/>
          <w:lang w:val="en-US" w:eastAsia="zh-CN" w:bidi="ar-SA"/>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3935"/>
        <w:gridCol w:w="1153"/>
        <w:gridCol w:w="529"/>
        <w:gridCol w:w="794"/>
        <w:gridCol w:w="529"/>
        <w:gridCol w:w="794"/>
        <w:gridCol w:w="1327"/>
      </w:tblGrid>
      <w:tr w14:paraId="44660CD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19" w:hRule="atLeast"/>
          <w:jc w:val="center"/>
        </w:trPr>
        <w:tc>
          <w:tcPr>
            <w:tcW w:w="2172" w:type="pct"/>
            <w:vAlign w:val="center"/>
          </w:tcPr>
          <w:p w14:paraId="76A92184">
            <w:pPr>
              <w:pStyle w:val="5"/>
              <w:bidi w:val="0"/>
              <w:rPr>
                <w:lang w:val="en-US" w:eastAsia="zh-CN"/>
              </w:rPr>
            </w:pPr>
            <w:r>
              <w:rPr>
                <w:lang w:val="en-US" w:eastAsia="zh-CN"/>
              </w:rPr>
              <w:t>环境风险潜势</w:t>
            </w:r>
          </w:p>
        </w:tc>
        <w:tc>
          <w:tcPr>
            <w:tcW w:w="636" w:type="pct"/>
            <w:vAlign w:val="center"/>
          </w:tcPr>
          <w:p w14:paraId="5177AC6E">
            <w:pPr>
              <w:pStyle w:val="5"/>
              <w:bidi w:val="0"/>
              <w:rPr>
                <w:lang w:val="en-US" w:eastAsia="zh-CN"/>
              </w:rPr>
            </w:pPr>
            <w:r>
              <w:rPr>
                <w:lang w:val="en-US" w:eastAsia="zh-CN"/>
              </w:rPr>
              <w:t>Ⅳ+、Ⅳ</w:t>
            </w:r>
          </w:p>
        </w:tc>
        <w:tc>
          <w:tcPr>
            <w:tcW w:w="730" w:type="pct"/>
            <w:gridSpan w:val="2"/>
            <w:vAlign w:val="center"/>
          </w:tcPr>
          <w:p w14:paraId="771ECBF4">
            <w:pPr>
              <w:pStyle w:val="5"/>
              <w:bidi w:val="0"/>
              <w:rPr>
                <w:lang w:val="en-US" w:eastAsia="zh-CN"/>
              </w:rPr>
            </w:pPr>
            <w:r>
              <w:rPr>
                <w:lang w:val="en-US" w:eastAsia="zh-CN"/>
              </w:rPr>
              <w:t>Ⅲ</w:t>
            </w:r>
          </w:p>
        </w:tc>
        <w:tc>
          <w:tcPr>
            <w:tcW w:w="730" w:type="pct"/>
            <w:gridSpan w:val="2"/>
            <w:vAlign w:val="center"/>
          </w:tcPr>
          <w:p w14:paraId="7383413B">
            <w:pPr>
              <w:pStyle w:val="5"/>
              <w:bidi w:val="0"/>
              <w:rPr>
                <w:lang w:val="en-US" w:eastAsia="zh-CN"/>
              </w:rPr>
            </w:pPr>
            <w:r>
              <w:rPr>
                <w:lang w:val="en-US" w:eastAsia="zh-CN"/>
              </w:rPr>
              <w:t>Ⅱ</w:t>
            </w:r>
          </w:p>
        </w:tc>
        <w:tc>
          <w:tcPr>
            <w:tcW w:w="732" w:type="pct"/>
            <w:vAlign w:val="center"/>
          </w:tcPr>
          <w:p w14:paraId="0D6A5C5D">
            <w:pPr>
              <w:pStyle w:val="5"/>
              <w:bidi w:val="0"/>
              <w:rPr>
                <w:lang w:val="en-US" w:eastAsia="zh-CN"/>
              </w:rPr>
            </w:pPr>
            <w:r>
              <w:rPr>
                <w:lang w:val="en-US" w:eastAsia="zh-CN"/>
              </w:rPr>
              <w:t>Ⅰ</w:t>
            </w:r>
          </w:p>
        </w:tc>
      </w:tr>
      <w:tr w14:paraId="3567F0D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14" w:hRule="atLeast"/>
          <w:jc w:val="center"/>
        </w:trPr>
        <w:tc>
          <w:tcPr>
            <w:tcW w:w="2172" w:type="pct"/>
            <w:vAlign w:val="center"/>
          </w:tcPr>
          <w:p w14:paraId="1A085327">
            <w:pPr>
              <w:pStyle w:val="5"/>
              <w:bidi w:val="0"/>
              <w:rPr>
                <w:lang w:val="en-US" w:eastAsia="zh-CN"/>
              </w:rPr>
            </w:pPr>
            <w:r>
              <w:rPr>
                <w:lang w:val="en-US" w:eastAsia="zh-CN"/>
              </w:rPr>
              <w:t>评价工作等级</w:t>
            </w:r>
          </w:p>
        </w:tc>
        <w:tc>
          <w:tcPr>
            <w:tcW w:w="636" w:type="pct"/>
            <w:vAlign w:val="center"/>
          </w:tcPr>
          <w:p w14:paraId="4C6AC2FA">
            <w:pPr>
              <w:pStyle w:val="5"/>
              <w:bidi w:val="0"/>
              <w:rPr>
                <w:lang w:val="en-US" w:eastAsia="zh-CN"/>
              </w:rPr>
            </w:pPr>
            <w:r>
              <w:rPr>
                <w:lang w:val="en-US" w:eastAsia="zh-CN"/>
              </w:rPr>
              <w:t>一级</w:t>
            </w:r>
          </w:p>
        </w:tc>
        <w:tc>
          <w:tcPr>
            <w:tcW w:w="730" w:type="pct"/>
            <w:gridSpan w:val="2"/>
            <w:vAlign w:val="center"/>
          </w:tcPr>
          <w:p w14:paraId="36C6D96C">
            <w:pPr>
              <w:pStyle w:val="5"/>
              <w:bidi w:val="0"/>
              <w:rPr>
                <w:lang w:val="en-US" w:eastAsia="zh-CN"/>
              </w:rPr>
            </w:pPr>
            <w:r>
              <w:rPr>
                <w:lang w:val="en-US" w:eastAsia="zh-CN"/>
              </w:rPr>
              <w:t>二级</w:t>
            </w:r>
          </w:p>
        </w:tc>
        <w:tc>
          <w:tcPr>
            <w:tcW w:w="730" w:type="pct"/>
            <w:gridSpan w:val="2"/>
            <w:vAlign w:val="center"/>
          </w:tcPr>
          <w:p w14:paraId="058FCD98">
            <w:pPr>
              <w:pStyle w:val="5"/>
              <w:bidi w:val="0"/>
              <w:rPr>
                <w:lang w:val="en-US" w:eastAsia="zh-CN"/>
              </w:rPr>
            </w:pPr>
            <w:r>
              <w:rPr>
                <w:lang w:val="en-US" w:eastAsia="zh-CN"/>
              </w:rPr>
              <w:t>三级</w:t>
            </w:r>
          </w:p>
        </w:tc>
        <w:tc>
          <w:tcPr>
            <w:tcW w:w="732" w:type="pct"/>
            <w:vAlign w:val="center"/>
          </w:tcPr>
          <w:p w14:paraId="78CEED06">
            <w:pPr>
              <w:pStyle w:val="5"/>
              <w:bidi w:val="0"/>
              <w:rPr>
                <w:lang w:val="en-US" w:eastAsia="zh-CN"/>
              </w:rPr>
            </w:pPr>
            <w:r>
              <w:rPr>
                <w:lang w:val="en-US" w:eastAsia="zh-CN"/>
              </w:rPr>
              <w:t>简单分析</w:t>
            </w:r>
          </w:p>
        </w:tc>
      </w:tr>
      <w:tr w14:paraId="4649709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14" w:hRule="atLeast"/>
          <w:jc w:val="center"/>
        </w:trPr>
        <w:tc>
          <w:tcPr>
            <w:tcW w:w="2172" w:type="pct"/>
            <w:vAlign w:val="center"/>
          </w:tcPr>
          <w:p w14:paraId="6F8F7D6F">
            <w:pPr>
              <w:pStyle w:val="5"/>
              <w:bidi w:val="0"/>
              <w:rPr>
                <w:lang w:val="en-US" w:eastAsia="zh-CN"/>
              </w:rPr>
            </w:pPr>
            <w:r>
              <w:rPr>
                <w:lang w:val="en-US" w:eastAsia="zh-CN"/>
              </w:rPr>
              <w:t>大气环境风险潜势和评价等级</w:t>
            </w:r>
          </w:p>
        </w:tc>
        <w:tc>
          <w:tcPr>
            <w:tcW w:w="636" w:type="pct"/>
            <w:vAlign w:val="center"/>
          </w:tcPr>
          <w:p w14:paraId="6ECC0BE6">
            <w:pPr>
              <w:pStyle w:val="5"/>
              <w:bidi w:val="0"/>
              <w:rPr>
                <w:lang w:val="en-US" w:eastAsia="zh-CN"/>
              </w:rPr>
            </w:pPr>
          </w:p>
        </w:tc>
        <w:tc>
          <w:tcPr>
            <w:tcW w:w="292" w:type="pct"/>
            <w:vAlign w:val="center"/>
          </w:tcPr>
          <w:p w14:paraId="24F16B12">
            <w:pPr>
              <w:pStyle w:val="5"/>
              <w:bidi w:val="0"/>
              <w:rPr>
                <w:lang w:val="en-US" w:eastAsia="zh-CN"/>
              </w:rPr>
            </w:pPr>
          </w:p>
        </w:tc>
        <w:tc>
          <w:tcPr>
            <w:tcW w:w="438" w:type="pct"/>
            <w:vAlign w:val="center"/>
          </w:tcPr>
          <w:p w14:paraId="5CA55666">
            <w:pPr>
              <w:pStyle w:val="5"/>
              <w:bidi w:val="0"/>
              <w:rPr>
                <w:lang w:val="en-US" w:eastAsia="zh-CN"/>
              </w:rPr>
            </w:pPr>
          </w:p>
        </w:tc>
        <w:tc>
          <w:tcPr>
            <w:tcW w:w="292" w:type="pct"/>
            <w:vAlign w:val="center"/>
          </w:tcPr>
          <w:p w14:paraId="4DF05E1F">
            <w:pPr>
              <w:pStyle w:val="5"/>
              <w:bidi w:val="0"/>
              <w:rPr>
                <w:lang w:val="en-US" w:eastAsia="zh-CN"/>
              </w:rPr>
            </w:pPr>
            <w:r>
              <w:rPr>
                <w:lang w:val="en-US" w:eastAsia="zh-CN"/>
              </w:rPr>
              <w:t>Ⅱ</w:t>
            </w:r>
          </w:p>
        </w:tc>
        <w:tc>
          <w:tcPr>
            <w:tcW w:w="438" w:type="pct"/>
            <w:vAlign w:val="center"/>
          </w:tcPr>
          <w:p w14:paraId="1957A7A7">
            <w:pPr>
              <w:pStyle w:val="5"/>
              <w:bidi w:val="0"/>
              <w:rPr>
                <w:lang w:val="en-US" w:eastAsia="zh-CN"/>
              </w:rPr>
            </w:pPr>
            <w:r>
              <w:rPr>
                <w:lang w:val="en-US" w:eastAsia="zh-CN"/>
              </w:rPr>
              <w:t>三级</w:t>
            </w:r>
          </w:p>
        </w:tc>
        <w:tc>
          <w:tcPr>
            <w:tcW w:w="732" w:type="pct"/>
            <w:vAlign w:val="center"/>
          </w:tcPr>
          <w:p w14:paraId="52C763B8">
            <w:pPr>
              <w:pStyle w:val="5"/>
              <w:bidi w:val="0"/>
              <w:rPr>
                <w:lang w:val="en-US" w:eastAsia="zh-CN"/>
              </w:rPr>
            </w:pPr>
          </w:p>
        </w:tc>
      </w:tr>
      <w:tr w14:paraId="458F82B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15" w:hRule="atLeast"/>
          <w:jc w:val="center"/>
        </w:trPr>
        <w:tc>
          <w:tcPr>
            <w:tcW w:w="2172" w:type="pct"/>
            <w:vAlign w:val="center"/>
          </w:tcPr>
          <w:p w14:paraId="0A706C01">
            <w:pPr>
              <w:pStyle w:val="5"/>
              <w:bidi w:val="0"/>
              <w:rPr>
                <w:lang w:val="en-US" w:eastAsia="zh-CN"/>
              </w:rPr>
            </w:pPr>
            <w:r>
              <w:rPr>
                <w:lang w:val="en-US" w:eastAsia="zh-CN"/>
              </w:rPr>
              <w:t>地表水环境风险潜势和评价等级</w:t>
            </w:r>
          </w:p>
        </w:tc>
        <w:tc>
          <w:tcPr>
            <w:tcW w:w="636" w:type="pct"/>
            <w:vAlign w:val="center"/>
          </w:tcPr>
          <w:p w14:paraId="15EC2979">
            <w:pPr>
              <w:pStyle w:val="5"/>
              <w:bidi w:val="0"/>
              <w:rPr>
                <w:lang w:val="en-US" w:eastAsia="zh-CN"/>
              </w:rPr>
            </w:pPr>
          </w:p>
        </w:tc>
        <w:tc>
          <w:tcPr>
            <w:tcW w:w="292" w:type="pct"/>
            <w:vAlign w:val="center"/>
          </w:tcPr>
          <w:p w14:paraId="1FFFC8E5">
            <w:pPr>
              <w:pStyle w:val="5"/>
              <w:bidi w:val="0"/>
              <w:rPr>
                <w:lang w:val="en-US" w:eastAsia="zh-CN"/>
              </w:rPr>
            </w:pPr>
          </w:p>
        </w:tc>
        <w:tc>
          <w:tcPr>
            <w:tcW w:w="438" w:type="pct"/>
            <w:vAlign w:val="center"/>
          </w:tcPr>
          <w:p w14:paraId="32CACD0A">
            <w:pPr>
              <w:pStyle w:val="5"/>
              <w:bidi w:val="0"/>
              <w:rPr>
                <w:lang w:val="en-US" w:eastAsia="zh-CN"/>
              </w:rPr>
            </w:pPr>
          </w:p>
        </w:tc>
        <w:tc>
          <w:tcPr>
            <w:tcW w:w="292" w:type="pct"/>
            <w:vAlign w:val="center"/>
          </w:tcPr>
          <w:p w14:paraId="2928B5ED">
            <w:pPr>
              <w:pStyle w:val="5"/>
              <w:bidi w:val="0"/>
              <w:rPr>
                <w:lang w:val="en-US" w:eastAsia="zh-CN"/>
              </w:rPr>
            </w:pPr>
            <w:r>
              <w:rPr>
                <w:lang w:val="en-US" w:eastAsia="zh-CN"/>
              </w:rPr>
              <w:t>Ⅱ</w:t>
            </w:r>
          </w:p>
        </w:tc>
        <w:tc>
          <w:tcPr>
            <w:tcW w:w="438" w:type="pct"/>
            <w:vAlign w:val="center"/>
          </w:tcPr>
          <w:p w14:paraId="19D80EE8">
            <w:pPr>
              <w:pStyle w:val="5"/>
              <w:bidi w:val="0"/>
              <w:rPr>
                <w:lang w:val="en-US" w:eastAsia="zh-CN"/>
              </w:rPr>
            </w:pPr>
            <w:r>
              <w:rPr>
                <w:lang w:val="en-US" w:eastAsia="zh-CN"/>
              </w:rPr>
              <w:t>三级</w:t>
            </w:r>
          </w:p>
        </w:tc>
        <w:tc>
          <w:tcPr>
            <w:tcW w:w="732" w:type="pct"/>
            <w:vAlign w:val="center"/>
          </w:tcPr>
          <w:p w14:paraId="10C08A8A">
            <w:pPr>
              <w:pStyle w:val="5"/>
              <w:bidi w:val="0"/>
              <w:rPr>
                <w:lang w:val="en-US" w:eastAsia="zh-CN"/>
              </w:rPr>
            </w:pPr>
          </w:p>
        </w:tc>
      </w:tr>
      <w:tr w14:paraId="4885B43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15" w:hRule="atLeast"/>
          <w:jc w:val="center"/>
        </w:trPr>
        <w:tc>
          <w:tcPr>
            <w:tcW w:w="2172" w:type="pct"/>
            <w:vAlign w:val="center"/>
          </w:tcPr>
          <w:p w14:paraId="2D964AE6">
            <w:pPr>
              <w:pStyle w:val="5"/>
              <w:bidi w:val="0"/>
              <w:rPr>
                <w:lang w:val="en-US" w:eastAsia="zh-CN"/>
              </w:rPr>
            </w:pPr>
            <w:r>
              <w:rPr>
                <w:lang w:val="en-US" w:eastAsia="zh-CN"/>
              </w:rPr>
              <w:t>地下水环境风险潜势和评价等级</w:t>
            </w:r>
          </w:p>
        </w:tc>
        <w:tc>
          <w:tcPr>
            <w:tcW w:w="636" w:type="pct"/>
            <w:vAlign w:val="center"/>
          </w:tcPr>
          <w:p w14:paraId="79C417AB">
            <w:pPr>
              <w:pStyle w:val="5"/>
              <w:bidi w:val="0"/>
              <w:rPr>
                <w:lang w:val="en-US" w:eastAsia="zh-CN"/>
              </w:rPr>
            </w:pPr>
          </w:p>
        </w:tc>
        <w:tc>
          <w:tcPr>
            <w:tcW w:w="292" w:type="pct"/>
            <w:vAlign w:val="center"/>
          </w:tcPr>
          <w:p w14:paraId="72CCEB36">
            <w:pPr>
              <w:pStyle w:val="5"/>
              <w:bidi w:val="0"/>
              <w:rPr>
                <w:lang w:val="en-US" w:eastAsia="zh-CN"/>
              </w:rPr>
            </w:pPr>
            <w:r>
              <w:rPr>
                <w:lang w:val="en-US" w:eastAsia="zh-CN"/>
              </w:rPr>
              <w:t>Ⅲ</w:t>
            </w:r>
          </w:p>
        </w:tc>
        <w:tc>
          <w:tcPr>
            <w:tcW w:w="438" w:type="pct"/>
            <w:vAlign w:val="center"/>
          </w:tcPr>
          <w:p w14:paraId="3A686CA1">
            <w:pPr>
              <w:pStyle w:val="5"/>
              <w:bidi w:val="0"/>
              <w:rPr>
                <w:lang w:val="en-US" w:eastAsia="zh-CN"/>
              </w:rPr>
            </w:pPr>
            <w:r>
              <w:rPr>
                <w:lang w:val="en-US" w:eastAsia="zh-CN"/>
              </w:rPr>
              <w:t>二级</w:t>
            </w:r>
          </w:p>
        </w:tc>
        <w:tc>
          <w:tcPr>
            <w:tcW w:w="292" w:type="pct"/>
            <w:vAlign w:val="center"/>
          </w:tcPr>
          <w:p w14:paraId="531C39A0">
            <w:pPr>
              <w:pStyle w:val="5"/>
              <w:bidi w:val="0"/>
              <w:rPr>
                <w:lang w:val="en-US" w:eastAsia="zh-CN"/>
              </w:rPr>
            </w:pPr>
          </w:p>
        </w:tc>
        <w:tc>
          <w:tcPr>
            <w:tcW w:w="438" w:type="pct"/>
            <w:vAlign w:val="center"/>
          </w:tcPr>
          <w:p w14:paraId="7CDB807E">
            <w:pPr>
              <w:pStyle w:val="5"/>
              <w:bidi w:val="0"/>
              <w:rPr>
                <w:lang w:val="en-US" w:eastAsia="zh-CN"/>
              </w:rPr>
            </w:pPr>
          </w:p>
        </w:tc>
        <w:tc>
          <w:tcPr>
            <w:tcW w:w="732" w:type="pct"/>
            <w:vAlign w:val="center"/>
          </w:tcPr>
          <w:p w14:paraId="0BDD6C05">
            <w:pPr>
              <w:pStyle w:val="5"/>
              <w:bidi w:val="0"/>
              <w:rPr>
                <w:lang w:val="en-US" w:eastAsia="zh-CN"/>
              </w:rPr>
            </w:pPr>
          </w:p>
        </w:tc>
      </w:tr>
      <w:tr w14:paraId="240B896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29" w:hRule="atLeast"/>
          <w:jc w:val="center"/>
        </w:trPr>
        <w:tc>
          <w:tcPr>
            <w:tcW w:w="2172" w:type="pct"/>
            <w:vAlign w:val="center"/>
          </w:tcPr>
          <w:p w14:paraId="4C605962">
            <w:pPr>
              <w:pStyle w:val="5"/>
              <w:bidi w:val="0"/>
              <w:rPr>
                <w:lang w:val="en-US" w:eastAsia="zh-CN"/>
              </w:rPr>
            </w:pPr>
            <w:r>
              <w:rPr>
                <w:lang w:val="en-US" w:eastAsia="zh-CN"/>
              </w:rPr>
              <w:t>环境风险潜势综合等级</w:t>
            </w:r>
          </w:p>
        </w:tc>
        <w:tc>
          <w:tcPr>
            <w:tcW w:w="636" w:type="pct"/>
            <w:vAlign w:val="center"/>
          </w:tcPr>
          <w:p w14:paraId="2751DA8C">
            <w:pPr>
              <w:pStyle w:val="5"/>
              <w:bidi w:val="0"/>
              <w:rPr>
                <w:lang w:val="en-US" w:eastAsia="zh-CN"/>
              </w:rPr>
            </w:pPr>
          </w:p>
        </w:tc>
        <w:tc>
          <w:tcPr>
            <w:tcW w:w="292" w:type="pct"/>
            <w:shd w:val="clear" w:color="auto" w:fill="FDEADA"/>
            <w:vAlign w:val="center"/>
          </w:tcPr>
          <w:p w14:paraId="0A39ED74">
            <w:pPr>
              <w:pStyle w:val="5"/>
              <w:bidi w:val="0"/>
              <w:rPr>
                <w:lang w:val="en-US" w:eastAsia="zh-CN"/>
              </w:rPr>
            </w:pPr>
            <w:r>
              <w:rPr>
                <w:lang w:val="en-US" w:eastAsia="zh-CN"/>
              </w:rPr>
              <w:t>Ⅲ</w:t>
            </w:r>
          </w:p>
        </w:tc>
        <w:tc>
          <w:tcPr>
            <w:tcW w:w="438" w:type="pct"/>
            <w:shd w:val="clear" w:color="auto" w:fill="FDEADA"/>
            <w:vAlign w:val="center"/>
          </w:tcPr>
          <w:p w14:paraId="6B571E48">
            <w:pPr>
              <w:pStyle w:val="5"/>
              <w:bidi w:val="0"/>
              <w:rPr>
                <w:lang w:val="en-US" w:eastAsia="zh-CN"/>
              </w:rPr>
            </w:pPr>
            <w:r>
              <w:rPr>
                <w:lang w:val="en-US" w:eastAsia="zh-CN"/>
              </w:rPr>
              <w:t>二级</w:t>
            </w:r>
          </w:p>
        </w:tc>
        <w:tc>
          <w:tcPr>
            <w:tcW w:w="292" w:type="pct"/>
            <w:vAlign w:val="center"/>
          </w:tcPr>
          <w:p w14:paraId="08319144">
            <w:pPr>
              <w:pStyle w:val="5"/>
              <w:bidi w:val="0"/>
              <w:rPr>
                <w:lang w:val="en-US" w:eastAsia="zh-CN"/>
              </w:rPr>
            </w:pPr>
          </w:p>
        </w:tc>
        <w:tc>
          <w:tcPr>
            <w:tcW w:w="438" w:type="pct"/>
            <w:vAlign w:val="center"/>
          </w:tcPr>
          <w:p w14:paraId="709EA0C3">
            <w:pPr>
              <w:pStyle w:val="5"/>
              <w:bidi w:val="0"/>
              <w:rPr>
                <w:lang w:val="en-US" w:eastAsia="zh-CN"/>
              </w:rPr>
            </w:pPr>
          </w:p>
        </w:tc>
        <w:tc>
          <w:tcPr>
            <w:tcW w:w="732" w:type="pct"/>
            <w:vAlign w:val="center"/>
          </w:tcPr>
          <w:p w14:paraId="108A487C">
            <w:pPr>
              <w:pStyle w:val="5"/>
              <w:bidi w:val="0"/>
              <w:rPr>
                <w:lang w:val="en-US" w:eastAsia="zh-CN"/>
              </w:rPr>
            </w:pPr>
          </w:p>
        </w:tc>
      </w:tr>
    </w:tbl>
    <w:p w14:paraId="69A2EB6A">
      <w:pPr>
        <w:bidi w:val="0"/>
        <w:rPr>
          <w:lang w:val="en-US" w:eastAsia="zh-CN"/>
        </w:rPr>
      </w:pPr>
      <w:r>
        <w:rPr>
          <w:lang w:val="en-US" w:eastAsia="zh-CN"/>
        </w:rPr>
        <w:t>（2）评价范围</w:t>
      </w:r>
    </w:p>
    <w:p w14:paraId="2A2E27C9">
      <w:pPr>
        <w:bidi w:val="0"/>
        <w:rPr>
          <w:lang w:val="en-US" w:eastAsia="zh-CN"/>
        </w:rPr>
      </w:pPr>
      <w:r>
        <w:rPr>
          <w:lang w:val="en-US" w:eastAsia="zh-CN"/>
        </w:rPr>
        <w:t>根据《建设项目环境风险评价技术导则》（HJ169-2018）规定，本项目环境风险评价范围见表</w:t>
      </w:r>
      <w:r>
        <w:rPr>
          <w:rFonts w:hint="eastAsia"/>
          <w:lang w:val="en-US" w:eastAsia="zh-CN"/>
        </w:rPr>
        <w:t>4-3，评价范围图详见图4-1</w:t>
      </w:r>
      <w:r>
        <w:rPr>
          <w:lang w:val="en-US" w:eastAsia="zh-CN"/>
        </w:rPr>
        <w:t>。</w:t>
      </w:r>
    </w:p>
    <w:p w14:paraId="47B92189">
      <w:pPr>
        <w:pStyle w:val="4"/>
        <w:bidi w:val="0"/>
        <w:rPr>
          <w:lang w:val="en-US" w:eastAsia="zh-CN"/>
        </w:rPr>
      </w:pPr>
      <w:r>
        <w:rPr>
          <w:lang w:val="en-US" w:eastAsia="zh-CN"/>
        </w:rPr>
        <w:t>表</w:t>
      </w:r>
      <w:r>
        <w:rPr>
          <w:rFonts w:hint="eastAsia"/>
          <w:lang w:val="en-US" w:eastAsia="zh-CN"/>
        </w:rPr>
        <w:t>4-3</w:t>
      </w:r>
      <w:r>
        <w:rPr>
          <w:lang w:val="en-US" w:eastAsia="zh-CN"/>
        </w:rPr>
        <w:t xml:space="preserve">  项目环境风险评价范围表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940"/>
        <w:gridCol w:w="1436"/>
        <w:gridCol w:w="6685"/>
      </w:tblGrid>
      <w:tr w14:paraId="538E182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68" w:hRule="atLeast"/>
          <w:jc w:val="center"/>
        </w:trPr>
        <w:tc>
          <w:tcPr>
            <w:tcW w:w="519" w:type="pct"/>
            <w:vAlign w:val="center"/>
          </w:tcPr>
          <w:p w14:paraId="05E2FD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序号</w:t>
            </w:r>
          </w:p>
        </w:tc>
        <w:tc>
          <w:tcPr>
            <w:tcW w:w="792" w:type="pct"/>
            <w:vAlign w:val="center"/>
          </w:tcPr>
          <w:p w14:paraId="7EC50D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环境要素</w:t>
            </w:r>
          </w:p>
        </w:tc>
        <w:tc>
          <w:tcPr>
            <w:tcW w:w="3687" w:type="pct"/>
            <w:vAlign w:val="center"/>
          </w:tcPr>
          <w:p w14:paraId="11BC20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评价范围</w:t>
            </w:r>
          </w:p>
        </w:tc>
      </w:tr>
      <w:tr w14:paraId="2515B5E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721" w:hRule="atLeast"/>
          <w:jc w:val="center"/>
        </w:trPr>
        <w:tc>
          <w:tcPr>
            <w:tcW w:w="519" w:type="pct"/>
            <w:vAlign w:val="center"/>
          </w:tcPr>
          <w:p w14:paraId="57360F5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1</w:t>
            </w:r>
          </w:p>
        </w:tc>
        <w:tc>
          <w:tcPr>
            <w:tcW w:w="792" w:type="pct"/>
            <w:vAlign w:val="center"/>
          </w:tcPr>
          <w:p w14:paraId="73360B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大气</w:t>
            </w:r>
          </w:p>
        </w:tc>
        <w:tc>
          <w:tcPr>
            <w:tcW w:w="3687" w:type="pct"/>
            <w:vAlign w:val="center"/>
          </w:tcPr>
          <w:p w14:paraId="2C3BA9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本项目大气环境风险评价为三级，根据《建设项目环境风险评价技术导则》（HJ169-2018）规定，三级评价距建设项目边界一般不低于3km。</w:t>
            </w:r>
          </w:p>
        </w:tc>
      </w:tr>
      <w:tr w14:paraId="35B8F80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519" w:type="pct"/>
            <w:vAlign w:val="center"/>
          </w:tcPr>
          <w:p w14:paraId="23B5955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2</w:t>
            </w:r>
          </w:p>
        </w:tc>
        <w:tc>
          <w:tcPr>
            <w:tcW w:w="792" w:type="pct"/>
            <w:vAlign w:val="center"/>
          </w:tcPr>
          <w:p w14:paraId="27C9E2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地表水</w:t>
            </w:r>
          </w:p>
        </w:tc>
        <w:tc>
          <w:tcPr>
            <w:tcW w:w="3687" w:type="pct"/>
            <w:vAlign w:val="center"/>
          </w:tcPr>
          <w:p w14:paraId="1F10BC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参照地表水环境评价范围：涉及地表水环境风险的，应覆盖环境风险影响范围所及的水环境保护目标水域。项目评价范围内无地表水体。</w:t>
            </w:r>
          </w:p>
        </w:tc>
      </w:tr>
      <w:tr w14:paraId="393D2D3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519" w:type="pct"/>
            <w:vAlign w:val="center"/>
          </w:tcPr>
          <w:p w14:paraId="6E1277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3</w:t>
            </w:r>
          </w:p>
        </w:tc>
        <w:tc>
          <w:tcPr>
            <w:tcW w:w="792" w:type="pct"/>
            <w:vAlign w:val="center"/>
          </w:tcPr>
          <w:p w14:paraId="37D31D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地下水</w:t>
            </w:r>
          </w:p>
        </w:tc>
        <w:tc>
          <w:tcPr>
            <w:tcW w:w="3687" w:type="pct"/>
            <w:vAlign w:val="center"/>
          </w:tcPr>
          <w:p w14:paraId="266BE0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本项目地下水环境风险评价为二级评价，参照地下水环境评价范围：根据查表法可知地下水二级评价调查评价面积6~20km</w:t>
            </w:r>
            <w:r>
              <w:rPr>
                <w:sz w:val="21"/>
                <w:szCs w:val="21"/>
                <w:vertAlign w:val="superscript"/>
                <w:lang w:val="en-US" w:eastAsia="zh-CN"/>
              </w:rPr>
              <w:t>2</w:t>
            </w:r>
            <w:r>
              <w:rPr>
                <w:sz w:val="21"/>
                <w:szCs w:val="21"/>
                <w:lang w:val="en-US" w:eastAsia="zh-CN"/>
              </w:rPr>
              <w:t>，本次评价范围为厂界地下水上游（北侧）</w:t>
            </w:r>
            <w:r>
              <w:rPr>
                <w:rFonts w:hint="eastAsia"/>
                <w:sz w:val="21"/>
                <w:szCs w:val="21"/>
                <w:lang w:val="en-US" w:eastAsia="zh-CN"/>
              </w:rPr>
              <w:t>1</w:t>
            </w:r>
            <w:r>
              <w:rPr>
                <w:sz w:val="21"/>
                <w:szCs w:val="21"/>
                <w:lang w:val="en-US" w:eastAsia="zh-CN"/>
              </w:rPr>
              <w:t>km、厂界地下水下游（南侧）2km，两侧（东侧和西侧）各1km。</w:t>
            </w:r>
          </w:p>
        </w:tc>
      </w:tr>
    </w:tbl>
    <w:p w14:paraId="1C8C15F5">
      <w:pPr>
        <w:keepLines w:val="0"/>
        <w:pageBreakBefore w:val="0"/>
        <w:widowControl w:val="0"/>
        <w:kinsoku/>
        <w:wordWrap/>
        <w:overflowPunct/>
        <w:topLinePunct w:val="0"/>
        <w:autoSpaceDE/>
        <w:autoSpaceDN/>
        <w:bidi w:val="0"/>
        <w:adjustRightInd w:val="0"/>
        <w:spacing w:line="360" w:lineRule="auto"/>
        <w:jc w:val="both"/>
        <w:textAlignment w:val="auto"/>
        <w:outlineLvl w:val="9"/>
        <w:rPr>
          <w:rFonts w:eastAsia="宋体"/>
          <w:kern w:val="2"/>
          <w:szCs w:val="22"/>
          <w:lang w:val="en-US" w:eastAsia="zh-CN" w:bidi="ar-SA"/>
        </w:rPr>
      </w:pPr>
    </w:p>
    <w:p w14:paraId="453315E5">
      <w:pPr>
        <w:keepLines w:val="0"/>
        <w:pageBreakBefore w:val="0"/>
        <w:widowControl w:val="0"/>
        <w:kinsoku/>
        <w:wordWrap/>
        <w:overflowPunct/>
        <w:topLinePunct w:val="0"/>
        <w:autoSpaceDE/>
        <w:autoSpaceDN/>
        <w:bidi w:val="0"/>
        <w:adjustRightInd w:val="0"/>
        <w:spacing w:line="360" w:lineRule="auto"/>
        <w:jc w:val="both"/>
        <w:textAlignment w:val="auto"/>
        <w:outlineLvl w:val="9"/>
        <w:rPr>
          <w:rFonts w:eastAsia="宋体"/>
          <w:kern w:val="2"/>
          <w:szCs w:val="22"/>
          <w:lang w:val="en-US" w:eastAsia="zh-CN" w:bidi="ar-SA"/>
        </w:rPr>
        <w:sectPr>
          <w:pgSz w:w="11907" w:h="16840"/>
          <w:pgMar w:top="1531" w:right="1531" w:bottom="1531" w:left="1531" w:header="851" w:footer="851" w:gutter="0"/>
          <w:pgBorders>
            <w:top w:val="none" w:sz="0" w:space="0"/>
            <w:left w:val="none" w:sz="0" w:space="0"/>
            <w:bottom w:val="none" w:sz="0" w:space="0"/>
            <w:right w:val="none" w:sz="0" w:space="0"/>
          </w:pgBorders>
          <w:pgNumType w:fmt="decimal"/>
          <w:cols w:space="720" w:num="1"/>
          <w:docGrid w:type="linesAndChars" w:linePitch="328" w:charSpace="0"/>
        </w:sectPr>
      </w:pPr>
    </w:p>
    <w:p w14:paraId="6E2355DF">
      <w:pPr>
        <w:keepNext w:val="0"/>
        <w:keepLines w:val="0"/>
        <w:pageBreakBefore w:val="0"/>
        <w:widowControl w:val="0"/>
        <w:kinsoku/>
        <w:wordWrap/>
        <w:overflowPunct/>
        <w:topLinePunct w:val="0"/>
        <w:autoSpaceDE/>
        <w:autoSpaceDN/>
        <w:bidi w:val="0"/>
        <w:adjustRightInd w:val="0"/>
        <w:snapToGrid/>
        <w:spacing w:line="360" w:lineRule="auto"/>
        <w:jc w:val="center"/>
        <w:textAlignment w:val="auto"/>
        <w:outlineLvl w:val="9"/>
        <w:rPr>
          <w:rFonts w:eastAsia="宋体" w:cs="Calibri"/>
          <w:kern w:val="2"/>
          <w:lang w:val="en-US" w:eastAsia="zh-CN" w:bidi="ar-SA"/>
        </w:rPr>
      </w:pPr>
      <w:r>
        <w:drawing>
          <wp:anchor distT="0" distB="0" distL="114300" distR="114300" simplePos="0" relativeHeight="251669504" behindDoc="0" locked="0" layoutInCell="1" allowOverlap="1">
            <wp:simplePos x="0" y="0"/>
            <wp:positionH relativeFrom="column">
              <wp:posOffset>993140</wp:posOffset>
            </wp:positionH>
            <wp:positionV relativeFrom="paragraph">
              <wp:posOffset>4071620</wp:posOffset>
            </wp:positionV>
            <wp:extent cx="1533525" cy="828675"/>
            <wp:effectExtent l="0" t="0" r="9525" b="9525"/>
            <wp:wrapNone/>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30"/>
                    <a:stretch>
                      <a:fillRect/>
                    </a:stretch>
                  </pic:blipFill>
                  <pic:spPr>
                    <a:xfrm>
                      <a:off x="0" y="0"/>
                      <a:ext cx="1533525" cy="828675"/>
                    </a:xfrm>
                    <a:prstGeom prst="rect">
                      <a:avLst/>
                    </a:prstGeom>
                    <a:noFill/>
                    <a:ln>
                      <a:noFill/>
                    </a:ln>
                  </pic:spPr>
                </pic:pic>
              </a:graphicData>
            </a:graphic>
          </wp:anchor>
        </w:drawing>
      </w:r>
      <w:r>
        <w:drawing>
          <wp:anchor distT="0" distB="0" distL="114300" distR="114300" simplePos="0" relativeHeight="251668480" behindDoc="0" locked="0" layoutInCell="1" allowOverlap="1">
            <wp:simplePos x="0" y="0"/>
            <wp:positionH relativeFrom="column">
              <wp:posOffset>7262495</wp:posOffset>
            </wp:positionH>
            <wp:positionV relativeFrom="paragraph">
              <wp:posOffset>88900</wp:posOffset>
            </wp:positionV>
            <wp:extent cx="762000" cy="942975"/>
            <wp:effectExtent l="0" t="0" r="0" b="952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31"/>
                    <a:stretch>
                      <a:fillRect/>
                    </a:stretch>
                  </pic:blipFill>
                  <pic:spPr>
                    <a:xfrm>
                      <a:off x="0" y="0"/>
                      <a:ext cx="762000" cy="942975"/>
                    </a:xfrm>
                    <a:prstGeom prst="rect">
                      <a:avLst/>
                    </a:prstGeom>
                    <a:noFill/>
                    <a:ln>
                      <a:noFill/>
                    </a:ln>
                  </pic:spPr>
                </pic:pic>
              </a:graphicData>
            </a:graphic>
          </wp:anchor>
        </w:drawing>
      </w:r>
      <w:r>
        <w:rPr>
          <w:rFonts w:hint="eastAsia" w:eastAsia="宋体" w:cs="Calibri"/>
          <w:b/>
          <w:kern w:val="2"/>
          <w:lang w:val="en-US" w:eastAsia="zh-CN" w:bidi="ar-SA"/>
        </w:rPr>
        <w:drawing>
          <wp:anchor distT="0" distB="0" distL="114300" distR="114300" simplePos="0" relativeHeight="251663360" behindDoc="0" locked="0" layoutInCell="1" allowOverlap="1">
            <wp:simplePos x="0" y="0"/>
            <wp:positionH relativeFrom="column">
              <wp:posOffset>982345</wp:posOffset>
            </wp:positionH>
            <wp:positionV relativeFrom="paragraph">
              <wp:posOffset>81280</wp:posOffset>
            </wp:positionV>
            <wp:extent cx="7058025" cy="4819650"/>
            <wp:effectExtent l="0" t="0" r="9525" b="0"/>
            <wp:wrapTopAndBottom/>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32"/>
                    <a:stretch>
                      <a:fillRect/>
                    </a:stretch>
                  </pic:blipFill>
                  <pic:spPr>
                    <a:xfrm>
                      <a:off x="0" y="0"/>
                      <a:ext cx="7058025" cy="4819650"/>
                    </a:xfrm>
                    <a:prstGeom prst="rect">
                      <a:avLst/>
                    </a:prstGeom>
                    <a:noFill/>
                    <a:ln>
                      <a:noFill/>
                    </a:ln>
                  </pic:spPr>
                </pic:pic>
              </a:graphicData>
            </a:graphic>
          </wp:anchor>
        </w:drawing>
      </w:r>
    </w:p>
    <w:p w14:paraId="641226ED">
      <w:pPr>
        <w:keepNext w:val="0"/>
        <w:keepLines w:val="0"/>
        <w:pageBreakBefore w:val="0"/>
        <w:widowControl w:val="0"/>
        <w:kinsoku/>
        <w:wordWrap/>
        <w:overflowPunct/>
        <w:topLinePunct w:val="0"/>
        <w:autoSpaceDE/>
        <w:autoSpaceDN/>
        <w:bidi w:val="0"/>
        <w:adjustRightInd w:val="0"/>
        <w:spacing w:before="164" w:beforeLines="50" w:after="164" w:afterLines="50" w:line="240" w:lineRule="auto"/>
        <w:jc w:val="center"/>
        <w:textAlignment w:val="auto"/>
        <w:outlineLvl w:val="9"/>
        <w:rPr>
          <w:rFonts w:eastAsia="宋体" w:cs="Calibri"/>
          <w:b/>
          <w:kern w:val="2"/>
          <w:lang w:val="en-US" w:eastAsia="zh-CN" w:bidi="ar-SA"/>
        </w:rPr>
        <w:sectPr>
          <w:headerReference r:id="rId11" w:type="default"/>
          <w:footerReference r:id="rId12" w:type="default"/>
          <w:pgSz w:w="16840" w:h="11907"/>
          <w:pgMar w:top="1531" w:right="1531" w:bottom="1531" w:left="1531" w:header="851" w:footer="851" w:gutter="0"/>
          <w:pgBorders>
            <w:top w:val="none" w:sz="0" w:space="0"/>
            <w:left w:val="none" w:sz="0" w:space="0"/>
            <w:bottom w:val="none" w:sz="0" w:space="0"/>
            <w:right w:val="none" w:sz="0" w:space="0"/>
          </w:pgBorders>
          <w:pgNumType w:fmt="decimal"/>
          <w:cols w:space="720" w:num="1"/>
          <w:docGrid w:type="linesAndChars" w:linePitch="328" w:charSpace="0"/>
        </w:sectPr>
      </w:pPr>
      <w:r>
        <w:rPr>
          <w:rFonts w:hint="eastAsia" w:eastAsia="宋体" w:cs="Calibri"/>
          <w:b/>
          <w:kern w:val="2"/>
          <w:lang w:val="en-US" w:eastAsia="zh-CN" w:bidi="ar-SA"/>
        </w:rPr>
        <w:t>图</w:t>
      </w:r>
      <w:r>
        <w:rPr>
          <w:rFonts w:hint="eastAsia" w:cs="Calibri"/>
          <w:b/>
          <w:kern w:val="2"/>
          <w:lang w:val="en-US" w:eastAsia="zh-CN" w:bidi="ar-SA"/>
        </w:rPr>
        <w:t>4-1</w:t>
      </w:r>
      <w:r>
        <w:rPr>
          <w:rFonts w:eastAsia="宋体" w:cs="Calibri"/>
          <w:b/>
          <w:kern w:val="2"/>
          <w:lang w:val="en-US" w:eastAsia="zh-CN" w:bidi="ar-SA"/>
        </w:rPr>
        <w:t xml:space="preserve"> </w:t>
      </w:r>
      <w:r>
        <w:rPr>
          <w:rFonts w:hint="eastAsia" w:eastAsia="宋体" w:cs="Calibri"/>
          <w:b/>
          <w:kern w:val="2"/>
          <w:lang w:val="en-US" w:eastAsia="zh-CN" w:bidi="ar-SA"/>
        </w:rPr>
        <w:t xml:space="preserve"> 项目环境风险评价范围图</w:t>
      </w:r>
    </w:p>
    <w:p w14:paraId="7F2AB285">
      <w:pPr>
        <w:pStyle w:val="2"/>
        <w:bidi w:val="0"/>
        <w:rPr>
          <w:lang w:val="en-US" w:eastAsia="zh-CN"/>
        </w:rPr>
      </w:pPr>
      <w:r>
        <w:rPr>
          <w:rFonts w:hint="eastAsia"/>
          <w:lang w:val="en-US" w:eastAsia="zh-CN"/>
        </w:rPr>
        <w:t>5</w:t>
      </w:r>
      <w:r>
        <w:rPr>
          <w:lang w:val="en-US" w:eastAsia="zh-CN"/>
        </w:rPr>
        <w:t xml:space="preserve"> 环境风险识别</w:t>
      </w:r>
    </w:p>
    <w:p w14:paraId="660F3937">
      <w:pPr>
        <w:pStyle w:val="2"/>
        <w:bidi w:val="0"/>
        <w:rPr>
          <w:lang w:val="en-US" w:eastAsia="zh-CN"/>
        </w:rPr>
      </w:pPr>
      <w:r>
        <w:rPr>
          <w:rFonts w:hint="eastAsia"/>
          <w:lang w:val="en-US" w:eastAsia="zh-CN"/>
        </w:rPr>
        <w:t>5.1 物质危险性识别</w:t>
      </w:r>
    </w:p>
    <w:p w14:paraId="1F647CBA">
      <w:pPr>
        <w:bidi w:val="0"/>
        <w:rPr>
          <w:lang w:val="en-US" w:eastAsia="zh-CN"/>
        </w:rPr>
      </w:pPr>
      <w:r>
        <w:rPr>
          <w:lang w:val="en-US" w:eastAsia="zh-CN"/>
        </w:rPr>
        <w:t>项目原辅料主要涉及的危险物质有</w:t>
      </w:r>
      <w:r>
        <w:rPr>
          <w:rFonts w:hint="eastAsia"/>
          <w:lang w:val="en-US" w:eastAsia="zh-CN"/>
        </w:rPr>
        <w:t>1#轻烃和碳五烷烃</w:t>
      </w:r>
      <w:r>
        <w:rPr>
          <w:lang w:val="en-US" w:eastAsia="zh-CN"/>
        </w:rPr>
        <w:t>。其理化性质见</w:t>
      </w:r>
      <w:r>
        <w:rPr>
          <w:rFonts w:hint="eastAsia"/>
          <w:lang w:val="en-US" w:eastAsia="zh-CN"/>
        </w:rPr>
        <w:t>下表</w:t>
      </w:r>
      <w:r>
        <w:rPr>
          <w:lang w:val="en-US" w:eastAsia="zh-CN"/>
        </w:rPr>
        <w:t>。</w:t>
      </w:r>
    </w:p>
    <w:p w14:paraId="5A0EB8F1">
      <w:pPr>
        <w:pStyle w:val="4"/>
        <w:bidi w:val="0"/>
        <w:rPr>
          <w:lang w:val="en-US" w:eastAsia="zh-CN"/>
        </w:rPr>
      </w:pPr>
      <w:r>
        <w:rPr>
          <w:lang w:val="en-US" w:eastAsia="zh-CN"/>
        </w:rPr>
        <w:t>表</w:t>
      </w:r>
      <w:r>
        <w:rPr>
          <w:rFonts w:hint="eastAsia"/>
          <w:lang w:val="en-US" w:eastAsia="zh-CN"/>
        </w:rPr>
        <w:t>5-1</w:t>
      </w:r>
      <w:r>
        <w:rPr>
          <w:lang w:val="en-US" w:eastAsia="zh-CN"/>
        </w:rPr>
        <w:t xml:space="preserve">  轻烃理化性质及危险特性一览表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134"/>
        <w:gridCol w:w="2684"/>
        <w:gridCol w:w="4529"/>
      </w:tblGrid>
      <w:tr w14:paraId="7474F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94" w:type="pct"/>
            <w:vAlign w:val="center"/>
          </w:tcPr>
          <w:p w14:paraId="205FAE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标识</w:t>
            </w:r>
          </w:p>
        </w:tc>
        <w:tc>
          <w:tcPr>
            <w:tcW w:w="2107" w:type="pct"/>
            <w:gridSpan w:val="2"/>
            <w:vAlign w:val="center"/>
          </w:tcPr>
          <w:p w14:paraId="11A9C5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中文名：轻烃</w:t>
            </w:r>
          </w:p>
        </w:tc>
        <w:tc>
          <w:tcPr>
            <w:tcW w:w="2499" w:type="pct"/>
            <w:vAlign w:val="center"/>
          </w:tcPr>
          <w:p w14:paraId="39079F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英文名：</w:t>
            </w:r>
            <w:r>
              <w:rPr>
                <w:rFonts w:hint="eastAsia" w:cs="Calibri"/>
                <w:kern w:val="2"/>
                <w:sz w:val="21"/>
                <w:lang w:val="en-US" w:eastAsia="zh-CN" w:bidi="ar-SA"/>
              </w:rPr>
              <w:t>Light Hydrocarbon Solvent Oil</w:t>
            </w:r>
          </w:p>
        </w:tc>
      </w:tr>
      <w:tr w14:paraId="4DCF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394" w:type="pct"/>
            <w:vMerge w:val="restart"/>
            <w:vAlign w:val="center"/>
          </w:tcPr>
          <w:p w14:paraId="28ECB4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物化特性</w:t>
            </w:r>
          </w:p>
        </w:tc>
        <w:tc>
          <w:tcPr>
            <w:tcW w:w="2107" w:type="pct"/>
            <w:gridSpan w:val="2"/>
            <w:vAlign w:val="center"/>
          </w:tcPr>
          <w:p w14:paraId="1BC689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外观与气味：无色或浅黄色液体，有特殊气味</w:t>
            </w:r>
          </w:p>
        </w:tc>
        <w:tc>
          <w:tcPr>
            <w:tcW w:w="2499" w:type="pct"/>
            <w:vAlign w:val="center"/>
          </w:tcPr>
          <w:p w14:paraId="2A9268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溶解性：不溶于水，溶于多数有机溶剂</w:t>
            </w:r>
          </w:p>
        </w:tc>
      </w:tr>
      <w:tr w14:paraId="2F3F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94" w:type="pct"/>
            <w:vMerge w:val="continue"/>
            <w:vAlign w:val="center"/>
          </w:tcPr>
          <w:p w14:paraId="3D16F8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2107" w:type="pct"/>
            <w:gridSpan w:val="2"/>
            <w:vAlign w:val="center"/>
          </w:tcPr>
          <w:p w14:paraId="354428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position w:val="1"/>
                <w:sz w:val="21"/>
                <w:lang w:val="en-US" w:eastAsia="zh-CN" w:bidi="ar-SA"/>
              </w:rPr>
              <w:t>比重（水</w:t>
            </w:r>
            <w:r>
              <w:rPr>
                <w:kern w:val="2"/>
                <w:position w:val="1"/>
                <w:sz w:val="21"/>
                <w:lang w:val="en-US" w:eastAsia="zh-CN" w:bidi="ar-SA"/>
              </w:rPr>
              <w:t>=1</w:t>
            </w:r>
            <w:r>
              <w:rPr>
                <w:rFonts w:eastAsia="宋体" w:cs="Calibri"/>
                <w:kern w:val="2"/>
                <w:position w:val="1"/>
                <w:sz w:val="21"/>
                <w:lang w:val="en-US" w:eastAsia="zh-CN" w:bidi="ar-SA"/>
              </w:rPr>
              <w:t>）：</w:t>
            </w:r>
            <w:r>
              <w:rPr>
                <w:kern w:val="2"/>
                <w:position w:val="1"/>
                <w:sz w:val="21"/>
                <w:lang w:val="en-US" w:eastAsia="zh-CN" w:bidi="ar-SA"/>
              </w:rPr>
              <w:t>0.6</w:t>
            </w:r>
            <w:r>
              <w:rPr>
                <w:rFonts w:hint="eastAsia"/>
                <w:kern w:val="2"/>
                <w:position w:val="1"/>
                <w:sz w:val="21"/>
                <w:lang w:val="en-US" w:eastAsia="zh-CN" w:bidi="ar-SA"/>
              </w:rPr>
              <w:t>5</w:t>
            </w:r>
          </w:p>
        </w:tc>
        <w:tc>
          <w:tcPr>
            <w:tcW w:w="2499" w:type="pct"/>
            <w:vAlign w:val="center"/>
          </w:tcPr>
          <w:p w14:paraId="12C875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沸点(℃)：</w:t>
            </w:r>
            <w:r>
              <w:rPr>
                <w:kern w:val="2"/>
                <w:sz w:val="21"/>
                <w:lang w:val="en-US" w:eastAsia="zh-CN" w:bidi="ar-SA"/>
              </w:rPr>
              <w:t>20~180</w:t>
            </w:r>
          </w:p>
        </w:tc>
      </w:tr>
      <w:tr w14:paraId="5CBF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94" w:type="pct"/>
            <w:vMerge w:val="restart"/>
            <w:vAlign w:val="center"/>
          </w:tcPr>
          <w:p w14:paraId="01E682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燃烧爆炸危险特性</w:t>
            </w:r>
          </w:p>
        </w:tc>
        <w:tc>
          <w:tcPr>
            <w:tcW w:w="2107" w:type="pct"/>
            <w:gridSpan w:val="2"/>
            <w:vAlign w:val="center"/>
          </w:tcPr>
          <w:p w14:paraId="03342C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禁忌物：硝酸等强氧化剂</w:t>
            </w:r>
          </w:p>
        </w:tc>
        <w:tc>
          <w:tcPr>
            <w:tcW w:w="2499" w:type="pct"/>
            <w:vAlign w:val="center"/>
          </w:tcPr>
          <w:p w14:paraId="038D3F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闪点(℃):&lt;</w:t>
            </w:r>
            <w:r>
              <w:rPr>
                <w:kern w:val="2"/>
                <w:sz w:val="21"/>
                <w:lang w:val="en-US" w:eastAsia="zh-CN" w:bidi="ar-SA"/>
              </w:rPr>
              <w:t>-50</w:t>
            </w:r>
          </w:p>
        </w:tc>
      </w:tr>
      <w:tr w14:paraId="6E78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94" w:type="pct"/>
            <w:vMerge w:val="continue"/>
            <w:vAlign w:val="center"/>
          </w:tcPr>
          <w:p w14:paraId="43E031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2107" w:type="pct"/>
            <w:gridSpan w:val="2"/>
            <w:vAlign w:val="center"/>
          </w:tcPr>
          <w:p w14:paraId="0AE936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爆炸上限</w:t>
            </w:r>
            <w:r>
              <w:rPr>
                <w:kern w:val="2"/>
                <w:sz w:val="21"/>
                <w:lang w:val="en-US" w:eastAsia="zh-CN" w:bidi="ar-SA"/>
              </w:rPr>
              <w:t>%</w:t>
            </w:r>
            <w:r>
              <w:rPr>
                <w:rFonts w:eastAsia="宋体" w:cs="Calibri"/>
                <w:kern w:val="2"/>
                <w:sz w:val="21"/>
                <w:lang w:val="en-US" w:eastAsia="zh-CN" w:bidi="ar-SA"/>
              </w:rPr>
              <w:t>（</w:t>
            </w:r>
            <w:r>
              <w:rPr>
                <w:kern w:val="2"/>
                <w:sz w:val="21"/>
                <w:lang w:val="en-US" w:eastAsia="zh-CN" w:bidi="ar-SA"/>
              </w:rPr>
              <w:t>V/V</w:t>
            </w:r>
            <w:r>
              <w:rPr>
                <w:rFonts w:eastAsia="宋体" w:cs="Calibri"/>
                <w:kern w:val="2"/>
                <w:sz w:val="21"/>
                <w:lang w:val="en-US" w:eastAsia="zh-CN" w:bidi="ar-SA"/>
              </w:rPr>
              <w:t>）：</w:t>
            </w:r>
            <w:r>
              <w:rPr>
                <w:kern w:val="2"/>
                <w:sz w:val="21"/>
                <w:lang w:val="en-US" w:eastAsia="zh-CN" w:bidi="ar-SA"/>
              </w:rPr>
              <w:t>7.9</w:t>
            </w:r>
          </w:p>
        </w:tc>
        <w:tc>
          <w:tcPr>
            <w:tcW w:w="2499" w:type="pct"/>
            <w:vAlign w:val="center"/>
          </w:tcPr>
          <w:p w14:paraId="2FEB3C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爆炸下限</w:t>
            </w:r>
            <w:r>
              <w:rPr>
                <w:kern w:val="2"/>
                <w:sz w:val="21"/>
                <w:lang w:val="en-US" w:eastAsia="zh-CN" w:bidi="ar-SA"/>
              </w:rPr>
              <w:t>%</w:t>
            </w:r>
            <w:r>
              <w:rPr>
                <w:rFonts w:eastAsia="宋体" w:cs="Calibri"/>
                <w:kern w:val="2"/>
                <w:sz w:val="21"/>
                <w:lang w:val="en-US" w:eastAsia="zh-CN" w:bidi="ar-SA"/>
              </w:rPr>
              <w:t>（</w:t>
            </w:r>
            <w:r>
              <w:rPr>
                <w:kern w:val="2"/>
                <w:sz w:val="21"/>
                <w:lang w:val="en-US" w:eastAsia="zh-CN" w:bidi="ar-SA"/>
              </w:rPr>
              <w:t>V/V</w:t>
            </w:r>
            <w:r>
              <w:rPr>
                <w:rFonts w:eastAsia="宋体" w:cs="Calibri"/>
                <w:kern w:val="2"/>
                <w:sz w:val="21"/>
                <w:lang w:val="en-US" w:eastAsia="zh-CN" w:bidi="ar-SA"/>
              </w:rPr>
              <w:t>）：</w:t>
            </w:r>
            <w:r>
              <w:rPr>
                <w:kern w:val="2"/>
                <w:sz w:val="21"/>
                <w:lang w:val="en-US" w:eastAsia="zh-CN" w:bidi="ar-SA"/>
              </w:rPr>
              <w:t>1.1</w:t>
            </w:r>
          </w:p>
        </w:tc>
      </w:tr>
      <w:tr w14:paraId="696A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394" w:type="pct"/>
            <w:vMerge w:val="continue"/>
            <w:vAlign w:val="center"/>
          </w:tcPr>
          <w:p w14:paraId="2411E7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4606" w:type="pct"/>
            <w:gridSpan w:val="3"/>
            <w:vAlign w:val="center"/>
          </w:tcPr>
          <w:p w14:paraId="5DE65C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危险特性：易燃，其蒸气与空气可形成爆炸性混合物，遇明火、高热或与氧化剂接触，有引起燃烧爆炸的危险。与氧化剂接触猛烈反应。其蒸气比空气重，能在较低处扩散到相当远的地方，遇火源会着火回燃。</w:t>
            </w:r>
          </w:p>
        </w:tc>
      </w:tr>
      <w:tr w14:paraId="7D62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394" w:type="pct"/>
            <w:vMerge w:val="continue"/>
            <w:vAlign w:val="center"/>
          </w:tcPr>
          <w:p w14:paraId="37EE62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4606" w:type="pct"/>
            <w:gridSpan w:val="3"/>
            <w:vAlign w:val="center"/>
          </w:tcPr>
          <w:p w14:paraId="4F3348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灭火方法：消防人员须佩戴防毒面具、穿全身消防服，在上风向灭火。尽可能将容器从火场移至空旷处。喷水保持火场容器冷却，直至灭火结束。</w:t>
            </w:r>
          </w:p>
        </w:tc>
      </w:tr>
      <w:tr w14:paraId="7D75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94" w:type="pct"/>
            <w:vMerge w:val="continue"/>
            <w:vAlign w:val="center"/>
          </w:tcPr>
          <w:p w14:paraId="3D9A0F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4606" w:type="pct"/>
            <w:gridSpan w:val="3"/>
            <w:vAlign w:val="center"/>
          </w:tcPr>
          <w:p w14:paraId="5A6205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灭火剂：抗溶性泡沫、干粉、二氧化碳、沙土。</w:t>
            </w:r>
          </w:p>
        </w:tc>
      </w:tr>
      <w:tr w14:paraId="68AD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94" w:type="pct"/>
            <w:vMerge w:val="restart"/>
            <w:vAlign w:val="center"/>
          </w:tcPr>
          <w:p w14:paraId="55FAB2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健康危害</w:t>
            </w:r>
          </w:p>
        </w:tc>
        <w:tc>
          <w:tcPr>
            <w:tcW w:w="4606" w:type="pct"/>
            <w:gridSpan w:val="3"/>
            <w:vAlign w:val="center"/>
          </w:tcPr>
          <w:p w14:paraId="0DA407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侵入途径：吸入、皮肤、食入。</w:t>
            </w:r>
          </w:p>
        </w:tc>
      </w:tr>
      <w:tr w14:paraId="47FF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4" w:type="pct"/>
            <w:vMerge w:val="continue"/>
            <w:vAlign w:val="center"/>
          </w:tcPr>
          <w:p w14:paraId="6A8D58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4606" w:type="pct"/>
            <w:gridSpan w:val="3"/>
            <w:vAlign w:val="center"/>
          </w:tcPr>
          <w:p w14:paraId="4B95AC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急性中毒，对中枢神经系统有麻醉作用。轻度中毒症状有头晕、头痛、恶心、呕吐、步态不稳、共济失调。高浓度吸入出现中毒性脑病。极高浓度吸入引起意识突然丧失、反射性呼吸停止。可伴有中毒性周围神经病及化学性肺炎。部分患者出现中毒性精神病。液体吸入呼吸道可引起吸入性肺炎。溅入眼内可致角膜溃疡、穿孔，甚至失明。皮肤接触致急性接触性皮炎，甚至灼伤。吞咽引起急性胃肠炎，重者致角膜溃疡、穿孔，甚至失明。皮肤接触致急性接触性皮炎，甚至灼伤。吞咽引起急性胃肠炎，重者出现类似急性吸入中毒症状，并可引起肝、肾损害。慢性影响：神经衰弱综合症、</w:t>
            </w:r>
            <w:r>
              <w:rPr>
                <w:rFonts w:hint="eastAsia" w:cs="Calibri"/>
                <w:kern w:val="2"/>
                <w:sz w:val="21"/>
                <w:lang w:val="en-US" w:eastAsia="zh-CN" w:bidi="ar-SA"/>
              </w:rPr>
              <w:t>自主神经</w:t>
            </w:r>
            <w:r>
              <w:rPr>
                <w:rFonts w:eastAsia="宋体" w:cs="Calibri"/>
                <w:kern w:val="2"/>
                <w:sz w:val="21"/>
                <w:lang w:val="en-US" w:eastAsia="zh-CN" w:bidi="ar-SA"/>
              </w:rPr>
              <w:t>功能紊乱、周围神经病。严重中毒出现中毒性脑病，症状类似精神分裂症。皮肤损害。</w:t>
            </w:r>
          </w:p>
        </w:tc>
      </w:tr>
      <w:tr w14:paraId="010C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94" w:type="pct"/>
            <w:vMerge w:val="restart"/>
            <w:vAlign w:val="center"/>
          </w:tcPr>
          <w:p w14:paraId="3DB730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急救措施</w:t>
            </w:r>
          </w:p>
        </w:tc>
        <w:tc>
          <w:tcPr>
            <w:tcW w:w="626" w:type="pct"/>
            <w:vAlign w:val="center"/>
          </w:tcPr>
          <w:p w14:paraId="37BA31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皮肤接触</w:t>
            </w:r>
          </w:p>
        </w:tc>
        <w:tc>
          <w:tcPr>
            <w:tcW w:w="3980" w:type="pct"/>
            <w:gridSpan w:val="2"/>
            <w:vAlign w:val="center"/>
          </w:tcPr>
          <w:p w14:paraId="7CF93F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立即脱去被污染的衣着，用肥皂水和清水彻底冲洗皮肤。就医。</w:t>
            </w:r>
          </w:p>
        </w:tc>
      </w:tr>
      <w:tr w14:paraId="12C5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94" w:type="pct"/>
            <w:vMerge w:val="continue"/>
            <w:vAlign w:val="center"/>
          </w:tcPr>
          <w:p w14:paraId="609F76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26" w:type="pct"/>
            <w:vAlign w:val="center"/>
          </w:tcPr>
          <w:p w14:paraId="60962C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眼睛接触</w:t>
            </w:r>
          </w:p>
        </w:tc>
        <w:tc>
          <w:tcPr>
            <w:tcW w:w="3980" w:type="pct"/>
            <w:gridSpan w:val="2"/>
            <w:vAlign w:val="center"/>
          </w:tcPr>
          <w:p w14:paraId="7C4233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立即提起眼睑，用大量流动清水或生理盐水冲洗</w:t>
            </w:r>
            <w:r>
              <w:rPr>
                <w:kern w:val="2"/>
                <w:sz w:val="21"/>
                <w:lang w:val="en-US" w:eastAsia="zh-CN" w:bidi="ar-SA"/>
              </w:rPr>
              <w:t>15min</w:t>
            </w:r>
            <w:r>
              <w:rPr>
                <w:rFonts w:eastAsia="宋体" w:cs="Calibri"/>
                <w:kern w:val="2"/>
                <w:sz w:val="21"/>
                <w:lang w:val="en-US" w:eastAsia="zh-CN" w:bidi="ar-SA"/>
              </w:rPr>
              <w:t>，立即就医。</w:t>
            </w:r>
          </w:p>
        </w:tc>
      </w:tr>
      <w:tr w14:paraId="41D6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94" w:type="pct"/>
            <w:vMerge w:val="continue"/>
            <w:vAlign w:val="center"/>
          </w:tcPr>
          <w:p w14:paraId="3A193E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26" w:type="pct"/>
            <w:vAlign w:val="center"/>
          </w:tcPr>
          <w:p w14:paraId="757DD2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食入</w:t>
            </w:r>
          </w:p>
        </w:tc>
        <w:tc>
          <w:tcPr>
            <w:tcW w:w="3980" w:type="pct"/>
            <w:gridSpan w:val="2"/>
            <w:vAlign w:val="center"/>
          </w:tcPr>
          <w:p w14:paraId="7702CF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饮水，禁止催吐。如有不适，就医。</w:t>
            </w:r>
          </w:p>
        </w:tc>
      </w:tr>
      <w:tr w14:paraId="68F4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94" w:type="pct"/>
            <w:vMerge w:val="continue"/>
            <w:vAlign w:val="center"/>
          </w:tcPr>
          <w:p w14:paraId="5FF33A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26" w:type="pct"/>
            <w:vAlign w:val="center"/>
          </w:tcPr>
          <w:p w14:paraId="110EDF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吸入</w:t>
            </w:r>
          </w:p>
        </w:tc>
        <w:tc>
          <w:tcPr>
            <w:tcW w:w="3980" w:type="pct"/>
            <w:gridSpan w:val="2"/>
            <w:vAlign w:val="center"/>
          </w:tcPr>
          <w:p w14:paraId="02B15A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如果吸入本品蒸汽或其燃烧物，迅速脱离现场至空气新鲜处。保持呼吸</w:t>
            </w:r>
            <w:r>
              <w:rPr>
                <w:rFonts w:hint="eastAsia" w:eastAsia="宋体" w:cs="Calibri"/>
                <w:kern w:val="2"/>
                <w:sz w:val="21"/>
                <w:lang w:val="en-US" w:eastAsia="zh-CN" w:bidi="ar-SA"/>
              </w:rPr>
              <w:t>道通畅。如呼吸困难，给输氧。如呼吸停止，立即进行人工呼吸。就医。</w:t>
            </w:r>
          </w:p>
        </w:tc>
      </w:tr>
      <w:tr w14:paraId="1F46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94" w:type="pct"/>
            <w:vMerge w:val="restart"/>
            <w:vAlign w:val="center"/>
          </w:tcPr>
          <w:p w14:paraId="7DC459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防护</w:t>
            </w:r>
          </w:p>
        </w:tc>
        <w:tc>
          <w:tcPr>
            <w:tcW w:w="626" w:type="pct"/>
            <w:vAlign w:val="center"/>
          </w:tcPr>
          <w:p w14:paraId="70A640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工程控制</w:t>
            </w:r>
          </w:p>
        </w:tc>
        <w:tc>
          <w:tcPr>
            <w:tcW w:w="3980" w:type="pct"/>
            <w:gridSpan w:val="2"/>
            <w:vAlign w:val="center"/>
          </w:tcPr>
          <w:p w14:paraId="34F7BE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生产过程密闭，全面通风。提供安全淋浴和洗眼设备。</w:t>
            </w:r>
          </w:p>
        </w:tc>
      </w:tr>
      <w:tr w14:paraId="4970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94" w:type="pct"/>
            <w:vMerge w:val="continue"/>
            <w:vAlign w:val="center"/>
          </w:tcPr>
          <w:p w14:paraId="4E3354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26" w:type="pct"/>
            <w:vAlign w:val="center"/>
          </w:tcPr>
          <w:p w14:paraId="224A8C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呼吸系统防护</w:t>
            </w:r>
          </w:p>
        </w:tc>
        <w:tc>
          <w:tcPr>
            <w:tcW w:w="3980" w:type="pct"/>
            <w:gridSpan w:val="2"/>
            <w:vAlign w:val="center"/>
          </w:tcPr>
          <w:p w14:paraId="20F747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空气中浓度超标时，建议佩戴自吸过滤式防毒面具（半面罩）。紧急事态抢救或撤离时，应该佩戴空气呼吸器。</w:t>
            </w:r>
          </w:p>
        </w:tc>
      </w:tr>
      <w:tr w14:paraId="1090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94" w:type="pct"/>
            <w:vMerge w:val="continue"/>
            <w:vAlign w:val="center"/>
          </w:tcPr>
          <w:p w14:paraId="534A39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26" w:type="pct"/>
            <w:vAlign w:val="center"/>
          </w:tcPr>
          <w:p w14:paraId="617DB2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眼睛防护</w:t>
            </w:r>
          </w:p>
        </w:tc>
        <w:tc>
          <w:tcPr>
            <w:tcW w:w="3980" w:type="pct"/>
            <w:gridSpan w:val="2"/>
            <w:vAlign w:val="center"/>
          </w:tcPr>
          <w:p w14:paraId="2E265B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戴化学安全防护眼镜。</w:t>
            </w:r>
          </w:p>
        </w:tc>
      </w:tr>
      <w:tr w14:paraId="4BA4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94" w:type="pct"/>
            <w:vMerge w:val="continue"/>
            <w:vAlign w:val="center"/>
          </w:tcPr>
          <w:p w14:paraId="5B5AF2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26" w:type="pct"/>
            <w:vAlign w:val="center"/>
          </w:tcPr>
          <w:p w14:paraId="4B2183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身体防护</w:t>
            </w:r>
          </w:p>
        </w:tc>
        <w:tc>
          <w:tcPr>
            <w:tcW w:w="3980" w:type="pct"/>
            <w:gridSpan w:val="2"/>
            <w:vAlign w:val="center"/>
          </w:tcPr>
          <w:p w14:paraId="5FD00D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穿防静电工作服；手防护；戴橡胶耐油手套。</w:t>
            </w:r>
          </w:p>
        </w:tc>
      </w:tr>
      <w:tr w14:paraId="72EB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94" w:type="pct"/>
            <w:vMerge w:val="continue"/>
            <w:vAlign w:val="center"/>
          </w:tcPr>
          <w:p w14:paraId="16F09B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26" w:type="pct"/>
            <w:vAlign w:val="center"/>
          </w:tcPr>
          <w:p w14:paraId="279160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其他</w:t>
            </w:r>
          </w:p>
        </w:tc>
        <w:tc>
          <w:tcPr>
            <w:tcW w:w="3980" w:type="pct"/>
            <w:gridSpan w:val="2"/>
            <w:vAlign w:val="center"/>
          </w:tcPr>
          <w:p w14:paraId="0F1D52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工作现场严禁吸烟。工作完毕，淋雨更衣。注意个人清洁卫生</w:t>
            </w:r>
          </w:p>
        </w:tc>
      </w:tr>
      <w:tr w14:paraId="7B1E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94" w:type="pct"/>
            <w:vAlign w:val="center"/>
          </w:tcPr>
          <w:p w14:paraId="5F75BF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泄漏处理</w:t>
            </w:r>
          </w:p>
        </w:tc>
        <w:tc>
          <w:tcPr>
            <w:tcW w:w="4606" w:type="pct"/>
            <w:gridSpan w:val="3"/>
            <w:vAlign w:val="center"/>
          </w:tcPr>
          <w:p w14:paraId="7CC05F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防止泄漏物进入水体、下水道、地下室或密闭性空间。小量泄漏：用砂土或其它不燃材料吸收。使用洁净的无火花工具收集吸收材料。大量泄漏：构筑围堤或挖坑收容。用飞尘或石灰粉吸收大量液体。用泡沫覆盖，减少蒸发。喷水雾能减少蒸发，但不能降低泄漏物在受限制空间内的易燃性。用防爆泵转移至槽车或专用收集器内。</w:t>
            </w:r>
          </w:p>
        </w:tc>
      </w:tr>
      <w:tr w14:paraId="2FEF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94" w:type="pct"/>
            <w:vAlign w:val="center"/>
          </w:tcPr>
          <w:p w14:paraId="7A9D87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储运</w:t>
            </w:r>
          </w:p>
        </w:tc>
        <w:tc>
          <w:tcPr>
            <w:tcW w:w="4606" w:type="pct"/>
            <w:gridSpan w:val="3"/>
            <w:vAlign w:val="center"/>
          </w:tcPr>
          <w:p w14:paraId="08689A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用储罐储存。远离火种、热源。采用防爆型照明、通风设施。禁止使用易产生火花的机械设备和工具。储区应备有泄漏应急处理设备和合适的收容材料。</w:t>
            </w:r>
          </w:p>
        </w:tc>
      </w:tr>
    </w:tbl>
    <w:p w14:paraId="4D578498">
      <w:pPr>
        <w:pStyle w:val="4"/>
        <w:bidi w:val="0"/>
        <w:rPr>
          <w:lang w:val="en-US" w:eastAsia="zh-CN"/>
        </w:rPr>
      </w:pPr>
      <w:r>
        <w:rPr>
          <w:lang w:val="en-US" w:eastAsia="zh-CN"/>
        </w:rPr>
        <w:t>表</w:t>
      </w:r>
      <w:r>
        <w:rPr>
          <w:rFonts w:hint="eastAsia"/>
          <w:lang w:val="en-US" w:eastAsia="zh-CN"/>
        </w:rPr>
        <w:t>5-2</w:t>
      </w:r>
      <w:r>
        <w:rPr>
          <w:lang w:val="en-US" w:eastAsia="zh-CN"/>
        </w:rPr>
        <w:t xml:space="preserve">  碳五烷烃理化性质及危险特性一览表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108" w:type="dxa"/>
          <w:bottom w:w="0" w:type="dxa"/>
          <w:right w:w="108" w:type="dxa"/>
        </w:tblCellMar>
      </w:tblPr>
      <w:tblGrid>
        <w:gridCol w:w="600"/>
        <w:gridCol w:w="1102"/>
        <w:gridCol w:w="2796"/>
        <w:gridCol w:w="4563"/>
      </w:tblGrid>
      <w:tr w14:paraId="1DB7ECB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Align w:val="center"/>
          </w:tcPr>
          <w:p w14:paraId="15D45D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标识</w:t>
            </w:r>
          </w:p>
        </w:tc>
        <w:tc>
          <w:tcPr>
            <w:tcW w:w="2151" w:type="pct"/>
            <w:gridSpan w:val="2"/>
            <w:vAlign w:val="center"/>
          </w:tcPr>
          <w:p w14:paraId="0F1E35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中文名：碳五烷烃</w:t>
            </w:r>
          </w:p>
        </w:tc>
        <w:tc>
          <w:tcPr>
            <w:tcW w:w="2518" w:type="pct"/>
            <w:vAlign w:val="center"/>
          </w:tcPr>
          <w:p w14:paraId="150938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英文名：</w:t>
            </w:r>
            <w:r>
              <w:rPr>
                <w:kern w:val="2"/>
                <w:sz w:val="21"/>
                <w:lang w:val="en-US" w:eastAsia="zh-CN" w:bidi="ar-SA"/>
              </w:rPr>
              <w:t>n-Pentanen</w:t>
            </w:r>
          </w:p>
        </w:tc>
      </w:tr>
      <w:tr w14:paraId="04B5618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restart"/>
            <w:vAlign w:val="center"/>
          </w:tcPr>
          <w:p w14:paraId="0A4D56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理化性质</w:t>
            </w:r>
          </w:p>
        </w:tc>
        <w:tc>
          <w:tcPr>
            <w:tcW w:w="2151" w:type="pct"/>
            <w:gridSpan w:val="2"/>
            <w:vAlign w:val="center"/>
          </w:tcPr>
          <w:p w14:paraId="53F6D9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外观与性状：无色液体，有微弱的薄荷香味。</w:t>
            </w:r>
          </w:p>
        </w:tc>
        <w:tc>
          <w:tcPr>
            <w:tcW w:w="2518" w:type="pct"/>
            <w:vAlign w:val="center"/>
          </w:tcPr>
          <w:p w14:paraId="3FF067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饱和蒸气压（</w:t>
            </w:r>
            <w:r>
              <w:rPr>
                <w:kern w:val="2"/>
                <w:sz w:val="21"/>
                <w:lang w:val="en-US" w:eastAsia="zh-CN" w:bidi="ar-SA"/>
              </w:rPr>
              <w:t>kPa</w:t>
            </w:r>
            <w:r>
              <w:rPr>
                <w:rFonts w:eastAsia="宋体" w:cs="Calibri"/>
                <w:kern w:val="2"/>
                <w:sz w:val="21"/>
                <w:lang w:val="en-US" w:eastAsia="zh-CN" w:bidi="ar-SA"/>
              </w:rPr>
              <w:t>）：</w:t>
            </w:r>
            <w:r>
              <w:rPr>
                <w:kern w:val="2"/>
                <w:sz w:val="21"/>
                <w:lang w:val="en-US" w:eastAsia="zh-CN" w:bidi="ar-SA"/>
              </w:rPr>
              <w:t>53.32/18.5</w:t>
            </w:r>
            <w:r>
              <w:rPr>
                <w:rFonts w:eastAsia="宋体" w:cs="Calibri"/>
                <w:kern w:val="2"/>
                <w:sz w:val="21"/>
                <w:lang w:val="en-US" w:eastAsia="zh-CN" w:bidi="ar-SA"/>
              </w:rPr>
              <w:t>℃</w:t>
            </w:r>
          </w:p>
        </w:tc>
      </w:tr>
      <w:tr w14:paraId="7ED9E6CB">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3D6A83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2151" w:type="pct"/>
            <w:gridSpan w:val="2"/>
            <w:vAlign w:val="center"/>
          </w:tcPr>
          <w:p w14:paraId="3A47A0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熔点(℃)：</w:t>
            </w:r>
            <w:r>
              <w:rPr>
                <w:kern w:val="2"/>
                <w:sz w:val="21"/>
                <w:lang w:val="en-US" w:eastAsia="zh-CN" w:bidi="ar-SA"/>
              </w:rPr>
              <w:t>-129.8</w:t>
            </w:r>
          </w:p>
        </w:tc>
        <w:tc>
          <w:tcPr>
            <w:tcW w:w="2518" w:type="pct"/>
            <w:vAlign w:val="center"/>
          </w:tcPr>
          <w:p w14:paraId="68F0F4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沸点(℃)：</w:t>
            </w:r>
            <w:r>
              <w:rPr>
                <w:kern w:val="2"/>
                <w:sz w:val="21"/>
                <w:lang w:val="en-US" w:eastAsia="zh-CN" w:bidi="ar-SA"/>
              </w:rPr>
              <w:t>25~65</w:t>
            </w:r>
          </w:p>
        </w:tc>
      </w:tr>
      <w:tr w14:paraId="4DFCDD9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087807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2151" w:type="pct"/>
            <w:gridSpan w:val="2"/>
            <w:vAlign w:val="center"/>
          </w:tcPr>
          <w:p w14:paraId="7FBF39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临界温度(℃)：</w:t>
            </w:r>
            <w:r>
              <w:rPr>
                <w:kern w:val="2"/>
                <w:sz w:val="21"/>
                <w:lang w:val="en-US" w:eastAsia="zh-CN" w:bidi="ar-SA"/>
              </w:rPr>
              <w:t>196.4</w:t>
            </w:r>
          </w:p>
        </w:tc>
        <w:tc>
          <w:tcPr>
            <w:tcW w:w="2518" w:type="pct"/>
            <w:vAlign w:val="center"/>
          </w:tcPr>
          <w:p w14:paraId="661EFD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临界压力（</w:t>
            </w:r>
            <w:r>
              <w:rPr>
                <w:kern w:val="2"/>
                <w:sz w:val="21"/>
                <w:lang w:val="en-US" w:eastAsia="zh-CN" w:bidi="ar-SA"/>
              </w:rPr>
              <w:t>MPa</w:t>
            </w:r>
            <w:r>
              <w:rPr>
                <w:rFonts w:eastAsia="宋体" w:cs="Calibri"/>
                <w:kern w:val="2"/>
                <w:sz w:val="21"/>
                <w:lang w:val="en-US" w:eastAsia="zh-CN" w:bidi="ar-SA"/>
              </w:rPr>
              <w:t>）：</w:t>
            </w:r>
            <w:r>
              <w:rPr>
                <w:kern w:val="2"/>
                <w:sz w:val="21"/>
                <w:lang w:val="en-US" w:eastAsia="zh-CN" w:bidi="ar-SA"/>
              </w:rPr>
              <w:t>3.37</w:t>
            </w:r>
          </w:p>
        </w:tc>
      </w:tr>
      <w:tr w14:paraId="75CDA39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78CD1A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2151" w:type="pct"/>
            <w:gridSpan w:val="2"/>
            <w:vAlign w:val="center"/>
          </w:tcPr>
          <w:p w14:paraId="6F7619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position w:val="1"/>
                <w:sz w:val="21"/>
                <w:lang w:val="en-US" w:eastAsia="zh-CN" w:bidi="ar-SA"/>
              </w:rPr>
              <w:t>相对密度（水</w:t>
            </w:r>
            <w:r>
              <w:rPr>
                <w:kern w:val="2"/>
                <w:position w:val="1"/>
                <w:sz w:val="21"/>
                <w:lang w:val="en-US" w:eastAsia="zh-CN" w:bidi="ar-SA"/>
              </w:rPr>
              <w:t>=1</w:t>
            </w:r>
            <w:r>
              <w:rPr>
                <w:rFonts w:eastAsia="宋体" w:cs="Calibri"/>
                <w:kern w:val="2"/>
                <w:position w:val="1"/>
                <w:sz w:val="21"/>
                <w:lang w:val="en-US" w:eastAsia="zh-CN" w:bidi="ar-SA"/>
              </w:rPr>
              <w:t>）：</w:t>
            </w:r>
            <w:r>
              <w:rPr>
                <w:kern w:val="2"/>
                <w:position w:val="1"/>
                <w:sz w:val="21"/>
                <w:lang w:val="en-US" w:eastAsia="zh-CN" w:bidi="ar-SA"/>
              </w:rPr>
              <w:t>0.6</w:t>
            </w:r>
            <w:r>
              <w:rPr>
                <w:rFonts w:hint="eastAsia"/>
                <w:kern w:val="2"/>
                <w:position w:val="1"/>
                <w:sz w:val="21"/>
                <w:lang w:val="en-US" w:eastAsia="zh-CN" w:bidi="ar-SA"/>
              </w:rPr>
              <w:t>8</w:t>
            </w:r>
          </w:p>
        </w:tc>
        <w:tc>
          <w:tcPr>
            <w:tcW w:w="2518" w:type="pct"/>
            <w:vAlign w:val="center"/>
          </w:tcPr>
          <w:p w14:paraId="20C662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position w:val="1"/>
                <w:sz w:val="21"/>
                <w:lang w:val="en-US" w:eastAsia="zh-CN" w:bidi="ar-SA"/>
              </w:rPr>
              <w:t>相对密度（空气</w:t>
            </w:r>
            <w:r>
              <w:rPr>
                <w:kern w:val="2"/>
                <w:position w:val="1"/>
                <w:sz w:val="21"/>
                <w:lang w:val="en-US" w:eastAsia="zh-CN" w:bidi="ar-SA"/>
              </w:rPr>
              <w:t>=1</w:t>
            </w:r>
            <w:r>
              <w:rPr>
                <w:rFonts w:eastAsia="宋体" w:cs="Calibri"/>
                <w:kern w:val="2"/>
                <w:position w:val="1"/>
                <w:sz w:val="21"/>
                <w:lang w:val="en-US" w:eastAsia="zh-CN" w:bidi="ar-SA"/>
              </w:rPr>
              <w:t>）：</w:t>
            </w:r>
            <w:r>
              <w:rPr>
                <w:kern w:val="2"/>
                <w:position w:val="1"/>
                <w:sz w:val="21"/>
                <w:lang w:val="en-US" w:eastAsia="zh-CN" w:bidi="ar-SA"/>
              </w:rPr>
              <w:t>2.48</w:t>
            </w:r>
          </w:p>
        </w:tc>
      </w:tr>
      <w:tr w14:paraId="260DCF0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6D08D5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4669" w:type="pct"/>
            <w:gridSpan w:val="3"/>
            <w:vAlign w:val="center"/>
          </w:tcPr>
          <w:p w14:paraId="06F2A7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溶解性：微溶于水，溶于乙醚、乙醇、丙酮、苯、氯仿等多数有机溶剂。</w:t>
            </w:r>
          </w:p>
        </w:tc>
      </w:tr>
      <w:tr w14:paraId="65BD06C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restart"/>
            <w:vAlign w:val="center"/>
          </w:tcPr>
          <w:p w14:paraId="5CCDD3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燃烧爆炸危险特性</w:t>
            </w:r>
          </w:p>
        </w:tc>
        <w:tc>
          <w:tcPr>
            <w:tcW w:w="2151" w:type="pct"/>
            <w:gridSpan w:val="2"/>
            <w:vAlign w:val="center"/>
          </w:tcPr>
          <w:p w14:paraId="5F3D76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燃烧性：易燃</w:t>
            </w:r>
          </w:p>
        </w:tc>
        <w:tc>
          <w:tcPr>
            <w:tcW w:w="2518" w:type="pct"/>
            <w:vAlign w:val="center"/>
          </w:tcPr>
          <w:p w14:paraId="53F7D5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燃烧产物：一氧化碳、二氧化碳</w:t>
            </w:r>
          </w:p>
        </w:tc>
      </w:tr>
      <w:tr w14:paraId="521280E1">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1FB953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2151" w:type="pct"/>
            <w:gridSpan w:val="2"/>
            <w:vAlign w:val="center"/>
          </w:tcPr>
          <w:p w14:paraId="23B645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自燃温度(</w:t>
            </w:r>
            <w:r>
              <w:rPr>
                <w:kern w:val="2"/>
                <w:sz w:val="21"/>
                <w:lang w:val="en-US" w:eastAsia="zh-CN" w:bidi="ar-SA"/>
              </w:rPr>
              <w:t>℃</w:t>
            </w:r>
            <w:r>
              <w:rPr>
                <w:rFonts w:eastAsia="宋体" w:cs="Calibri"/>
                <w:kern w:val="2"/>
                <w:sz w:val="21"/>
                <w:lang w:val="en-US" w:eastAsia="zh-CN" w:bidi="ar-SA"/>
              </w:rPr>
              <w:t>)：</w:t>
            </w:r>
            <w:r>
              <w:rPr>
                <w:kern w:val="2"/>
                <w:sz w:val="21"/>
                <w:lang w:val="en-US" w:eastAsia="zh-CN" w:bidi="ar-SA"/>
              </w:rPr>
              <w:t>260</w:t>
            </w:r>
          </w:p>
        </w:tc>
        <w:tc>
          <w:tcPr>
            <w:tcW w:w="2518" w:type="pct"/>
            <w:vAlign w:val="center"/>
          </w:tcPr>
          <w:p w14:paraId="22848C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闪点(℃)：</w:t>
            </w:r>
            <w:r>
              <w:rPr>
                <w:kern w:val="2"/>
                <w:sz w:val="21"/>
                <w:lang w:val="en-US" w:eastAsia="zh-CN" w:bidi="ar-SA"/>
              </w:rPr>
              <w:t>-40</w:t>
            </w:r>
          </w:p>
        </w:tc>
      </w:tr>
      <w:tr w14:paraId="752858D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2AE713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2151" w:type="pct"/>
            <w:gridSpan w:val="2"/>
            <w:vAlign w:val="center"/>
          </w:tcPr>
          <w:p w14:paraId="7DE4E9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爆炸上限</w:t>
            </w:r>
            <w:r>
              <w:rPr>
                <w:kern w:val="2"/>
                <w:sz w:val="21"/>
                <w:lang w:val="en-US" w:eastAsia="zh-CN" w:bidi="ar-SA"/>
              </w:rPr>
              <w:t>%</w:t>
            </w:r>
            <w:r>
              <w:rPr>
                <w:rFonts w:eastAsia="宋体" w:cs="Calibri"/>
                <w:kern w:val="2"/>
                <w:sz w:val="21"/>
                <w:lang w:val="en-US" w:eastAsia="zh-CN" w:bidi="ar-SA"/>
              </w:rPr>
              <w:t>（</w:t>
            </w:r>
            <w:r>
              <w:rPr>
                <w:kern w:val="2"/>
                <w:sz w:val="21"/>
                <w:lang w:val="en-US" w:eastAsia="zh-CN" w:bidi="ar-SA"/>
              </w:rPr>
              <w:t>V/V</w:t>
            </w:r>
            <w:r>
              <w:rPr>
                <w:rFonts w:eastAsia="宋体" w:cs="Calibri"/>
                <w:kern w:val="2"/>
                <w:sz w:val="21"/>
                <w:lang w:val="en-US" w:eastAsia="zh-CN" w:bidi="ar-SA"/>
              </w:rPr>
              <w:t>）：</w:t>
            </w:r>
            <w:r>
              <w:rPr>
                <w:kern w:val="2"/>
                <w:sz w:val="21"/>
                <w:lang w:val="en-US" w:eastAsia="zh-CN" w:bidi="ar-SA"/>
              </w:rPr>
              <w:t>9.8</w:t>
            </w:r>
          </w:p>
        </w:tc>
        <w:tc>
          <w:tcPr>
            <w:tcW w:w="2518" w:type="pct"/>
            <w:vAlign w:val="center"/>
          </w:tcPr>
          <w:p w14:paraId="51CE5F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1"/>
                <w:lang w:val="en-US" w:eastAsia="zh-CN" w:bidi="ar-SA"/>
              </w:rPr>
            </w:pPr>
            <w:r>
              <w:rPr>
                <w:rFonts w:eastAsia="宋体" w:cs="Calibri"/>
                <w:kern w:val="2"/>
                <w:sz w:val="21"/>
                <w:lang w:val="en-US" w:eastAsia="zh-CN" w:bidi="ar-SA"/>
              </w:rPr>
              <w:t>爆炸下限</w:t>
            </w:r>
            <w:r>
              <w:rPr>
                <w:kern w:val="2"/>
                <w:sz w:val="21"/>
                <w:lang w:val="en-US" w:eastAsia="zh-CN" w:bidi="ar-SA"/>
              </w:rPr>
              <w:t>%</w:t>
            </w:r>
            <w:r>
              <w:rPr>
                <w:rFonts w:eastAsia="宋体" w:cs="Calibri"/>
                <w:kern w:val="2"/>
                <w:sz w:val="21"/>
                <w:lang w:val="en-US" w:eastAsia="zh-CN" w:bidi="ar-SA"/>
              </w:rPr>
              <w:t>（</w:t>
            </w:r>
            <w:r>
              <w:rPr>
                <w:kern w:val="2"/>
                <w:sz w:val="21"/>
                <w:lang w:val="en-US" w:eastAsia="zh-CN" w:bidi="ar-SA"/>
              </w:rPr>
              <w:t>V/V</w:t>
            </w:r>
            <w:r>
              <w:rPr>
                <w:rFonts w:eastAsia="宋体" w:cs="Calibri"/>
                <w:kern w:val="2"/>
                <w:sz w:val="21"/>
                <w:lang w:val="en-US" w:eastAsia="zh-CN" w:bidi="ar-SA"/>
              </w:rPr>
              <w:t>）：</w:t>
            </w:r>
            <w:r>
              <w:rPr>
                <w:kern w:val="2"/>
                <w:sz w:val="21"/>
                <w:lang w:val="en-US" w:eastAsia="zh-CN" w:bidi="ar-SA"/>
              </w:rPr>
              <w:t>1.7</w:t>
            </w:r>
          </w:p>
        </w:tc>
      </w:tr>
      <w:tr w14:paraId="2E1685B3">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27E4F3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2151" w:type="pct"/>
            <w:gridSpan w:val="2"/>
            <w:vAlign w:val="center"/>
          </w:tcPr>
          <w:p w14:paraId="157120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禁忌物：强氧化剂</w:t>
            </w:r>
          </w:p>
        </w:tc>
        <w:tc>
          <w:tcPr>
            <w:tcW w:w="2518" w:type="pct"/>
            <w:vAlign w:val="center"/>
          </w:tcPr>
          <w:p w14:paraId="2FFD93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稳定性：稳定</w:t>
            </w:r>
          </w:p>
        </w:tc>
      </w:tr>
      <w:tr w14:paraId="5E0C396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3113EC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4669" w:type="pct"/>
            <w:gridSpan w:val="3"/>
            <w:vAlign w:val="center"/>
          </w:tcPr>
          <w:p w14:paraId="6466FD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危险特性：其蒸汽与空气形成爆炸性混合物，遇明火，高热极易燃烧爆炸。与氧化剂接触发生强烈反应，甚至引起燃烧。其蒸汽比空气重，能在较低处扩散到相当远的地方，遇火源引着回燃。若遇高热，容器内压增大，有开裂和爆炸的危险。易燃性（红色）：</w:t>
            </w:r>
            <w:r>
              <w:rPr>
                <w:kern w:val="2"/>
                <w:sz w:val="21"/>
                <w:lang w:val="en-US" w:eastAsia="zh-CN" w:bidi="ar-SA"/>
              </w:rPr>
              <w:t>4</w:t>
            </w:r>
            <w:r>
              <w:rPr>
                <w:rFonts w:eastAsia="宋体" w:cs="Calibri"/>
                <w:kern w:val="2"/>
                <w:sz w:val="21"/>
                <w:lang w:val="en-US" w:eastAsia="zh-CN" w:bidi="ar-SA"/>
              </w:rPr>
              <w:t>；反应活性（黄色）：</w:t>
            </w:r>
            <w:r>
              <w:rPr>
                <w:kern w:val="2"/>
                <w:sz w:val="21"/>
                <w:lang w:val="en-US" w:eastAsia="zh-CN" w:bidi="ar-SA"/>
              </w:rPr>
              <w:t>0</w:t>
            </w:r>
            <w:r>
              <w:rPr>
                <w:rFonts w:eastAsia="宋体" w:cs="Calibri"/>
                <w:kern w:val="2"/>
                <w:sz w:val="21"/>
                <w:lang w:val="en-US" w:eastAsia="zh-CN" w:bidi="ar-SA"/>
              </w:rPr>
              <w:t>。</w:t>
            </w:r>
          </w:p>
        </w:tc>
      </w:tr>
      <w:tr w14:paraId="11EAA42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160442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4669" w:type="pct"/>
            <w:gridSpan w:val="3"/>
            <w:vAlign w:val="center"/>
          </w:tcPr>
          <w:p w14:paraId="3C688C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灭火方法：泡沫、二氧化碳、干粉、砂土。用水灭火无效。</w:t>
            </w:r>
          </w:p>
        </w:tc>
      </w:tr>
      <w:tr w14:paraId="6554782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restart"/>
            <w:vAlign w:val="center"/>
          </w:tcPr>
          <w:p w14:paraId="4DC679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健康危害</w:t>
            </w:r>
          </w:p>
        </w:tc>
        <w:tc>
          <w:tcPr>
            <w:tcW w:w="4669" w:type="pct"/>
            <w:gridSpan w:val="3"/>
            <w:vAlign w:val="center"/>
          </w:tcPr>
          <w:p w14:paraId="522B61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侵入途径：吸入、食入、经皮吸收。</w:t>
            </w:r>
          </w:p>
        </w:tc>
      </w:tr>
      <w:tr w14:paraId="7054A12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74913E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4669" w:type="pct"/>
            <w:gridSpan w:val="3"/>
            <w:vAlign w:val="center"/>
          </w:tcPr>
          <w:p w14:paraId="03124E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健康危害：高浓度可引起眼与呼吸道粘膜轻度刺激症和麻醉状态，甚至意识丧失。慢性作用为眼和呼吸道的轻度刺激。可引起轻度皮炎。健康危害（蓝色）：</w:t>
            </w:r>
            <w:r>
              <w:rPr>
                <w:kern w:val="2"/>
                <w:sz w:val="21"/>
                <w:lang w:val="en-US" w:eastAsia="zh-CN" w:bidi="ar-SA"/>
              </w:rPr>
              <w:t>1</w:t>
            </w:r>
            <w:r>
              <w:rPr>
                <w:rFonts w:eastAsia="宋体" w:cs="Calibri"/>
                <w:kern w:val="2"/>
                <w:sz w:val="21"/>
                <w:lang w:val="en-US" w:eastAsia="zh-CN" w:bidi="ar-SA"/>
              </w:rPr>
              <w:t>。</w:t>
            </w:r>
          </w:p>
        </w:tc>
      </w:tr>
      <w:tr w14:paraId="1637F1E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restart"/>
            <w:vAlign w:val="center"/>
          </w:tcPr>
          <w:p w14:paraId="5DB05B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急救措施</w:t>
            </w:r>
          </w:p>
        </w:tc>
        <w:tc>
          <w:tcPr>
            <w:tcW w:w="608" w:type="pct"/>
            <w:vAlign w:val="center"/>
          </w:tcPr>
          <w:p w14:paraId="51BAAF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皮肤接触</w:t>
            </w:r>
          </w:p>
        </w:tc>
        <w:tc>
          <w:tcPr>
            <w:tcW w:w="4061" w:type="pct"/>
            <w:gridSpan w:val="2"/>
            <w:vAlign w:val="center"/>
          </w:tcPr>
          <w:p w14:paraId="01F45A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脱去污染的衣着，用流动清水冲洗。注意患者保暖且保持安静。确保医务人员了解该物质相关的个体防护知识，注意自身防护。</w:t>
            </w:r>
          </w:p>
        </w:tc>
      </w:tr>
      <w:tr w14:paraId="3D59245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7B4796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08" w:type="pct"/>
            <w:vAlign w:val="center"/>
          </w:tcPr>
          <w:p w14:paraId="0455CE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眼睛接触</w:t>
            </w:r>
          </w:p>
        </w:tc>
        <w:tc>
          <w:tcPr>
            <w:tcW w:w="4061" w:type="pct"/>
            <w:gridSpan w:val="2"/>
            <w:vAlign w:val="center"/>
          </w:tcPr>
          <w:p w14:paraId="6AD30A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立即提起眼睑，用流动清水冲洗。</w:t>
            </w:r>
          </w:p>
        </w:tc>
      </w:tr>
      <w:tr w14:paraId="325ACFB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1FD3D9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08" w:type="pct"/>
            <w:vAlign w:val="center"/>
          </w:tcPr>
          <w:p w14:paraId="1D4AD5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食入</w:t>
            </w:r>
          </w:p>
        </w:tc>
        <w:tc>
          <w:tcPr>
            <w:tcW w:w="4061" w:type="pct"/>
            <w:gridSpan w:val="2"/>
            <w:vAlign w:val="center"/>
          </w:tcPr>
          <w:p w14:paraId="5AF98B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误服者给饮大量温水，催吐，就医。</w:t>
            </w:r>
          </w:p>
        </w:tc>
      </w:tr>
      <w:tr w14:paraId="1231768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60DFAD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08" w:type="pct"/>
            <w:vAlign w:val="center"/>
          </w:tcPr>
          <w:p w14:paraId="000336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吸入</w:t>
            </w:r>
          </w:p>
        </w:tc>
        <w:tc>
          <w:tcPr>
            <w:tcW w:w="4061" w:type="pct"/>
            <w:gridSpan w:val="2"/>
            <w:vAlign w:val="center"/>
          </w:tcPr>
          <w:p w14:paraId="166094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迅速脱离现场至空气新鲜处。注意保暖，呼吸困难时给输氧。呼吸及心跳</w:t>
            </w:r>
          </w:p>
        </w:tc>
      </w:tr>
      <w:tr w14:paraId="3FF6A4E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367402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08" w:type="pct"/>
            <w:vAlign w:val="center"/>
          </w:tcPr>
          <w:p w14:paraId="1B8499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4061" w:type="pct"/>
            <w:gridSpan w:val="2"/>
            <w:vAlign w:val="center"/>
          </w:tcPr>
          <w:p w14:paraId="48F6D2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停止者立即进行人工呼吸和心脏按压术。就医。</w:t>
            </w:r>
          </w:p>
        </w:tc>
      </w:tr>
      <w:tr w14:paraId="5B29002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restart"/>
            <w:vAlign w:val="center"/>
          </w:tcPr>
          <w:p w14:paraId="1A5081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防护</w:t>
            </w:r>
          </w:p>
        </w:tc>
        <w:tc>
          <w:tcPr>
            <w:tcW w:w="608" w:type="pct"/>
            <w:vAlign w:val="center"/>
          </w:tcPr>
          <w:p w14:paraId="1D7A80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工程控制</w:t>
            </w:r>
          </w:p>
        </w:tc>
        <w:tc>
          <w:tcPr>
            <w:tcW w:w="4061" w:type="pct"/>
            <w:gridSpan w:val="2"/>
            <w:vAlign w:val="center"/>
          </w:tcPr>
          <w:p w14:paraId="7F9A3D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密闭操作，全面通风。</w:t>
            </w:r>
          </w:p>
        </w:tc>
      </w:tr>
      <w:tr w14:paraId="68FA808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4EF86D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08" w:type="pct"/>
            <w:vAlign w:val="center"/>
          </w:tcPr>
          <w:p w14:paraId="2B8705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呼吸系统防护</w:t>
            </w:r>
          </w:p>
        </w:tc>
        <w:tc>
          <w:tcPr>
            <w:tcW w:w="4061" w:type="pct"/>
            <w:gridSpan w:val="2"/>
            <w:vAlign w:val="center"/>
          </w:tcPr>
          <w:p w14:paraId="75DAE1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高浓度环境中，应佩戴防毒面具。</w:t>
            </w:r>
          </w:p>
        </w:tc>
      </w:tr>
      <w:tr w14:paraId="1C4AD912">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6D22A6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08" w:type="pct"/>
            <w:vAlign w:val="center"/>
          </w:tcPr>
          <w:p w14:paraId="65669A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眼睛防护</w:t>
            </w:r>
          </w:p>
        </w:tc>
        <w:tc>
          <w:tcPr>
            <w:tcW w:w="4061" w:type="pct"/>
            <w:gridSpan w:val="2"/>
            <w:vAlign w:val="center"/>
          </w:tcPr>
          <w:p w14:paraId="2C538C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戴化学安全防护眼镜。</w:t>
            </w:r>
          </w:p>
        </w:tc>
      </w:tr>
      <w:tr w14:paraId="564D369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7E765A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08" w:type="pct"/>
            <w:vAlign w:val="center"/>
          </w:tcPr>
          <w:p w14:paraId="1D68E4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身体防护</w:t>
            </w:r>
          </w:p>
        </w:tc>
        <w:tc>
          <w:tcPr>
            <w:tcW w:w="4061" w:type="pct"/>
            <w:gridSpan w:val="2"/>
            <w:vAlign w:val="center"/>
          </w:tcPr>
          <w:p w14:paraId="5C1615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穿工作服；手防护；必要时佩戴防护手套。</w:t>
            </w:r>
          </w:p>
        </w:tc>
      </w:tr>
      <w:tr w14:paraId="3F32E6F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31" w:type="pct"/>
            <w:vMerge w:val="continue"/>
            <w:vAlign w:val="center"/>
          </w:tcPr>
          <w:p w14:paraId="6B3563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08" w:type="pct"/>
            <w:vAlign w:val="center"/>
          </w:tcPr>
          <w:p w14:paraId="7A3FBA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其他</w:t>
            </w:r>
          </w:p>
        </w:tc>
        <w:tc>
          <w:tcPr>
            <w:tcW w:w="4061" w:type="pct"/>
            <w:gridSpan w:val="2"/>
            <w:vAlign w:val="center"/>
          </w:tcPr>
          <w:p w14:paraId="79F4CB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工作现场严禁吸烟。避免长期反复接触。</w:t>
            </w:r>
          </w:p>
        </w:tc>
      </w:tr>
      <w:tr w14:paraId="34C3657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331" w:type="pct"/>
            <w:vAlign w:val="center"/>
          </w:tcPr>
          <w:p w14:paraId="3222F6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泄漏处理</w:t>
            </w:r>
          </w:p>
        </w:tc>
        <w:tc>
          <w:tcPr>
            <w:tcW w:w="4669" w:type="pct"/>
            <w:gridSpan w:val="3"/>
            <w:vAlign w:val="center"/>
          </w:tcPr>
          <w:p w14:paraId="02488F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疏散泄漏污染区人员至安全区，禁止无关人员进入污染区，切断火源。建议应急处理人员戴自给式呼吸器，穿一般消防防护服。在确保安全情况下堵漏。喷水雾会减少蒸发，但不能降低泄漏物在受限制空间内的易燃性。用活性炭或</w:t>
            </w:r>
            <w:r>
              <w:rPr>
                <w:rFonts w:hint="eastAsia" w:cs="Calibri"/>
                <w:kern w:val="2"/>
                <w:sz w:val="21"/>
                <w:lang w:val="en-US" w:eastAsia="zh-CN" w:bidi="ar-SA"/>
              </w:rPr>
              <w:t>其他</w:t>
            </w:r>
            <w:r>
              <w:rPr>
                <w:rFonts w:eastAsia="宋体" w:cs="Calibri"/>
                <w:kern w:val="2"/>
                <w:sz w:val="21"/>
                <w:lang w:val="en-US" w:eastAsia="zh-CN" w:bidi="ar-SA"/>
              </w:rPr>
              <w:t>惰性材料吸收，然后收集运至废物处理场所处置。如大量泄漏，利用围堤收容，然后收集、转移、运输或无害处理后废弃。</w:t>
            </w:r>
          </w:p>
        </w:tc>
      </w:tr>
      <w:tr w14:paraId="522C9AF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331" w:type="pct"/>
            <w:vAlign w:val="center"/>
          </w:tcPr>
          <w:p w14:paraId="097546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储运</w:t>
            </w:r>
          </w:p>
        </w:tc>
        <w:tc>
          <w:tcPr>
            <w:tcW w:w="4669" w:type="pct"/>
            <w:gridSpan w:val="3"/>
            <w:vAlign w:val="center"/>
          </w:tcPr>
          <w:p w14:paraId="730CEE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包装类别：</w:t>
            </w:r>
            <w:r>
              <w:rPr>
                <w:kern w:val="2"/>
                <w:sz w:val="21"/>
                <w:lang w:val="en-US" w:eastAsia="zh-CN" w:bidi="ar-SA"/>
              </w:rPr>
              <w:t>I</w:t>
            </w:r>
            <w:r>
              <w:rPr>
                <w:rFonts w:eastAsia="宋体" w:cs="Calibri"/>
                <w:kern w:val="2"/>
                <w:sz w:val="21"/>
                <w:lang w:val="en-US" w:eastAsia="zh-CN" w:bidi="ar-SA"/>
              </w:rPr>
              <w:t>；储存于阴凉、通风仓间内。远离火种、热源。仓温不宜超过</w:t>
            </w:r>
            <w:r>
              <w:rPr>
                <w:kern w:val="2"/>
                <w:sz w:val="21"/>
                <w:lang w:val="en-US" w:eastAsia="zh-CN" w:bidi="ar-SA"/>
              </w:rPr>
              <w:t>30</w:t>
            </w:r>
            <w:r>
              <w:rPr>
                <w:rFonts w:eastAsia="宋体" w:cs="Calibri"/>
                <w:kern w:val="2"/>
                <w:sz w:val="21"/>
                <w:lang w:val="en-US" w:eastAsia="zh-CN" w:bidi="ar-SA"/>
              </w:rPr>
              <w:t>℃。防止阳光直射。保持容器密封。应与氧化剂分开存放。储存间内的照明、通风等设施应采用防爆型，开关设在仓外。配备相应品种和数量的消防器材。桶装堆垛不可过大，应留墙距、顶距、柱距及必要的防火检查走道。若是储罐存放，储罐区域要有禁火标志和防火防爆技术措施。禁止使用易产生火花的机械设备和工具。灌装时应注意流速（不超过</w:t>
            </w:r>
            <w:r>
              <w:rPr>
                <w:kern w:val="2"/>
                <w:sz w:val="21"/>
                <w:lang w:val="en-US" w:eastAsia="zh-CN" w:bidi="ar-SA"/>
              </w:rPr>
              <w:t>3m/s</w:t>
            </w:r>
            <w:r>
              <w:rPr>
                <w:rFonts w:eastAsia="宋体" w:cs="Calibri"/>
                <w:kern w:val="2"/>
                <w:sz w:val="21"/>
                <w:lang w:val="en-US" w:eastAsia="zh-CN" w:bidi="ar-SA"/>
              </w:rPr>
              <w:t>），且有接地装置，防止静电积聚。</w:t>
            </w:r>
          </w:p>
        </w:tc>
      </w:tr>
    </w:tbl>
    <w:p w14:paraId="575CB058">
      <w:pPr>
        <w:pStyle w:val="2"/>
        <w:bidi w:val="0"/>
        <w:rPr>
          <w:lang w:val="en-US" w:eastAsia="zh-CN"/>
        </w:rPr>
      </w:pPr>
      <w:r>
        <w:rPr>
          <w:lang w:val="en-US" w:eastAsia="zh-CN"/>
        </w:rPr>
        <w:t>5.2 生产系统危险性识别</w:t>
      </w:r>
    </w:p>
    <w:p w14:paraId="2F57DC5F">
      <w:pPr>
        <w:pStyle w:val="2"/>
        <w:bidi w:val="0"/>
        <w:rPr>
          <w:lang w:val="en-US" w:eastAsia="zh-CN"/>
        </w:rPr>
      </w:pPr>
      <w:r>
        <w:rPr>
          <w:lang w:val="en-US" w:eastAsia="zh-CN"/>
        </w:rPr>
        <w:t>5.2.1 生产设施风险分析</w:t>
      </w:r>
    </w:p>
    <w:p w14:paraId="19E7D594">
      <w:pPr>
        <w:bidi w:val="0"/>
        <w:rPr>
          <w:lang w:val="en-US" w:eastAsia="zh-CN"/>
        </w:rPr>
      </w:pPr>
      <w:r>
        <w:rPr>
          <w:lang w:val="en-US" w:eastAsia="zh-CN"/>
        </w:rPr>
        <w:t>各辅助生产设备中涉及的设备、管道、阀门等设施可能发生泄漏，如各原料输送管道及贮存等设施发生泄漏、停电、设备故障、工作人员违章操作、误操作可能造成</w:t>
      </w:r>
      <w:r>
        <w:rPr>
          <w:rFonts w:hint="eastAsia"/>
          <w:lang w:val="en-US" w:eastAsia="zh-CN"/>
        </w:rPr>
        <w:t>物料输送管线</w:t>
      </w:r>
      <w:r>
        <w:rPr>
          <w:lang w:val="en-US" w:eastAsia="zh-CN"/>
        </w:rPr>
        <w:t>不正常运转，发生溢流、倾泻等，从而引起</w:t>
      </w:r>
      <w:r>
        <w:rPr>
          <w:rFonts w:hint="eastAsia"/>
          <w:lang w:val="en-US" w:eastAsia="zh-CN"/>
        </w:rPr>
        <w:t>1#轻烃和碳五烷烃</w:t>
      </w:r>
      <w:r>
        <w:rPr>
          <w:lang w:val="en-US" w:eastAsia="zh-CN"/>
        </w:rPr>
        <w:t>泄漏，对周边</w:t>
      </w:r>
      <w:r>
        <w:rPr>
          <w:rFonts w:hint="eastAsia"/>
          <w:lang w:val="en-US" w:eastAsia="zh-CN"/>
        </w:rPr>
        <w:t>大气、</w:t>
      </w:r>
      <w:r>
        <w:rPr>
          <w:lang w:val="en-US" w:eastAsia="zh-CN"/>
        </w:rPr>
        <w:t>水体及地下水造成影响。储罐装卸装置发生火灾、爆炸等事故，化学品泄漏对周边水体及地下水造成影响，火灾爆炸产生的二次污染物对大气造成影响。</w:t>
      </w:r>
    </w:p>
    <w:p w14:paraId="298596AE">
      <w:pPr>
        <w:pStyle w:val="2"/>
        <w:bidi w:val="0"/>
        <w:rPr>
          <w:lang w:val="en-US" w:eastAsia="zh-CN"/>
        </w:rPr>
      </w:pPr>
      <w:r>
        <w:rPr>
          <w:lang w:val="en-US" w:eastAsia="zh-CN"/>
        </w:rPr>
        <w:t>5.2.2 储运过程风险分析</w:t>
      </w:r>
    </w:p>
    <w:p w14:paraId="7D672361">
      <w:pPr>
        <w:bidi w:val="0"/>
        <w:rPr>
          <w:lang w:val="en-US" w:eastAsia="zh-CN"/>
        </w:rPr>
      </w:pPr>
      <w:r>
        <w:rPr>
          <w:lang w:val="en-US" w:eastAsia="zh-CN"/>
        </w:rPr>
        <w:t>（1）储罐区环境风险识别</w:t>
      </w:r>
    </w:p>
    <w:p w14:paraId="020AF89F">
      <w:pPr>
        <w:bidi w:val="0"/>
        <w:rPr>
          <w:lang w:val="en-US" w:eastAsia="zh-CN"/>
        </w:rPr>
      </w:pPr>
      <w:r>
        <w:rPr>
          <w:lang w:val="en-US" w:eastAsia="zh-CN"/>
        </w:rPr>
        <w:t>本项目设置储罐区，若储存的危险化学品发生泄漏，有机物质挥发进入空气，造成周边大气环境污染；若泄漏液体被引燃发生火灾，将释放二次污染物进入大气环境；部分泄漏液体随消防液进入水体；部分废液进入土壤，对周边环境造成不利影响。因此，储罐区为潜在环境风险源。</w:t>
      </w:r>
    </w:p>
    <w:p w14:paraId="14A80E64">
      <w:pPr>
        <w:bidi w:val="0"/>
        <w:rPr>
          <w:lang w:val="en-US" w:eastAsia="zh-CN"/>
        </w:rPr>
      </w:pPr>
      <w:r>
        <w:rPr>
          <w:lang w:val="en-US" w:eastAsia="zh-CN"/>
        </w:rPr>
        <w:t>（</w:t>
      </w:r>
      <w:r>
        <w:rPr>
          <w:rFonts w:hint="eastAsia"/>
          <w:lang w:val="en-US" w:eastAsia="zh-CN"/>
        </w:rPr>
        <w:t>2</w:t>
      </w:r>
      <w:r>
        <w:rPr>
          <w:lang w:val="en-US" w:eastAsia="zh-CN"/>
        </w:rPr>
        <w:t>）物料管道运输环境风险识别</w:t>
      </w:r>
    </w:p>
    <w:p w14:paraId="66E828AA">
      <w:pPr>
        <w:bidi w:val="0"/>
        <w:rPr>
          <w:lang w:val="en-US" w:eastAsia="zh-CN"/>
        </w:rPr>
      </w:pPr>
      <w:r>
        <w:rPr>
          <w:lang w:val="en-US" w:eastAsia="zh-CN"/>
        </w:rPr>
        <w:t>本项目液体物料需经过管道运输，厂区内设有各物料运送的管道。若管道发生泄漏，挥发性有机物质进入空气；若泄漏液体被引燃发生火灾，将释放二次污染物进入大气环境；部分泄漏液体随消防液进入水体；部分废液进入土壤，对周边环境造成不利影响。因此，各物料运输管道为潜在环境风险源。</w:t>
      </w:r>
    </w:p>
    <w:p w14:paraId="337BE67D">
      <w:pPr>
        <w:pStyle w:val="2"/>
        <w:bidi w:val="0"/>
        <w:rPr>
          <w:lang w:val="en-US" w:eastAsia="zh-CN"/>
        </w:rPr>
      </w:pPr>
      <w:r>
        <w:rPr>
          <w:lang w:val="en-US" w:eastAsia="zh-CN"/>
        </w:rPr>
        <w:t>5.2.3 环保设施风险识别</w:t>
      </w:r>
    </w:p>
    <w:p w14:paraId="49DE9CCC">
      <w:pPr>
        <w:bidi w:val="0"/>
        <w:rPr>
          <w:lang w:val="en-US" w:eastAsia="zh-CN"/>
        </w:rPr>
      </w:pPr>
      <w:r>
        <w:rPr>
          <w:lang w:val="en-US" w:eastAsia="zh-CN"/>
        </w:rPr>
        <w:t>本项目设计环保设施主要有废气处理设施。本项目废气处理设置主要包括有机废气处理装置，装置如出现故障，导致废气处理效率下降，废气非正常排放。</w:t>
      </w:r>
    </w:p>
    <w:p w14:paraId="1FE372D2">
      <w:pPr>
        <w:pStyle w:val="2"/>
        <w:bidi w:val="0"/>
        <w:rPr>
          <w:lang w:val="en-US" w:eastAsia="zh-CN"/>
        </w:rPr>
      </w:pPr>
      <w:r>
        <w:rPr>
          <w:rFonts w:hint="eastAsia"/>
          <w:lang w:val="en-US" w:eastAsia="zh-CN"/>
        </w:rPr>
        <w:t xml:space="preserve">5.3 </w:t>
      </w:r>
      <w:r>
        <w:rPr>
          <w:lang w:val="en-US" w:eastAsia="zh-CN"/>
        </w:rPr>
        <w:t>危险物质向环境转移的途径识别</w:t>
      </w:r>
    </w:p>
    <w:p w14:paraId="05BE1171">
      <w:pPr>
        <w:bidi w:val="0"/>
      </w:pPr>
      <w:r>
        <w:t>本项目危险物质对环境的影响途径包括直接污染和次生/伴生污染。</w:t>
      </w:r>
    </w:p>
    <w:p w14:paraId="43906ED0">
      <w:pPr>
        <w:pStyle w:val="2"/>
        <w:bidi w:val="0"/>
      </w:pPr>
      <w:r>
        <w:t>5.3.1 直接污染</w:t>
      </w:r>
    </w:p>
    <w:p w14:paraId="4173C8CA">
      <w:pPr>
        <w:bidi w:val="0"/>
      </w:pPr>
      <w:r>
        <w:t>（1）污染大气环境</w:t>
      </w:r>
    </w:p>
    <w:p w14:paraId="65131576">
      <w:pPr>
        <w:bidi w:val="0"/>
      </w:pPr>
      <w:r>
        <w:t>危险化学品物质运输过</w:t>
      </w:r>
      <w:r>
        <w:rPr>
          <w:rFonts w:hint="eastAsia"/>
        </w:rPr>
        <w:t>程中</w:t>
      </w:r>
      <w:r>
        <w:t>发生风险事故时挥发的废气污染物可能对大气环境的污染影响；有毒物质在储存或使用过程中由于误操作、设备及管道破损导致泄漏将对空气环境造成污染影响，甚至有可能对周边人群产生人身伤害事故；环保设施故障导致有机废气等污染物事故性排放等将对空气环境造成影响。</w:t>
      </w:r>
    </w:p>
    <w:p w14:paraId="7D94C11E">
      <w:pPr>
        <w:bidi w:val="0"/>
      </w:pPr>
      <w:r>
        <w:t>（2）污染地表水环境</w:t>
      </w:r>
    </w:p>
    <w:p w14:paraId="7D5007C6">
      <w:pPr>
        <w:bidi w:val="0"/>
      </w:pPr>
      <w:r>
        <w:t>危险化学品物质运输过程发生泄漏风险事故时可能对周边地表水体造成影响。</w:t>
      </w:r>
    </w:p>
    <w:p w14:paraId="5DF433A6">
      <w:pPr>
        <w:bidi w:val="0"/>
      </w:pPr>
      <w:r>
        <w:t>（3）污染地下水和土壤环境</w:t>
      </w:r>
    </w:p>
    <w:p w14:paraId="5900653C">
      <w:pPr>
        <w:bidi w:val="0"/>
      </w:pPr>
      <w:r>
        <w:t>危险化学品物质运输过程发生泄漏风险事故时可能对地下水和土壤环境造成影响；罐区的</w:t>
      </w:r>
      <w:r>
        <w:rPr>
          <w:rFonts w:hint="default"/>
        </w:rPr>
        <w:t>1#</w:t>
      </w:r>
      <w:r>
        <w:rPr>
          <w:rFonts w:hint="eastAsia"/>
        </w:rPr>
        <w:t>轻烃和碳五烷烃</w:t>
      </w:r>
      <w:r>
        <w:t>储存过程中由于操作不当、防渗材料破裂等原因将导致有毒有害物质泄漏污染地下水和土壤环境。</w:t>
      </w:r>
    </w:p>
    <w:p w14:paraId="6EDCF57B">
      <w:pPr>
        <w:pStyle w:val="2"/>
        <w:bidi w:val="0"/>
      </w:pPr>
      <w:r>
        <w:t>5.3.2 事故伴生/次生危害识别</w:t>
      </w:r>
    </w:p>
    <w:p w14:paraId="22668BAD">
      <w:pPr>
        <w:bidi w:val="0"/>
      </w:pPr>
      <w:r>
        <w:t>（1）火灾事故的伴生消防废水</w:t>
      </w:r>
    </w:p>
    <w:p w14:paraId="4947AB0F">
      <w:pPr>
        <w:bidi w:val="0"/>
      </w:pPr>
      <w:r>
        <w:t>根据装置工艺流程、储运过程及主要物质危害性可知，本项目储运过程存在火灾爆炸的可能性。一旦发生泄漏导致出现火情，在灭火同时，要冷却储罐，由此产生的消防废水会携带一定量的有害物质，若不能及时得到有效收集和处置，将随排水系统进入外界水体。因此，要将事故发生后产生的消防废水作为事故处理过程中的伴生/次生污染予以考虑，并对其提出防范措施。</w:t>
      </w:r>
    </w:p>
    <w:p w14:paraId="31736F23">
      <w:pPr>
        <w:bidi w:val="0"/>
      </w:pPr>
      <w:r>
        <w:t>（2）火灾事故发生后产生的烟气</w:t>
      </w:r>
    </w:p>
    <w:p w14:paraId="3AC5588D">
      <w:pPr>
        <w:bidi w:val="0"/>
      </w:pPr>
      <w:r>
        <w:t>发生火灾事故时多为不完全燃烧，火灾发生后进入环境的主要污染物有CO、烟尘及燃烧物本身等，对环境空气及周边人群健康产生危害。当易燃易爆物质发生火灾时，其燃烧火焰的温度高，火势蔓延迅速，直接对火源周边的人员、设备、构筑物产生极大的危害，火灾风险对周围环境的主要的环境危害为浓烟。火灾在散发出大量的浓烟，主要成分为物质燃烧放出的高温蒸汽和有毒气体、被分解和凝聚的未燃物质和被火焰加热而带入上升气流中的大量空气等混合物。本项目有机物料燃烧时可产生一氧化碳等有毒物质，对周边人群健康和大气环境质量造成污染和破坏。</w:t>
      </w:r>
    </w:p>
    <w:p w14:paraId="2F952F33">
      <w:pPr>
        <w:bidi w:val="0"/>
      </w:pPr>
      <w:r>
        <w:t>（3）泄漏事故的伴生/次生危害性分析</w:t>
      </w:r>
    </w:p>
    <w:p w14:paraId="0A56C541">
      <w:pPr>
        <w:bidi w:val="0"/>
      </w:pPr>
      <w:r>
        <w:t>当储罐、管道、阀门发生物料泄漏，气态物料将立即扩散至周围大气并危及人群健康；液体泄漏物首先被收集在储罐中，进入水体、土壤和装置外环境的可能性很小。</w:t>
      </w:r>
    </w:p>
    <w:p w14:paraId="37E52CCB">
      <w:pPr>
        <w:pStyle w:val="2"/>
        <w:bidi w:val="0"/>
        <w:rPr>
          <w:rFonts w:hint="eastAsia"/>
          <w:lang w:val="en-US" w:eastAsia="zh-CN"/>
        </w:rPr>
      </w:pPr>
      <w:r>
        <w:rPr>
          <w:rFonts w:hint="eastAsia"/>
          <w:lang w:val="en-US" w:eastAsia="zh-CN"/>
        </w:rPr>
        <w:t>5.3.3 危险物质环境转移途径识别</w:t>
      </w:r>
    </w:p>
    <w:p w14:paraId="2D9EEED7">
      <w:pPr>
        <w:bidi w:val="0"/>
        <w:rPr>
          <w:lang w:val="en-US" w:eastAsia="zh-CN"/>
        </w:rPr>
      </w:pPr>
      <w:r>
        <w:rPr>
          <w:rFonts w:hint="eastAsia"/>
          <w:lang w:val="en-US" w:eastAsia="zh-CN"/>
        </w:rPr>
        <w:t>发生事故时，污染物可通过扩散、地表径流、地下径流等方式进入大气、河流、土壤、地下水环境等，污染物的转移途径如下表所示。</w:t>
      </w:r>
    </w:p>
    <w:p w14:paraId="314FB71F">
      <w:pPr>
        <w:pStyle w:val="4"/>
        <w:bidi w:val="0"/>
        <w:rPr>
          <w:lang w:val="en-US" w:eastAsia="zh-CN"/>
        </w:rPr>
      </w:pPr>
      <w:r>
        <w:rPr>
          <w:lang w:val="en-US" w:eastAsia="zh-CN"/>
        </w:rPr>
        <w:t>表</w:t>
      </w:r>
      <w:r>
        <w:rPr>
          <w:rFonts w:hint="eastAsia"/>
          <w:lang w:val="en-US" w:eastAsia="zh-CN"/>
        </w:rPr>
        <w:t>5-3</w:t>
      </w:r>
      <w:r>
        <w:rPr>
          <w:lang w:val="en-US" w:eastAsia="zh-CN"/>
        </w:rPr>
        <w:t xml:space="preserve">  本项目环境风险识别结果表</w:t>
      </w:r>
    </w:p>
    <w:tbl>
      <w:tblPr>
        <w:tblStyle w:val="20"/>
        <w:tblpPr w:leftFromText="180" w:rightFromText="180" w:vertAnchor="text" w:horzAnchor="page" w:tblpX="1474" w:tblpY="172"/>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8"/>
        <w:gridCol w:w="1682"/>
        <w:gridCol w:w="1667"/>
        <w:gridCol w:w="1009"/>
        <w:gridCol w:w="1509"/>
        <w:gridCol w:w="1511"/>
      </w:tblGrid>
      <w:tr w14:paraId="4B89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restart"/>
            <w:vAlign w:val="center"/>
          </w:tcPr>
          <w:p w14:paraId="51D5D1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事故类型/成因</w:t>
            </w:r>
          </w:p>
        </w:tc>
        <w:tc>
          <w:tcPr>
            <w:tcW w:w="928" w:type="pct"/>
            <w:vMerge w:val="restart"/>
            <w:vAlign w:val="center"/>
          </w:tcPr>
          <w:p w14:paraId="644B67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事故位置</w:t>
            </w:r>
          </w:p>
        </w:tc>
        <w:tc>
          <w:tcPr>
            <w:tcW w:w="920" w:type="pct"/>
            <w:vMerge w:val="restart"/>
            <w:vAlign w:val="center"/>
          </w:tcPr>
          <w:p w14:paraId="238467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事故危害形式</w:t>
            </w:r>
          </w:p>
        </w:tc>
        <w:tc>
          <w:tcPr>
            <w:tcW w:w="2224" w:type="pct"/>
            <w:gridSpan w:val="3"/>
            <w:vAlign w:val="center"/>
          </w:tcPr>
          <w:p w14:paraId="36974B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污染物转移途径</w:t>
            </w:r>
          </w:p>
        </w:tc>
      </w:tr>
      <w:tr w14:paraId="1729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continue"/>
            <w:vAlign w:val="center"/>
          </w:tcPr>
          <w:p w14:paraId="390CEB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8" w:type="pct"/>
            <w:vMerge w:val="continue"/>
            <w:vAlign w:val="center"/>
          </w:tcPr>
          <w:p w14:paraId="1C8914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0" w:type="pct"/>
            <w:vMerge w:val="continue"/>
            <w:vAlign w:val="center"/>
          </w:tcPr>
          <w:p w14:paraId="068527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557" w:type="pct"/>
            <w:vAlign w:val="center"/>
          </w:tcPr>
          <w:p w14:paraId="6414D4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大气</w:t>
            </w:r>
          </w:p>
        </w:tc>
        <w:tc>
          <w:tcPr>
            <w:tcW w:w="833" w:type="pct"/>
            <w:vAlign w:val="center"/>
          </w:tcPr>
          <w:p w14:paraId="235241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排水系统</w:t>
            </w:r>
          </w:p>
        </w:tc>
        <w:tc>
          <w:tcPr>
            <w:tcW w:w="834" w:type="pct"/>
            <w:vAlign w:val="center"/>
          </w:tcPr>
          <w:p w14:paraId="1E73FA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土壤、地下水</w:t>
            </w:r>
          </w:p>
        </w:tc>
      </w:tr>
      <w:tr w14:paraId="0B26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restart"/>
            <w:vAlign w:val="center"/>
          </w:tcPr>
          <w:p w14:paraId="7BCC67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泄漏</w:t>
            </w:r>
          </w:p>
        </w:tc>
        <w:tc>
          <w:tcPr>
            <w:tcW w:w="928" w:type="pct"/>
            <w:vMerge w:val="restart"/>
            <w:vAlign w:val="center"/>
          </w:tcPr>
          <w:p w14:paraId="2C8D77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sz w:val="21"/>
                <w:szCs w:val="21"/>
                <w:lang w:val="en-US" w:eastAsia="zh-CN"/>
              </w:rPr>
            </w:pPr>
            <w:r>
              <w:rPr>
                <w:sz w:val="21"/>
                <w:szCs w:val="21"/>
                <w:lang w:val="en-US" w:eastAsia="zh-CN"/>
              </w:rPr>
              <w:t>罐区</w:t>
            </w:r>
          </w:p>
        </w:tc>
        <w:tc>
          <w:tcPr>
            <w:tcW w:w="920" w:type="pct"/>
            <w:vAlign w:val="center"/>
          </w:tcPr>
          <w:p w14:paraId="38D8C5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气态</w:t>
            </w:r>
          </w:p>
        </w:tc>
        <w:tc>
          <w:tcPr>
            <w:tcW w:w="557" w:type="pct"/>
            <w:vAlign w:val="center"/>
          </w:tcPr>
          <w:p w14:paraId="3C3F04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扩散</w:t>
            </w:r>
          </w:p>
        </w:tc>
        <w:tc>
          <w:tcPr>
            <w:tcW w:w="833" w:type="pct"/>
            <w:vAlign w:val="center"/>
          </w:tcPr>
          <w:p w14:paraId="0402D8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4" w:type="pct"/>
            <w:vAlign w:val="center"/>
          </w:tcPr>
          <w:p w14:paraId="43C277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沉降</w:t>
            </w:r>
          </w:p>
        </w:tc>
      </w:tr>
      <w:tr w14:paraId="2A58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926" w:type="pct"/>
            <w:vMerge w:val="continue"/>
            <w:vAlign w:val="center"/>
          </w:tcPr>
          <w:p w14:paraId="24F1F5C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8" w:type="pct"/>
            <w:vMerge w:val="continue"/>
            <w:vAlign w:val="center"/>
          </w:tcPr>
          <w:p w14:paraId="0F3ABF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0" w:type="pct"/>
            <w:vAlign w:val="center"/>
          </w:tcPr>
          <w:p w14:paraId="193C4E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液态</w:t>
            </w:r>
          </w:p>
        </w:tc>
        <w:tc>
          <w:tcPr>
            <w:tcW w:w="557" w:type="pct"/>
            <w:vAlign w:val="center"/>
          </w:tcPr>
          <w:p w14:paraId="47F176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3" w:type="pct"/>
            <w:vAlign w:val="center"/>
          </w:tcPr>
          <w:p w14:paraId="3F04D6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浸流</w:t>
            </w:r>
          </w:p>
        </w:tc>
        <w:tc>
          <w:tcPr>
            <w:tcW w:w="834" w:type="pct"/>
            <w:vAlign w:val="center"/>
          </w:tcPr>
          <w:p w14:paraId="00544A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渗透、吸收</w:t>
            </w:r>
          </w:p>
        </w:tc>
      </w:tr>
      <w:tr w14:paraId="63C2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restart"/>
            <w:vAlign w:val="center"/>
          </w:tcPr>
          <w:p w14:paraId="5504B0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火灾、爆炸引发的次伴生污染</w:t>
            </w:r>
          </w:p>
        </w:tc>
        <w:tc>
          <w:tcPr>
            <w:tcW w:w="928" w:type="pct"/>
            <w:vMerge w:val="restart"/>
            <w:vAlign w:val="center"/>
          </w:tcPr>
          <w:p w14:paraId="352DB2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sz w:val="21"/>
                <w:szCs w:val="21"/>
                <w:lang w:val="en-US" w:eastAsia="zh-CN"/>
              </w:rPr>
            </w:pPr>
            <w:r>
              <w:rPr>
                <w:sz w:val="21"/>
                <w:szCs w:val="21"/>
                <w:lang w:val="en-US" w:eastAsia="zh-CN"/>
              </w:rPr>
              <w:t>罐区</w:t>
            </w:r>
          </w:p>
        </w:tc>
        <w:tc>
          <w:tcPr>
            <w:tcW w:w="920" w:type="pct"/>
            <w:vAlign w:val="center"/>
          </w:tcPr>
          <w:p w14:paraId="66102C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毒物蒸发</w:t>
            </w:r>
          </w:p>
        </w:tc>
        <w:tc>
          <w:tcPr>
            <w:tcW w:w="557" w:type="pct"/>
            <w:vAlign w:val="center"/>
          </w:tcPr>
          <w:p w14:paraId="7D80FF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扩散</w:t>
            </w:r>
          </w:p>
        </w:tc>
        <w:tc>
          <w:tcPr>
            <w:tcW w:w="833" w:type="pct"/>
            <w:vAlign w:val="center"/>
          </w:tcPr>
          <w:p w14:paraId="5E6789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4" w:type="pct"/>
            <w:vAlign w:val="center"/>
          </w:tcPr>
          <w:p w14:paraId="0C024C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沉降</w:t>
            </w:r>
          </w:p>
        </w:tc>
      </w:tr>
      <w:tr w14:paraId="4DB3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continue"/>
            <w:vAlign w:val="center"/>
          </w:tcPr>
          <w:p w14:paraId="1F24B1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8" w:type="pct"/>
            <w:vMerge w:val="continue"/>
            <w:vAlign w:val="center"/>
          </w:tcPr>
          <w:p w14:paraId="20FE30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0" w:type="pct"/>
            <w:vAlign w:val="center"/>
          </w:tcPr>
          <w:p w14:paraId="5BCB22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烟雾</w:t>
            </w:r>
          </w:p>
        </w:tc>
        <w:tc>
          <w:tcPr>
            <w:tcW w:w="557" w:type="pct"/>
            <w:vAlign w:val="center"/>
          </w:tcPr>
          <w:p w14:paraId="6D1978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扩散</w:t>
            </w:r>
          </w:p>
        </w:tc>
        <w:tc>
          <w:tcPr>
            <w:tcW w:w="833" w:type="pct"/>
            <w:vAlign w:val="center"/>
          </w:tcPr>
          <w:p w14:paraId="0DBBA5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4" w:type="pct"/>
            <w:vAlign w:val="center"/>
          </w:tcPr>
          <w:p w14:paraId="555968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沉降</w:t>
            </w:r>
          </w:p>
        </w:tc>
      </w:tr>
      <w:tr w14:paraId="0EEF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continue"/>
            <w:vAlign w:val="center"/>
          </w:tcPr>
          <w:p w14:paraId="0E42C0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8" w:type="pct"/>
            <w:vMerge w:val="continue"/>
            <w:vAlign w:val="center"/>
          </w:tcPr>
          <w:p w14:paraId="1EA416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0" w:type="pct"/>
            <w:vAlign w:val="center"/>
          </w:tcPr>
          <w:p w14:paraId="31A9CD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伴生毒物</w:t>
            </w:r>
          </w:p>
        </w:tc>
        <w:tc>
          <w:tcPr>
            <w:tcW w:w="557" w:type="pct"/>
            <w:vAlign w:val="center"/>
          </w:tcPr>
          <w:p w14:paraId="24FD3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扩散</w:t>
            </w:r>
          </w:p>
        </w:tc>
        <w:tc>
          <w:tcPr>
            <w:tcW w:w="833" w:type="pct"/>
            <w:vAlign w:val="center"/>
          </w:tcPr>
          <w:p w14:paraId="7DBDBA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4" w:type="pct"/>
            <w:vAlign w:val="center"/>
          </w:tcPr>
          <w:p w14:paraId="40E0A6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沉降</w:t>
            </w:r>
          </w:p>
        </w:tc>
      </w:tr>
      <w:tr w14:paraId="1A86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continue"/>
            <w:tcBorders>
              <w:bottom w:val="single" w:color="auto" w:sz="4" w:space="0"/>
            </w:tcBorders>
            <w:vAlign w:val="center"/>
          </w:tcPr>
          <w:p w14:paraId="25DF05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8" w:type="pct"/>
            <w:vMerge w:val="continue"/>
            <w:tcBorders>
              <w:bottom w:val="single" w:color="auto" w:sz="4" w:space="0"/>
            </w:tcBorders>
            <w:vAlign w:val="center"/>
          </w:tcPr>
          <w:p w14:paraId="1DEFA9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0" w:type="pct"/>
            <w:tcBorders>
              <w:bottom w:val="single" w:color="auto" w:sz="4" w:space="0"/>
            </w:tcBorders>
            <w:vAlign w:val="center"/>
          </w:tcPr>
          <w:p w14:paraId="79BD5A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废水</w:t>
            </w:r>
          </w:p>
        </w:tc>
        <w:tc>
          <w:tcPr>
            <w:tcW w:w="557" w:type="pct"/>
            <w:tcBorders>
              <w:bottom w:val="single" w:color="auto" w:sz="4" w:space="0"/>
            </w:tcBorders>
            <w:vAlign w:val="center"/>
          </w:tcPr>
          <w:p w14:paraId="254BEA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3" w:type="pct"/>
            <w:tcBorders>
              <w:bottom w:val="single" w:color="auto" w:sz="4" w:space="0"/>
            </w:tcBorders>
            <w:vAlign w:val="center"/>
          </w:tcPr>
          <w:p w14:paraId="5FCF97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消防废水</w:t>
            </w:r>
          </w:p>
        </w:tc>
        <w:tc>
          <w:tcPr>
            <w:tcW w:w="834" w:type="pct"/>
            <w:tcBorders>
              <w:bottom w:val="single" w:color="auto" w:sz="4" w:space="0"/>
            </w:tcBorders>
            <w:vAlign w:val="center"/>
          </w:tcPr>
          <w:p w14:paraId="7B6DD9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渗透、吸收</w:t>
            </w:r>
          </w:p>
        </w:tc>
      </w:tr>
      <w:tr w14:paraId="2F18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tcBorders>
              <w:top w:val="single" w:color="auto" w:sz="4" w:space="0"/>
              <w:left w:val="single" w:color="auto" w:sz="4" w:space="0"/>
              <w:bottom w:val="single" w:color="auto" w:sz="4" w:space="0"/>
            </w:tcBorders>
            <w:vAlign w:val="center"/>
          </w:tcPr>
          <w:p w14:paraId="103B3E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污染治理设施非正常运行</w:t>
            </w:r>
          </w:p>
        </w:tc>
        <w:tc>
          <w:tcPr>
            <w:tcW w:w="928" w:type="pct"/>
            <w:tcBorders>
              <w:top w:val="single" w:color="auto" w:sz="4" w:space="0"/>
              <w:bottom w:val="single" w:color="auto" w:sz="4" w:space="0"/>
            </w:tcBorders>
            <w:vAlign w:val="center"/>
          </w:tcPr>
          <w:p w14:paraId="47CEE5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废气处理系统</w:t>
            </w:r>
          </w:p>
        </w:tc>
        <w:tc>
          <w:tcPr>
            <w:tcW w:w="920" w:type="pct"/>
            <w:tcBorders>
              <w:top w:val="single" w:color="auto" w:sz="4" w:space="0"/>
              <w:bottom w:val="single" w:color="auto" w:sz="4" w:space="0"/>
            </w:tcBorders>
            <w:vAlign w:val="center"/>
          </w:tcPr>
          <w:p w14:paraId="6DF9B6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气态</w:t>
            </w:r>
          </w:p>
        </w:tc>
        <w:tc>
          <w:tcPr>
            <w:tcW w:w="557" w:type="pct"/>
            <w:tcBorders>
              <w:top w:val="single" w:color="auto" w:sz="4" w:space="0"/>
              <w:bottom w:val="single" w:color="auto" w:sz="4" w:space="0"/>
            </w:tcBorders>
            <w:vAlign w:val="center"/>
          </w:tcPr>
          <w:p w14:paraId="72768F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扩散</w:t>
            </w:r>
          </w:p>
        </w:tc>
        <w:tc>
          <w:tcPr>
            <w:tcW w:w="833" w:type="pct"/>
            <w:tcBorders>
              <w:top w:val="single" w:color="auto" w:sz="4" w:space="0"/>
              <w:bottom w:val="single" w:color="auto" w:sz="4" w:space="0"/>
            </w:tcBorders>
            <w:vAlign w:val="center"/>
          </w:tcPr>
          <w:p w14:paraId="507296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4" w:type="pct"/>
            <w:tcBorders>
              <w:top w:val="single" w:color="auto" w:sz="4" w:space="0"/>
              <w:bottom w:val="single" w:color="auto" w:sz="4" w:space="0"/>
              <w:right w:val="single" w:color="auto" w:sz="4" w:space="0"/>
            </w:tcBorders>
            <w:vAlign w:val="center"/>
          </w:tcPr>
          <w:p w14:paraId="62974E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沉降</w:t>
            </w:r>
          </w:p>
        </w:tc>
      </w:tr>
      <w:tr w14:paraId="525B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restart"/>
            <w:tcBorders>
              <w:top w:val="single" w:color="auto" w:sz="4" w:space="0"/>
              <w:left w:val="single" w:color="auto" w:sz="4" w:space="0"/>
              <w:bottom w:val="single" w:color="auto" w:sz="4" w:space="0"/>
            </w:tcBorders>
            <w:vAlign w:val="center"/>
          </w:tcPr>
          <w:p w14:paraId="1E82D2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储运系统故障</w:t>
            </w:r>
          </w:p>
        </w:tc>
        <w:tc>
          <w:tcPr>
            <w:tcW w:w="928" w:type="pct"/>
            <w:vMerge w:val="restart"/>
            <w:tcBorders>
              <w:top w:val="single" w:color="auto" w:sz="4" w:space="0"/>
              <w:bottom w:val="single" w:color="auto" w:sz="4" w:space="0"/>
            </w:tcBorders>
            <w:vAlign w:val="center"/>
          </w:tcPr>
          <w:p w14:paraId="76023E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储存系统</w:t>
            </w:r>
          </w:p>
        </w:tc>
        <w:tc>
          <w:tcPr>
            <w:tcW w:w="920" w:type="pct"/>
            <w:tcBorders>
              <w:top w:val="single" w:color="auto" w:sz="4" w:space="0"/>
              <w:bottom w:val="single" w:color="auto" w:sz="4" w:space="0"/>
            </w:tcBorders>
            <w:vAlign w:val="center"/>
          </w:tcPr>
          <w:p w14:paraId="06F6EB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热辐射</w:t>
            </w:r>
          </w:p>
        </w:tc>
        <w:tc>
          <w:tcPr>
            <w:tcW w:w="557" w:type="pct"/>
            <w:tcBorders>
              <w:top w:val="single" w:color="auto" w:sz="4" w:space="0"/>
              <w:bottom w:val="single" w:color="auto" w:sz="4" w:space="0"/>
            </w:tcBorders>
            <w:vAlign w:val="center"/>
          </w:tcPr>
          <w:p w14:paraId="6AE1DD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扩散</w:t>
            </w:r>
          </w:p>
        </w:tc>
        <w:tc>
          <w:tcPr>
            <w:tcW w:w="833" w:type="pct"/>
            <w:tcBorders>
              <w:top w:val="single" w:color="auto" w:sz="4" w:space="0"/>
              <w:bottom w:val="single" w:color="auto" w:sz="4" w:space="0"/>
            </w:tcBorders>
            <w:vAlign w:val="center"/>
          </w:tcPr>
          <w:p w14:paraId="11895A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4" w:type="pct"/>
            <w:tcBorders>
              <w:top w:val="single" w:color="auto" w:sz="4" w:space="0"/>
              <w:bottom w:val="single" w:color="auto" w:sz="4" w:space="0"/>
              <w:right w:val="single" w:color="auto" w:sz="4" w:space="0"/>
            </w:tcBorders>
            <w:vAlign w:val="center"/>
          </w:tcPr>
          <w:p w14:paraId="6442F20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沉降</w:t>
            </w:r>
          </w:p>
        </w:tc>
      </w:tr>
      <w:tr w14:paraId="4E29F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continue"/>
            <w:tcBorders>
              <w:top w:val="single" w:color="auto" w:sz="4" w:space="0"/>
              <w:left w:val="single" w:color="auto" w:sz="4" w:space="0"/>
              <w:bottom w:val="single" w:color="auto" w:sz="4" w:space="0"/>
            </w:tcBorders>
            <w:vAlign w:val="center"/>
          </w:tcPr>
          <w:p w14:paraId="7E1CF4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8" w:type="pct"/>
            <w:vMerge w:val="continue"/>
            <w:tcBorders>
              <w:top w:val="single" w:color="auto" w:sz="4" w:space="0"/>
              <w:bottom w:val="single" w:color="auto" w:sz="4" w:space="0"/>
            </w:tcBorders>
            <w:vAlign w:val="center"/>
          </w:tcPr>
          <w:p w14:paraId="7AB55D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0" w:type="pct"/>
            <w:tcBorders>
              <w:top w:val="single" w:color="auto" w:sz="4" w:space="0"/>
              <w:bottom w:val="single" w:color="auto" w:sz="4" w:space="0"/>
            </w:tcBorders>
            <w:vAlign w:val="center"/>
          </w:tcPr>
          <w:p w14:paraId="5392EE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毒物蒸发</w:t>
            </w:r>
          </w:p>
        </w:tc>
        <w:tc>
          <w:tcPr>
            <w:tcW w:w="557" w:type="pct"/>
            <w:tcBorders>
              <w:top w:val="single" w:color="auto" w:sz="4" w:space="0"/>
              <w:bottom w:val="single" w:color="auto" w:sz="4" w:space="0"/>
            </w:tcBorders>
            <w:vAlign w:val="center"/>
          </w:tcPr>
          <w:p w14:paraId="3421A0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扩散</w:t>
            </w:r>
          </w:p>
        </w:tc>
        <w:tc>
          <w:tcPr>
            <w:tcW w:w="833" w:type="pct"/>
            <w:tcBorders>
              <w:top w:val="single" w:color="auto" w:sz="4" w:space="0"/>
              <w:bottom w:val="single" w:color="auto" w:sz="4" w:space="0"/>
            </w:tcBorders>
            <w:vAlign w:val="center"/>
          </w:tcPr>
          <w:p w14:paraId="4D14CF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4" w:type="pct"/>
            <w:tcBorders>
              <w:top w:val="single" w:color="auto" w:sz="4" w:space="0"/>
              <w:bottom w:val="single" w:color="auto" w:sz="4" w:space="0"/>
              <w:right w:val="single" w:color="auto" w:sz="4" w:space="0"/>
            </w:tcBorders>
            <w:vAlign w:val="center"/>
          </w:tcPr>
          <w:p w14:paraId="55C477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沉降</w:t>
            </w:r>
          </w:p>
        </w:tc>
      </w:tr>
      <w:tr w14:paraId="61A3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continue"/>
            <w:tcBorders>
              <w:top w:val="single" w:color="auto" w:sz="4" w:space="0"/>
              <w:left w:val="single" w:color="auto" w:sz="4" w:space="0"/>
              <w:bottom w:val="single" w:color="auto" w:sz="4" w:space="0"/>
            </w:tcBorders>
            <w:vAlign w:val="center"/>
          </w:tcPr>
          <w:p w14:paraId="2E557E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8" w:type="pct"/>
            <w:vMerge w:val="continue"/>
            <w:tcBorders>
              <w:top w:val="single" w:color="auto" w:sz="4" w:space="0"/>
              <w:bottom w:val="single" w:color="auto" w:sz="4" w:space="0"/>
            </w:tcBorders>
            <w:vAlign w:val="center"/>
          </w:tcPr>
          <w:p w14:paraId="1B0576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0" w:type="pct"/>
            <w:tcBorders>
              <w:top w:val="single" w:color="auto" w:sz="4" w:space="0"/>
              <w:bottom w:val="single" w:color="auto" w:sz="4" w:space="0"/>
            </w:tcBorders>
            <w:vAlign w:val="center"/>
          </w:tcPr>
          <w:p w14:paraId="061B3D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烟雾</w:t>
            </w:r>
          </w:p>
        </w:tc>
        <w:tc>
          <w:tcPr>
            <w:tcW w:w="557" w:type="pct"/>
            <w:tcBorders>
              <w:top w:val="single" w:color="auto" w:sz="4" w:space="0"/>
              <w:bottom w:val="single" w:color="auto" w:sz="4" w:space="0"/>
            </w:tcBorders>
            <w:vAlign w:val="center"/>
          </w:tcPr>
          <w:p w14:paraId="755D37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扩散</w:t>
            </w:r>
          </w:p>
        </w:tc>
        <w:tc>
          <w:tcPr>
            <w:tcW w:w="833" w:type="pct"/>
            <w:tcBorders>
              <w:top w:val="single" w:color="auto" w:sz="4" w:space="0"/>
              <w:bottom w:val="single" w:color="auto" w:sz="4" w:space="0"/>
            </w:tcBorders>
            <w:vAlign w:val="center"/>
          </w:tcPr>
          <w:p w14:paraId="4E7372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4" w:type="pct"/>
            <w:tcBorders>
              <w:top w:val="single" w:color="auto" w:sz="4" w:space="0"/>
              <w:bottom w:val="single" w:color="auto" w:sz="4" w:space="0"/>
              <w:right w:val="single" w:color="auto" w:sz="4" w:space="0"/>
            </w:tcBorders>
            <w:vAlign w:val="center"/>
          </w:tcPr>
          <w:p w14:paraId="5E18CD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沉降</w:t>
            </w:r>
          </w:p>
        </w:tc>
      </w:tr>
      <w:tr w14:paraId="27A9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continue"/>
            <w:tcBorders>
              <w:top w:val="single" w:color="auto" w:sz="4" w:space="0"/>
              <w:left w:val="single" w:color="auto" w:sz="4" w:space="0"/>
              <w:bottom w:val="single" w:color="auto" w:sz="4" w:space="0"/>
            </w:tcBorders>
            <w:vAlign w:val="center"/>
          </w:tcPr>
          <w:p w14:paraId="18B3DEF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8" w:type="pct"/>
            <w:vMerge w:val="continue"/>
            <w:tcBorders>
              <w:top w:val="single" w:color="auto" w:sz="4" w:space="0"/>
              <w:bottom w:val="single" w:color="auto" w:sz="4" w:space="0"/>
            </w:tcBorders>
            <w:vAlign w:val="center"/>
          </w:tcPr>
          <w:p w14:paraId="4F7BF4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0" w:type="pct"/>
            <w:tcBorders>
              <w:top w:val="single" w:color="auto" w:sz="4" w:space="0"/>
              <w:bottom w:val="single" w:color="auto" w:sz="4" w:space="0"/>
            </w:tcBorders>
            <w:vAlign w:val="center"/>
          </w:tcPr>
          <w:p w14:paraId="3576DD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伴生毒物</w:t>
            </w:r>
          </w:p>
        </w:tc>
        <w:tc>
          <w:tcPr>
            <w:tcW w:w="557" w:type="pct"/>
            <w:tcBorders>
              <w:top w:val="single" w:color="auto" w:sz="4" w:space="0"/>
              <w:bottom w:val="single" w:color="auto" w:sz="4" w:space="0"/>
            </w:tcBorders>
            <w:vAlign w:val="center"/>
          </w:tcPr>
          <w:p w14:paraId="5A684D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扩散</w:t>
            </w:r>
          </w:p>
        </w:tc>
        <w:tc>
          <w:tcPr>
            <w:tcW w:w="833" w:type="pct"/>
            <w:tcBorders>
              <w:top w:val="single" w:color="auto" w:sz="4" w:space="0"/>
              <w:bottom w:val="single" w:color="auto" w:sz="4" w:space="0"/>
            </w:tcBorders>
            <w:vAlign w:val="center"/>
          </w:tcPr>
          <w:p w14:paraId="322361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4" w:type="pct"/>
            <w:tcBorders>
              <w:top w:val="single" w:color="auto" w:sz="4" w:space="0"/>
              <w:bottom w:val="single" w:color="auto" w:sz="4" w:space="0"/>
              <w:right w:val="single" w:color="auto" w:sz="4" w:space="0"/>
            </w:tcBorders>
            <w:vAlign w:val="center"/>
          </w:tcPr>
          <w:p w14:paraId="044969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沉降</w:t>
            </w:r>
          </w:p>
        </w:tc>
      </w:tr>
      <w:tr w14:paraId="06A0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continue"/>
            <w:tcBorders>
              <w:top w:val="single" w:color="auto" w:sz="4" w:space="0"/>
              <w:left w:val="single" w:color="auto" w:sz="4" w:space="0"/>
              <w:bottom w:val="single" w:color="auto" w:sz="4" w:space="0"/>
            </w:tcBorders>
            <w:vAlign w:val="center"/>
          </w:tcPr>
          <w:p w14:paraId="076731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8" w:type="pct"/>
            <w:vMerge w:val="restart"/>
            <w:tcBorders>
              <w:top w:val="single" w:color="auto" w:sz="4" w:space="0"/>
              <w:bottom w:val="single" w:color="auto" w:sz="4" w:space="0"/>
            </w:tcBorders>
            <w:vAlign w:val="center"/>
          </w:tcPr>
          <w:p w14:paraId="16C721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输送系统</w:t>
            </w:r>
          </w:p>
        </w:tc>
        <w:tc>
          <w:tcPr>
            <w:tcW w:w="920" w:type="pct"/>
            <w:tcBorders>
              <w:top w:val="single" w:color="auto" w:sz="4" w:space="0"/>
              <w:bottom w:val="single" w:color="auto" w:sz="4" w:space="0"/>
            </w:tcBorders>
            <w:vAlign w:val="center"/>
          </w:tcPr>
          <w:p w14:paraId="778185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气态</w:t>
            </w:r>
          </w:p>
        </w:tc>
        <w:tc>
          <w:tcPr>
            <w:tcW w:w="557" w:type="pct"/>
            <w:tcBorders>
              <w:top w:val="single" w:color="auto" w:sz="4" w:space="0"/>
              <w:bottom w:val="single" w:color="auto" w:sz="4" w:space="0"/>
            </w:tcBorders>
            <w:vAlign w:val="center"/>
          </w:tcPr>
          <w:p w14:paraId="6FA416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扩散</w:t>
            </w:r>
          </w:p>
        </w:tc>
        <w:tc>
          <w:tcPr>
            <w:tcW w:w="833" w:type="pct"/>
            <w:tcBorders>
              <w:top w:val="single" w:color="auto" w:sz="4" w:space="0"/>
              <w:bottom w:val="single" w:color="auto" w:sz="4" w:space="0"/>
            </w:tcBorders>
            <w:vAlign w:val="center"/>
          </w:tcPr>
          <w:p w14:paraId="5322F6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4" w:type="pct"/>
            <w:tcBorders>
              <w:top w:val="single" w:color="auto" w:sz="4" w:space="0"/>
              <w:bottom w:val="single" w:color="auto" w:sz="4" w:space="0"/>
              <w:right w:val="single" w:color="auto" w:sz="4" w:space="0"/>
            </w:tcBorders>
            <w:vAlign w:val="center"/>
          </w:tcPr>
          <w:p w14:paraId="2A353F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沉降</w:t>
            </w:r>
          </w:p>
        </w:tc>
      </w:tr>
      <w:tr w14:paraId="26DE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pct"/>
            <w:vMerge w:val="continue"/>
            <w:tcBorders>
              <w:top w:val="single" w:color="auto" w:sz="4" w:space="0"/>
              <w:left w:val="single" w:color="auto" w:sz="4" w:space="0"/>
              <w:bottom w:val="single" w:color="auto" w:sz="4" w:space="0"/>
            </w:tcBorders>
            <w:vAlign w:val="center"/>
          </w:tcPr>
          <w:p w14:paraId="0297AE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8" w:type="pct"/>
            <w:vMerge w:val="continue"/>
            <w:tcBorders>
              <w:top w:val="single" w:color="auto" w:sz="4" w:space="0"/>
              <w:bottom w:val="single" w:color="auto" w:sz="4" w:space="0"/>
            </w:tcBorders>
            <w:vAlign w:val="center"/>
          </w:tcPr>
          <w:p w14:paraId="730467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0" w:type="pct"/>
            <w:tcBorders>
              <w:top w:val="single" w:color="auto" w:sz="4" w:space="0"/>
              <w:bottom w:val="single" w:color="auto" w:sz="4" w:space="0"/>
              <w:right w:val="single" w:color="auto" w:sz="4" w:space="0"/>
            </w:tcBorders>
            <w:vAlign w:val="center"/>
          </w:tcPr>
          <w:p w14:paraId="13D9EB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液态</w:t>
            </w:r>
          </w:p>
        </w:tc>
        <w:tc>
          <w:tcPr>
            <w:tcW w:w="557" w:type="pct"/>
            <w:tcBorders>
              <w:top w:val="single" w:color="auto" w:sz="4" w:space="0"/>
              <w:left w:val="single" w:color="auto" w:sz="4" w:space="0"/>
              <w:bottom w:val="single" w:color="auto" w:sz="4" w:space="0"/>
            </w:tcBorders>
            <w:vAlign w:val="center"/>
          </w:tcPr>
          <w:p w14:paraId="7887D0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w:t>
            </w:r>
          </w:p>
        </w:tc>
        <w:tc>
          <w:tcPr>
            <w:tcW w:w="833" w:type="pct"/>
            <w:tcBorders>
              <w:top w:val="single" w:color="auto" w:sz="4" w:space="0"/>
              <w:bottom w:val="single" w:color="auto" w:sz="4" w:space="0"/>
            </w:tcBorders>
            <w:vAlign w:val="center"/>
          </w:tcPr>
          <w:p w14:paraId="013579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消防废水</w:t>
            </w:r>
          </w:p>
        </w:tc>
        <w:tc>
          <w:tcPr>
            <w:tcW w:w="834" w:type="pct"/>
            <w:tcBorders>
              <w:top w:val="single" w:color="auto" w:sz="4" w:space="0"/>
              <w:bottom w:val="single" w:color="auto" w:sz="4" w:space="0"/>
              <w:right w:val="single" w:color="auto" w:sz="4" w:space="0"/>
            </w:tcBorders>
            <w:vAlign w:val="center"/>
          </w:tcPr>
          <w:p w14:paraId="175600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渗透、吸收</w:t>
            </w:r>
          </w:p>
        </w:tc>
      </w:tr>
    </w:tbl>
    <w:p w14:paraId="13AACFDB">
      <w:pPr>
        <w:keepLines w:val="0"/>
        <w:pageBreakBefore w:val="0"/>
        <w:widowControl w:val="0"/>
        <w:kinsoku/>
        <w:wordWrap/>
        <w:overflowPunct/>
        <w:topLinePunct w:val="0"/>
        <w:autoSpaceDE/>
        <w:autoSpaceDN/>
        <w:bidi w:val="0"/>
        <w:adjustRightInd w:val="0"/>
        <w:spacing w:line="14" w:lineRule="exact"/>
        <w:jc w:val="both"/>
        <w:textAlignment w:val="auto"/>
        <w:outlineLvl w:val="9"/>
        <w:rPr>
          <w:rFonts w:eastAsia="宋体"/>
          <w:kern w:val="2"/>
          <w:szCs w:val="22"/>
          <w:lang w:val="en-US" w:eastAsia="zh-CN" w:bidi="ar-SA"/>
        </w:rPr>
      </w:pPr>
    </w:p>
    <w:p w14:paraId="25B54C79">
      <w:pPr>
        <w:pStyle w:val="2"/>
        <w:bidi w:val="0"/>
        <w:rPr>
          <w:lang w:val="en-US" w:eastAsia="zh-CN"/>
        </w:rPr>
      </w:pPr>
      <w:r>
        <w:rPr>
          <w:lang w:val="en-US" w:eastAsia="zh-CN"/>
        </w:rPr>
        <w:t>5.4 环境风险识别结果</w:t>
      </w:r>
    </w:p>
    <w:p w14:paraId="1A5193DA">
      <w:pPr>
        <w:bidi w:val="0"/>
        <w:rPr>
          <w:lang w:val="en-US" w:eastAsia="zh-CN"/>
        </w:rPr>
      </w:pPr>
      <w:r>
        <w:rPr>
          <w:lang w:val="en-US" w:eastAsia="zh-CN"/>
        </w:rPr>
        <w:t>项目涉及的危险物质包括</w:t>
      </w:r>
      <w:r>
        <w:rPr>
          <w:rFonts w:hint="default"/>
          <w:lang w:val="en-US" w:eastAsia="zh-CN"/>
        </w:rPr>
        <w:t>1#</w:t>
      </w:r>
      <w:r>
        <w:rPr>
          <w:rFonts w:hint="eastAsia"/>
          <w:lang w:val="en-US" w:eastAsia="zh-CN"/>
        </w:rPr>
        <w:t>轻烃、碳五烷烃</w:t>
      </w:r>
      <w:r>
        <w:rPr>
          <w:lang w:val="en-US" w:eastAsia="zh-CN"/>
        </w:rPr>
        <w:t>。</w:t>
      </w:r>
    </w:p>
    <w:p w14:paraId="7CAF33B8">
      <w:pPr>
        <w:bidi w:val="0"/>
        <w:rPr>
          <w:lang w:val="en-US" w:eastAsia="zh-CN"/>
        </w:rPr>
      </w:pPr>
      <w:r>
        <w:rPr>
          <w:lang w:val="en-US" w:eastAsia="zh-CN"/>
        </w:rPr>
        <w:t>根据项目的工程资料、类比国内外同行业和同类型事故，本项目的主要风险类型为储罐泄漏事故及管道泄漏事故泄漏而引发的火灾爆炸事故和废气排放事故。本项目风险识别结果详见下表</w:t>
      </w:r>
      <w:r>
        <w:rPr>
          <w:rFonts w:hint="eastAsia"/>
          <w:lang w:val="en-US" w:eastAsia="zh-CN"/>
        </w:rPr>
        <w:t>。</w:t>
      </w:r>
    </w:p>
    <w:p w14:paraId="2FF0894B">
      <w:pPr>
        <w:pStyle w:val="4"/>
        <w:bidi w:val="0"/>
        <w:rPr>
          <w:lang w:val="en-US" w:eastAsia="zh-CN"/>
        </w:rPr>
      </w:pPr>
      <w:r>
        <w:rPr>
          <w:lang w:val="en-US" w:eastAsia="zh-CN"/>
        </w:rPr>
        <w:t>表</w:t>
      </w:r>
      <w:r>
        <w:rPr>
          <w:rFonts w:hint="eastAsia"/>
          <w:lang w:val="en-US" w:eastAsia="zh-CN"/>
        </w:rPr>
        <w:t>5-4</w:t>
      </w:r>
      <w:r>
        <w:rPr>
          <w:lang w:val="en-US" w:eastAsia="zh-CN"/>
        </w:rPr>
        <w:t xml:space="preserve">  建设项目环境风险识别表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980"/>
        <w:gridCol w:w="924"/>
        <w:gridCol w:w="954"/>
        <w:gridCol w:w="4183"/>
        <w:gridCol w:w="1276"/>
      </w:tblGrid>
      <w:tr w14:paraId="4E74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DF02D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危险单元</w:t>
            </w:r>
          </w:p>
        </w:tc>
        <w:tc>
          <w:tcPr>
            <w:tcW w:w="980" w:type="dxa"/>
            <w:vAlign w:val="center"/>
          </w:tcPr>
          <w:p w14:paraId="3EE112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风险源</w:t>
            </w:r>
          </w:p>
        </w:tc>
        <w:tc>
          <w:tcPr>
            <w:tcW w:w="924" w:type="dxa"/>
            <w:vAlign w:val="center"/>
          </w:tcPr>
          <w:p w14:paraId="22A425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主要危险物质</w:t>
            </w:r>
          </w:p>
        </w:tc>
        <w:tc>
          <w:tcPr>
            <w:tcW w:w="0" w:type="auto"/>
            <w:vAlign w:val="center"/>
          </w:tcPr>
          <w:p w14:paraId="453F86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环境风险类型</w:t>
            </w:r>
          </w:p>
        </w:tc>
        <w:tc>
          <w:tcPr>
            <w:tcW w:w="4183" w:type="dxa"/>
            <w:vAlign w:val="center"/>
          </w:tcPr>
          <w:p w14:paraId="522C1B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环境影响途径</w:t>
            </w:r>
          </w:p>
        </w:tc>
        <w:tc>
          <w:tcPr>
            <w:tcW w:w="1276" w:type="dxa"/>
            <w:vAlign w:val="center"/>
          </w:tcPr>
          <w:p w14:paraId="3E222A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可能受影响的环境敏感目标</w:t>
            </w:r>
          </w:p>
        </w:tc>
      </w:tr>
      <w:tr w14:paraId="4D62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51B646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罐区</w:t>
            </w:r>
          </w:p>
        </w:tc>
        <w:tc>
          <w:tcPr>
            <w:tcW w:w="980" w:type="dxa"/>
            <w:vMerge w:val="restart"/>
            <w:vAlign w:val="center"/>
          </w:tcPr>
          <w:p w14:paraId="216A24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rFonts w:hint="eastAsia"/>
                <w:sz w:val="21"/>
                <w:szCs w:val="21"/>
                <w:lang w:val="en-US" w:eastAsia="zh-CN"/>
              </w:rPr>
              <w:t>罐区四</w:t>
            </w:r>
          </w:p>
        </w:tc>
        <w:tc>
          <w:tcPr>
            <w:tcW w:w="924" w:type="dxa"/>
            <w:vMerge w:val="restart"/>
            <w:vAlign w:val="center"/>
          </w:tcPr>
          <w:p w14:paraId="11ABD4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rFonts w:hint="default"/>
                <w:sz w:val="21"/>
                <w:szCs w:val="21"/>
                <w:lang w:val="en-US" w:eastAsia="zh-CN"/>
              </w:rPr>
              <w:t>1#</w:t>
            </w:r>
            <w:r>
              <w:rPr>
                <w:rFonts w:hint="eastAsia"/>
                <w:sz w:val="21"/>
                <w:szCs w:val="21"/>
                <w:lang w:val="en-US" w:eastAsia="zh-CN"/>
              </w:rPr>
              <w:t>轻烃、碳五烷烃</w:t>
            </w:r>
          </w:p>
        </w:tc>
        <w:tc>
          <w:tcPr>
            <w:tcW w:w="0" w:type="auto"/>
            <w:vAlign w:val="center"/>
          </w:tcPr>
          <w:p w14:paraId="12594C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泄漏</w:t>
            </w:r>
          </w:p>
        </w:tc>
        <w:tc>
          <w:tcPr>
            <w:tcW w:w="4183" w:type="dxa"/>
            <w:vAlign w:val="center"/>
          </w:tcPr>
          <w:p w14:paraId="3B8858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泄漏的有毒物质进入外环境对大气环境、水环境以及土壤产生不利影响</w:t>
            </w:r>
          </w:p>
        </w:tc>
        <w:tc>
          <w:tcPr>
            <w:tcW w:w="1276" w:type="dxa"/>
            <w:vMerge w:val="restart"/>
            <w:vAlign w:val="center"/>
          </w:tcPr>
          <w:p w14:paraId="2F9643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影响范围内的周边居民</w:t>
            </w:r>
          </w:p>
        </w:tc>
      </w:tr>
      <w:tr w14:paraId="14B6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1398F4E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80" w:type="dxa"/>
            <w:vMerge w:val="continue"/>
            <w:vAlign w:val="center"/>
          </w:tcPr>
          <w:p w14:paraId="7C0869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4" w:type="dxa"/>
            <w:vMerge w:val="continue"/>
            <w:vAlign w:val="center"/>
          </w:tcPr>
          <w:p w14:paraId="24A74D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0" w:type="auto"/>
            <w:vMerge w:val="restart"/>
            <w:vAlign w:val="center"/>
          </w:tcPr>
          <w:p w14:paraId="76B744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火灾、爆炸</w:t>
            </w:r>
          </w:p>
        </w:tc>
        <w:tc>
          <w:tcPr>
            <w:tcW w:w="4183" w:type="dxa"/>
            <w:vAlign w:val="center"/>
          </w:tcPr>
          <w:p w14:paraId="6E729C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火灾、爆炸危险物质未完全燃烧在高温下迅速挥发释放至大气</w:t>
            </w:r>
          </w:p>
        </w:tc>
        <w:tc>
          <w:tcPr>
            <w:tcW w:w="1276" w:type="dxa"/>
            <w:vMerge w:val="continue"/>
            <w:vAlign w:val="center"/>
          </w:tcPr>
          <w:p w14:paraId="691613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r>
      <w:tr w14:paraId="4C64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AFFCF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80" w:type="dxa"/>
            <w:vMerge w:val="continue"/>
            <w:vAlign w:val="center"/>
          </w:tcPr>
          <w:p w14:paraId="3EA11A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4" w:type="dxa"/>
            <w:vMerge w:val="continue"/>
            <w:vAlign w:val="center"/>
          </w:tcPr>
          <w:p w14:paraId="25FFDC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0" w:type="auto"/>
            <w:vMerge w:val="continue"/>
            <w:vAlign w:val="center"/>
          </w:tcPr>
          <w:p w14:paraId="2B84A3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4183" w:type="dxa"/>
            <w:vAlign w:val="center"/>
          </w:tcPr>
          <w:p w14:paraId="1733EC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火灾、爆炸产生的二次污染物对大气环境产生不利影响：火灾、爆炸产生的消防废水进入外环境，对周边水体产生不利影响</w:t>
            </w:r>
          </w:p>
        </w:tc>
        <w:tc>
          <w:tcPr>
            <w:tcW w:w="1276" w:type="dxa"/>
            <w:vMerge w:val="continue"/>
            <w:vAlign w:val="center"/>
          </w:tcPr>
          <w:p w14:paraId="154759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r>
      <w:tr w14:paraId="1DB3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5CB1EF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rFonts w:hint="eastAsia"/>
                <w:sz w:val="21"/>
                <w:szCs w:val="21"/>
                <w:lang w:val="en-US" w:eastAsia="zh-CN"/>
              </w:rPr>
              <w:t>输送管道</w:t>
            </w:r>
          </w:p>
        </w:tc>
        <w:tc>
          <w:tcPr>
            <w:tcW w:w="980" w:type="dxa"/>
            <w:vMerge w:val="restart"/>
            <w:vAlign w:val="center"/>
          </w:tcPr>
          <w:p w14:paraId="2AC348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rFonts w:hint="eastAsia"/>
                <w:sz w:val="21"/>
                <w:szCs w:val="21"/>
                <w:lang w:val="en-US" w:eastAsia="zh-CN"/>
              </w:rPr>
              <w:t>输送管道</w:t>
            </w:r>
          </w:p>
        </w:tc>
        <w:tc>
          <w:tcPr>
            <w:tcW w:w="924" w:type="dxa"/>
            <w:vMerge w:val="restart"/>
            <w:vAlign w:val="center"/>
          </w:tcPr>
          <w:p w14:paraId="02C7D1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rFonts w:hint="default"/>
                <w:sz w:val="21"/>
                <w:szCs w:val="21"/>
                <w:lang w:val="en-US" w:eastAsia="zh-CN"/>
              </w:rPr>
              <w:t>1#</w:t>
            </w:r>
            <w:r>
              <w:rPr>
                <w:rFonts w:hint="eastAsia"/>
                <w:sz w:val="21"/>
                <w:szCs w:val="21"/>
                <w:lang w:val="en-US" w:eastAsia="zh-CN"/>
              </w:rPr>
              <w:t>轻烃、碳五烷烃</w:t>
            </w:r>
          </w:p>
        </w:tc>
        <w:tc>
          <w:tcPr>
            <w:tcW w:w="0" w:type="auto"/>
            <w:vAlign w:val="center"/>
          </w:tcPr>
          <w:p w14:paraId="1A6645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管线破裂泄漏</w:t>
            </w:r>
          </w:p>
        </w:tc>
        <w:tc>
          <w:tcPr>
            <w:tcW w:w="4183" w:type="dxa"/>
            <w:vAlign w:val="center"/>
          </w:tcPr>
          <w:p w14:paraId="6E935C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泄漏的有毒物质进入外环境对大气环境、水环境以及土壤产生不利影响</w:t>
            </w:r>
          </w:p>
        </w:tc>
        <w:tc>
          <w:tcPr>
            <w:tcW w:w="1276" w:type="dxa"/>
            <w:vMerge w:val="continue"/>
            <w:vAlign w:val="center"/>
          </w:tcPr>
          <w:p w14:paraId="549C72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r>
      <w:tr w14:paraId="44DEA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924F1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80" w:type="dxa"/>
            <w:vMerge w:val="continue"/>
            <w:vAlign w:val="center"/>
          </w:tcPr>
          <w:p w14:paraId="60CB16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4" w:type="dxa"/>
            <w:vMerge w:val="continue"/>
            <w:vAlign w:val="center"/>
          </w:tcPr>
          <w:p w14:paraId="168EB2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0" w:type="auto"/>
            <w:vMerge w:val="restart"/>
            <w:vAlign w:val="center"/>
          </w:tcPr>
          <w:p w14:paraId="35B0B8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火灾、爆炸</w:t>
            </w:r>
          </w:p>
        </w:tc>
        <w:tc>
          <w:tcPr>
            <w:tcW w:w="4183" w:type="dxa"/>
            <w:vAlign w:val="center"/>
          </w:tcPr>
          <w:p w14:paraId="5013A2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火灾、爆炸危险物质未完全燃烧在</w:t>
            </w:r>
          </w:p>
          <w:p w14:paraId="1422FF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高温下迅速挥发释放至大气</w:t>
            </w:r>
          </w:p>
        </w:tc>
        <w:tc>
          <w:tcPr>
            <w:tcW w:w="1276" w:type="dxa"/>
            <w:vMerge w:val="continue"/>
            <w:vAlign w:val="center"/>
          </w:tcPr>
          <w:p w14:paraId="2D1844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r>
      <w:tr w14:paraId="047C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0" w:type="auto"/>
            <w:vMerge w:val="continue"/>
            <w:vAlign w:val="center"/>
          </w:tcPr>
          <w:p w14:paraId="489C9A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80" w:type="dxa"/>
            <w:vMerge w:val="continue"/>
            <w:vAlign w:val="center"/>
          </w:tcPr>
          <w:p w14:paraId="48BB13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4" w:type="dxa"/>
            <w:vMerge w:val="continue"/>
            <w:vAlign w:val="center"/>
          </w:tcPr>
          <w:p w14:paraId="320F64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0" w:type="auto"/>
            <w:vMerge w:val="continue"/>
            <w:vAlign w:val="center"/>
          </w:tcPr>
          <w:p w14:paraId="2A988E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4183" w:type="dxa"/>
            <w:vAlign w:val="center"/>
          </w:tcPr>
          <w:p w14:paraId="634CB4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火灾、爆炸产生的二次污染物对大气环境产生不利影响：火灾、爆炸</w:t>
            </w:r>
          </w:p>
        </w:tc>
        <w:tc>
          <w:tcPr>
            <w:tcW w:w="1276" w:type="dxa"/>
            <w:vMerge w:val="continue"/>
            <w:vAlign w:val="center"/>
          </w:tcPr>
          <w:p w14:paraId="7EBDCD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r>
      <w:tr w14:paraId="5858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6B5D8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80" w:type="dxa"/>
            <w:vMerge w:val="continue"/>
            <w:vAlign w:val="center"/>
          </w:tcPr>
          <w:p w14:paraId="1D664A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924" w:type="dxa"/>
            <w:vMerge w:val="continue"/>
            <w:vAlign w:val="center"/>
          </w:tcPr>
          <w:p w14:paraId="1614DE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0" w:type="auto"/>
            <w:vMerge w:val="continue"/>
            <w:vAlign w:val="center"/>
          </w:tcPr>
          <w:p w14:paraId="1BAC9B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c>
          <w:tcPr>
            <w:tcW w:w="4183" w:type="dxa"/>
            <w:vAlign w:val="center"/>
          </w:tcPr>
          <w:p w14:paraId="7B7EE9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产生的消防废水进入外环境，对周</w:t>
            </w:r>
          </w:p>
          <w:p w14:paraId="16726E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边水体产生不利影响</w:t>
            </w:r>
          </w:p>
        </w:tc>
        <w:tc>
          <w:tcPr>
            <w:tcW w:w="1276" w:type="dxa"/>
            <w:vMerge w:val="continue"/>
            <w:vAlign w:val="center"/>
          </w:tcPr>
          <w:p w14:paraId="27102B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r>
      <w:tr w14:paraId="6509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FE016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环保设施区</w:t>
            </w:r>
          </w:p>
        </w:tc>
        <w:tc>
          <w:tcPr>
            <w:tcW w:w="980" w:type="dxa"/>
            <w:vAlign w:val="center"/>
          </w:tcPr>
          <w:p w14:paraId="4705AC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废气处理设施</w:t>
            </w:r>
          </w:p>
        </w:tc>
        <w:tc>
          <w:tcPr>
            <w:tcW w:w="924" w:type="dxa"/>
            <w:vAlign w:val="center"/>
          </w:tcPr>
          <w:p w14:paraId="75ABD5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挥发性有机物</w:t>
            </w:r>
          </w:p>
        </w:tc>
        <w:tc>
          <w:tcPr>
            <w:tcW w:w="0" w:type="auto"/>
            <w:vAlign w:val="center"/>
          </w:tcPr>
          <w:p w14:paraId="631C4C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处理设施失效</w:t>
            </w:r>
          </w:p>
        </w:tc>
        <w:tc>
          <w:tcPr>
            <w:tcW w:w="4183" w:type="dxa"/>
            <w:vAlign w:val="center"/>
          </w:tcPr>
          <w:p w14:paraId="4F7797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废气处理设施失效，废气未经有效</w:t>
            </w:r>
          </w:p>
          <w:p w14:paraId="6CF1CF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r>
              <w:rPr>
                <w:sz w:val="21"/>
                <w:szCs w:val="21"/>
                <w:lang w:val="en-US" w:eastAsia="zh-CN"/>
              </w:rPr>
              <w:t>处理直接排放至大气环境</w:t>
            </w:r>
          </w:p>
        </w:tc>
        <w:tc>
          <w:tcPr>
            <w:tcW w:w="1276" w:type="dxa"/>
            <w:vMerge w:val="continue"/>
            <w:vAlign w:val="center"/>
          </w:tcPr>
          <w:p w14:paraId="71FFD6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sz w:val="21"/>
                <w:szCs w:val="21"/>
                <w:lang w:val="en-US" w:eastAsia="zh-CN"/>
              </w:rPr>
            </w:pPr>
          </w:p>
        </w:tc>
      </w:tr>
    </w:tbl>
    <w:p w14:paraId="4CED89F5">
      <w:pPr>
        <w:pStyle w:val="2"/>
        <w:bidi w:val="0"/>
        <w:rPr>
          <w:lang w:val="en-US" w:eastAsia="zh-CN"/>
        </w:rPr>
      </w:pPr>
      <w:r>
        <w:rPr>
          <w:rFonts w:hint="eastAsia"/>
          <w:lang w:val="en-US" w:eastAsia="zh-CN"/>
        </w:rPr>
        <w:t xml:space="preserve">6 </w:t>
      </w:r>
      <w:r>
        <w:rPr>
          <w:lang w:val="en-US" w:eastAsia="zh-CN"/>
        </w:rPr>
        <w:t>环境风险事故情形分析</w:t>
      </w:r>
    </w:p>
    <w:p w14:paraId="4FD26B0C">
      <w:pPr>
        <w:pStyle w:val="2"/>
        <w:bidi w:val="0"/>
        <w:rPr>
          <w:lang w:val="en-US" w:eastAsia="zh-CN"/>
        </w:rPr>
      </w:pPr>
      <w:r>
        <w:rPr>
          <w:rFonts w:hint="eastAsia"/>
          <w:lang w:val="en-US" w:eastAsia="zh-CN"/>
        </w:rPr>
        <w:t xml:space="preserve">6.1 </w:t>
      </w:r>
      <w:r>
        <w:rPr>
          <w:lang w:val="en-US" w:eastAsia="zh-CN"/>
        </w:rPr>
        <w:t>事故统计分析</w:t>
      </w:r>
    </w:p>
    <w:p w14:paraId="56618C8A">
      <w:pPr>
        <w:bidi w:val="0"/>
        <w:rPr>
          <w:lang w:val="en-US" w:eastAsia="zh-CN"/>
        </w:rPr>
      </w:pPr>
      <w:r>
        <w:rPr>
          <w:lang w:val="en-US" w:eastAsia="zh-CN"/>
        </w:rPr>
        <w:t>（1）化工厂事故统计</w:t>
      </w:r>
    </w:p>
    <w:p w14:paraId="77597A86">
      <w:pPr>
        <w:bidi w:val="0"/>
        <w:rPr>
          <w:lang w:val="en-US" w:eastAsia="zh-CN"/>
        </w:rPr>
      </w:pPr>
      <w:r>
        <w:rPr>
          <w:lang w:val="en-US" w:eastAsia="zh-CN"/>
        </w:rPr>
        <w:t>根据《全国化工事故案例集》（化学工业部科学技术情报研究所），调查统计了1949~1982年间全国13440例的事故案例，事故类型包括物体打击、火灾、物理爆炸、化学爆炸、</w:t>
      </w:r>
      <w:r>
        <w:rPr>
          <w:rFonts w:hint="eastAsia"/>
          <w:lang w:val="en-US" w:eastAsia="zh-CN"/>
        </w:rPr>
        <w:t>中毒和窒息、其他伤害</w:t>
      </w:r>
      <w:r>
        <w:rPr>
          <w:lang w:val="en-US" w:eastAsia="zh-CN"/>
        </w:rPr>
        <w:t>等17类，事故原因有防护装置缺陷、违反操作规程、设计缺陷、保险装置缺陷等19种。</w:t>
      </w:r>
    </w:p>
    <w:p w14:paraId="0F2EC14C">
      <w:pPr>
        <w:bidi w:val="0"/>
        <w:rPr>
          <w:lang w:val="en-US" w:eastAsia="zh-CN"/>
        </w:rPr>
      </w:pPr>
      <w:r>
        <w:rPr>
          <w:lang w:val="en-US" w:eastAsia="zh-CN"/>
        </w:rPr>
        <w:t>在统计的13440例事故中，火灾261例（1.94%），爆炸1056例（7.86%），中毒和窒息505例（3.76%），灼烫828例（6.16%）。按事故原因分类，违反操作规程6165例（45.87%），设备缺陷1076例（8.00%），个人防护缺陷651例（4.84%），防护装置缺乏784例（5.83%），防护装置缺陷138例（1.03%），保险装置缺乏40例（0.29%），保险装置缺陷57例（0.42%）。从事故发生原因来看，违反操作规程是发生事故的最主要原因。</w:t>
      </w:r>
    </w:p>
    <w:p w14:paraId="0FBA367C">
      <w:pPr>
        <w:bidi w:val="0"/>
        <w:rPr>
          <w:lang w:val="en-US" w:eastAsia="zh-CN"/>
        </w:rPr>
      </w:pPr>
      <w:r>
        <w:rPr>
          <w:lang w:val="en-US" w:eastAsia="zh-CN"/>
        </w:rPr>
        <w:t>（2）近年国内企业事故统计</w:t>
      </w:r>
    </w:p>
    <w:p w14:paraId="75C8FD86">
      <w:pPr>
        <w:bidi w:val="0"/>
        <w:rPr>
          <w:lang w:val="en-US" w:eastAsia="zh-CN"/>
        </w:rPr>
      </w:pPr>
      <w:r>
        <w:rPr>
          <w:lang w:val="en-US" w:eastAsia="zh-CN"/>
        </w:rPr>
        <w:t>根据近年来国内企业事故的统计，物料泄漏原因统计列于表</w:t>
      </w:r>
      <w:r>
        <w:rPr>
          <w:rFonts w:hint="eastAsia"/>
          <w:lang w:val="en-US" w:eastAsia="zh-CN"/>
        </w:rPr>
        <w:t>6-1</w:t>
      </w:r>
      <w:r>
        <w:rPr>
          <w:lang w:val="en-US" w:eastAsia="zh-CN"/>
        </w:rPr>
        <w:t>。</w:t>
      </w:r>
    </w:p>
    <w:p w14:paraId="3AB2ECA6">
      <w:pPr>
        <w:keepNext/>
        <w:keepLines w:val="0"/>
        <w:pageBreakBefore w:val="0"/>
        <w:widowControl w:val="0"/>
        <w:kinsoku/>
        <w:wordWrap/>
        <w:overflowPunct/>
        <w:topLinePunct w:val="0"/>
        <w:autoSpaceDE/>
        <w:autoSpaceDN/>
        <w:bidi w:val="0"/>
        <w:adjustRightInd w:val="0"/>
        <w:snapToGrid/>
        <w:spacing w:before="164" w:beforeLines="50" w:after="0" w:afterLines="0" w:line="240" w:lineRule="auto"/>
        <w:jc w:val="center"/>
        <w:textAlignment w:val="auto"/>
        <w:outlineLvl w:val="9"/>
        <w:rPr>
          <w:rFonts w:eastAsia="宋体" w:cs="Calibri"/>
          <w:b/>
          <w:kern w:val="2"/>
          <w:lang w:val="en-US" w:eastAsia="zh-CN" w:bidi="ar-SA"/>
        </w:rPr>
      </w:pPr>
      <w:r>
        <w:rPr>
          <w:rFonts w:eastAsia="宋体" w:cs="Calibri"/>
          <w:b/>
          <w:kern w:val="2"/>
          <w:lang w:val="en-US" w:eastAsia="zh-CN" w:bidi="ar-SA"/>
        </w:rPr>
        <w:t>表</w:t>
      </w:r>
      <w:r>
        <w:rPr>
          <w:rFonts w:hint="eastAsia" w:cs="Calibri"/>
          <w:b/>
          <w:kern w:val="2"/>
          <w:lang w:val="en-US" w:eastAsia="zh-CN" w:bidi="ar-SA"/>
        </w:rPr>
        <w:t>6-1</w:t>
      </w:r>
      <w:r>
        <w:rPr>
          <w:rFonts w:eastAsia="宋体" w:cs="Calibri"/>
          <w:b/>
          <w:kern w:val="2"/>
          <w:lang w:val="en-US" w:eastAsia="zh-CN" w:bidi="ar-SA"/>
        </w:rPr>
        <w:t xml:space="preserve">  物料泄漏事故原因统计分析</w:t>
      </w: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1817"/>
        <w:gridCol w:w="1807"/>
        <w:gridCol w:w="1807"/>
        <w:gridCol w:w="1812"/>
        <w:gridCol w:w="1818"/>
      </w:tblGrid>
      <w:tr w14:paraId="14FA02A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9" w:hRule="atLeast"/>
          <w:jc w:val="center"/>
        </w:trPr>
        <w:tc>
          <w:tcPr>
            <w:tcW w:w="1003" w:type="pct"/>
            <w:vAlign w:val="center"/>
          </w:tcPr>
          <w:p w14:paraId="542B7A56">
            <w:pPr>
              <w:pStyle w:val="5"/>
              <w:bidi w:val="0"/>
              <w:rPr>
                <w:lang w:val="en-US" w:eastAsia="zh-CN"/>
              </w:rPr>
            </w:pPr>
            <w:r>
              <w:rPr>
                <w:lang w:val="en-US" w:eastAsia="zh-CN"/>
              </w:rPr>
              <w:t>泵、阀门</w:t>
            </w:r>
          </w:p>
        </w:tc>
        <w:tc>
          <w:tcPr>
            <w:tcW w:w="997" w:type="pct"/>
            <w:vAlign w:val="center"/>
          </w:tcPr>
          <w:p w14:paraId="23011C45">
            <w:pPr>
              <w:pStyle w:val="5"/>
              <w:bidi w:val="0"/>
              <w:rPr>
                <w:lang w:val="en-US" w:eastAsia="zh-CN"/>
              </w:rPr>
            </w:pPr>
            <w:r>
              <w:rPr>
                <w:lang w:val="en-US" w:eastAsia="zh-CN"/>
              </w:rPr>
              <w:t>人为原因</w:t>
            </w:r>
          </w:p>
        </w:tc>
        <w:tc>
          <w:tcPr>
            <w:tcW w:w="997" w:type="pct"/>
            <w:vAlign w:val="center"/>
          </w:tcPr>
          <w:p w14:paraId="7CA65389">
            <w:pPr>
              <w:pStyle w:val="5"/>
              <w:bidi w:val="0"/>
              <w:rPr>
                <w:lang w:val="en-US" w:eastAsia="zh-CN"/>
              </w:rPr>
            </w:pPr>
            <w:r>
              <w:rPr>
                <w:lang w:val="en-US" w:eastAsia="zh-CN"/>
              </w:rPr>
              <w:t>腐蚀穿孔</w:t>
            </w:r>
          </w:p>
        </w:tc>
        <w:tc>
          <w:tcPr>
            <w:tcW w:w="1000" w:type="pct"/>
            <w:vAlign w:val="center"/>
          </w:tcPr>
          <w:p w14:paraId="13DFB21F">
            <w:pPr>
              <w:pStyle w:val="5"/>
              <w:bidi w:val="0"/>
              <w:rPr>
                <w:lang w:val="en-US" w:eastAsia="zh-CN"/>
              </w:rPr>
            </w:pPr>
            <w:r>
              <w:rPr>
                <w:lang w:val="en-US" w:eastAsia="zh-CN"/>
              </w:rPr>
              <w:t>工程隐患</w:t>
            </w:r>
          </w:p>
        </w:tc>
        <w:tc>
          <w:tcPr>
            <w:tcW w:w="1003" w:type="pct"/>
            <w:vAlign w:val="center"/>
          </w:tcPr>
          <w:p w14:paraId="07C112C7">
            <w:pPr>
              <w:pStyle w:val="5"/>
              <w:bidi w:val="0"/>
              <w:rPr>
                <w:lang w:val="en-US" w:eastAsia="zh-CN"/>
              </w:rPr>
            </w:pPr>
            <w:r>
              <w:rPr>
                <w:lang w:val="en-US" w:eastAsia="zh-CN"/>
              </w:rPr>
              <w:t>其它</w:t>
            </w:r>
          </w:p>
        </w:tc>
      </w:tr>
      <w:tr w14:paraId="6F38477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409" w:hRule="atLeast"/>
          <w:jc w:val="center"/>
        </w:trPr>
        <w:tc>
          <w:tcPr>
            <w:tcW w:w="1003" w:type="pct"/>
            <w:vAlign w:val="center"/>
          </w:tcPr>
          <w:p w14:paraId="5644C0DF">
            <w:pPr>
              <w:pStyle w:val="5"/>
              <w:bidi w:val="0"/>
              <w:rPr>
                <w:lang w:val="en-US" w:eastAsia="zh-CN"/>
              </w:rPr>
            </w:pPr>
            <w:r>
              <w:rPr>
                <w:lang w:val="en-US" w:eastAsia="zh-CN"/>
              </w:rPr>
              <w:t>40.5%</w:t>
            </w:r>
          </w:p>
        </w:tc>
        <w:tc>
          <w:tcPr>
            <w:tcW w:w="997" w:type="pct"/>
            <w:vAlign w:val="center"/>
          </w:tcPr>
          <w:p w14:paraId="26A7FCAF">
            <w:pPr>
              <w:pStyle w:val="5"/>
              <w:bidi w:val="0"/>
              <w:rPr>
                <w:lang w:val="en-US" w:eastAsia="zh-CN"/>
              </w:rPr>
            </w:pPr>
            <w:r>
              <w:rPr>
                <w:lang w:val="en-US" w:eastAsia="zh-CN"/>
              </w:rPr>
              <w:t>15.0%</w:t>
            </w:r>
          </w:p>
        </w:tc>
        <w:tc>
          <w:tcPr>
            <w:tcW w:w="997" w:type="pct"/>
            <w:vAlign w:val="center"/>
          </w:tcPr>
          <w:p w14:paraId="15959EF7">
            <w:pPr>
              <w:pStyle w:val="5"/>
              <w:bidi w:val="0"/>
              <w:rPr>
                <w:lang w:val="en-US" w:eastAsia="zh-CN"/>
              </w:rPr>
            </w:pPr>
            <w:r>
              <w:rPr>
                <w:lang w:val="en-US" w:eastAsia="zh-CN"/>
              </w:rPr>
              <w:t>6.5%</w:t>
            </w:r>
          </w:p>
        </w:tc>
        <w:tc>
          <w:tcPr>
            <w:tcW w:w="1000" w:type="pct"/>
            <w:vAlign w:val="center"/>
          </w:tcPr>
          <w:p w14:paraId="280037F5">
            <w:pPr>
              <w:pStyle w:val="5"/>
              <w:bidi w:val="0"/>
              <w:rPr>
                <w:lang w:val="en-US" w:eastAsia="zh-CN"/>
              </w:rPr>
            </w:pPr>
            <w:r>
              <w:rPr>
                <w:lang w:val="en-US" w:eastAsia="zh-CN"/>
              </w:rPr>
              <w:t>19.7%</w:t>
            </w:r>
          </w:p>
        </w:tc>
        <w:tc>
          <w:tcPr>
            <w:tcW w:w="1003" w:type="pct"/>
            <w:vAlign w:val="center"/>
          </w:tcPr>
          <w:p w14:paraId="2B6F7DC2">
            <w:pPr>
              <w:pStyle w:val="5"/>
              <w:bidi w:val="0"/>
              <w:rPr>
                <w:lang w:val="en-US" w:eastAsia="zh-CN"/>
              </w:rPr>
            </w:pPr>
            <w:r>
              <w:rPr>
                <w:lang w:val="en-US" w:eastAsia="zh-CN"/>
              </w:rPr>
              <w:t>18.3%</w:t>
            </w:r>
          </w:p>
        </w:tc>
      </w:tr>
    </w:tbl>
    <w:p w14:paraId="5D1A0E05">
      <w:pPr>
        <w:keepNext/>
        <w:keepLines w:val="0"/>
        <w:pageBreakBefore w:val="0"/>
        <w:widowControl w:val="0"/>
        <w:kinsoku/>
        <w:wordWrap/>
        <w:overflowPunct/>
        <w:topLinePunct w:val="0"/>
        <w:autoSpaceDE/>
        <w:autoSpaceDN/>
        <w:bidi w:val="0"/>
        <w:adjustRightInd w:val="0"/>
        <w:spacing w:line="360" w:lineRule="auto"/>
        <w:jc w:val="left"/>
        <w:textAlignment w:val="auto"/>
        <w:outlineLvl w:val="9"/>
        <w:rPr>
          <w:rFonts w:eastAsia="宋体" w:cs="Calibri"/>
          <w:b/>
          <w:kern w:val="2"/>
          <w:sz w:val="28"/>
          <w:lang w:val="en-US" w:eastAsia="zh-CN" w:bidi="ar-SA"/>
        </w:rPr>
      </w:pPr>
      <w:r>
        <w:rPr>
          <w:rFonts w:hint="eastAsia"/>
          <w:b/>
          <w:kern w:val="2"/>
          <w:sz w:val="28"/>
          <w:lang w:val="en-US" w:eastAsia="zh-CN" w:bidi="ar-SA"/>
        </w:rPr>
        <w:t xml:space="preserve">6.2 </w:t>
      </w:r>
      <w:r>
        <w:rPr>
          <w:rFonts w:eastAsia="宋体" w:cs="Calibri"/>
          <w:b/>
          <w:kern w:val="2"/>
          <w:sz w:val="28"/>
          <w:lang w:val="en-US" w:eastAsia="zh-CN" w:bidi="ar-SA"/>
        </w:rPr>
        <w:t>环境风险事故情形设定</w:t>
      </w:r>
    </w:p>
    <w:p w14:paraId="4B98D0C6">
      <w:pPr>
        <w:bidi w:val="0"/>
        <w:rPr>
          <w:lang w:val="en-US" w:eastAsia="zh-CN"/>
        </w:rPr>
      </w:pPr>
      <w:r>
        <w:rPr>
          <w:lang w:val="en-US" w:eastAsia="zh-CN"/>
        </w:rPr>
        <w:t>本次模拟预测在设计可能出现的事故情景时，重点考虑发生污染危险可能性较大的工况、危险物质危害性较大以及危险物质对周围环境产生影响的途径。根据物质危险性、项目运营后工艺设备及储罐可能发生泄漏的事故概率及影响途径，设定事故情形为：</w:t>
      </w:r>
    </w:p>
    <w:p w14:paraId="408E188B">
      <w:pPr>
        <w:bidi w:val="0"/>
        <w:rPr>
          <w:lang w:val="en-US" w:eastAsia="zh-CN"/>
        </w:rPr>
      </w:pPr>
      <w:r>
        <w:rPr>
          <w:lang w:val="en-US" w:eastAsia="zh-CN"/>
        </w:rPr>
        <w:t>（1）大气环境风险源</w:t>
      </w:r>
    </w:p>
    <w:p w14:paraId="26505375">
      <w:pPr>
        <w:bidi w:val="0"/>
        <w:rPr>
          <w:lang w:val="en-US" w:eastAsia="zh-CN"/>
        </w:rPr>
      </w:pPr>
      <w:r>
        <w:rPr>
          <w:rFonts w:hint="eastAsia"/>
          <w:lang w:val="en-US" w:eastAsia="zh-CN"/>
        </w:rPr>
        <w:t>①</w:t>
      </w:r>
      <w:r>
        <w:rPr>
          <w:lang w:val="en-US" w:eastAsia="zh-CN"/>
        </w:rPr>
        <w:t>罐区的储料发生泄漏，直接挥发至空气中，对周边人群健康造成危害。</w:t>
      </w:r>
    </w:p>
    <w:p w14:paraId="729E6380">
      <w:pPr>
        <w:bidi w:val="0"/>
        <w:rPr>
          <w:lang w:val="en-US" w:eastAsia="zh-CN"/>
        </w:rPr>
      </w:pPr>
      <w:r>
        <w:rPr>
          <w:rFonts w:hint="eastAsia"/>
          <w:lang w:val="en-US" w:eastAsia="zh-CN"/>
        </w:rPr>
        <w:t>②</w:t>
      </w:r>
      <w:r>
        <w:rPr>
          <w:lang w:val="en-US" w:eastAsia="zh-CN"/>
        </w:rPr>
        <w:t>项目</w:t>
      </w:r>
      <w:r>
        <w:rPr>
          <w:rFonts w:hint="eastAsia"/>
          <w:lang w:val="en-US" w:eastAsia="zh-CN"/>
        </w:rPr>
        <w:t>涉及</w:t>
      </w:r>
      <w:r>
        <w:rPr>
          <w:lang w:val="en-US" w:eastAsia="zh-CN"/>
        </w:rPr>
        <w:t>的危险单元易燃物质遇高温或明火发生火灾、爆炸，引发伴生/次生污染物排放。</w:t>
      </w:r>
    </w:p>
    <w:p w14:paraId="415C27F3">
      <w:pPr>
        <w:bidi w:val="0"/>
        <w:rPr>
          <w:lang w:val="en-US" w:eastAsia="zh-CN"/>
        </w:rPr>
      </w:pPr>
      <w:r>
        <w:rPr>
          <w:lang w:val="en-US" w:eastAsia="zh-CN"/>
        </w:rPr>
        <w:t>（2）地下水环境风险源</w:t>
      </w:r>
    </w:p>
    <w:p w14:paraId="07757843">
      <w:pPr>
        <w:bidi w:val="0"/>
        <w:rPr>
          <w:lang w:val="en-US" w:eastAsia="zh-CN"/>
        </w:rPr>
      </w:pPr>
      <w:r>
        <w:rPr>
          <w:lang w:val="en-US" w:eastAsia="zh-CN"/>
        </w:rPr>
        <w:t>本项目涉及危险物质的储存，单元主要存在的环境风险是贮存容器或容器连接管道因锈蚀、腐蚀等原因造成破裂泄漏储存区环境风险物质，物料泄漏产生的直接后果为泄漏物料通过蒸发扩散至外环境，处理事故不当时泄漏物质可能通过雨水漫流污染土壤和地下水环境。另外罐区物质属于易燃物质，发生泄漏后极易发生火灾、爆炸等引发的伴生/次生污染物排放。</w:t>
      </w:r>
    </w:p>
    <w:p w14:paraId="409353CB">
      <w:pPr>
        <w:keepNext/>
        <w:keepLines w:val="0"/>
        <w:pageBreakBefore w:val="0"/>
        <w:widowControl w:val="0"/>
        <w:kinsoku/>
        <w:wordWrap/>
        <w:overflowPunct/>
        <w:topLinePunct w:val="0"/>
        <w:autoSpaceDE/>
        <w:autoSpaceDN/>
        <w:bidi w:val="0"/>
        <w:adjustRightInd w:val="0"/>
        <w:spacing w:line="360" w:lineRule="auto"/>
        <w:jc w:val="left"/>
        <w:textAlignment w:val="auto"/>
        <w:outlineLvl w:val="9"/>
        <w:rPr>
          <w:rFonts w:eastAsia="宋体" w:cs="Calibri"/>
          <w:b/>
          <w:kern w:val="2"/>
          <w:sz w:val="28"/>
          <w:lang w:val="en-US" w:eastAsia="zh-CN" w:bidi="ar-SA"/>
        </w:rPr>
      </w:pPr>
      <w:r>
        <w:rPr>
          <w:rFonts w:hint="eastAsia" w:cs="Calibri"/>
          <w:b/>
          <w:kern w:val="2"/>
          <w:sz w:val="28"/>
          <w:lang w:val="en-US" w:eastAsia="zh-CN" w:bidi="ar-SA"/>
        </w:rPr>
        <w:t xml:space="preserve">6.3 </w:t>
      </w:r>
      <w:r>
        <w:rPr>
          <w:rFonts w:eastAsia="宋体" w:cs="Calibri"/>
          <w:b/>
          <w:kern w:val="2"/>
          <w:sz w:val="28"/>
          <w:lang w:val="en-US" w:eastAsia="zh-CN" w:bidi="ar-SA"/>
        </w:rPr>
        <w:t>源项分析</w:t>
      </w:r>
    </w:p>
    <w:p w14:paraId="7EC55E22">
      <w:pPr>
        <w:bidi w:val="0"/>
        <w:rPr>
          <w:lang w:val="en-US" w:eastAsia="zh-CN"/>
        </w:rPr>
      </w:pPr>
      <w:r>
        <w:rPr>
          <w:lang w:val="en-US" w:eastAsia="zh-CN"/>
        </w:rPr>
        <w:t>根据环境风险事故情形的设定，本次评价参考《建设项目环境风险评价技术导则》（HJ169-2018）中附录E的推荐方法确定各环境风险源的泄漏频率，详见表</w:t>
      </w:r>
      <w:r>
        <w:rPr>
          <w:rFonts w:hint="eastAsia"/>
          <w:lang w:val="en-US" w:eastAsia="zh-CN"/>
        </w:rPr>
        <w:t>6-</w:t>
      </w:r>
      <w:r>
        <w:rPr>
          <w:lang w:val="en-US" w:eastAsia="zh-CN"/>
        </w:rPr>
        <w:t>2。</w:t>
      </w:r>
    </w:p>
    <w:p w14:paraId="74B94332">
      <w:pPr>
        <w:keepNext/>
        <w:keepLines w:val="0"/>
        <w:pageBreakBefore w:val="0"/>
        <w:widowControl w:val="0"/>
        <w:kinsoku/>
        <w:wordWrap/>
        <w:overflowPunct/>
        <w:topLinePunct w:val="0"/>
        <w:autoSpaceDE/>
        <w:autoSpaceDN/>
        <w:bidi w:val="0"/>
        <w:adjustRightInd w:val="0"/>
        <w:snapToGrid/>
        <w:spacing w:before="164" w:beforeLines="50" w:after="0" w:afterLines="0" w:line="240" w:lineRule="auto"/>
        <w:jc w:val="center"/>
        <w:textAlignment w:val="auto"/>
        <w:outlineLvl w:val="9"/>
        <w:rPr>
          <w:rFonts w:eastAsia="宋体" w:cs="Calibri"/>
          <w:b/>
          <w:kern w:val="2"/>
          <w:lang w:val="en-US" w:eastAsia="zh-CN" w:bidi="ar-SA"/>
        </w:rPr>
      </w:pPr>
      <w:r>
        <w:rPr>
          <w:rFonts w:eastAsia="宋体" w:cs="Calibri"/>
          <w:b/>
          <w:kern w:val="2"/>
          <w:lang w:val="en-US" w:eastAsia="zh-CN" w:bidi="ar-SA"/>
        </w:rPr>
        <w:t>表</w:t>
      </w:r>
      <w:r>
        <w:rPr>
          <w:rFonts w:hint="eastAsia" w:cs="Calibri"/>
          <w:b/>
          <w:kern w:val="2"/>
          <w:lang w:val="en-US" w:eastAsia="zh-CN" w:bidi="ar-SA"/>
        </w:rPr>
        <w:t>6-2</w:t>
      </w:r>
      <w:r>
        <w:rPr>
          <w:rFonts w:eastAsia="宋体" w:cs="Calibri"/>
          <w:b/>
          <w:kern w:val="2"/>
          <w:lang w:val="en-US" w:eastAsia="zh-CN" w:bidi="ar-SA"/>
        </w:rPr>
        <w:t xml:space="preserve">  环境风险源泄漏频率推荐值</w:t>
      </w:r>
    </w:p>
    <w:p w14:paraId="0253D752">
      <w:pPr>
        <w:keepLines w:val="0"/>
        <w:pageBreakBefore w:val="0"/>
        <w:widowControl w:val="0"/>
        <w:kinsoku/>
        <w:wordWrap/>
        <w:overflowPunct/>
        <w:topLinePunct w:val="0"/>
        <w:autoSpaceDE/>
        <w:autoSpaceDN/>
        <w:bidi w:val="0"/>
        <w:adjustRightInd w:val="0"/>
        <w:spacing w:line="14" w:lineRule="exact"/>
        <w:jc w:val="both"/>
        <w:textAlignment w:val="auto"/>
        <w:outlineLvl w:val="9"/>
        <w:rPr>
          <w:rFonts w:eastAsia="宋体"/>
          <w:kern w:val="2"/>
          <w:szCs w:val="22"/>
          <w:lang w:val="en-US" w:eastAsia="zh-CN" w:bidi="ar-SA"/>
        </w:rPr>
      </w:pPr>
    </w:p>
    <w:tbl>
      <w:tblPr>
        <w:tblStyle w:val="19"/>
        <w:tblW w:w="4997" w:type="pct"/>
        <w:tblInd w:w="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2853"/>
        <w:gridCol w:w="4248"/>
        <w:gridCol w:w="1955"/>
      </w:tblGrid>
      <w:tr w14:paraId="1F72FA8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21" w:hRule="atLeast"/>
        </w:trPr>
        <w:tc>
          <w:tcPr>
            <w:tcW w:w="1575" w:type="pct"/>
            <w:vAlign w:val="center"/>
          </w:tcPr>
          <w:p w14:paraId="657805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部件类型</w:t>
            </w:r>
          </w:p>
        </w:tc>
        <w:tc>
          <w:tcPr>
            <w:tcW w:w="2345" w:type="pct"/>
            <w:vAlign w:val="center"/>
          </w:tcPr>
          <w:p w14:paraId="48791A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泄漏模式</w:t>
            </w:r>
          </w:p>
        </w:tc>
        <w:tc>
          <w:tcPr>
            <w:tcW w:w="1079" w:type="pct"/>
            <w:vAlign w:val="center"/>
          </w:tcPr>
          <w:p w14:paraId="69027C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泄漏频率</w:t>
            </w:r>
          </w:p>
        </w:tc>
      </w:tr>
      <w:tr w14:paraId="4E219C2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38" w:hRule="atLeast"/>
        </w:trPr>
        <w:tc>
          <w:tcPr>
            <w:tcW w:w="1575" w:type="pct"/>
            <w:vAlign w:val="center"/>
          </w:tcPr>
          <w:p w14:paraId="023B33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反应器/工艺储罐/气体储罐/塔器</w:t>
            </w:r>
          </w:p>
        </w:tc>
        <w:tc>
          <w:tcPr>
            <w:tcW w:w="2345" w:type="pct"/>
            <w:vAlign w:val="center"/>
          </w:tcPr>
          <w:p w14:paraId="71C706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泄漏孔径为10mm</w:t>
            </w:r>
          </w:p>
          <w:p w14:paraId="343746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孔径10min内储罐泄漏完</w:t>
            </w:r>
          </w:p>
          <w:p w14:paraId="479A84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储罐全破裂</w:t>
            </w:r>
          </w:p>
        </w:tc>
        <w:tc>
          <w:tcPr>
            <w:tcW w:w="1079" w:type="pct"/>
            <w:vAlign w:val="center"/>
          </w:tcPr>
          <w:p w14:paraId="0DD984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1.00×10</w:t>
            </w:r>
            <w:r>
              <w:rPr>
                <w:kern w:val="2"/>
                <w:sz w:val="20"/>
                <w:szCs w:val="20"/>
                <w:vertAlign w:val="superscript"/>
                <w:lang w:val="en-US" w:eastAsia="zh-CN" w:bidi="ar-SA"/>
              </w:rPr>
              <w:t>-4</w:t>
            </w:r>
            <w:r>
              <w:rPr>
                <w:kern w:val="2"/>
                <w:sz w:val="20"/>
                <w:szCs w:val="20"/>
                <w:lang w:val="en-US" w:eastAsia="zh-CN" w:bidi="ar-SA"/>
              </w:rPr>
              <w:t>/a</w:t>
            </w:r>
          </w:p>
          <w:p w14:paraId="6CAFB6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5.00×10</w:t>
            </w:r>
            <w:r>
              <w:rPr>
                <w:kern w:val="2"/>
                <w:sz w:val="20"/>
                <w:szCs w:val="20"/>
                <w:vertAlign w:val="superscript"/>
                <w:lang w:val="en-US" w:eastAsia="zh-CN" w:bidi="ar-SA"/>
              </w:rPr>
              <w:t>-6</w:t>
            </w:r>
            <w:r>
              <w:rPr>
                <w:kern w:val="2"/>
                <w:sz w:val="20"/>
                <w:szCs w:val="20"/>
                <w:lang w:val="en-US" w:eastAsia="zh-CN" w:bidi="ar-SA"/>
              </w:rPr>
              <w:t>/a</w:t>
            </w:r>
          </w:p>
          <w:p w14:paraId="2C016F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5.00×10</w:t>
            </w:r>
            <w:r>
              <w:rPr>
                <w:kern w:val="2"/>
                <w:sz w:val="20"/>
                <w:szCs w:val="20"/>
                <w:vertAlign w:val="superscript"/>
                <w:lang w:val="en-US" w:eastAsia="zh-CN" w:bidi="ar-SA"/>
              </w:rPr>
              <w:t>-6</w:t>
            </w:r>
            <w:r>
              <w:rPr>
                <w:kern w:val="2"/>
                <w:sz w:val="20"/>
                <w:szCs w:val="20"/>
                <w:lang w:val="en-US" w:eastAsia="zh-CN" w:bidi="ar-SA"/>
              </w:rPr>
              <w:t>/a</w:t>
            </w:r>
          </w:p>
        </w:tc>
      </w:tr>
      <w:tr w14:paraId="30EFF8B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38" w:hRule="atLeast"/>
        </w:trPr>
        <w:tc>
          <w:tcPr>
            <w:tcW w:w="1575" w:type="pct"/>
            <w:vAlign w:val="center"/>
          </w:tcPr>
          <w:p w14:paraId="2D27A9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常压单包容储罐</w:t>
            </w:r>
          </w:p>
        </w:tc>
        <w:tc>
          <w:tcPr>
            <w:tcW w:w="2345" w:type="pct"/>
            <w:vAlign w:val="center"/>
          </w:tcPr>
          <w:p w14:paraId="7439FE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泄漏孔径为10mm</w:t>
            </w:r>
          </w:p>
          <w:p w14:paraId="659EB5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孔径10min内储罐泄漏完</w:t>
            </w:r>
          </w:p>
          <w:p w14:paraId="149CF8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储罐全破裂</w:t>
            </w:r>
          </w:p>
        </w:tc>
        <w:tc>
          <w:tcPr>
            <w:tcW w:w="1079" w:type="pct"/>
            <w:vAlign w:val="center"/>
          </w:tcPr>
          <w:p w14:paraId="64E7B8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1.00×10</w:t>
            </w:r>
            <w:r>
              <w:rPr>
                <w:kern w:val="2"/>
                <w:sz w:val="20"/>
                <w:szCs w:val="20"/>
                <w:vertAlign w:val="superscript"/>
                <w:lang w:val="en-US" w:eastAsia="zh-CN" w:bidi="ar-SA"/>
              </w:rPr>
              <w:t>-4</w:t>
            </w:r>
            <w:r>
              <w:rPr>
                <w:kern w:val="2"/>
                <w:sz w:val="20"/>
                <w:szCs w:val="20"/>
                <w:lang w:val="en-US" w:eastAsia="zh-CN" w:bidi="ar-SA"/>
              </w:rPr>
              <w:t>/a</w:t>
            </w:r>
          </w:p>
          <w:p w14:paraId="289318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5.00×10</w:t>
            </w:r>
            <w:r>
              <w:rPr>
                <w:kern w:val="2"/>
                <w:sz w:val="20"/>
                <w:szCs w:val="20"/>
                <w:vertAlign w:val="superscript"/>
                <w:lang w:val="en-US" w:eastAsia="zh-CN" w:bidi="ar-SA"/>
              </w:rPr>
              <w:t>-6</w:t>
            </w:r>
            <w:r>
              <w:rPr>
                <w:kern w:val="2"/>
                <w:sz w:val="20"/>
                <w:szCs w:val="20"/>
                <w:lang w:val="en-US" w:eastAsia="zh-CN" w:bidi="ar-SA"/>
              </w:rPr>
              <w:t>/a</w:t>
            </w:r>
          </w:p>
          <w:p w14:paraId="2E3135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5.00×10</w:t>
            </w:r>
            <w:r>
              <w:rPr>
                <w:kern w:val="2"/>
                <w:sz w:val="20"/>
                <w:szCs w:val="20"/>
                <w:vertAlign w:val="superscript"/>
                <w:lang w:val="en-US" w:eastAsia="zh-CN" w:bidi="ar-SA"/>
              </w:rPr>
              <w:t>-6</w:t>
            </w:r>
            <w:r>
              <w:rPr>
                <w:kern w:val="2"/>
                <w:sz w:val="20"/>
                <w:szCs w:val="20"/>
                <w:lang w:val="en-US" w:eastAsia="zh-CN" w:bidi="ar-SA"/>
              </w:rPr>
              <w:t>/a</w:t>
            </w:r>
          </w:p>
        </w:tc>
      </w:tr>
      <w:tr w14:paraId="4971299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39" w:hRule="atLeast"/>
        </w:trPr>
        <w:tc>
          <w:tcPr>
            <w:tcW w:w="1575" w:type="pct"/>
            <w:vAlign w:val="center"/>
          </w:tcPr>
          <w:p w14:paraId="28F574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常压双包容储罐</w:t>
            </w:r>
          </w:p>
        </w:tc>
        <w:tc>
          <w:tcPr>
            <w:tcW w:w="2345" w:type="pct"/>
            <w:vAlign w:val="center"/>
          </w:tcPr>
          <w:p w14:paraId="6576F7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泄漏孔径为10mm</w:t>
            </w:r>
          </w:p>
          <w:p w14:paraId="6B8BAE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孔径10min内储罐泄漏完</w:t>
            </w:r>
          </w:p>
          <w:p w14:paraId="68A134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储罐全破裂</w:t>
            </w:r>
          </w:p>
        </w:tc>
        <w:tc>
          <w:tcPr>
            <w:tcW w:w="1079" w:type="pct"/>
            <w:vAlign w:val="center"/>
          </w:tcPr>
          <w:p w14:paraId="0B56BA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1.00×10</w:t>
            </w:r>
            <w:r>
              <w:rPr>
                <w:kern w:val="2"/>
                <w:sz w:val="20"/>
                <w:szCs w:val="20"/>
                <w:vertAlign w:val="superscript"/>
                <w:lang w:val="en-US" w:eastAsia="zh-CN" w:bidi="ar-SA"/>
              </w:rPr>
              <w:t>-4</w:t>
            </w:r>
            <w:r>
              <w:rPr>
                <w:kern w:val="2"/>
                <w:sz w:val="20"/>
                <w:szCs w:val="20"/>
                <w:lang w:val="en-US" w:eastAsia="zh-CN" w:bidi="ar-SA"/>
              </w:rPr>
              <w:t>/a</w:t>
            </w:r>
          </w:p>
          <w:p w14:paraId="194184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1.25×10</w:t>
            </w:r>
            <w:r>
              <w:rPr>
                <w:kern w:val="2"/>
                <w:sz w:val="20"/>
                <w:szCs w:val="20"/>
                <w:vertAlign w:val="superscript"/>
                <w:lang w:val="en-US" w:eastAsia="zh-CN" w:bidi="ar-SA"/>
              </w:rPr>
              <w:t>-8</w:t>
            </w:r>
            <w:r>
              <w:rPr>
                <w:kern w:val="2"/>
                <w:sz w:val="20"/>
                <w:szCs w:val="20"/>
                <w:lang w:val="en-US" w:eastAsia="zh-CN" w:bidi="ar-SA"/>
              </w:rPr>
              <w:t>/a</w:t>
            </w:r>
          </w:p>
          <w:p w14:paraId="018AEB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1.25×10</w:t>
            </w:r>
            <w:r>
              <w:rPr>
                <w:kern w:val="2"/>
                <w:sz w:val="20"/>
                <w:szCs w:val="20"/>
                <w:vertAlign w:val="superscript"/>
                <w:lang w:val="en-US" w:eastAsia="zh-CN" w:bidi="ar-SA"/>
              </w:rPr>
              <w:t>-</w:t>
            </w:r>
            <w:r>
              <w:rPr>
                <w:kern w:val="2"/>
                <w:sz w:val="20"/>
                <w:szCs w:val="20"/>
                <w:lang w:val="en-US" w:eastAsia="zh-CN" w:bidi="ar-SA"/>
              </w:rPr>
              <w:t>8/a</w:t>
            </w:r>
          </w:p>
        </w:tc>
      </w:tr>
      <w:tr w14:paraId="12D2E63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16" w:hRule="atLeast"/>
        </w:trPr>
        <w:tc>
          <w:tcPr>
            <w:tcW w:w="1575" w:type="pct"/>
            <w:vAlign w:val="center"/>
          </w:tcPr>
          <w:p w14:paraId="15551F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常压全包容储罐</w:t>
            </w:r>
          </w:p>
        </w:tc>
        <w:tc>
          <w:tcPr>
            <w:tcW w:w="2345" w:type="pct"/>
            <w:vAlign w:val="center"/>
          </w:tcPr>
          <w:p w14:paraId="7DAE3B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储罐全破裂</w:t>
            </w:r>
          </w:p>
        </w:tc>
        <w:tc>
          <w:tcPr>
            <w:tcW w:w="1079" w:type="pct"/>
            <w:vAlign w:val="center"/>
          </w:tcPr>
          <w:p w14:paraId="2023A7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1.00×10-8/a</w:t>
            </w:r>
          </w:p>
        </w:tc>
      </w:tr>
      <w:tr w14:paraId="4AD3E54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627" w:hRule="atLeast"/>
        </w:trPr>
        <w:tc>
          <w:tcPr>
            <w:tcW w:w="1575" w:type="pct"/>
            <w:vAlign w:val="center"/>
          </w:tcPr>
          <w:p w14:paraId="3FD586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内径≤75mm的管道</w:t>
            </w:r>
          </w:p>
        </w:tc>
        <w:tc>
          <w:tcPr>
            <w:tcW w:w="2345" w:type="pct"/>
            <w:vAlign w:val="center"/>
          </w:tcPr>
          <w:p w14:paraId="5ADB24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泄漏孔径为10%</w:t>
            </w:r>
          </w:p>
          <w:p w14:paraId="7DA5CA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孔径全管径泄漏</w:t>
            </w:r>
          </w:p>
        </w:tc>
        <w:tc>
          <w:tcPr>
            <w:tcW w:w="1079" w:type="pct"/>
            <w:vAlign w:val="center"/>
          </w:tcPr>
          <w:p w14:paraId="5C48F9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5.00×10</w:t>
            </w:r>
            <w:r>
              <w:rPr>
                <w:kern w:val="2"/>
                <w:sz w:val="20"/>
                <w:szCs w:val="20"/>
                <w:vertAlign w:val="superscript"/>
                <w:lang w:val="en-US" w:eastAsia="zh-CN" w:bidi="ar-SA"/>
              </w:rPr>
              <w:t>-6</w:t>
            </w:r>
            <w:r>
              <w:rPr>
                <w:kern w:val="2"/>
                <w:sz w:val="20"/>
                <w:szCs w:val="20"/>
                <w:lang w:val="en-US" w:eastAsia="zh-CN" w:bidi="ar-SA"/>
              </w:rPr>
              <w:t>/（m · a）</w:t>
            </w:r>
          </w:p>
          <w:p w14:paraId="7694F0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1.00×10</w:t>
            </w:r>
            <w:r>
              <w:rPr>
                <w:kern w:val="2"/>
                <w:sz w:val="20"/>
                <w:szCs w:val="20"/>
                <w:vertAlign w:val="superscript"/>
                <w:lang w:val="en-US" w:eastAsia="zh-CN" w:bidi="ar-SA"/>
              </w:rPr>
              <w:t>-6</w:t>
            </w:r>
            <w:r>
              <w:rPr>
                <w:kern w:val="2"/>
                <w:sz w:val="20"/>
                <w:szCs w:val="20"/>
                <w:lang w:val="en-US" w:eastAsia="zh-CN" w:bidi="ar-SA"/>
              </w:rPr>
              <w:t>/（m · a）</w:t>
            </w:r>
          </w:p>
        </w:tc>
      </w:tr>
      <w:tr w14:paraId="42A0529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627" w:hRule="atLeast"/>
        </w:trPr>
        <w:tc>
          <w:tcPr>
            <w:tcW w:w="1575" w:type="pct"/>
            <w:vAlign w:val="center"/>
          </w:tcPr>
          <w:p w14:paraId="3E0EF7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75mm＜内径≤150mm的管道</w:t>
            </w:r>
          </w:p>
        </w:tc>
        <w:tc>
          <w:tcPr>
            <w:tcW w:w="2345" w:type="pct"/>
            <w:vAlign w:val="center"/>
          </w:tcPr>
          <w:p w14:paraId="69D961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泄漏孔径为10%</w:t>
            </w:r>
          </w:p>
          <w:p w14:paraId="5F458A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孔径全管径泄漏</w:t>
            </w:r>
          </w:p>
        </w:tc>
        <w:tc>
          <w:tcPr>
            <w:tcW w:w="1079" w:type="pct"/>
            <w:vAlign w:val="center"/>
          </w:tcPr>
          <w:p w14:paraId="09CEFE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2.00×10</w:t>
            </w:r>
            <w:r>
              <w:rPr>
                <w:kern w:val="2"/>
                <w:sz w:val="20"/>
                <w:szCs w:val="20"/>
                <w:vertAlign w:val="superscript"/>
                <w:lang w:val="en-US" w:eastAsia="zh-CN" w:bidi="ar-SA"/>
              </w:rPr>
              <w:t>-6</w:t>
            </w:r>
            <w:r>
              <w:rPr>
                <w:kern w:val="2"/>
                <w:sz w:val="20"/>
                <w:szCs w:val="20"/>
                <w:lang w:val="en-US" w:eastAsia="zh-CN" w:bidi="ar-SA"/>
              </w:rPr>
              <w:t>/（m · a）</w:t>
            </w:r>
          </w:p>
          <w:p w14:paraId="6513C6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3.00×10</w:t>
            </w:r>
            <w:r>
              <w:rPr>
                <w:kern w:val="2"/>
                <w:sz w:val="20"/>
                <w:szCs w:val="20"/>
                <w:vertAlign w:val="superscript"/>
                <w:lang w:val="en-US" w:eastAsia="zh-CN" w:bidi="ar-SA"/>
              </w:rPr>
              <w:t>-7</w:t>
            </w:r>
            <w:r>
              <w:rPr>
                <w:kern w:val="2"/>
                <w:sz w:val="20"/>
                <w:szCs w:val="20"/>
                <w:lang w:val="en-US" w:eastAsia="zh-CN" w:bidi="ar-SA"/>
              </w:rPr>
              <w:t>/（m · a）</w:t>
            </w:r>
          </w:p>
        </w:tc>
      </w:tr>
      <w:tr w14:paraId="10F7E1C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642" w:hRule="atLeast"/>
        </w:trPr>
        <w:tc>
          <w:tcPr>
            <w:tcW w:w="1575" w:type="pct"/>
            <w:vAlign w:val="center"/>
          </w:tcPr>
          <w:p w14:paraId="1B8DE5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内径＞150mm的管道</w:t>
            </w:r>
          </w:p>
        </w:tc>
        <w:tc>
          <w:tcPr>
            <w:tcW w:w="2345" w:type="pct"/>
            <w:vAlign w:val="center"/>
          </w:tcPr>
          <w:p w14:paraId="3FDFC2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泄漏孔径为10%孔径（最大50mm）</w:t>
            </w:r>
          </w:p>
          <w:p w14:paraId="2DA13D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全管径泄漏</w:t>
            </w:r>
          </w:p>
        </w:tc>
        <w:tc>
          <w:tcPr>
            <w:tcW w:w="1079" w:type="pct"/>
            <w:vAlign w:val="center"/>
          </w:tcPr>
          <w:p w14:paraId="1DB552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2.40×10</w:t>
            </w:r>
            <w:r>
              <w:rPr>
                <w:kern w:val="2"/>
                <w:sz w:val="20"/>
                <w:szCs w:val="20"/>
                <w:vertAlign w:val="superscript"/>
                <w:lang w:val="en-US" w:eastAsia="zh-CN" w:bidi="ar-SA"/>
              </w:rPr>
              <w:t>-6</w:t>
            </w:r>
            <w:r>
              <w:rPr>
                <w:kern w:val="2"/>
                <w:sz w:val="20"/>
                <w:szCs w:val="20"/>
                <w:lang w:val="en-US" w:eastAsia="zh-CN" w:bidi="ar-SA"/>
              </w:rPr>
              <w:t>/（m · a）</w:t>
            </w:r>
          </w:p>
          <w:p w14:paraId="502405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sz w:val="20"/>
                <w:szCs w:val="20"/>
                <w:lang w:val="en-US" w:eastAsia="zh-CN" w:bidi="ar-SA"/>
              </w:rPr>
              <w:t>1.00×10</w:t>
            </w:r>
            <w:r>
              <w:rPr>
                <w:kern w:val="2"/>
                <w:sz w:val="20"/>
                <w:szCs w:val="20"/>
                <w:vertAlign w:val="superscript"/>
                <w:lang w:val="en-US" w:eastAsia="zh-CN" w:bidi="ar-SA"/>
              </w:rPr>
              <w:t>-7</w:t>
            </w:r>
            <w:r>
              <w:rPr>
                <w:kern w:val="2"/>
                <w:sz w:val="20"/>
                <w:szCs w:val="20"/>
                <w:lang w:val="en-US" w:eastAsia="zh-CN" w:bidi="ar-SA"/>
              </w:rPr>
              <w:t>/（m · a）</w:t>
            </w:r>
          </w:p>
        </w:tc>
      </w:tr>
    </w:tbl>
    <w:p w14:paraId="0786E07E">
      <w:pPr>
        <w:bidi w:val="0"/>
        <w:rPr>
          <w:rFonts w:eastAsia="宋体" w:cs="Calibri"/>
          <w:kern w:val="2"/>
          <w:lang w:val="en-US" w:eastAsia="zh-CN" w:bidi="ar-SA"/>
        </w:rPr>
      </w:pPr>
      <w:r>
        <w:rPr>
          <w:rFonts w:eastAsia="宋体" w:cs="Calibri"/>
          <w:kern w:val="2"/>
          <w:lang w:val="en-US" w:eastAsia="zh-CN" w:bidi="ar-SA"/>
        </w:rPr>
        <w:t>本项目泄漏事故类型有储罐泄漏和管道泄漏，本项目储罐采用</w:t>
      </w:r>
      <w:r>
        <w:rPr>
          <w:rFonts w:hint="eastAsia" w:cs="Calibri"/>
          <w:kern w:val="2"/>
          <w:lang w:val="en-US" w:eastAsia="zh-CN" w:bidi="ar-SA"/>
        </w:rPr>
        <w:t>压力单层球罐</w:t>
      </w:r>
      <w:r>
        <w:rPr>
          <w:rFonts w:eastAsia="宋体" w:cs="Calibri"/>
          <w:kern w:val="2"/>
          <w:lang w:val="en-US" w:eastAsia="zh-CN" w:bidi="ar-SA"/>
        </w:rPr>
        <w:t>，</w:t>
      </w:r>
      <w:r>
        <w:rPr>
          <w:rFonts w:hint="eastAsia" w:cs="Calibri"/>
          <w:kern w:val="2"/>
          <w:lang w:val="en-US" w:eastAsia="zh-CN" w:bidi="ar-SA"/>
        </w:rPr>
        <w:t>泄漏孔径为10mm，</w:t>
      </w:r>
      <w:r>
        <w:rPr>
          <w:rFonts w:eastAsia="宋体" w:cs="Calibri"/>
          <w:kern w:val="2"/>
          <w:lang w:val="en-US" w:eastAsia="zh-CN" w:bidi="ar-SA"/>
        </w:rPr>
        <w:t>泄漏频率</w:t>
      </w:r>
      <w:r>
        <w:rPr>
          <w:rFonts w:hint="eastAsia" w:eastAsia="宋体" w:cs="Calibri"/>
          <w:kern w:val="2"/>
          <w:lang w:val="en-US" w:eastAsia="zh-CN" w:bidi="ar-SA"/>
        </w:rPr>
        <w:t>为1.00×10</w:t>
      </w:r>
      <w:r>
        <w:rPr>
          <w:rFonts w:hint="eastAsia" w:eastAsia="宋体" w:cs="Calibri"/>
          <w:kern w:val="2"/>
          <w:vertAlign w:val="superscript"/>
          <w:lang w:val="en-US" w:eastAsia="zh-CN" w:bidi="ar-SA"/>
        </w:rPr>
        <w:t>-4</w:t>
      </w:r>
      <w:r>
        <w:rPr>
          <w:rFonts w:hint="eastAsia" w:eastAsia="宋体" w:cs="Calibri"/>
          <w:kern w:val="2"/>
          <w:lang w:val="en-US" w:eastAsia="zh-CN" w:bidi="ar-SA"/>
        </w:rPr>
        <w:t>；</w:t>
      </w:r>
      <w:r>
        <w:rPr>
          <w:rFonts w:eastAsia="宋体" w:cs="Calibri"/>
          <w:kern w:val="2"/>
          <w:lang w:val="en-US" w:eastAsia="zh-CN" w:bidi="ar-SA"/>
        </w:rPr>
        <w:t>项目使用内径</w:t>
      </w:r>
      <w:r>
        <w:rPr>
          <w:rFonts w:hint="eastAsia" w:cs="Calibri"/>
          <w:kern w:val="2"/>
          <w:lang w:val="en-US" w:eastAsia="zh-CN" w:bidi="ar-SA"/>
        </w:rPr>
        <w:t>为200</w:t>
      </w:r>
      <w:r>
        <w:rPr>
          <w:rFonts w:eastAsia="宋体" w:cs="Calibri"/>
          <w:kern w:val="2"/>
          <w:lang w:val="en-US" w:eastAsia="zh-CN" w:bidi="ar-SA"/>
        </w:rPr>
        <w:t>mm管道，内径＞150mm的管道泄漏为10%孔径的概率为2.40×10</w:t>
      </w:r>
      <w:r>
        <w:rPr>
          <w:rFonts w:eastAsia="宋体" w:cs="Calibri"/>
          <w:kern w:val="2"/>
          <w:vertAlign w:val="superscript"/>
          <w:lang w:val="en-US" w:eastAsia="zh-CN" w:bidi="ar-SA"/>
        </w:rPr>
        <w:t>-6</w:t>
      </w:r>
      <w:r>
        <w:rPr>
          <w:rFonts w:eastAsia="宋体" w:cs="Calibri"/>
          <w:kern w:val="2"/>
          <w:lang w:val="en-US" w:eastAsia="zh-CN" w:bidi="ar-SA"/>
        </w:rPr>
        <w:t>/（m·a）。</w:t>
      </w:r>
    </w:p>
    <w:p w14:paraId="734253CC">
      <w:pPr>
        <w:pStyle w:val="2"/>
        <w:bidi w:val="0"/>
        <w:rPr>
          <w:lang w:val="en-US" w:eastAsia="zh-CN"/>
        </w:rPr>
      </w:pPr>
      <w:r>
        <w:rPr>
          <w:lang w:val="en-US" w:eastAsia="zh-CN"/>
        </w:rPr>
        <w:t>6.4最大可信事故判定</w:t>
      </w:r>
    </w:p>
    <w:p w14:paraId="10729117">
      <w:pPr>
        <w:bidi w:val="0"/>
        <w:rPr>
          <w:rFonts w:eastAsia="宋体" w:cs="Calibri"/>
          <w:kern w:val="2"/>
          <w:lang w:val="en-US" w:eastAsia="zh-CN" w:bidi="ar-SA"/>
        </w:rPr>
      </w:pPr>
      <w:r>
        <w:rPr>
          <w:rFonts w:eastAsia="宋体" w:cs="Calibri"/>
          <w:kern w:val="2"/>
          <w:lang w:val="en-US" w:eastAsia="zh-CN" w:bidi="ar-SA"/>
        </w:rPr>
        <w:t>最大可信事故是基于经验统计分析，在一定可能性区间内发生的事故中造成环境危害最严重的事故。本项目依据国内外行业生产事故统计及《建设项目环境风险评价技术导则》（HJ 169—2018）附录 E.1，结合事故发生的可能性和环境危害后果综合筛选：储罐区1#轻烃、碳五烷烃储量集中，发生10mm孔径泄漏（频率 1.00×10⁻⁴/a）时泄漏量大、影响范围广，环境危害后果最为严重，故确定储罐泄漏为本项目最大可信事故；管道系统虽发生10%孔径（20mm）泄漏的频率相对较高，但单点泄漏孔径小、泄漏量有限，且配置紧急切断装置可及时截断物料，泄漏物料经围堰收集进入事故水池，环境危害后果显著小于储罐泄漏，故不作为最大可信事故，仅纳入一般事故情形进行风险分析并落实相应防控措施。</w:t>
      </w:r>
    </w:p>
    <w:p w14:paraId="1E8A0016">
      <w:pPr>
        <w:ind w:firstLine="0" w:firstLineChars="0"/>
        <w:jc w:val="center"/>
        <w:rPr>
          <w:sz w:val="24"/>
        </w:rPr>
      </w:pPr>
      <w:r>
        <w:rPr>
          <w:rFonts w:eastAsiaTheme="minorEastAsia"/>
          <w:b/>
          <w:bCs/>
          <w:sz w:val="24"/>
        </w:rPr>
        <w:t>表6</w:t>
      </w:r>
      <w:r>
        <w:rPr>
          <w:rFonts w:hint="eastAsia" w:eastAsiaTheme="minorEastAsia"/>
          <w:b/>
          <w:bCs/>
          <w:sz w:val="24"/>
          <w:lang w:val="en-US" w:eastAsia="zh-CN"/>
        </w:rPr>
        <w:t>-3</w:t>
      </w:r>
      <w:r>
        <w:rPr>
          <w:rFonts w:eastAsiaTheme="minorEastAsia"/>
          <w:b/>
          <w:bCs/>
          <w:sz w:val="24"/>
        </w:rPr>
        <w:t xml:space="preserve"> </w:t>
      </w:r>
      <w:r>
        <w:rPr>
          <w:rFonts w:hint="eastAsia" w:eastAsiaTheme="minorEastAsia"/>
          <w:b/>
          <w:bCs/>
          <w:sz w:val="24"/>
        </w:rPr>
        <w:t xml:space="preserve"> </w:t>
      </w:r>
      <w:r>
        <w:rPr>
          <w:rFonts w:eastAsiaTheme="minorEastAsia"/>
          <w:b/>
          <w:bCs/>
          <w:sz w:val="24"/>
        </w:rPr>
        <w:t>最大可信事故设定一览表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6"/>
        <w:gridCol w:w="1466"/>
        <w:gridCol w:w="4690"/>
        <w:gridCol w:w="1555"/>
      </w:tblGrid>
      <w:tr w14:paraId="4D24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43" w:type="pct"/>
            <w:tcBorders>
              <w:tl2br w:val="nil"/>
              <w:tr2bl w:val="nil"/>
            </w:tcBorders>
            <w:vAlign w:val="center"/>
          </w:tcPr>
          <w:p w14:paraId="2A058191">
            <w:pPr>
              <w:spacing w:line="240" w:lineRule="auto"/>
              <w:ind w:firstLine="0" w:firstLineChars="0"/>
              <w:jc w:val="center"/>
              <w:rPr>
                <w:sz w:val="21"/>
                <w:szCs w:val="21"/>
              </w:rPr>
            </w:pPr>
            <w:r>
              <w:rPr>
                <w:sz w:val="21"/>
                <w:szCs w:val="21"/>
              </w:rPr>
              <w:t>危险单元</w:t>
            </w:r>
          </w:p>
        </w:tc>
        <w:tc>
          <w:tcPr>
            <w:tcW w:w="809" w:type="pct"/>
            <w:tcBorders>
              <w:tl2br w:val="nil"/>
              <w:tr2bl w:val="nil"/>
            </w:tcBorders>
            <w:vAlign w:val="center"/>
          </w:tcPr>
          <w:p w14:paraId="1F153B97">
            <w:pPr>
              <w:spacing w:line="240" w:lineRule="auto"/>
              <w:ind w:firstLine="0" w:firstLineChars="0"/>
              <w:jc w:val="center"/>
              <w:rPr>
                <w:sz w:val="21"/>
                <w:szCs w:val="21"/>
              </w:rPr>
            </w:pPr>
            <w:r>
              <w:rPr>
                <w:sz w:val="21"/>
                <w:szCs w:val="21"/>
              </w:rPr>
              <w:t>危险因子</w:t>
            </w:r>
          </w:p>
        </w:tc>
        <w:tc>
          <w:tcPr>
            <w:tcW w:w="2588" w:type="pct"/>
            <w:tcBorders>
              <w:tl2br w:val="nil"/>
              <w:tr2bl w:val="nil"/>
            </w:tcBorders>
            <w:vAlign w:val="center"/>
          </w:tcPr>
          <w:p w14:paraId="66D362C5">
            <w:pPr>
              <w:spacing w:line="240" w:lineRule="auto"/>
              <w:ind w:firstLine="0" w:firstLineChars="0"/>
              <w:jc w:val="center"/>
              <w:rPr>
                <w:sz w:val="21"/>
                <w:szCs w:val="21"/>
              </w:rPr>
            </w:pPr>
            <w:r>
              <w:rPr>
                <w:sz w:val="21"/>
                <w:szCs w:val="21"/>
              </w:rPr>
              <w:t>最大可信事故</w:t>
            </w:r>
          </w:p>
        </w:tc>
        <w:tc>
          <w:tcPr>
            <w:tcW w:w="858" w:type="pct"/>
            <w:tcBorders>
              <w:tl2br w:val="nil"/>
              <w:tr2bl w:val="nil"/>
            </w:tcBorders>
            <w:vAlign w:val="center"/>
          </w:tcPr>
          <w:p w14:paraId="51C7FA58">
            <w:pPr>
              <w:spacing w:line="240" w:lineRule="auto"/>
              <w:ind w:firstLine="0" w:firstLineChars="0"/>
              <w:jc w:val="center"/>
              <w:rPr>
                <w:sz w:val="21"/>
                <w:szCs w:val="21"/>
              </w:rPr>
            </w:pPr>
            <w:r>
              <w:rPr>
                <w:sz w:val="21"/>
                <w:szCs w:val="21"/>
              </w:rPr>
              <w:t>影响途径</w:t>
            </w:r>
          </w:p>
        </w:tc>
      </w:tr>
      <w:tr w14:paraId="0A2F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743" w:type="pct"/>
            <w:tcBorders>
              <w:tl2br w:val="nil"/>
              <w:tr2bl w:val="nil"/>
            </w:tcBorders>
            <w:vAlign w:val="center"/>
          </w:tcPr>
          <w:p w14:paraId="60808593">
            <w:pPr>
              <w:spacing w:line="240" w:lineRule="auto"/>
              <w:ind w:firstLine="0" w:firstLineChars="0"/>
              <w:jc w:val="center"/>
              <w:rPr>
                <w:rFonts w:hint="eastAsia" w:eastAsia="宋体"/>
                <w:sz w:val="21"/>
                <w:szCs w:val="21"/>
                <w:lang w:val="en-US" w:eastAsia="zh-CN"/>
              </w:rPr>
            </w:pPr>
            <w:r>
              <w:rPr>
                <w:rFonts w:hint="eastAsia"/>
                <w:sz w:val="21"/>
                <w:szCs w:val="21"/>
                <w:lang w:val="en-US" w:eastAsia="zh-CN"/>
              </w:rPr>
              <w:t>罐区</w:t>
            </w:r>
          </w:p>
        </w:tc>
        <w:tc>
          <w:tcPr>
            <w:tcW w:w="809" w:type="pct"/>
            <w:tcBorders>
              <w:tl2br w:val="nil"/>
              <w:tr2bl w:val="nil"/>
            </w:tcBorders>
            <w:vAlign w:val="center"/>
          </w:tcPr>
          <w:p w14:paraId="4B646472">
            <w:pPr>
              <w:spacing w:line="240" w:lineRule="auto"/>
              <w:ind w:firstLine="0" w:firstLineChars="0"/>
              <w:jc w:val="center"/>
              <w:rPr>
                <w:sz w:val="21"/>
                <w:szCs w:val="21"/>
              </w:rPr>
            </w:pPr>
            <w:r>
              <w:rPr>
                <w:rFonts w:hint="default"/>
                <w:sz w:val="21"/>
                <w:szCs w:val="21"/>
              </w:rPr>
              <w:t>1#</w:t>
            </w:r>
            <w:r>
              <w:rPr>
                <w:rFonts w:hint="eastAsia"/>
                <w:sz w:val="21"/>
                <w:szCs w:val="21"/>
              </w:rPr>
              <w:t>轻烃、碳五烷烃</w:t>
            </w:r>
          </w:p>
        </w:tc>
        <w:tc>
          <w:tcPr>
            <w:tcW w:w="2588" w:type="pct"/>
            <w:tcBorders>
              <w:tl2br w:val="nil"/>
              <w:tr2bl w:val="nil"/>
            </w:tcBorders>
            <w:vAlign w:val="center"/>
          </w:tcPr>
          <w:p w14:paraId="70356779">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储罐破裂，导致1#轻烃、碳五烷烃大量泄漏进入环境对周边大气、地下水、土壤环境的污染影响，甚至造成人员中毒。</w:t>
            </w:r>
          </w:p>
        </w:tc>
        <w:tc>
          <w:tcPr>
            <w:tcW w:w="858" w:type="pct"/>
            <w:tcBorders>
              <w:tl2br w:val="nil"/>
              <w:tr2bl w:val="nil"/>
            </w:tcBorders>
            <w:vAlign w:val="center"/>
          </w:tcPr>
          <w:p w14:paraId="1083AFB9">
            <w:pPr>
              <w:spacing w:line="240" w:lineRule="auto"/>
              <w:ind w:firstLine="0" w:firstLineChars="0"/>
              <w:jc w:val="center"/>
              <w:rPr>
                <w:sz w:val="21"/>
                <w:szCs w:val="21"/>
              </w:rPr>
            </w:pPr>
            <w:r>
              <w:rPr>
                <w:sz w:val="21"/>
                <w:szCs w:val="21"/>
              </w:rPr>
              <w:t>大气、地下水、土壤</w:t>
            </w:r>
          </w:p>
        </w:tc>
      </w:tr>
    </w:tbl>
    <w:p w14:paraId="0060AD11">
      <w:pPr>
        <w:keepNext/>
        <w:keepLines w:val="0"/>
        <w:pageBreakBefore w:val="0"/>
        <w:widowControl w:val="0"/>
        <w:kinsoku/>
        <w:wordWrap/>
        <w:overflowPunct/>
        <w:topLinePunct w:val="0"/>
        <w:autoSpaceDE/>
        <w:autoSpaceDN/>
        <w:bidi w:val="0"/>
        <w:adjustRightInd w:val="0"/>
        <w:spacing w:line="360" w:lineRule="auto"/>
        <w:jc w:val="left"/>
        <w:textAlignment w:val="auto"/>
        <w:outlineLvl w:val="9"/>
        <w:rPr>
          <w:rFonts w:eastAsia="宋体" w:cs="Calibri"/>
          <w:b/>
          <w:kern w:val="2"/>
          <w:lang w:val="en-US" w:eastAsia="zh-CN" w:bidi="ar-SA"/>
        </w:rPr>
      </w:pPr>
      <w:r>
        <w:rPr>
          <w:rFonts w:eastAsia="宋体" w:cs="Calibri"/>
          <w:b/>
          <w:kern w:val="2"/>
          <w:lang w:val="en-US" w:eastAsia="zh-CN" w:bidi="ar-SA"/>
        </w:rPr>
        <w:t>6.5源强分析</w:t>
      </w:r>
    </w:p>
    <w:p w14:paraId="2A8415FF">
      <w:pPr>
        <w:bidi w:val="0"/>
        <w:rPr>
          <w:lang w:val="en-US" w:eastAsia="zh-CN"/>
        </w:rPr>
      </w:pPr>
      <w:r>
        <w:rPr>
          <w:lang w:val="en-US" w:eastAsia="zh-CN"/>
        </w:rPr>
        <w:t>项目采用《建设项目环境风险评价技术导则》（HJ169-2018）附录F推荐方法确定事故源强。</w:t>
      </w:r>
    </w:p>
    <w:p w14:paraId="477AD0F9">
      <w:pPr>
        <w:bidi w:val="0"/>
        <w:rPr>
          <w:lang w:val="en-US" w:eastAsia="zh-CN"/>
        </w:rPr>
      </w:pPr>
      <w:r>
        <w:rPr>
          <w:lang w:val="en-US" w:eastAsia="zh-CN"/>
        </w:rPr>
        <w:t>（1）液体泄漏速率</w:t>
      </w:r>
    </w:p>
    <w:p w14:paraId="1CE6BE57">
      <w:pPr>
        <w:bidi w:val="0"/>
      </w:pPr>
      <w:r>
        <w:t>液体泄漏速率</w:t>
      </w:r>
    </w:p>
    <w:p w14:paraId="132BB675">
      <w:pPr>
        <w:bidi w:val="0"/>
      </w:pPr>
      <w:r>
        <w:rPr>
          <w:rFonts w:hint="eastAsia"/>
        </w:rPr>
        <w:t>用伯努利</w:t>
      </w:r>
      <w:r>
        <w:t>方程计算液体泄漏速度Q</w:t>
      </w:r>
      <w:r>
        <w:rPr>
          <w:vertAlign w:val="subscript"/>
        </w:rPr>
        <w:t>L</w:t>
      </w:r>
      <w:r>
        <w:t>：</w:t>
      </w:r>
    </w:p>
    <w:p w14:paraId="0A17AC03">
      <w:pPr>
        <w:spacing w:line="240" w:lineRule="auto"/>
        <w:ind w:firstLine="0" w:firstLineChars="0"/>
        <w:jc w:val="center"/>
        <w:rPr>
          <w:sz w:val="24"/>
        </w:rPr>
      </w:pPr>
      <w:r>
        <w:rPr>
          <w:sz w:val="24"/>
        </w:rPr>
        <w:drawing>
          <wp:inline distT="0" distB="0" distL="114300" distR="114300">
            <wp:extent cx="2569210" cy="623570"/>
            <wp:effectExtent l="0" t="0" r="2540" b="508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33"/>
                    <a:stretch>
                      <a:fillRect/>
                    </a:stretch>
                  </pic:blipFill>
                  <pic:spPr>
                    <a:xfrm>
                      <a:off x="0" y="0"/>
                      <a:ext cx="2569210" cy="623570"/>
                    </a:xfrm>
                    <a:prstGeom prst="rect">
                      <a:avLst/>
                    </a:prstGeom>
                    <a:noFill/>
                    <a:ln>
                      <a:noFill/>
                    </a:ln>
                  </pic:spPr>
                </pic:pic>
              </a:graphicData>
            </a:graphic>
          </wp:inline>
        </w:drawing>
      </w:r>
    </w:p>
    <w:p w14:paraId="299E1862">
      <w:pPr>
        <w:ind w:firstLine="0" w:firstLineChars="0"/>
        <w:rPr>
          <w:sz w:val="24"/>
        </w:rPr>
      </w:pPr>
      <w:r>
        <w:rPr>
          <w:sz w:val="24"/>
        </w:rPr>
        <w:t>式中：Q</w:t>
      </w:r>
      <w:r>
        <w:rPr>
          <w:sz w:val="24"/>
          <w:vertAlign w:val="subscript"/>
        </w:rPr>
        <w:t>L</w:t>
      </w:r>
      <w:r>
        <w:rPr>
          <w:sz w:val="24"/>
        </w:rPr>
        <w:t>——液体泄漏速度，kg/s；</w:t>
      </w:r>
    </w:p>
    <w:p w14:paraId="7B23E818">
      <w:pPr>
        <w:ind w:firstLine="720" w:firstLineChars="300"/>
        <w:rPr>
          <w:sz w:val="24"/>
        </w:rPr>
      </w:pPr>
      <w:r>
        <w:rPr>
          <w:sz w:val="24"/>
        </w:rPr>
        <w:t>P——容器内介质压力，Pa；</w:t>
      </w:r>
    </w:p>
    <w:p w14:paraId="24B2D50F">
      <w:pPr>
        <w:ind w:firstLine="720" w:firstLineChars="300"/>
        <w:rPr>
          <w:sz w:val="24"/>
        </w:rPr>
      </w:pPr>
      <w:r>
        <w:rPr>
          <w:sz w:val="24"/>
        </w:rPr>
        <w:t>P</w:t>
      </w:r>
      <w:r>
        <w:rPr>
          <w:sz w:val="24"/>
          <w:vertAlign w:val="subscript"/>
        </w:rPr>
        <w:t>0</w:t>
      </w:r>
      <w:r>
        <w:rPr>
          <w:sz w:val="24"/>
        </w:rPr>
        <w:t>——环境压力，Pa；</w:t>
      </w:r>
    </w:p>
    <w:p w14:paraId="6045A034">
      <w:pPr>
        <w:ind w:firstLine="720" w:firstLineChars="300"/>
        <w:rPr>
          <w:sz w:val="24"/>
        </w:rPr>
      </w:pPr>
      <w:r>
        <w:rPr>
          <w:sz w:val="24"/>
        </w:rPr>
        <w:t>G——重力加速度，9.8m/s</w:t>
      </w:r>
      <w:r>
        <w:rPr>
          <w:sz w:val="24"/>
          <w:vertAlign w:val="superscript"/>
        </w:rPr>
        <w:t>2</w:t>
      </w:r>
      <w:r>
        <w:rPr>
          <w:sz w:val="24"/>
        </w:rPr>
        <w:t>；</w:t>
      </w:r>
    </w:p>
    <w:p w14:paraId="14AD43A2">
      <w:pPr>
        <w:ind w:firstLine="720" w:firstLineChars="300"/>
        <w:rPr>
          <w:sz w:val="24"/>
        </w:rPr>
      </w:pPr>
      <w:r>
        <w:rPr>
          <w:sz w:val="24"/>
        </w:rPr>
        <w:t>H——裂口之上液位高度，m；</w:t>
      </w:r>
    </w:p>
    <w:p w14:paraId="638F7F54">
      <w:pPr>
        <w:ind w:firstLine="720" w:firstLineChars="300"/>
        <w:rPr>
          <w:sz w:val="24"/>
        </w:rPr>
      </w:pPr>
      <w:r>
        <w:rPr>
          <w:sz w:val="24"/>
        </w:rPr>
        <w:t>C</w:t>
      </w:r>
      <w:r>
        <w:rPr>
          <w:sz w:val="24"/>
          <w:vertAlign w:val="subscript"/>
        </w:rPr>
        <w:t>d</w:t>
      </w:r>
      <w:r>
        <w:rPr>
          <w:sz w:val="24"/>
        </w:rPr>
        <w:t>——液体泄漏系数；</w:t>
      </w:r>
    </w:p>
    <w:p w14:paraId="2AC54722">
      <w:pPr>
        <w:ind w:firstLine="720" w:firstLineChars="300"/>
        <w:rPr>
          <w:sz w:val="24"/>
        </w:rPr>
      </w:pPr>
      <w:r>
        <w:rPr>
          <w:sz w:val="24"/>
        </w:rPr>
        <w:t>A——裂口面积，m</w:t>
      </w:r>
      <w:r>
        <w:rPr>
          <w:sz w:val="24"/>
          <w:vertAlign w:val="superscript"/>
        </w:rPr>
        <w:t>2</w:t>
      </w:r>
      <w:r>
        <w:rPr>
          <w:sz w:val="24"/>
        </w:rPr>
        <w:t>；</w:t>
      </w:r>
    </w:p>
    <w:p w14:paraId="2A34CDE2">
      <w:pPr>
        <w:ind w:firstLine="720" w:firstLineChars="300"/>
        <w:rPr>
          <w:sz w:val="24"/>
        </w:rPr>
      </w:pPr>
      <w:r>
        <w:rPr>
          <w:sz w:val="24"/>
        </w:rPr>
        <w:t>ρ——液体密度，kg/m</w:t>
      </w:r>
      <w:r>
        <w:rPr>
          <w:sz w:val="24"/>
          <w:vertAlign w:val="superscript"/>
        </w:rPr>
        <w:t>3</w:t>
      </w:r>
      <w:r>
        <w:rPr>
          <w:sz w:val="24"/>
        </w:rPr>
        <w:t>；</w:t>
      </w:r>
    </w:p>
    <w:p w14:paraId="38A9E006">
      <w:pPr>
        <w:bidi w:val="0"/>
        <w:rPr>
          <w:sz w:val="24"/>
        </w:rPr>
      </w:pPr>
      <w:r>
        <w:rPr>
          <w:rFonts w:eastAsia="宋体" w:cs="Calibri"/>
          <w:kern w:val="2"/>
          <w:lang w:val="en-US" w:eastAsia="zh-CN" w:bidi="ar-SA"/>
        </w:rPr>
        <w:t>由于采取了流量、压力检测与控制等措施，加之作业现场有人员巡视，泄漏持续时间一般不超过10min。在计算泄漏量时，假定持续泄漏时间为10min</w:t>
      </w:r>
      <w:r>
        <w:rPr>
          <w:rFonts w:hint="eastAsia" w:eastAsia="宋体"/>
          <w:sz w:val="24"/>
          <w:lang w:eastAsia="zh-CN"/>
        </w:rPr>
        <w:t>。</w:t>
      </w:r>
      <w:r>
        <w:rPr>
          <w:sz w:val="24"/>
        </w:rPr>
        <w:t>计算参数见表6</w:t>
      </w:r>
      <w:r>
        <w:rPr>
          <w:rFonts w:hint="eastAsia"/>
          <w:sz w:val="24"/>
          <w:lang w:val="en-US" w:eastAsia="zh-CN"/>
        </w:rPr>
        <w:t>-4</w:t>
      </w:r>
      <w:r>
        <w:rPr>
          <w:sz w:val="24"/>
        </w:rPr>
        <w:t>。</w:t>
      </w:r>
    </w:p>
    <w:p w14:paraId="787C49A2">
      <w:pPr>
        <w:pStyle w:val="4"/>
        <w:bidi w:val="0"/>
        <w:rPr>
          <w:rFonts w:hint="eastAsia"/>
          <w:lang w:val="en-US" w:eastAsia="zh-CN"/>
        </w:rPr>
      </w:pPr>
      <w:r>
        <w:rPr>
          <w:rFonts w:hint="eastAsia"/>
          <w:lang w:val="en-US" w:eastAsia="zh-CN"/>
        </w:rPr>
        <w:t>表6-4   储罐液体泄漏量计算参数一览表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229"/>
        <w:gridCol w:w="1269"/>
        <w:gridCol w:w="2358"/>
        <w:gridCol w:w="2358"/>
      </w:tblGrid>
      <w:tr w14:paraId="6CA5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blHeader/>
          <w:jc w:val="center"/>
        </w:trPr>
        <w:tc>
          <w:tcPr>
            <w:tcW w:w="465" w:type="pct"/>
            <w:tcBorders>
              <w:top w:val="single" w:color="auto" w:sz="4" w:space="0"/>
              <w:left w:val="single" w:color="auto" w:sz="4" w:space="0"/>
              <w:bottom w:val="single" w:color="auto" w:sz="4" w:space="0"/>
              <w:right w:val="single" w:color="auto" w:sz="4" w:space="0"/>
              <w:tl2br w:val="nil"/>
            </w:tcBorders>
            <w:shd w:val="clear" w:color="auto" w:fill="FFFFFF"/>
            <w:vAlign w:val="center"/>
          </w:tcPr>
          <w:p w14:paraId="16820E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符号</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0B08CEA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含义</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630FC0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单位</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6049E3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数值（1#轻烃）</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4FAD68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数值（碳五烷烃）</w:t>
            </w:r>
          </w:p>
        </w:tc>
      </w:tr>
      <w:tr w14:paraId="2019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5" w:type="pct"/>
            <w:tcBorders>
              <w:top w:val="single" w:color="auto" w:sz="4" w:space="0"/>
              <w:left w:val="single" w:color="auto" w:sz="4" w:space="0"/>
              <w:bottom w:val="single" w:color="auto" w:sz="4" w:space="0"/>
              <w:right w:val="single" w:color="auto" w:sz="4" w:space="0"/>
            </w:tcBorders>
            <w:shd w:val="clear" w:color="auto" w:fill="FFFFFF"/>
            <w:vAlign w:val="center"/>
          </w:tcPr>
          <w:p w14:paraId="0266D5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Cd</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365D2F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液体泄漏系数</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03519D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无量纲</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344092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0.65</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616178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0.65</w:t>
            </w:r>
          </w:p>
        </w:tc>
      </w:tr>
      <w:tr w14:paraId="248C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5" w:type="pct"/>
            <w:tcBorders>
              <w:top w:val="single" w:color="auto" w:sz="4" w:space="0"/>
              <w:left w:val="single" w:color="auto" w:sz="4" w:space="0"/>
              <w:bottom w:val="single" w:color="auto" w:sz="4" w:space="0"/>
              <w:right w:val="single" w:color="auto" w:sz="4" w:space="0"/>
            </w:tcBorders>
            <w:shd w:val="clear" w:color="auto" w:fill="FFFFFF"/>
            <w:vAlign w:val="center"/>
          </w:tcPr>
          <w:p w14:paraId="3DF43F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A</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569DEC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裂口面积</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5F8163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m</w:t>
            </w:r>
            <w:r>
              <w:rPr>
                <w:rFonts w:hint="eastAsia"/>
                <w:vertAlign w:val="superscript"/>
                <w:lang w:val="en-US" w:eastAsia="zh-CN"/>
              </w:rPr>
              <w:t>2</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78F4A0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7.85×10</w:t>
            </w:r>
            <w:r>
              <w:rPr>
                <w:rFonts w:hint="eastAsia"/>
                <w:vertAlign w:val="superscript"/>
                <w:lang w:val="en-US" w:eastAsia="zh-CN"/>
              </w:rPr>
              <w:t>-5</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4294AD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7.85×10</w:t>
            </w:r>
            <w:r>
              <w:rPr>
                <w:rFonts w:hint="eastAsia"/>
                <w:vertAlign w:val="superscript"/>
                <w:lang w:val="en-US" w:eastAsia="zh-CN"/>
              </w:rPr>
              <w:t>-5</w:t>
            </w:r>
          </w:p>
        </w:tc>
      </w:tr>
      <w:tr w14:paraId="69EF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5" w:type="pct"/>
            <w:tcBorders>
              <w:top w:val="single" w:color="auto" w:sz="4" w:space="0"/>
              <w:left w:val="single" w:color="auto" w:sz="4" w:space="0"/>
              <w:bottom w:val="single" w:color="auto" w:sz="4" w:space="0"/>
              <w:right w:val="single" w:color="auto" w:sz="4" w:space="0"/>
            </w:tcBorders>
            <w:shd w:val="clear" w:color="auto" w:fill="FFFFFF"/>
            <w:vAlign w:val="center"/>
          </w:tcPr>
          <w:p w14:paraId="13F0BC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ρ</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12DFF5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泄漏液体密度</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678504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kg/m</w:t>
            </w:r>
            <w:r>
              <w:rPr>
                <w:rFonts w:hint="eastAsia"/>
                <w:vertAlign w:val="superscript"/>
                <w:lang w:val="en-US" w:eastAsia="zh-CN"/>
              </w:rPr>
              <w:t>3</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268EA1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650</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14287E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680</w:t>
            </w:r>
          </w:p>
        </w:tc>
      </w:tr>
      <w:tr w14:paraId="22EA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5" w:type="pct"/>
            <w:tcBorders>
              <w:top w:val="single" w:color="auto" w:sz="4" w:space="0"/>
              <w:left w:val="single" w:color="auto" w:sz="4" w:space="0"/>
              <w:bottom w:val="single" w:color="auto" w:sz="4" w:space="0"/>
              <w:right w:val="single" w:color="auto" w:sz="4" w:space="0"/>
            </w:tcBorders>
            <w:shd w:val="clear" w:color="auto" w:fill="FFFFFF"/>
            <w:vAlign w:val="center"/>
          </w:tcPr>
          <w:p w14:paraId="09FE95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P</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4900A0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容器内介质压力</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301705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Pa</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1A2EE6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3×10</w:t>
            </w:r>
            <w:r>
              <w:rPr>
                <w:rFonts w:hint="eastAsia"/>
                <w:vertAlign w:val="superscript"/>
                <w:lang w:val="en-US" w:eastAsia="zh-CN"/>
              </w:rPr>
              <w:t>5</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2CCFCF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3×10</w:t>
            </w:r>
            <w:r>
              <w:rPr>
                <w:rFonts w:hint="eastAsia"/>
                <w:vertAlign w:val="superscript"/>
                <w:lang w:val="en-US" w:eastAsia="zh-CN"/>
              </w:rPr>
              <w:t>5</w:t>
            </w:r>
          </w:p>
        </w:tc>
      </w:tr>
      <w:tr w14:paraId="6890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5" w:type="pct"/>
            <w:tcBorders>
              <w:top w:val="single" w:color="auto" w:sz="4" w:space="0"/>
              <w:left w:val="single" w:color="auto" w:sz="4" w:space="0"/>
              <w:bottom w:val="single" w:color="auto" w:sz="4" w:space="0"/>
              <w:right w:val="single" w:color="auto" w:sz="4" w:space="0"/>
            </w:tcBorders>
            <w:shd w:val="clear" w:color="auto" w:fill="FFFFFF"/>
            <w:vAlign w:val="center"/>
          </w:tcPr>
          <w:p w14:paraId="5FCE31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P0</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14D634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环境压力</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057325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Pa</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74D0A9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1.013×10</w:t>
            </w:r>
            <w:r>
              <w:rPr>
                <w:rFonts w:hint="eastAsia"/>
                <w:vertAlign w:val="superscript"/>
                <w:lang w:val="en-US" w:eastAsia="zh-CN"/>
              </w:rPr>
              <w:t>5</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783997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1.013×10</w:t>
            </w:r>
            <w:r>
              <w:rPr>
                <w:rFonts w:hint="eastAsia"/>
                <w:vertAlign w:val="superscript"/>
                <w:lang w:val="en-US" w:eastAsia="zh-CN"/>
              </w:rPr>
              <w:t>5</w:t>
            </w:r>
          </w:p>
        </w:tc>
      </w:tr>
      <w:tr w14:paraId="73F2C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5" w:type="pct"/>
            <w:tcBorders>
              <w:top w:val="single" w:color="auto" w:sz="4" w:space="0"/>
              <w:left w:val="single" w:color="auto" w:sz="4" w:space="0"/>
              <w:bottom w:val="single" w:color="auto" w:sz="4" w:space="0"/>
              <w:right w:val="single" w:color="auto" w:sz="4" w:space="0"/>
            </w:tcBorders>
            <w:shd w:val="clear" w:color="auto" w:fill="FFFFFF"/>
            <w:vAlign w:val="center"/>
          </w:tcPr>
          <w:p w14:paraId="68065F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g</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1C34F5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重力加速度</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4FC857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m/s</w:t>
            </w:r>
            <w:r>
              <w:rPr>
                <w:rFonts w:hint="eastAsia"/>
                <w:vertAlign w:val="superscript"/>
                <w:lang w:val="en-US" w:eastAsia="zh-CN"/>
              </w:rPr>
              <w:t>2</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307F18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9.8</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69CEF0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9.8</w:t>
            </w:r>
          </w:p>
        </w:tc>
      </w:tr>
      <w:tr w14:paraId="3840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5" w:type="pct"/>
            <w:tcBorders>
              <w:top w:val="single" w:color="auto" w:sz="4" w:space="0"/>
              <w:left w:val="single" w:color="auto" w:sz="4" w:space="0"/>
              <w:bottom w:val="single" w:color="auto" w:sz="4" w:space="0"/>
              <w:right w:val="single" w:color="auto" w:sz="4" w:space="0"/>
            </w:tcBorders>
            <w:shd w:val="clear" w:color="auto" w:fill="FFFFFF"/>
            <w:vAlign w:val="center"/>
          </w:tcPr>
          <w:p w14:paraId="5A756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h</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3334CA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裂口之上液位高度</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33209E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m</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703EF55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0.5</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21C93A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0.5</w:t>
            </w:r>
          </w:p>
        </w:tc>
      </w:tr>
      <w:tr w14:paraId="172B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5" w:type="pct"/>
            <w:tcBorders>
              <w:top w:val="single" w:color="auto" w:sz="4" w:space="0"/>
              <w:left w:val="single" w:color="auto" w:sz="4" w:space="0"/>
              <w:bottom w:val="single" w:color="auto" w:sz="4" w:space="0"/>
              <w:right w:val="single" w:color="auto" w:sz="4" w:space="0"/>
            </w:tcBorders>
            <w:shd w:val="clear" w:color="auto" w:fill="FFFFFF"/>
            <w:vAlign w:val="center"/>
          </w:tcPr>
          <w:p w14:paraId="16EBF3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QL</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11AEE1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液体泄漏速度</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63088E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kg/s</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22FD76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0.827</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781570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0.846</w:t>
            </w:r>
          </w:p>
        </w:tc>
      </w:tr>
      <w:tr w14:paraId="08A86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65" w:type="pct"/>
            <w:tcBorders>
              <w:top w:val="single" w:color="auto" w:sz="4" w:space="0"/>
              <w:left w:val="single" w:color="auto" w:sz="4" w:space="0"/>
              <w:bottom w:val="single" w:color="auto" w:sz="4" w:space="0"/>
              <w:right w:val="single" w:color="auto" w:sz="4" w:space="0"/>
            </w:tcBorders>
            <w:shd w:val="clear" w:color="auto" w:fill="FFFFFF"/>
            <w:vAlign w:val="center"/>
          </w:tcPr>
          <w:p w14:paraId="2C3017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167969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泄漏时间</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05AEBA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s</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6139D9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600</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35CE62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600</w:t>
            </w:r>
          </w:p>
        </w:tc>
      </w:tr>
      <w:tr w14:paraId="2F35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465" w:type="pct"/>
            <w:tcBorders>
              <w:top w:val="single" w:color="auto" w:sz="4" w:space="0"/>
              <w:left w:val="single" w:color="auto" w:sz="4" w:space="0"/>
              <w:bottom w:val="single" w:color="auto" w:sz="4" w:space="0"/>
              <w:right w:val="single" w:color="auto" w:sz="4" w:space="0"/>
            </w:tcBorders>
            <w:shd w:val="clear" w:color="auto" w:fill="FFFFFF"/>
            <w:vAlign w:val="center"/>
          </w:tcPr>
          <w:p w14:paraId="6A0185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w:t>
            </w:r>
          </w:p>
        </w:tc>
        <w:tc>
          <w:tcPr>
            <w:tcW w:w="1230" w:type="pct"/>
            <w:tcBorders>
              <w:top w:val="single" w:color="auto" w:sz="4" w:space="0"/>
              <w:left w:val="single" w:color="auto" w:sz="4" w:space="0"/>
              <w:bottom w:val="single" w:color="auto" w:sz="4" w:space="0"/>
              <w:right w:val="single" w:color="auto" w:sz="4" w:space="0"/>
            </w:tcBorders>
            <w:shd w:val="clear" w:color="auto" w:fill="FFFFFF"/>
            <w:vAlign w:val="center"/>
          </w:tcPr>
          <w:p w14:paraId="6049AA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泄漏量</w:t>
            </w:r>
          </w:p>
        </w:tc>
        <w:tc>
          <w:tcPr>
            <w:tcW w:w="700" w:type="pct"/>
            <w:tcBorders>
              <w:top w:val="single" w:color="auto" w:sz="4" w:space="0"/>
              <w:left w:val="single" w:color="auto" w:sz="4" w:space="0"/>
              <w:bottom w:val="single" w:color="auto" w:sz="4" w:space="0"/>
              <w:right w:val="single" w:color="auto" w:sz="4" w:space="0"/>
            </w:tcBorders>
            <w:shd w:val="clear" w:color="auto" w:fill="FFFFFF"/>
            <w:vAlign w:val="center"/>
          </w:tcPr>
          <w:p w14:paraId="3F69D6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lang w:val="en-US" w:eastAsia="zh-CN"/>
              </w:rPr>
            </w:pPr>
            <w:r>
              <w:rPr>
                <w:rFonts w:hint="eastAsia"/>
                <w:lang w:val="en-US" w:eastAsia="zh-CN"/>
              </w:rPr>
              <w:t>kg</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5381E7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496</w:t>
            </w:r>
          </w:p>
        </w:tc>
        <w:tc>
          <w:tcPr>
            <w:tcW w:w="1301" w:type="pct"/>
            <w:tcBorders>
              <w:top w:val="single" w:color="auto" w:sz="4" w:space="0"/>
              <w:left w:val="single" w:color="auto" w:sz="4" w:space="0"/>
              <w:bottom w:val="single" w:color="auto" w:sz="4" w:space="0"/>
              <w:right w:val="single" w:color="auto" w:sz="4" w:space="0"/>
            </w:tcBorders>
            <w:shd w:val="clear" w:color="auto" w:fill="FFFFFF"/>
            <w:vAlign w:val="center"/>
          </w:tcPr>
          <w:p w14:paraId="4C48B9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lang w:val="en-US" w:eastAsia="zh-CN"/>
              </w:rPr>
            </w:pPr>
            <w:r>
              <w:rPr>
                <w:rFonts w:hint="eastAsia"/>
                <w:lang w:val="en-US" w:eastAsia="zh-CN"/>
              </w:rPr>
              <w:t>507.5</w:t>
            </w:r>
          </w:p>
        </w:tc>
      </w:tr>
    </w:tbl>
    <w:p w14:paraId="417DA31B">
      <w:pPr>
        <w:pStyle w:val="2"/>
        <w:bidi w:val="0"/>
        <w:rPr>
          <w:lang w:val="en-US" w:eastAsia="zh-CN"/>
        </w:rPr>
      </w:pPr>
      <w:r>
        <w:rPr>
          <w:lang w:val="en-US" w:eastAsia="zh-CN"/>
        </w:rPr>
        <w:t>7 环境风险分析</w:t>
      </w:r>
    </w:p>
    <w:p w14:paraId="662F1F28">
      <w:pPr>
        <w:pStyle w:val="2"/>
        <w:bidi w:val="0"/>
        <w:rPr>
          <w:lang w:val="en-US" w:eastAsia="zh-CN"/>
        </w:rPr>
      </w:pPr>
      <w:r>
        <w:rPr>
          <w:lang w:val="en-US" w:eastAsia="zh-CN"/>
        </w:rPr>
        <w:t>7.1 大气环境风险影响分析</w:t>
      </w:r>
    </w:p>
    <w:p w14:paraId="25A65A62">
      <w:pPr>
        <w:bidi w:val="0"/>
        <w:rPr>
          <w:lang w:val="en-US" w:eastAsia="zh-CN"/>
        </w:rPr>
      </w:pPr>
      <w:r>
        <w:rPr>
          <w:lang w:val="en-US" w:eastAsia="zh-CN"/>
        </w:rPr>
        <w:t>项目大气环境风险评价等级为三级，</w:t>
      </w:r>
      <w:r>
        <w:rPr>
          <w:rFonts w:hint="eastAsia"/>
          <w:lang w:val="en-US" w:eastAsia="zh-CN"/>
        </w:rPr>
        <w:t>应定性分析说明大气环境影响后果</w:t>
      </w:r>
      <w:r>
        <w:rPr>
          <w:lang w:val="en-US" w:eastAsia="zh-CN"/>
        </w:rPr>
        <w:t>。</w:t>
      </w:r>
    </w:p>
    <w:p w14:paraId="4A114C5D">
      <w:pPr>
        <w:bidi w:val="0"/>
        <w:rPr>
          <w:rFonts w:hint="default"/>
          <w:lang w:val="en-US" w:eastAsia="zh-CN"/>
        </w:rPr>
      </w:pPr>
      <w:r>
        <w:rPr>
          <w:rFonts w:hint="default"/>
          <w:lang w:val="en-US" w:eastAsia="zh-CN"/>
        </w:rPr>
        <w:t>项目1#轻烃、碳五烷烃的储罐，因超压运行、违规操作、腐蚀破损、接口密封失效或管道老化开裂等原因，易造成</w:t>
      </w:r>
      <w:r>
        <w:rPr>
          <w:rFonts w:hint="eastAsia"/>
          <w:lang w:val="en-US" w:eastAsia="zh-CN"/>
        </w:rPr>
        <w:t>储罐</w:t>
      </w:r>
      <w:r>
        <w:rPr>
          <w:rFonts w:hint="default"/>
          <w:lang w:val="en-US" w:eastAsia="zh-CN"/>
        </w:rPr>
        <w:t>介质泄漏挥发</w:t>
      </w:r>
      <w:r>
        <w:rPr>
          <w:rFonts w:hint="eastAsia"/>
          <w:lang w:val="en-US" w:eastAsia="zh-CN"/>
        </w:rPr>
        <w:t>，</w:t>
      </w:r>
      <w:r>
        <w:rPr>
          <w:rFonts w:hint="default"/>
          <w:lang w:val="en-US" w:eastAsia="zh-CN"/>
        </w:rPr>
        <w:t>1#轻烃、碳五烷烃</w:t>
      </w:r>
      <w:r>
        <w:rPr>
          <w:rFonts w:hint="eastAsia"/>
          <w:lang w:val="en-US" w:eastAsia="zh-CN"/>
        </w:rPr>
        <w:t>储罐</w:t>
      </w:r>
      <w:r>
        <w:rPr>
          <w:rFonts w:hint="default"/>
          <w:lang w:val="en-US" w:eastAsia="zh-CN"/>
        </w:rPr>
        <w:t>泄漏后，挥发的蒸汽会对周边居民及环境造成多维度危害。对周边居民而言，短期近距离吸入蒸汽时，部分敏感人群可能出现眼鼻喉轻微刺激、短暂头晕或轻微视力模糊等不适，这类症状在远离泄漏区域后通常可较快缓解；从长期接触来看，若泄漏未及时控制，少数长期处于低浓度蒸汽环境的居民，可能存在轻微健康风险，但通过及时干预可有效规避，老人、儿童等体质较敏感群体需稍加注意。同时，泄漏发生后，为保障安全可能会采取临时管控建议，短时间减少泄漏点附近户外活动，对居民日常出行、购物等影响有限。对环境来说，污染物会导致大气 VOCs 超标，</w:t>
      </w:r>
      <w:r>
        <w:rPr>
          <w:rFonts w:hint="eastAsia"/>
          <w:lang w:val="en-US" w:eastAsia="zh-CN"/>
        </w:rPr>
        <w:t>可能</w:t>
      </w:r>
      <w:r>
        <w:rPr>
          <w:rFonts w:hint="default"/>
          <w:lang w:val="en-US" w:eastAsia="zh-CN"/>
        </w:rPr>
        <w:t>形成二次污染。</w:t>
      </w:r>
    </w:p>
    <w:p w14:paraId="4E494394">
      <w:pPr>
        <w:bidi w:val="0"/>
        <w:rPr>
          <w:rFonts w:hint="eastAsia"/>
          <w:lang w:val="en-US" w:eastAsia="zh-CN"/>
        </w:rPr>
      </w:pPr>
      <w:r>
        <w:rPr>
          <w:rFonts w:hint="default"/>
          <w:lang w:val="en-US" w:eastAsia="zh-CN"/>
        </w:rPr>
        <w:t>当发现</w:t>
      </w:r>
      <w:r>
        <w:rPr>
          <w:rFonts w:hint="eastAsia"/>
          <w:lang w:val="en-US" w:eastAsia="zh-CN"/>
        </w:rPr>
        <w:t>储罐</w:t>
      </w:r>
      <w:r>
        <w:rPr>
          <w:rFonts w:hint="default"/>
          <w:lang w:val="en-US" w:eastAsia="zh-CN"/>
        </w:rPr>
        <w:t>泄漏时，操作人员接到泄漏预警信号后，需立即启动应急响应：首先关闭泄漏</w:t>
      </w:r>
      <w:r>
        <w:rPr>
          <w:rFonts w:hint="eastAsia"/>
          <w:lang w:val="en-US" w:eastAsia="zh-CN"/>
        </w:rPr>
        <w:t>储罐</w:t>
      </w:r>
      <w:r>
        <w:rPr>
          <w:rFonts w:hint="default"/>
          <w:lang w:val="en-US" w:eastAsia="zh-CN"/>
        </w:rPr>
        <w:t>上游进料阀门与下游出料阀门，切断介质输送源头，同时停止相关输送泵运行，防止更多</w:t>
      </w:r>
      <w:r>
        <w:rPr>
          <w:rFonts w:hint="eastAsia"/>
          <w:lang w:val="en-US" w:eastAsia="zh-CN"/>
        </w:rPr>
        <w:t>物料</w:t>
      </w:r>
      <w:r>
        <w:rPr>
          <w:rFonts w:hint="default"/>
          <w:lang w:val="en-US" w:eastAsia="zh-CN"/>
        </w:rPr>
        <w:t>持续进入泄漏</w:t>
      </w:r>
      <w:r>
        <w:rPr>
          <w:rFonts w:hint="eastAsia"/>
          <w:lang w:val="en-US" w:eastAsia="zh-CN"/>
        </w:rPr>
        <w:t>位置</w:t>
      </w:r>
      <w:r>
        <w:rPr>
          <w:rFonts w:hint="default"/>
          <w:lang w:val="en-US" w:eastAsia="zh-CN"/>
        </w:rPr>
        <w:t>；若泄漏点位于</w:t>
      </w:r>
      <w:r>
        <w:rPr>
          <w:rFonts w:hint="eastAsia"/>
          <w:lang w:val="en-US" w:eastAsia="zh-CN"/>
        </w:rPr>
        <w:t>储罐底部</w:t>
      </w:r>
      <w:r>
        <w:rPr>
          <w:rFonts w:hint="default"/>
          <w:lang w:val="en-US" w:eastAsia="zh-CN"/>
        </w:rPr>
        <w:t>，需迅速使用专用堵漏工具进行临时封堵，最大限度减少泄漏量</w:t>
      </w:r>
      <w:r>
        <w:rPr>
          <w:rFonts w:hint="eastAsia"/>
          <w:lang w:val="en-US" w:eastAsia="zh-CN"/>
        </w:rPr>
        <w:t>。</w:t>
      </w:r>
      <w:r>
        <w:rPr>
          <w:rFonts w:hint="default"/>
          <w:lang w:val="en-US" w:eastAsia="zh-CN"/>
        </w:rPr>
        <w:t>泄漏得到控制后，需及时开展现场清理与环境监测工作：使用吸油棉、砂土等吸附材料对泄漏区域残留的液态溶剂进行全面清理，避免残留介质持续挥发；收集的含油吸附废物、泄漏残液等，需严格按照危险废物管理规范进行分类存放，交由具备相应资质的危险废物处置单位进行专业处置，防止二次污染。同时，委托第三方环境检测机构，根据泄漏介质的扩散特性、当地气象条件（如风向、风速），在泄漏点下风向50米、100米、200米处设置大气监测点，重点检测空气中1#轻烃、碳五烷烃等有机污染物浓度，持续监测直至检测浓度降至区域大气背景水平，确认无环境风险隐患后，方可对泄漏</w:t>
      </w:r>
      <w:r>
        <w:rPr>
          <w:rFonts w:hint="eastAsia"/>
          <w:lang w:val="en-US" w:eastAsia="zh-CN"/>
        </w:rPr>
        <w:t>储罐</w:t>
      </w:r>
      <w:r>
        <w:rPr>
          <w:rFonts w:hint="default"/>
          <w:lang w:val="en-US" w:eastAsia="zh-CN"/>
        </w:rPr>
        <w:t>进行维修更换，经压力测试、气密性检验合格后，再恢复正常使用。</w:t>
      </w:r>
      <w:r>
        <w:rPr>
          <w:rFonts w:ascii="宋体" w:hAnsi="宋体" w:eastAsia="宋体" w:cs="宋体"/>
          <w:sz w:val="24"/>
          <w:szCs w:val="24"/>
        </w:rPr>
        <w:t>在落实应急措施后，影响可得到有效控制</w:t>
      </w:r>
      <w:r>
        <w:rPr>
          <w:rFonts w:hint="eastAsia"/>
          <w:lang w:val="en-US" w:eastAsia="zh-CN"/>
        </w:rPr>
        <w:t>。</w:t>
      </w:r>
    </w:p>
    <w:p w14:paraId="337B6A31">
      <w:pPr>
        <w:pStyle w:val="2"/>
        <w:bidi w:val="0"/>
      </w:pPr>
      <w:r>
        <w:t>7.2 地表水环境风险影响分析</w:t>
      </w:r>
    </w:p>
    <w:p w14:paraId="3B6B81FE">
      <w:pPr>
        <w:bidi w:val="0"/>
        <w:rPr>
          <w:lang w:val="en-US" w:eastAsia="zh-CN"/>
        </w:rPr>
      </w:pPr>
      <w:r>
        <w:rPr>
          <w:lang w:val="en-US" w:eastAsia="zh-CN"/>
        </w:rPr>
        <w:t>项目</w:t>
      </w:r>
      <w:r>
        <w:rPr>
          <w:rFonts w:hint="eastAsia"/>
          <w:lang w:val="en-US" w:eastAsia="zh-CN"/>
        </w:rPr>
        <w:t>地表水</w:t>
      </w:r>
      <w:r>
        <w:rPr>
          <w:lang w:val="en-US" w:eastAsia="zh-CN"/>
        </w:rPr>
        <w:t>环境风险评价等级为三级，</w:t>
      </w:r>
      <w:r>
        <w:rPr>
          <w:rFonts w:hint="eastAsia"/>
          <w:lang w:val="en-US" w:eastAsia="zh-CN"/>
        </w:rPr>
        <w:t>应定性分析说明地表水环境影响后果</w:t>
      </w:r>
      <w:r>
        <w:rPr>
          <w:lang w:val="en-US" w:eastAsia="zh-CN"/>
        </w:rPr>
        <w:t>。</w:t>
      </w:r>
    </w:p>
    <w:p w14:paraId="5D445D60">
      <w:pPr>
        <w:bidi w:val="0"/>
        <w:rPr>
          <w:lang w:val="en-US" w:eastAsia="zh-CN"/>
        </w:rPr>
      </w:pPr>
      <w:r>
        <w:rPr>
          <w:lang w:val="en-US" w:eastAsia="zh-CN"/>
        </w:rPr>
        <w:t>储罐区均设有围堰，事故情况下，危险物料泄漏于具有防渗功能的围堰内，并及时进行处理，不会流出厂外；泄漏的</w:t>
      </w:r>
      <w:r>
        <w:rPr>
          <w:rFonts w:hint="eastAsia"/>
          <w:lang w:val="en-US" w:eastAsia="zh-CN"/>
        </w:rPr>
        <w:t>物质</w:t>
      </w:r>
      <w:r>
        <w:rPr>
          <w:lang w:val="en-US" w:eastAsia="zh-CN"/>
        </w:rPr>
        <w:t>，以气体形式泄漏，不会进入地表水体，与地表水体不发生水力联系。</w:t>
      </w:r>
    </w:p>
    <w:p w14:paraId="7870CEF6">
      <w:pPr>
        <w:bidi w:val="0"/>
        <w:rPr>
          <w:lang w:val="en-US" w:eastAsia="zh-CN"/>
        </w:rPr>
      </w:pPr>
      <w:r>
        <w:rPr>
          <w:lang w:val="en-US" w:eastAsia="zh-CN"/>
        </w:rPr>
        <w:t>因此，事故情况下，泄漏的轻烃、碳五烷烃等物质在厂区内可控，对地表水基本不产生影响。</w:t>
      </w:r>
    </w:p>
    <w:p w14:paraId="6BA16068">
      <w:pPr>
        <w:outlineLvl w:val="1"/>
        <w:rPr>
          <w:b/>
          <w:bCs/>
          <w:sz w:val="24"/>
        </w:rPr>
      </w:pPr>
      <w:r>
        <w:rPr>
          <w:b/>
          <w:bCs/>
          <w:sz w:val="24"/>
        </w:rPr>
        <w:t>7.3 地下水环境风险影响分析</w:t>
      </w:r>
    </w:p>
    <w:p w14:paraId="059F5419">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本项目储罐区按标准设置围堰（61m×43m×1.5m）、防渗层及事故收集设施，事故工况下泄漏物料均经围堰收集进入事故水池，不直接进入土壤及地下水；储存的1#轻烃、碳五烷烃为易挥发性轻质烷烃，水溶性极低，泄漏后绝大部分挥发进入大气，进入包气带及地下水的量极其有限。故本项目对地下水环境影响轻微，本次仅作定性分析，不进行地下水溶质运移定量预测，并同步落实分区防渗、地下水跟踪监测及防控联动要求。</w:t>
      </w:r>
    </w:p>
    <w:p w14:paraId="27D9EB15">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本项目罐区四设2座球罐（单罐容积1000m³），围堰尺寸61m×43m×1.5m。围堰按计容液位1.3m（预留0.2m 安全超高）核算，储罐设置8根支柱占用约1.5m³及</w:t>
      </w:r>
      <w:r>
        <w:rPr>
          <w:rFonts w:hint="eastAsia" w:cs="Times New Roman"/>
          <w:lang w:val="en-US" w:eastAsia="zh-CN"/>
        </w:rPr>
        <w:t>8块</w:t>
      </w:r>
      <w:r>
        <w:rPr>
          <w:rFonts w:hint="eastAsia" w:ascii="Times New Roman" w:hAnsi="Times New Roman" w:eastAsia="宋体" w:cs="Times New Roman"/>
          <w:lang w:val="en-US" w:eastAsia="zh-CN"/>
        </w:rPr>
        <w:t>支柱底板占用约0.3m³，</w:t>
      </w:r>
      <w:r>
        <w:rPr>
          <w:rFonts w:hint="eastAsia" w:cs="Times New Roman"/>
          <w:lang w:val="en-US" w:eastAsia="zh-CN"/>
        </w:rPr>
        <w:t>则</w:t>
      </w:r>
      <w:r>
        <w:rPr>
          <w:rFonts w:hint="eastAsia" w:ascii="Times New Roman" w:hAnsi="Times New Roman" w:eastAsia="宋体" w:cs="Times New Roman"/>
          <w:lang w:val="en-US" w:eastAsia="zh-CN"/>
        </w:rPr>
        <w:t>有效容积约3408m³；球罐最低点离地1.5m，高于计容液位，罐体不占用围堰容积。围堰有效容积大于两座球罐全量泄漏量（2000m³），事故泄漏物料可全部收集于围堰内不外溢，满足《储罐区防火堤设计规范》（GB 50351—2014）要求。</w:t>
      </w:r>
    </w:p>
    <w:p w14:paraId="315560ED">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罐区四新建球罐罐组设置钢筋混凝土防渗防火围堰，围堰内部设置集水沟，集水沟配套管道设置电动切换阀并接入厂区事故管网。正常雨水工况：切换阀切换至雨水排放系统；发生物料泄漏或者消防灭火事故工况：手动/自动切换阀门，全部导流至事故管网，泄漏物料、消防废水重力输送进入厂区事故水池；围堰穿堤管道位置全部做防渗密闭封堵处理。</w:t>
      </w:r>
    </w:p>
    <w:p w14:paraId="5BEC693C">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复合事故最不利情景校核（单台球罐全部介质泄漏，同步发生消防灭火）：单座球罐最大储存介质约598.4t，介质密度0.68t/m³，介质体积约880m³；球罐消防冷却水按规范核算，灭火持续3h，产生消防废水量约720m³；复合情景总产生量</w:t>
      </w:r>
      <w:r>
        <w:rPr>
          <w:rFonts w:hint="eastAsia" w:cs="Times New Roman"/>
          <w:lang w:val="en-US" w:eastAsia="zh-CN"/>
        </w:rPr>
        <w:t>为</w:t>
      </w:r>
      <w:r>
        <w:rPr>
          <w:rFonts w:hint="eastAsia" w:ascii="Times New Roman" w:hAnsi="Times New Roman" w:eastAsia="宋体" w:cs="Times New Roman"/>
          <w:lang w:val="en-US" w:eastAsia="zh-CN"/>
        </w:rPr>
        <w:t>1600m³；厂区事故水池有效容积2160m³，大于复合事故总水量1600m³；泄漏物料先由围堰接纳，再经管网导入事故水池，整套系统可以实现物料、消防废水全部收集不外溢。</w:t>
      </w:r>
    </w:p>
    <w:p w14:paraId="2BB9516C">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雨水管控：围堰内雨水需要外排前，先取样检测；检测检出有机物，立刻关闭雨水外排阀门，全部切至事故水池。</w:t>
      </w:r>
    </w:p>
    <w:p w14:paraId="6804E49C">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公司应与轮台工业园区拉依苏石油化工区形成联动，建立事故状态下水污染三级预防与控制体系，确保事故状态下的污水全部处于受控状态，防止对地下水水体的污染。本项目对事故废水以及泄漏物料进行三级防控预防管理。三级防控机制具体如下：</w:t>
      </w:r>
    </w:p>
    <w:p w14:paraId="48EB959B">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①一级防控措施</w:t>
      </w:r>
    </w:p>
    <w:p w14:paraId="693AE29E">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第一级防控系统由装置区围堰、罐区防火堤组成，收集一般事故泄漏的物料，防止轻微事故泄漏造成的水环境污染。工艺生产装置根据污染物性质进行污染区划分，污染区设置围堰收集污染排水，分别经污水管道泵至厂区污水处理站处理。可燃液体储罐设置防火堤，防火堤高度按照《石油化工企业设计防火规范（2018年版）》（GB50160-2008）要求设置，保证有效容积不小于罐组内1个最大储罐的容积。在一般事故时利用围堰和防火堤控制泄漏物料的转移，防止泄漏物料及污染消防排水造成的环境污染。</w:t>
      </w:r>
    </w:p>
    <w:p w14:paraId="398A40F8">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防火堤均按照相关要求进行了防渗漏处理，管道穿堤处采用非燃烧材料严密封闭，在防火堤内雨水沟穿堤处，设防止物料流出堤外的措施。堤内均设有排水沟，堤外设有阀门井与堤内排水沟相接，正常时阀门井内阀门关闭，防止突发事件不能及时关闭阀门。</w:t>
      </w:r>
    </w:p>
    <w:p w14:paraId="1BBBAC35">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②二级防控措施</w:t>
      </w:r>
    </w:p>
    <w:p w14:paraId="47723C7B">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第二级防控系统由事故池组成，将较大生产事故泄漏于装置区围堰、储罐防火堤外的物料首先经装置区内污水管线重力排入装置区污水处理站，切断污染物与外部的通道，将污染物导入事故水系统，从而将污染控制在厂内，防止较大生产事故泄漏物料和污染消防水造成的环境污染。</w:t>
      </w:r>
    </w:p>
    <w:p w14:paraId="63EE1239">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③三级防控措施</w:t>
      </w:r>
    </w:p>
    <w:p w14:paraId="37F085AC">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正常情况下，本项目事故水池可满足事故状态下事故废水的储存需要。为防止极端情况下产生的大量事故废水超过事故水池存储能力漫流出厂，同时根据园区规划环评要求，本项目事故水处理与园区及周边企业联动，在发生重大消防事故，事故水池水位达到60%报警液位，存在消防水溢出环境风险的情况下，企业事故废水可送入周边企业事故水池，事故结束后，送污水处理站处理达标后经污水提升池排至园区污水处理厂。</w:t>
      </w:r>
    </w:p>
    <w:p w14:paraId="771E2302">
      <w:pPr>
        <w:pStyle w:val="2"/>
        <w:bidi w:val="0"/>
        <w:rPr>
          <w:lang w:val="en-US" w:eastAsia="zh-CN"/>
        </w:rPr>
      </w:pPr>
      <w:r>
        <w:rPr>
          <w:rFonts w:hint="eastAsia"/>
          <w:lang w:val="en-US" w:eastAsia="zh-CN"/>
        </w:rPr>
        <w:t xml:space="preserve">8 </w:t>
      </w:r>
      <w:r>
        <w:rPr>
          <w:lang w:val="en-US" w:eastAsia="zh-CN"/>
        </w:rPr>
        <w:t>环境风险管理</w:t>
      </w:r>
    </w:p>
    <w:p w14:paraId="4A9CE0EA">
      <w:pPr>
        <w:pStyle w:val="2"/>
        <w:bidi w:val="0"/>
        <w:rPr>
          <w:lang w:val="en-US" w:eastAsia="zh-CN"/>
        </w:rPr>
      </w:pPr>
      <w:r>
        <w:rPr>
          <w:rFonts w:hint="eastAsia"/>
          <w:lang w:val="en-US" w:eastAsia="zh-CN"/>
        </w:rPr>
        <w:t xml:space="preserve">8.1 </w:t>
      </w:r>
      <w:r>
        <w:rPr>
          <w:lang w:val="en-US" w:eastAsia="zh-CN"/>
        </w:rPr>
        <w:t>环境风险管理目标</w:t>
      </w:r>
    </w:p>
    <w:p w14:paraId="726F2C57">
      <w:pPr>
        <w:bidi w:val="0"/>
        <w:rPr>
          <w:lang w:val="en-US" w:eastAsia="zh-CN"/>
        </w:rPr>
      </w:pPr>
      <w:r>
        <w:rPr>
          <w:lang w:val="en-US" w:eastAsia="zh-CN"/>
        </w:rPr>
        <w:t>根据《建设项目环境风险评价技术导则》（HI169-2018）的要求，环境风险管理目标是采用最低合理可行原则（aslow asreasonable practicable，ALARP）管控环境风险。</w:t>
      </w:r>
    </w:p>
    <w:p w14:paraId="7F6D6033">
      <w:pPr>
        <w:bidi w:val="0"/>
        <w:rPr>
          <w:lang w:val="en-US" w:eastAsia="zh-CN"/>
        </w:rPr>
      </w:pPr>
      <w:r>
        <w:rPr>
          <w:lang w:val="en-US" w:eastAsia="zh-CN"/>
        </w:rPr>
        <w:t>环境风险管理目标是采用最低合理可行原则管控环境风险。采取的环境风险防范措施应与社会经济技术发展水平相适应，运用科学的技术手段和管理方法，对环境风险进行有效地预防、监控、响应。</w:t>
      </w:r>
    </w:p>
    <w:p w14:paraId="221073A6">
      <w:pPr>
        <w:pStyle w:val="2"/>
        <w:bidi w:val="0"/>
        <w:rPr>
          <w:lang w:val="en-US" w:eastAsia="zh-CN"/>
        </w:rPr>
      </w:pPr>
      <w:r>
        <w:rPr>
          <w:rFonts w:hint="eastAsia"/>
          <w:lang w:val="en-US" w:eastAsia="zh-CN"/>
        </w:rPr>
        <w:t xml:space="preserve">8.2 </w:t>
      </w:r>
      <w:r>
        <w:rPr>
          <w:lang w:val="en-US" w:eastAsia="zh-CN"/>
        </w:rPr>
        <w:t>环境风险防范措施</w:t>
      </w:r>
    </w:p>
    <w:p w14:paraId="6C31692A">
      <w:pPr>
        <w:pStyle w:val="2"/>
        <w:bidi w:val="0"/>
        <w:rPr>
          <w:lang w:val="en-US" w:eastAsia="zh-CN"/>
        </w:rPr>
      </w:pPr>
      <w:r>
        <w:rPr>
          <w:rFonts w:hint="eastAsia"/>
          <w:lang w:val="en-US" w:eastAsia="zh-CN"/>
        </w:rPr>
        <w:t xml:space="preserve">8.2.1 </w:t>
      </w:r>
      <w:r>
        <w:rPr>
          <w:lang w:val="en-US" w:eastAsia="zh-CN"/>
        </w:rPr>
        <w:t>大气环境风险防范措施</w:t>
      </w:r>
    </w:p>
    <w:p w14:paraId="3E9C637F">
      <w:pPr>
        <w:bidi w:val="0"/>
        <w:rPr>
          <w:lang w:val="en-US" w:eastAsia="zh-CN"/>
        </w:rPr>
      </w:pPr>
      <w:r>
        <w:rPr>
          <w:lang w:val="en-US" w:eastAsia="zh-CN"/>
        </w:rPr>
        <w:t>（1）选址、总图布置和建筑安全防范措施</w:t>
      </w:r>
    </w:p>
    <w:p w14:paraId="10A1E711">
      <w:pPr>
        <w:bidi w:val="0"/>
        <w:rPr>
          <w:lang w:val="en-US" w:eastAsia="zh-CN"/>
        </w:rPr>
      </w:pPr>
      <w:r>
        <w:rPr>
          <w:rFonts w:hint="eastAsia"/>
          <w:lang w:val="en-US" w:eastAsia="zh-CN"/>
        </w:rPr>
        <w:t>①</w:t>
      </w:r>
      <w:r>
        <w:rPr>
          <w:lang w:val="en-US" w:eastAsia="zh-CN"/>
        </w:rPr>
        <w:t>本项目各建筑物、构筑物间的防火安全设计，执行《建筑设计防火规范（2018年版）》（GB50016-2014）和《石油化工企业设计防火规范（2018年版）》（GB50160-2008）的要求设置，并根据各建筑物的功能、所处位置确定相应的耐火等级，并按国家标准设置安全出口和疏散距离。装置区操作平台和通道的设置，满足人员紧急疏散和消防的要求。</w:t>
      </w:r>
      <w:r>
        <w:rPr>
          <w:rFonts w:hint="eastAsia"/>
          <w:lang w:val="en-US" w:eastAsia="zh-CN"/>
        </w:rPr>
        <w:t>本</w:t>
      </w:r>
      <w:r>
        <w:rPr>
          <w:lang w:val="en-US" w:eastAsia="zh-CN"/>
        </w:rPr>
        <w:t>项目实施后厂区总平面布置紧凑合理；总平面布置符合防火间距，满足消防要求；厂内外道路、管路布置合理、物料的运输较为便捷。</w:t>
      </w:r>
    </w:p>
    <w:p w14:paraId="2E2A282E">
      <w:pPr>
        <w:bidi w:val="0"/>
        <w:rPr>
          <w:lang w:val="en-US" w:eastAsia="zh-CN"/>
        </w:rPr>
      </w:pPr>
      <w:r>
        <w:rPr>
          <w:rFonts w:hint="eastAsia"/>
          <w:lang w:val="en-US" w:eastAsia="zh-CN"/>
        </w:rPr>
        <w:t>②</w:t>
      </w:r>
      <w:r>
        <w:rPr>
          <w:lang w:val="en-US" w:eastAsia="zh-CN"/>
        </w:rPr>
        <w:t>高低压配电间设事故排风兼夏季消除余热；换气量根据操作时产生的危险有害气体及其性质，按《石油化工采暖通风与空气调节设计规范》中的有关规定计算。</w:t>
      </w:r>
    </w:p>
    <w:p w14:paraId="0C09EBA5">
      <w:pPr>
        <w:bidi w:val="0"/>
        <w:rPr>
          <w:lang w:val="en-US" w:eastAsia="zh-CN"/>
        </w:rPr>
      </w:pPr>
      <w:r>
        <w:rPr>
          <w:rFonts w:hint="eastAsia"/>
          <w:lang w:val="en-US" w:eastAsia="zh-CN"/>
        </w:rPr>
        <w:t>③</w:t>
      </w:r>
      <w:r>
        <w:rPr>
          <w:lang w:val="en-US" w:eastAsia="zh-CN"/>
        </w:rPr>
        <w:t>施工建设中严格执行国家有关部门现行的设计规范、规定及标准。各生产装置之间严格按防火防爆间距布置，高温明火的设备尽可能远离散发可燃气体的场所。生产装置区、罐区、危废暂存间及周边均应为硬化地面，并采取相应的防渗措施。在四周设废水收集沟，收集沟与事故池相连。确保发生事故时，泄漏的物料及灭火时产生的废水可完全被收集处理，不会通过渗透和地表径流污染地下水和地表水。</w:t>
      </w:r>
    </w:p>
    <w:p w14:paraId="73A1E01F">
      <w:pPr>
        <w:bidi w:val="0"/>
        <w:rPr>
          <w:lang w:val="en-US" w:eastAsia="zh-CN"/>
        </w:rPr>
      </w:pPr>
      <w:r>
        <w:rPr>
          <w:rFonts w:hint="eastAsia"/>
          <w:lang w:val="en-US" w:eastAsia="zh-CN"/>
        </w:rPr>
        <w:t>④本</w:t>
      </w:r>
      <w:r>
        <w:rPr>
          <w:lang w:val="en-US" w:eastAsia="zh-CN"/>
        </w:rPr>
        <w:t>工程实施后，项目各生产装置及辅助设施均设置了外向开启的应急消防门，内门设置为向疏散方向开启，符合安全生产要求。主要生产装置及储罐区设置环形安全消防通道，以利于事故状态下人员的疏散和抢救。</w:t>
      </w:r>
    </w:p>
    <w:p w14:paraId="241FF488">
      <w:pPr>
        <w:bidi w:val="0"/>
        <w:rPr>
          <w:lang w:val="en-US" w:eastAsia="zh-CN"/>
        </w:rPr>
      </w:pPr>
      <w:r>
        <w:rPr>
          <w:rFonts w:hint="eastAsia"/>
          <w:lang w:val="en-US" w:eastAsia="zh-CN"/>
        </w:rPr>
        <w:t>⑤</w:t>
      </w:r>
      <w:r>
        <w:rPr>
          <w:lang w:val="en-US" w:eastAsia="zh-CN"/>
        </w:rPr>
        <w:t>建筑上遵守国家现行的技术规范和规定，结合厂区生产特点，建、构筑物的平面布置、空间处理、结构选型、构造措施及材料选用等方面满足防火、防爆、防毒、防腐蚀、防噪音、防水、防潮、防震、隔热、洁净等要求。</w:t>
      </w:r>
    </w:p>
    <w:p w14:paraId="78F4D534">
      <w:pPr>
        <w:bidi w:val="0"/>
        <w:rPr>
          <w:lang w:val="en-US" w:eastAsia="zh-CN"/>
        </w:rPr>
      </w:pPr>
      <w:r>
        <w:rPr>
          <w:lang w:val="en-US" w:eastAsia="zh-CN"/>
        </w:rPr>
        <w:t>（2）工艺技术装备和自动控制设计安全防范措施</w:t>
      </w:r>
    </w:p>
    <w:p w14:paraId="63A416E3">
      <w:pPr>
        <w:bidi w:val="0"/>
        <w:rPr>
          <w:lang w:val="en-US" w:eastAsia="zh-CN"/>
        </w:rPr>
      </w:pPr>
      <w:r>
        <w:rPr>
          <w:lang w:val="en-US" w:eastAsia="zh-CN"/>
        </w:rPr>
        <w:t>1）工艺设备</w:t>
      </w:r>
    </w:p>
    <w:p w14:paraId="290EEAFE">
      <w:pPr>
        <w:bidi w:val="0"/>
        <w:rPr>
          <w:lang w:val="en-US" w:eastAsia="zh-CN"/>
        </w:rPr>
      </w:pPr>
      <w:r>
        <w:rPr>
          <w:rFonts w:hint="eastAsia"/>
          <w:lang w:val="en-US" w:eastAsia="zh-CN"/>
        </w:rPr>
        <w:t>①本</w:t>
      </w:r>
      <w:r>
        <w:rPr>
          <w:lang w:val="en-US" w:eastAsia="zh-CN"/>
        </w:rPr>
        <w:t>项目实施后，项目在可能超压的设备均设有安全阀，安全阀定压低于设备的设计压力，泵、安全阀的出口泄放管接入火炬系统；对于可能被物料堵塞或腐蚀的安全阀，在其入口前设爆破片，并采取保温措施；设备和管道应根据其内部物料的火灾危险性和操作条件，设置相应的仪表、</w:t>
      </w:r>
      <w:r>
        <w:rPr>
          <w:rFonts w:hint="eastAsia"/>
          <w:lang w:val="en-US" w:eastAsia="zh-CN"/>
        </w:rPr>
        <w:t>报警信号</w:t>
      </w:r>
      <w:r>
        <w:rPr>
          <w:lang w:val="en-US" w:eastAsia="zh-CN"/>
        </w:rPr>
        <w:t>、自动联锁保护系统或紧急停车措施；对于反应器等重要设备均设有报警信号和</w:t>
      </w:r>
      <w:r>
        <w:rPr>
          <w:rFonts w:hint="eastAsia"/>
          <w:lang w:val="en-US" w:eastAsia="zh-CN"/>
        </w:rPr>
        <w:t>泄</w:t>
      </w:r>
      <w:r>
        <w:rPr>
          <w:lang w:val="en-US" w:eastAsia="zh-CN"/>
        </w:rPr>
        <w:t>压排放设施，在非常情况下能够自动或手动遥控地紧急切断进料。</w:t>
      </w:r>
    </w:p>
    <w:p w14:paraId="3C59D4A9">
      <w:pPr>
        <w:bidi w:val="0"/>
        <w:rPr>
          <w:lang w:val="en-US" w:eastAsia="zh-CN"/>
        </w:rPr>
      </w:pPr>
      <w:r>
        <w:rPr>
          <w:rFonts w:hint="eastAsia"/>
          <w:lang w:val="en-US" w:eastAsia="zh-CN"/>
        </w:rPr>
        <w:t>②</w:t>
      </w:r>
      <w:r>
        <w:rPr>
          <w:lang w:val="en-US" w:eastAsia="zh-CN"/>
        </w:rPr>
        <w:t>所用物料管线、设备必须</w:t>
      </w:r>
      <w:r>
        <w:rPr>
          <w:rFonts w:hint="eastAsia"/>
          <w:lang w:val="en-US" w:eastAsia="zh-CN"/>
        </w:rPr>
        <w:t>处于</w:t>
      </w:r>
      <w:r>
        <w:rPr>
          <w:lang w:val="en-US" w:eastAsia="zh-CN"/>
        </w:rPr>
        <w:t>密闭状态。凡带压设备均</w:t>
      </w:r>
      <w:r>
        <w:rPr>
          <w:rFonts w:hint="eastAsia"/>
          <w:lang w:val="en-US" w:eastAsia="zh-CN"/>
        </w:rPr>
        <w:t>须</w:t>
      </w:r>
      <w:r>
        <w:rPr>
          <w:lang w:val="en-US" w:eastAsia="zh-CN"/>
        </w:rPr>
        <w:t>设有安全阀或防爆设施，事故状态下安全阀起跳，防止污染环境。</w:t>
      </w:r>
    </w:p>
    <w:p w14:paraId="5D402EAF">
      <w:pPr>
        <w:bidi w:val="0"/>
        <w:rPr>
          <w:lang w:val="en-US" w:eastAsia="zh-CN"/>
        </w:rPr>
      </w:pPr>
      <w:r>
        <w:rPr>
          <w:rFonts w:hint="eastAsia"/>
          <w:lang w:val="en-US" w:eastAsia="zh-CN"/>
        </w:rPr>
        <w:t>③</w:t>
      </w:r>
      <w:r>
        <w:rPr>
          <w:lang w:val="en-US" w:eastAsia="zh-CN"/>
        </w:rPr>
        <w:t>本项目所有可燃、有毒物料始终密闭在各类设施和管道中，各个连接处采用可靠的密封措施；在厂区内或者厂界周围适当位置安装风向仪，以便随时观测准确风向。一旦发生毒害物质泄漏事故，立即根据事故可能危害的范围设置警戒，所有人员朝泄漏处上风向疏散。</w:t>
      </w:r>
    </w:p>
    <w:p w14:paraId="024BE0DF">
      <w:pPr>
        <w:bidi w:val="0"/>
        <w:rPr>
          <w:lang w:val="en-US" w:eastAsia="zh-CN"/>
        </w:rPr>
      </w:pPr>
      <w:r>
        <w:rPr>
          <w:rFonts w:hint="eastAsia"/>
          <w:lang w:val="en-US" w:eastAsia="zh-CN"/>
        </w:rPr>
        <w:t>④</w:t>
      </w:r>
      <w:r>
        <w:rPr>
          <w:lang w:val="en-US" w:eastAsia="zh-CN"/>
        </w:rPr>
        <w:t>人行通道一定要有到工作点的通道、灭火器、灭火毯，启动/停止按钮等，一定要保证安全，没有任何障碍物，并且要标识清楚。</w:t>
      </w:r>
    </w:p>
    <w:p w14:paraId="33FE70B4">
      <w:pPr>
        <w:bidi w:val="0"/>
        <w:rPr>
          <w:lang w:val="en-US" w:eastAsia="zh-CN"/>
        </w:rPr>
      </w:pPr>
      <w:r>
        <w:rPr>
          <w:rFonts w:hint="eastAsia"/>
          <w:lang w:val="en-US" w:eastAsia="zh-CN"/>
        </w:rPr>
        <w:t>⑤</w:t>
      </w:r>
      <w:r>
        <w:rPr>
          <w:lang w:val="en-US" w:eastAsia="zh-CN"/>
        </w:rPr>
        <w:t>地面要保持清洁，没有障碍物和其他不必要的东西。</w:t>
      </w:r>
    </w:p>
    <w:p w14:paraId="43366AE1">
      <w:pPr>
        <w:bidi w:val="0"/>
        <w:rPr>
          <w:lang w:val="en-US" w:eastAsia="zh-CN"/>
        </w:rPr>
      </w:pPr>
      <w:r>
        <w:rPr>
          <w:rFonts w:hint="eastAsia"/>
          <w:lang w:val="en-US" w:eastAsia="zh-CN"/>
        </w:rPr>
        <w:t>⑥</w:t>
      </w:r>
      <w:r>
        <w:rPr>
          <w:lang w:val="en-US" w:eastAsia="zh-CN"/>
        </w:rPr>
        <w:t>加强安全管理，建立完善的安全制度，设立工艺设备的巡检路线和巡检记录。</w:t>
      </w:r>
    </w:p>
    <w:p w14:paraId="19AF2124">
      <w:pPr>
        <w:bidi w:val="0"/>
        <w:rPr>
          <w:lang w:val="en-US" w:eastAsia="zh-CN"/>
        </w:rPr>
      </w:pPr>
      <w:r>
        <w:rPr>
          <w:lang w:val="en-US" w:eastAsia="zh-CN"/>
        </w:rPr>
        <w:t>2）电气各装置区严格遵循规范设计</w:t>
      </w:r>
    </w:p>
    <w:p w14:paraId="19AE665E">
      <w:pPr>
        <w:bidi w:val="0"/>
        <w:rPr>
          <w:lang w:val="en-US" w:eastAsia="zh-CN"/>
        </w:rPr>
      </w:pPr>
      <w:r>
        <w:rPr>
          <w:rFonts w:hint="eastAsia"/>
          <w:lang w:val="en-US" w:eastAsia="zh-CN"/>
        </w:rPr>
        <w:t>①</w:t>
      </w:r>
      <w:r>
        <w:rPr>
          <w:lang w:val="en-US" w:eastAsia="zh-CN"/>
        </w:rPr>
        <w:t>装置的爆炸危险区域划分执行《爆炸和火灾危险环境电力装置设计规范》（GB50058-2014）。危险区内的各类电气设备均选用相应防爆等级的产品。电缆敷设及配电间的设计均考虑防火、防爆的要求。在装置爆炸危险区域内的所有电气设备均选用防爆型，设计防雷、防静电措施、配置相应防爆等级的电气设备和灯具，仪表选用本质安全型。</w:t>
      </w:r>
    </w:p>
    <w:p w14:paraId="5299F3B9">
      <w:pPr>
        <w:bidi w:val="0"/>
        <w:rPr>
          <w:lang w:val="en-US" w:eastAsia="zh-CN"/>
        </w:rPr>
      </w:pPr>
      <w:r>
        <w:rPr>
          <w:rFonts w:hint="eastAsia"/>
          <w:lang w:val="en-US" w:eastAsia="zh-CN"/>
        </w:rPr>
        <w:t>②</w:t>
      </w:r>
      <w:r>
        <w:rPr>
          <w:lang w:val="en-US" w:eastAsia="zh-CN"/>
        </w:rPr>
        <w:t>生产装置中大部分负荷属于一、二类负荷，为了将突然停电引发事故的危险降至最低，对于一级用电负荷，选择与用电设备容量相匹配的UPS或EPS电源；二级用电负荷，供电系统采用不同母线段的双回路可靠电源供电；对正常照明发生故障引起操作紊乱并可能造成重大损失的场所设置应急照明。</w:t>
      </w:r>
    </w:p>
    <w:p w14:paraId="7727D64C">
      <w:pPr>
        <w:bidi w:val="0"/>
        <w:rPr>
          <w:lang w:val="en-US" w:eastAsia="zh-CN"/>
        </w:rPr>
      </w:pPr>
      <w:r>
        <w:rPr>
          <w:rFonts w:hint="eastAsia"/>
          <w:lang w:val="en-US" w:eastAsia="zh-CN"/>
        </w:rPr>
        <w:t>③</w:t>
      </w:r>
      <w:r>
        <w:rPr>
          <w:lang w:val="en-US" w:eastAsia="zh-CN"/>
        </w:rPr>
        <w:t>装置区按《建筑物防雷设计规范》（GB50057-2010）和《工业与民用电力装置的接地设计规范（试行）》（GBJ65-83）的规定，设防雷击、防静电接地系统。</w:t>
      </w:r>
    </w:p>
    <w:p w14:paraId="4E55167F">
      <w:pPr>
        <w:bidi w:val="0"/>
        <w:rPr>
          <w:lang w:val="en-US" w:eastAsia="zh-CN"/>
        </w:rPr>
      </w:pPr>
      <w:r>
        <w:rPr>
          <w:rFonts w:hint="eastAsia"/>
          <w:lang w:val="en-US" w:eastAsia="zh-CN"/>
        </w:rPr>
        <w:t>④</w:t>
      </w:r>
      <w:r>
        <w:rPr>
          <w:lang w:val="en-US" w:eastAsia="zh-CN"/>
        </w:rPr>
        <w:t>本项目安装火灾自动报警系统。由火灾报警控制器、火灾重复报警显示器、火灾探测器、手动报警按钮等组成。在装置区及重要通道口安装手动报警按钮，在装置控制楼、变配电站等重要建筑内安装火灾探测器。火灾报警控制器设在全厂消防控制室。火灾报警控制器可以和消防设施实现联动。</w:t>
      </w:r>
    </w:p>
    <w:p w14:paraId="314CEDC4">
      <w:pPr>
        <w:bidi w:val="0"/>
        <w:rPr>
          <w:lang w:val="en-US" w:eastAsia="zh-CN"/>
        </w:rPr>
      </w:pPr>
      <w:r>
        <w:rPr>
          <w:lang w:val="en-US" w:eastAsia="zh-CN"/>
        </w:rPr>
        <w:t>3）自动化控制方案</w:t>
      </w:r>
    </w:p>
    <w:p w14:paraId="6F4A33B2">
      <w:pPr>
        <w:bidi w:val="0"/>
        <w:rPr>
          <w:lang w:val="en-US" w:eastAsia="zh-CN"/>
        </w:rPr>
      </w:pPr>
      <w:r>
        <w:rPr>
          <w:rFonts w:hint="eastAsia"/>
          <w:lang w:val="en-US" w:eastAsia="zh-CN"/>
        </w:rPr>
        <w:t>①本</w:t>
      </w:r>
      <w:r>
        <w:rPr>
          <w:lang w:val="en-US" w:eastAsia="zh-CN"/>
        </w:rPr>
        <w:t>项目实施后会完善厂区现有环境风险预防系统，并与事故通风系统联锁，且必须配备双电源。可燃气体监测报警仪的报警系统应设计在生产装置的控制室内，设计时必须考虑以下几点：a.可燃气体或有毒气体监测报警仪的质量、防爆性能必须达到国家标准。b.必须正确确定监测报警仪的检测点。c.检测器和报警器的选用和安装必须符合有关规定。</w:t>
      </w:r>
    </w:p>
    <w:p w14:paraId="0CAE160C">
      <w:pPr>
        <w:bidi w:val="0"/>
        <w:rPr>
          <w:lang w:val="en-US" w:eastAsia="zh-CN"/>
        </w:rPr>
      </w:pPr>
      <w:r>
        <w:rPr>
          <w:rFonts w:hint="eastAsia"/>
          <w:lang w:val="en-US" w:eastAsia="zh-CN"/>
        </w:rPr>
        <w:t>②</w:t>
      </w:r>
      <w:r>
        <w:rPr>
          <w:lang w:val="en-US" w:eastAsia="zh-CN"/>
        </w:rPr>
        <w:t>生产装置应结合工艺、设备特点设置安全联锁装置和紧急停车装置。</w:t>
      </w:r>
    </w:p>
    <w:p w14:paraId="0D9090DF">
      <w:pPr>
        <w:bidi w:val="0"/>
        <w:rPr>
          <w:lang w:val="en-US" w:eastAsia="zh-CN"/>
        </w:rPr>
      </w:pPr>
      <w:r>
        <w:rPr>
          <w:rFonts w:hint="eastAsia"/>
          <w:lang w:val="en-US" w:eastAsia="zh-CN"/>
        </w:rPr>
        <w:t>③</w:t>
      </w:r>
      <w:r>
        <w:rPr>
          <w:lang w:val="en-US" w:eastAsia="zh-CN"/>
        </w:rPr>
        <w:t>控制室、生产装置区应设紧急停车按钮。</w:t>
      </w:r>
    </w:p>
    <w:p w14:paraId="7E126B90">
      <w:pPr>
        <w:bidi w:val="0"/>
        <w:rPr>
          <w:lang w:val="en-US" w:eastAsia="zh-CN"/>
        </w:rPr>
      </w:pPr>
      <w:r>
        <w:rPr>
          <w:rFonts w:hint="eastAsia"/>
          <w:lang w:val="en-US" w:eastAsia="zh-CN"/>
        </w:rPr>
        <w:t>④</w:t>
      </w:r>
      <w:r>
        <w:rPr>
          <w:lang w:val="en-US" w:eastAsia="zh-CN"/>
        </w:rPr>
        <w:t>各工段、装置之间应设置能够有效切断的装置，以避免连锁事故的发生。</w:t>
      </w:r>
    </w:p>
    <w:p w14:paraId="23B56821">
      <w:pPr>
        <w:bidi w:val="0"/>
        <w:rPr>
          <w:lang w:val="en-US" w:eastAsia="zh-CN"/>
        </w:rPr>
      </w:pPr>
      <w:r>
        <w:rPr>
          <w:lang w:val="en-US" w:eastAsia="zh-CN"/>
        </w:rPr>
        <w:t>（3）生产装置区及储罐区环境风险防范措施</w:t>
      </w:r>
    </w:p>
    <w:p w14:paraId="0168745D">
      <w:pPr>
        <w:bidi w:val="0"/>
        <w:rPr>
          <w:lang w:val="en-US" w:eastAsia="zh-CN"/>
        </w:rPr>
      </w:pPr>
      <w:r>
        <w:rPr>
          <w:lang w:val="en-US" w:eastAsia="zh-CN"/>
        </w:rPr>
        <w:t>1）工程设计中加强防火防爆</w:t>
      </w:r>
    </w:p>
    <w:p w14:paraId="1F44B402">
      <w:pPr>
        <w:bidi w:val="0"/>
        <w:rPr>
          <w:lang w:val="en-US" w:eastAsia="zh-CN"/>
        </w:rPr>
      </w:pPr>
      <w:r>
        <w:rPr>
          <w:rFonts w:hint="eastAsia"/>
          <w:lang w:val="en-US" w:eastAsia="zh-CN"/>
        </w:rPr>
        <w:t>①</w:t>
      </w:r>
      <w:r>
        <w:rPr>
          <w:lang w:val="en-US" w:eastAsia="zh-CN"/>
        </w:rPr>
        <w:t>设备、管道的保温层，应采用阻燃材料，并应防止可燃液体渗入保温层。</w:t>
      </w:r>
    </w:p>
    <w:p w14:paraId="1445C813">
      <w:pPr>
        <w:bidi w:val="0"/>
        <w:rPr>
          <w:lang w:val="en-US" w:eastAsia="zh-CN"/>
        </w:rPr>
      </w:pPr>
      <w:r>
        <w:rPr>
          <w:rFonts w:hint="eastAsia"/>
          <w:lang w:val="en-US" w:eastAsia="zh-CN"/>
        </w:rPr>
        <w:t>②</w:t>
      </w:r>
      <w:r>
        <w:rPr>
          <w:lang w:val="en-US" w:eastAsia="zh-CN"/>
        </w:rPr>
        <w:t>在高、低压系统之间应设置止逆阀等安全装置，并应安装必要的监测仪表和自动（或手动）泄压排放设施。</w:t>
      </w:r>
    </w:p>
    <w:p w14:paraId="5419301B">
      <w:pPr>
        <w:bidi w:val="0"/>
        <w:rPr>
          <w:lang w:val="en-US" w:eastAsia="zh-CN"/>
        </w:rPr>
      </w:pPr>
      <w:r>
        <w:rPr>
          <w:rFonts w:hint="eastAsia"/>
          <w:lang w:val="en-US" w:eastAsia="zh-CN"/>
        </w:rPr>
        <w:t>③</w:t>
      </w:r>
      <w:r>
        <w:rPr>
          <w:lang w:val="en-US" w:eastAsia="zh-CN"/>
        </w:rPr>
        <w:t>装置内的承重钢框架、支架、裙座、管架均设覆盖耐火层，耐火层选用薄型无机防火涂料，其耐火极限1.5h以上。</w:t>
      </w:r>
    </w:p>
    <w:p w14:paraId="65576648">
      <w:pPr>
        <w:bidi w:val="0"/>
        <w:rPr>
          <w:lang w:val="en-US" w:eastAsia="zh-CN"/>
        </w:rPr>
      </w:pPr>
      <w:r>
        <w:rPr>
          <w:rFonts w:hint="eastAsia"/>
          <w:lang w:val="en-US" w:eastAsia="zh-CN"/>
        </w:rPr>
        <w:t>④</w:t>
      </w:r>
      <w:r>
        <w:rPr>
          <w:lang w:val="en-US" w:eastAsia="zh-CN"/>
        </w:rPr>
        <w:t>严禁在防火间距、消防安全通道内搭建筑物或堆积各类物资。</w:t>
      </w:r>
    </w:p>
    <w:p w14:paraId="64FBB644">
      <w:pPr>
        <w:bidi w:val="0"/>
        <w:rPr>
          <w:lang w:val="en-US" w:eastAsia="zh-CN"/>
        </w:rPr>
      </w:pPr>
      <w:r>
        <w:rPr>
          <w:rFonts w:hint="eastAsia"/>
          <w:lang w:val="en-US" w:eastAsia="zh-CN"/>
        </w:rPr>
        <w:t>⑤</w:t>
      </w:r>
      <w:r>
        <w:rPr>
          <w:lang w:val="en-US" w:eastAsia="zh-CN"/>
        </w:rPr>
        <w:t>危险品仓库、主配电设备、高大建筑物和高大设备等必须装设避雷装置。并对避雷装置进行定期检查测试。</w:t>
      </w:r>
    </w:p>
    <w:p w14:paraId="278C2DF0">
      <w:pPr>
        <w:bidi w:val="0"/>
        <w:rPr>
          <w:lang w:val="en-US" w:eastAsia="zh-CN"/>
        </w:rPr>
      </w:pPr>
      <w:r>
        <w:rPr>
          <w:rFonts w:hint="eastAsia"/>
          <w:lang w:val="en-US" w:eastAsia="zh-CN"/>
        </w:rPr>
        <w:t>⑥</w:t>
      </w:r>
      <w:r>
        <w:rPr>
          <w:lang w:val="en-US" w:eastAsia="zh-CN"/>
        </w:rPr>
        <w:t>禁止在易燃易爆场所使用易产生火花的工具。</w:t>
      </w:r>
    </w:p>
    <w:p w14:paraId="47CB24DB">
      <w:pPr>
        <w:bidi w:val="0"/>
        <w:rPr>
          <w:lang w:val="en-US" w:eastAsia="zh-CN"/>
        </w:rPr>
      </w:pPr>
      <w:r>
        <w:rPr>
          <w:rFonts w:hint="eastAsia"/>
          <w:lang w:val="en-US" w:eastAsia="zh-CN"/>
        </w:rPr>
        <w:t>⑦</w:t>
      </w:r>
      <w:r>
        <w:rPr>
          <w:lang w:val="en-US" w:eastAsia="zh-CN"/>
        </w:rPr>
        <w:t>在生产系统可能引起火灾、爆炸的部位，应设置温度、压力等检测仪表、声光报警器和事故停车联锁装置。</w:t>
      </w:r>
    </w:p>
    <w:p w14:paraId="5751C923">
      <w:pPr>
        <w:bidi w:val="0"/>
        <w:rPr>
          <w:lang w:val="en-US" w:eastAsia="zh-CN"/>
        </w:rPr>
      </w:pPr>
      <w:r>
        <w:rPr>
          <w:rFonts w:hint="eastAsia"/>
          <w:lang w:val="en-US" w:eastAsia="zh-CN"/>
        </w:rPr>
        <w:t>⑧</w:t>
      </w:r>
      <w:r>
        <w:rPr>
          <w:lang w:val="en-US" w:eastAsia="zh-CN"/>
        </w:rPr>
        <w:t>生产、贮存可燃气体和易燃液体的设备和管道应设有导除静电的接地装置。有关防静电措施，应执行《化工企业静电接地设计技术规定》。所有自动控制系统，应同时设置手动控制系统。</w:t>
      </w:r>
    </w:p>
    <w:p w14:paraId="779E2CE9">
      <w:pPr>
        <w:bidi w:val="0"/>
        <w:rPr>
          <w:lang w:val="en-US" w:eastAsia="zh-CN"/>
        </w:rPr>
      </w:pPr>
      <w:r>
        <w:rPr>
          <w:lang w:val="en-US" w:eastAsia="zh-CN"/>
        </w:rPr>
        <w:t>2）在建、构筑物的设计中，建、构筑物的耐火等级、层数、长度、占地面积、防火间距、防爆及安全疏散等均按《建筑设计防火规范（2018年版）》（GB50016-2014）的规定进行设计。并根据各建筑物的使用性质，均按规定配置足量的手提式干粉灭火器、泡沫灭火器或二氧化碳灭火器等。</w:t>
      </w:r>
    </w:p>
    <w:p w14:paraId="0A2DE7C0">
      <w:pPr>
        <w:bidi w:val="0"/>
        <w:rPr>
          <w:lang w:val="en-US" w:eastAsia="zh-CN"/>
        </w:rPr>
      </w:pPr>
      <w:r>
        <w:rPr>
          <w:lang w:val="en-US" w:eastAsia="zh-CN"/>
        </w:rPr>
        <w:t>3）罐区设置专用消防水管网及足够的消防栓，设有防火墙，罐区附近设置明显的防火、禁入等标志。</w:t>
      </w:r>
    </w:p>
    <w:p w14:paraId="1E206307">
      <w:pPr>
        <w:bidi w:val="0"/>
        <w:rPr>
          <w:lang w:val="en-US" w:eastAsia="zh-CN"/>
        </w:rPr>
      </w:pPr>
      <w:r>
        <w:rPr>
          <w:lang w:val="en-US" w:eastAsia="zh-CN"/>
        </w:rPr>
        <w:t>4）视频监控系统本工程在各装置区内、全厂性重要设施和区域、门卫、分析中控室的进出口等重点位置均设置视频监控系统。在生产调度中心、值班室显示画面。</w:t>
      </w:r>
    </w:p>
    <w:p w14:paraId="5B83D8CF">
      <w:pPr>
        <w:bidi w:val="0"/>
        <w:rPr>
          <w:lang w:val="en-US" w:eastAsia="zh-CN"/>
        </w:rPr>
      </w:pPr>
      <w:r>
        <w:rPr>
          <w:lang w:val="en-US" w:eastAsia="zh-CN"/>
        </w:rPr>
        <w:t>（4）主要有毒物质泄漏事故应急处理</w:t>
      </w:r>
    </w:p>
    <w:p w14:paraId="6C217229">
      <w:pPr>
        <w:bidi w:val="0"/>
        <w:rPr>
          <w:lang w:val="en-US" w:eastAsia="zh-CN"/>
        </w:rPr>
      </w:pPr>
      <w:r>
        <w:rPr>
          <w:lang w:val="en-US" w:eastAsia="zh-CN"/>
        </w:rPr>
        <w:t>迅速撤离泄漏污染区人员至安全区，并进行隔离，严格限制出入。切断火源。建议应急处理人员戴自给正压式呼吸器，穿消防防护服。不要直接接触泄漏物。尽可能切断泄漏源，防止进入下水道、排洪沟等限制性空间。小量泄漏：用砂土或其它不燃材料吸附或吸收。也可以用大量水冲洗，洗液稀释后放入废水系统。大量泄漏：构筑围堤或挖坑收容；用泡沫覆盖，降低蒸气灾害。用防爆泵转移至槽车或专用收集器内。回收或运至废物处理场所处置。总之，</w:t>
      </w:r>
      <w:r>
        <w:rPr>
          <w:rFonts w:hint="eastAsia"/>
          <w:lang w:val="en-US" w:eastAsia="zh-CN"/>
        </w:rPr>
        <w:t>若</w:t>
      </w:r>
      <w:r>
        <w:rPr>
          <w:lang w:val="en-US" w:eastAsia="zh-CN"/>
        </w:rPr>
        <w:t>泄漏事故一旦发生应作如下具体处理措施：</w:t>
      </w:r>
    </w:p>
    <w:p w14:paraId="4C4B8DCB">
      <w:pPr>
        <w:bidi w:val="0"/>
        <w:rPr>
          <w:lang w:val="en-US" w:eastAsia="zh-CN"/>
        </w:rPr>
      </w:pPr>
      <w:r>
        <w:rPr>
          <w:rFonts w:hint="eastAsia"/>
          <w:lang w:val="en-US" w:eastAsia="zh-CN"/>
        </w:rPr>
        <w:t>①</w:t>
      </w:r>
      <w:r>
        <w:rPr>
          <w:lang w:val="en-US" w:eastAsia="zh-CN"/>
        </w:rPr>
        <w:t>做好个人防护。进入现场的救援人员必须配备必要的个人防护器具，泄漏事故发生后，应严禁火种，同时采取切断电源、禁止车辆进入、立即在边界设置警戒线，根据事故情况和事态发展，确定事故及区域的范围、人员疏散和撤离地点、路线等；应使用专用防护服、隔绝式空气呼吸器。</w:t>
      </w:r>
    </w:p>
    <w:p w14:paraId="098B9345">
      <w:pPr>
        <w:bidi w:val="0"/>
        <w:rPr>
          <w:lang w:val="en-US" w:eastAsia="zh-CN"/>
        </w:rPr>
      </w:pPr>
      <w:r>
        <w:rPr>
          <w:rFonts w:hint="eastAsia"/>
          <w:lang w:val="en-US" w:eastAsia="zh-CN"/>
        </w:rPr>
        <w:t>②</w:t>
      </w:r>
      <w:r>
        <w:rPr>
          <w:lang w:val="en-US" w:eastAsia="zh-CN"/>
        </w:rPr>
        <w:t>控制泄漏源。发生泄漏，无关人员立即撤离，切断一切明火和电气火花。抢险处理人员在确保安全的情况下堵漏；管道泄漏的少量化学物质通过回收系统进行处理。如造成大量泄漏时，必须开启回收系统进行处理，同时关闭围堤阀门，可在现场放大量的水或氮气，破坏燃烧条件。但尽量不要采用大量水冲洗处理方案，以免造成环境污染，若一旦采用该处理方式，喷洒的稀释液会形成含污染物的废水，此类废水应注意收集至污水系统，避免造成对地下水或土壤的污染。</w:t>
      </w:r>
    </w:p>
    <w:p w14:paraId="4A9D6E78">
      <w:pPr>
        <w:bidi w:val="0"/>
        <w:rPr>
          <w:lang w:val="en-US" w:eastAsia="zh-CN"/>
        </w:rPr>
      </w:pPr>
      <w:r>
        <w:rPr>
          <w:lang w:val="en-US" w:eastAsia="zh-CN"/>
        </w:rPr>
        <w:t>（5）装卸、运输环境风险防范措施</w:t>
      </w:r>
    </w:p>
    <w:p w14:paraId="14A3D879">
      <w:pPr>
        <w:bidi w:val="0"/>
        <w:rPr>
          <w:lang w:val="en-US" w:eastAsia="zh-CN"/>
        </w:rPr>
      </w:pPr>
      <w:r>
        <w:rPr>
          <w:lang w:val="en-US" w:eastAsia="zh-CN"/>
        </w:rPr>
        <w:t>1）装卸环境风险防范措施</w:t>
      </w:r>
    </w:p>
    <w:p w14:paraId="6CB45C7E">
      <w:pPr>
        <w:bidi w:val="0"/>
        <w:rPr>
          <w:lang w:val="en-US" w:eastAsia="zh-CN"/>
        </w:rPr>
      </w:pPr>
      <w:r>
        <w:rPr>
          <w:rFonts w:hint="eastAsia"/>
          <w:lang w:val="en-US" w:eastAsia="zh-CN"/>
        </w:rPr>
        <w:t>①</w:t>
      </w:r>
      <w:r>
        <w:rPr>
          <w:lang w:val="en-US" w:eastAsia="zh-CN"/>
        </w:rPr>
        <w:t>物料装卸时轻拿轻放，防止撞击、破裂和滑落等造成危险和污染环境；装卸液体类有毒有害物质时防止由于输送管破裂、接口不牢固、阀门关闭不严等原因造成的泄漏而发生环境污染。</w:t>
      </w:r>
    </w:p>
    <w:p w14:paraId="5E4D3300">
      <w:pPr>
        <w:bidi w:val="0"/>
        <w:rPr>
          <w:lang w:val="en-US" w:eastAsia="zh-CN"/>
        </w:rPr>
      </w:pPr>
      <w:r>
        <w:rPr>
          <w:rFonts w:hint="eastAsia"/>
          <w:lang w:val="en-US" w:eastAsia="zh-CN"/>
        </w:rPr>
        <w:t>②</w:t>
      </w:r>
      <w:r>
        <w:rPr>
          <w:lang w:val="en-US" w:eastAsia="zh-CN"/>
        </w:rPr>
        <w:t>在装卸物料前，要预先做好准备工作，了解物品性质，检查装卸搬运工具是否牢固。如果工具上曾被易燃物、有机物、酸、碱等污染的，必须清洗后方可使用。</w:t>
      </w:r>
    </w:p>
    <w:p w14:paraId="52AA7020">
      <w:pPr>
        <w:bidi w:val="0"/>
        <w:rPr>
          <w:lang w:val="en-US" w:eastAsia="zh-CN"/>
        </w:rPr>
      </w:pPr>
      <w:r>
        <w:rPr>
          <w:rFonts w:hint="eastAsia"/>
          <w:lang w:val="en-US" w:eastAsia="zh-CN"/>
        </w:rPr>
        <w:t>③</w:t>
      </w:r>
      <w:r>
        <w:rPr>
          <w:lang w:val="en-US" w:eastAsia="zh-CN"/>
        </w:rPr>
        <w:t>装卸操作人员应根据不同物料的危险特性，分别穿戴相应的防护用具。防护用具包括工作服、橡皮围裙、橡皮袖罩、橡皮手套、长筒胶靴、滤毒口罩、护目镜等。操作前应有专人检查用具是否妥善，穿戴是否合适。操作后及时进行清洁消毒，放在专用橱柜备用。</w:t>
      </w:r>
    </w:p>
    <w:p w14:paraId="6F9C4F64">
      <w:pPr>
        <w:bidi w:val="0"/>
        <w:rPr>
          <w:lang w:val="en-US" w:eastAsia="zh-CN"/>
        </w:rPr>
      </w:pPr>
      <w:r>
        <w:rPr>
          <w:rFonts w:hint="eastAsia"/>
          <w:lang w:val="en-US" w:eastAsia="zh-CN"/>
        </w:rPr>
        <w:t>④</w:t>
      </w:r>
      <w:r>
        <w:rPr>
          <w:lang w:val="en-US" w:eastAsia="zh-CN"/>
        </w:rPr>
        <w:t>在装卸物料时，不得饮酒、吸烟。工作完毕后根据工作的危险程度和危险品的性质及时洗手、脸、漱口或者沐浴。必须保持现场空气流通，如果发现恶心、头晕等现象，应立即到空气新鲜处休息，重者就医。</w:t>
      </w:r>
    </w:p>
    <w:p w14:paraId="5A9EB260">
      <w:pPr>
        <w:bidi w:val="0"/>
        <w:rPr>
          <w:lang w:val="en-US" w:eastAsia="zh-CN"/>
        </w:rPr>
      </w:pPr>
      <w:r>
        <w:rPr>
          <w:lang w:val="en-US" w:eastAsia="zh-CN"/>
        </w:rPr>
        <w:t>2）输送与罐装环境风险防范措施</w:t>
      </w:r>
    </w:p>
    <w:p w14:paraId="152E013E">
      <w:pPr>
        <w:bidi w:val="0"/>
        <w:rPr>
          <w:lang w:val="en-US" w:eastAsia="zh-CN"/>
        </w:rPr>
      </w:pPr>
      <w:r>
        <w:rPr>
          <w:rFonts w:hint="eastAsia"/>
          <w:lang w:val="en-US" w:eastAsia="zh-CN"/>
        </w:rPr>
        <w:t>①</w:t>
      </w:r>
      <w:r>
        <w:rPr>
          <w:lang w:val="en-US" w:eastAsia="zh-CN"/>
        </w:rPr>
        <w:t>各液体物料在厂区内各工段之间通过管道输送，输送时流速不应超过3m/s，当空气中浓度超过限值时，必须暂停工作，切断火源，进行通风，降低浓度，以防爆炸。</w:t>
      </w:r>
    </w:p>
    <w:p w14:paraId="3713B232">
      <w:pPr>
        <w:bidi w:val="0"/>
        <w:rPr>
          <w:lang w:val="en-US" w:eastAsia="zh-CN"/>
        </w:rPr>
      </w:pPr>
      <w:r>
        <w:rPr>
          <w:rFonts w:hint="eastAsia"/>
          <w:lang w:val="en-US" w:eastAsia="zh-CN"/>
        </w:rPr>
        <w:t>②</w:t>
      </w:r>
      <w:r>
        <w:rPr>
          <w:lang w:val="en-US" w:eastAsia="zh-CN"/>
        </w:rPr>
        <w:t>易燃易爆物料运输车辆必须具备《易燃易爆化学物品准运证》，车辆必须符合安全规定，不得在原料区内检修车辆，车辆进入原料区必须安装阻火设施按规定限速行驶，按生产单位规定安置停放。</w:t>
      </w:r>
    </w:p>
    <w:p w14:paraId="09A80A19">
      <w:pPr>
        <w:bidi w:val="0"/>
        <w:rPr>
          <w:lang w:val="en-US" w:eastAsia="zh-CN"/>
        </w:rPr>
      </w:pPr>
      <w:r>
        <w:rPr>
          <w:rFonts w:hint="eastAsia"/>
          <w:lang w:val="en-US" w:eastAsia="zh-CN"/>
        </w:rPr>
        <w:t>③</w:t>
      </w:r>
      <w:r>
        <w:rPr>
          <w:lang w:val="en-US" w:eastAsia="zh-CN"/>
        </w:rPr>
        <w:t>操作人员不得穿戴易产生静电的工作服，不得使用易产生火花的工具，禁止与罐区工作无关的人员进入。</w:t>
      </w:r>
    </w:p>
    <w:p w14:paraId="0E982412">
      <w:pPr>
        <w:bidi w:val="0"/>
        <w:rPr>
          <w:lang w:val="en-US" w:eastAsia="zh-CN"/>
        </w:rPr>
      </w:pPr>
      <w:r>
        <w:rPr>
          <w:lang w:val="en-US" w:eastAsia="zh-CN"/>
        </w:rPr>
        <w:t>3）运输环境风险防范措施</w:t>
      </w:r>
    </w:p>
    <w:p w14:paraId="7DAC88D9">
      <w:pPr>
        <w:bidi w:val="0"/>
        <w:rPr>
          <w:lang w:val="en-US" w:eastAsia="zh-CN"/>
        </w:rPr>
      </w:pPr>
      <w:r>
        <w:rPr>
          <w:lang w:val="en-US" w:eastAsia="zh-CN"/>
        </w:rPr>
        <w:t>物料运输方式有汽车运输及管路运输几种。</w:t>
      </w:r>
      <w:r>
        <w:rPr>
          <w:rFonts w:hint="eastAsia"/>
          <w:lang w:val="en-US" w:eastAsia="zh-CN"/>
        </w:rPr>
        <w:t>相对</w:t>
      </w:r>
      <w:r>
        <w:rPr>
          <w:lang w:val="en-US" w:eastAsia="zh-CN"/>
        </w:rPr>
        <w:t>来说，管路运输在经济性与安全性等方面都具有一定的优越性；而由于位置、厂址周边情况等多方面原因，汽车运输仍然在某些企业中使用。本项目原料和产品的运输采用汽车运输。因此，对于汽车运输可能发生的运输环境风险可采用以下防范措施：</w:t>
      </w:r>
    </w:p>
    <w:p w14:paraId="5F0AE384">
      <w:pPr>
        <w:bidi w:val="0"/>
        <w:rPr>
          <w:lang w:val="en-US" w:eastAsia="zh-CN"/>
        </w:rPr>
      </w:pPr>
      <w:r>
        <w:rPr>
          <w:rFonts w:hint="eastAsia"/>
          <w:lang w:val="en-US" w:eastAsia="zh-CN"/>
        </w:rPr>
        <w:t>①</w:t>
      </w:r>
      <w:r>
        <w:rPr>
          <w:lang w:val="en-US" w:eastAsia="zh-CN"/>
        </w:rPr>
        <w:t>运输物料应委托具有相应资质的专门公司承担运输任务，公司各种规章制度健全，配有运输的专用车辆，可为运输、生产安全</w:t>
      </w:r>
      <w:r>
        <w:rPr>
          <w:rFonts w:hint="eastAsia"/>
          <w:lang w:val="en-US" w:eastAsia="zh-CN"/>
        </w:rPr>
        <w:t>提供</w:t>
      </w:r>
      <w:r>
        <w:rPr>
          <w:lang w:val="en-US" w:eastAsia="zh-CN"/>
        </w:rPr>
        <w:t>较好的保障条件。</w:t>
      </w:r>
    </w:p>
    <w:p w14:paraId="3FC7345E">
      <w:pPr>
        <w:bidi w:val="0"/>
        <w:rPr>
          <w:lang w:val="en-US" w:eastAsia="zh-CN"/>
        </w:rPr>
      </w:pPr>
      <w:r>
        <w:rPr>
          <w:rFonts w:hint="eastAsia"/>
          <w:lang w:val="en-US" w:eastAsia="zh-CN"/>
        </w:rPr>
        <w:t>②</w:t>
      </w:r>
      <w:r>
        <w:rPr>
          <w:lang w:val="en-US" w:eastAsia="zh-CN"/>
        </w:rPr>
        <w:t>人员要“以老带新”持证上岗，加强对原料及产品运输岗位的员工进行安全意识、安全知识、安全技能、安全经验、安全作风、应变能力等安全素质、原料及产品知识和规章制度等各方面的培训和教育。从事有毒有害物质运输、贮存、生产、使用的员工都应经专门培训、考试合格、持证上岗。</w:t>
      </w:r>
    </w:p>
    <w:p w14:paraId="5830C5D3">
      <w:pPr>
        <w:bidi w:val="0"/>
        <w:rPr>
          <w:lang w:val="en-US" w:eastAsia="zh-CN"/>
        </w:rPr>
      </w:pPr>
      <w:r>
        <w:rPr>
          <w:lang w:val="en-US" w:eastAsia="zh-CN"/>
        </w:rPr>
        <w:t>（6）火灾爆炸环境风险防范措施</w:t>
      </w:r>
    </w:p>
    <w:p w14:paraId="62221B06">
      <w:pPr>
        <w:bidi w:val="0"/>
        <w:rPr>
          <w:lang w:val="en-US" w:eastAsia="zh-CN"/>
        </w:rPr>
      </w:pPr>
      <w:r>
        <w:rPr>
          <w:lang w:val="en-US" w:eastAsia="zh-CN"/>
        </w:rPr>
        <w:t>1）加强防火防爆</w:t>
      </w:r>
    </w:p>
    <w:p w14:paraId="51739A2F">
      <w:pPr>
        <w:bidi w:val="0"/>
        <w:rPr>
          <w:lang w:val="en-US" w:eastAsia="zh-CN"/>
        </w:rPr>
      </w:pPr>
      <w:r>
        <w:rPr>
          <w:rFonts w:hint="eastAsia"/>
          <w:lang w:val="en-US" w:eastAsia="zh-CN"/>
        </w:rPr>
        <w:t>①</w:t>
      </w:r>
      <w:r>
        <w:rPr>
          <w:lang w:val="en-US" w:eastAsia="zh-CN"/>
        </w:rPr>
        <w:t>各构筑物严格按照要求的耐火等级、防爆等级，在结构形式上，材料选用上满足防火、防爆要求。各装置均设置应急事故照明和消防设备等。</w:t>
      </w:r>
    </w:p>
    <w:p w14:paraId="5AEED138">
      <w:pPr>
        <w:bidi w:val="0"/>
        <w:rPr>
          <w:lang w:val="en-US" w:eastAsia="zh-CN"/>
        </w:rPr>
      </w:pPr>
      <w:r>
        <w:rPr>
          <w:rFonts w:hint="eastAsia"/>
          <w:lang w:val="en-US" w:eastAsia="zh-CN"/>
        </w:rPr>
        <w:t>②</w:t>
      </w:r>
      <w:r>
        <w:rPr>
          <w:lang w:val="en-US" w:eastAsia="zh-CN"/>
        </w:rPr>
        <w:t>电气和仪表专业设计按照《爆炸和火灾危险环境电力装置设计规范》执行，将能产生电火花的设备放在远离现场的配电室内，并采用密闭电器。</w:t>
      </w:r>
    </w:p>
    <w:p w14:paraId="16DD2A83">
      <w:pPr>
        <w:bidi w:val="0"/>
        <w:rPr>
          <w:lang w:val="en-US" w:eastAsia="zh-CN"/>
        </w:rPr>
      </w:pPr>
      <w:r>
        <w:rPr>
          <w:rFonts w:hint="eastAsia"/>
          <w:lang w:val="en-US" w:eastAsia="zh-CN"/>
        </w:rPr>
        <w:t>③</w:t>
      </w:r>
      <w:r>
        <w:rPr>
          <w:lang w:val="en-US" w:eastAsia="zh-CN"/>
        </w:rPr>
        <w:t>电气符合防雷、防静电规范要求。对于高大建构筑物均采用避雷针和避雷带相结合的避雷方式，并设置防感应雷装置。同时设有良好的接地系统，并连成接地网。特别是整个罐区有完善的避雷装置。</w:t>
      </w:r>
    </w:p>
    <w:p w14:paraId="3DB49CE9">
      <w:pPr>
        <w:bidi w:val="0"/>
        <w:rPr>
          <w:lang w:val="en-US" w:eastAsia="zh-CN"/>
        </w:rPr>
      </w:pPr>
      <w:r>
        <w:rPr>
          <w:rFonts w:hint="eastAsia"/>
          <w:lang w:val="en-US" w:eastAsia="zh-CN"/>
        </w:rPr>
        <w:t>④</w:t>
      </w:r>
      <w:r>
        <w:rPr>
          <w:lang w:val="en-US" w:eastAsia="zh-CN"/>
        </w:rPr>
        <w:t>自控设计中对重要参数设置了越限报警系统，调节系统在紧急状态下均可手动操作，对处于爆炸区域的操作室设正压通风。</w:t>
      </w:r>
    </w:p>
    <w:p w14:paraId="54F46EC2">
      <w:pPr>
        <w:bidi w:val="0"/>
        <w:rPr>
          <w:lang w:val="en-US" w:eastAsia="zh-CN"/>
        </w:rPr>
      </w:pPr>
      <w:r>
        <w:rPr>
          <w:rFonts w:hint="eastAsia"/>
          <w:lang w:val="en-US" w:eastAsia="zh-CN"/>
        </w:rPr>
        <w:t>⑤</w:t>
      </w:r>
      <w:r>
        <w:rPr>
          <w:lang w:val="en-US" w:eastAsia="zh-CN"/>
        </w:rPr>
        <w:t>配备必要的消防器材及消防工具，如干粉灭火器等，对这些器材应配备专人保管，定期检查，以备事故时急用。</w:t>
      </w:r>
    </w:p>
    <w:p w14:paraId="1F9772A0">
      <w:pPr>
        <w:bidi w:val="0"/>
        <w:rPr>
          <w:lang w:val="en-US" w:eastAsia="zh-CN"/>
        </w:rPr>
      </w:pPr>
      <w:r>
        <w:rPr>
          <w:rFonts w:hint="eastAsia"/>
          <w:lang w:val="en-US" w:eastAsia="zh-CN"/>
        </w:rPr>
        <w:t>⑥</w:t>
      </w:r>
      <w:r>
        <w:rPr>
          <w:lang w:val="en-US" w:eastAsia="zh-CN"/>
        </w:rPr>
        <w:t>储存现场设置事故照明、安全疏散指示标志；转动设备外露转动部分设防护罩加以保护。</w:t>
      </w:r>
    </w:p>
    <w:p w14:paraId="1015344D">
      <w:pPr>
        <w:bidi w:val="0"/>
        <w:rPr>
          <w:lang w:val="en-US" w:eastAsia="zh-CN"/>
        </w:rPr>
      </w:pPr>
      <w:r>
        <w:rPr>
          <w:rFonts w:hint="eastAsia"/>
          <w:lang w:val="en-US" w:eastAsia="zh-CN"/>
        </w:rPr>
        <w:t>⑦</w:t>
      </w:r>
      <w:r>
        <w:rPr>
          <w:lang w:val="en-US" w:eastAsia="zh-CN"/>
        </w:rPr>
        <w:t>装置区内有发生坠落危险的操作岗位按规定设置便于操作、巡检和维修的扶梯、平台和围栏等附属设施。</w:t>
      </w:r>
    </w:p>
    <w:p w14:paraId="18842F17">
      <w:pPr>
        <w:bidi w:val="0"/>
        <w:rPr>
          <w:lang w:val="en-US" w:eastAsia="zh-CN"/>
        </w:rPr>
      </w:pPr>
      <w:r>
        <w:rPr>
          <w:lang w:val="en-US" w:eastAsia="zh-CN"/>
        </w:rPr>
        <w:t>2）配备完善的消防措施</w:t>
      </w:r>
    </w:p>
    <w:p w14:paraId="220F32EA">
      <w:pPr>
        <w:bidi w:val="0"/>
        <w:rPr>
          <w:lang w:val="en-US" w:eastAsia="zh-CN"/>
        </w:rPr>
      </w:pPr>
      <w:r>
        <w:rPr>
          <w:lang w:val="en-US" w:eastAsia="zh-CN"/>
        </w:rPr>
        <w:t>厂区水消防根据《建筑设计防火规范（2018年版）》（GB50016-2014）及《石油化工企业设计防火规范（2018年版）》（GB50160-2008）规定设置，消防给水采用稳高压系统，消防水压力维持在0.7MPa。本工程设有室外稳高压给水系统、室内消火栓系统、消防竖管、泡沫灭火系统及灭火器等。</w:t>
      </w:r>
    </w:p>
    <w:p w14:paraId="3C20FF45">
      <w:pPr>
        <w:bidi w:val="0"/>
        <w:rPr>
          <w:lang w:val="en-US" w:eastAsia="zh-CN"/>
        </w:rPr>
      </w:pPr>
      <w:r>
        <w:rPr>
          <w:rFonts w:hint="eastAsia"/>
          <w:lang w:val="en-US" w:eastAsia="zh-CN"/>
        </w:rPr>
        <w:t>①</w:t>
      </w:r>
      <w:r>
        <w:rPr>
          <w:lang w:val="en-US" w:eastAsia="zh-CN"/>
        </w:rPr>
        <w:t>室外稳高压给水系统：稳高压消防给水主要供各生产装置、罐区等设置的消火栓、消防水炮、室内消火栓系统、泡沫系统等消防用水。环状管网采用室外地下式消火栓，消火栓的布置间距约60m，管网上每隔4~5个消火栓设切断阀门。消防水炮出水量为30~50L/s，采用直流和水雾两用型。</w:t>
      </w:r>
    </w:p>
    <w:p w14:paraId="58EDBFC0">
      <w:pPr>
        <w:bidi w:val="0"/>
        <w:rPr>
          <w:lang w:val="en-US" w:eastAsia="zh-CN"/>
        </w:rPr>
      </w:pPr>
      <w:r>
        <w:rPr>
          <w:rFonts w:hint="eastAsia"/>
          <w:lang w:val="en-US" w:eastAsia="zh-CN"/>
        </w:rPr>
        <w:t>②</w:t>
      </w:r>
      <w:r>
        <w:rPr>
          <w:lang w:val="en-US" w:eastAsia="zh-CN"/>
        </w:rPr>
        <w:t>室内消火栓系统：设置固定式室内消火栓箱，消防竖管管径DN100。消火栓间距不大于30m，保证同层每个防火分区有两支水枪的充实水柱同时达到任何部位。</w:t>
      </w:r>
    </w:p>
    <w:p w14:paraId="33E1FFBE">
      <w:pPr>
        <w:bidi w:val="0"/>
        <w:rPr>
          <w:lang w:val="en-US" w:eastAsia="zh-CN"/>
        </w:rPr>
      </w:pPr>
      <w:r>
        <w:rPr>
          <w:rFonts w:hint="eastAsia"/>
          <w:lang w:val="en-US" w:eastAsia="zh-CN"/>
        </w:rPr>
        <w:t>③</w:t>
      </w:r>
      <w:r>
        <w:rPr>
          <w:lang w:val="en-US" w:eastAsia="zh-CN"/>
        </w:rPr>
        <w:t>消防竖管：在工艺装置内甲、乙类设备高于15m的框架平台沿梯子设有半固定式消防竖管。</w:t>
      </w:r>
    </w:p>
    <w:p w14:paraId="001CF172">
      <w:pPr>
        <w:bidi w:val="0"/>
        <w:rPr>
          <w:lang w:val="en-US" w:eastAsia="zh-CN"/>
        </w:rPr>
      </w:pPr>
      <w:r>
        <w:rPr>
          <w:rFonts w:hint="eastAsia"/>
          <w:lang w:val="en-US" w:eastAsia="zh-CN"/>
        </w:rPr>
        <w:t>④</w:t>
      </w:r>
      <w:r>
        <w:rPr>
          <w:lang w:val="en-US" w:eastAsia="zh-CN"/>
        </w:rPr>
        <w:t>泡沫灭火系统：本项目罐区设置固定式低倍数泡沫消防系统，泡沫站与消防泵站合建。罐区周围设置泡沫混合液管网。管网上设置泡沫消火栓，间隔不超过60m，每个泡沫栓附近设置一个防雨型泡沫消防栓箱。</w:t>
      </w:r>
    </w:p>
    <w:p w14:paraId="71675896">
      <w:pPr>
        <w:bidi w:val="0"/>
        <w:rPr>
          <w:lang w:val="en-US" w:eastAsia="zh-CN"/>
        </w:rPr>
      </w:pPr>
      <w:r>
        <w:rPr>
          <w:rFonts w:hint="eastAsia"/>
          <w:lang w:val="en-US" w:eastAsia="zh-CN"/>
        </w:rPr>
        <w:t>⑤</w:t>
      </w:r>
      <w:r>
        <w:rPr>
          <w:lang w:val="en-US" w:eastAsia="zh-CN"/>
        </w:rPr>
        <w:t>移动式灭火器：生产装置、辅助生产设施、罐区、公用工程单项及易发生火灾场所，设置手提式及推车式二氧化碳、干粉或泡沫灭火器。</w:t>
      </w:r>
    </w:p>
    <w:p w14:paraId="24BE58D9">
      <w:pPr>
        <w:bidi w:val="0"/>
        <w:rPr>
          <w:lang w:val="en-US" w:eastAsia="zh-CN"/>
        </w:rPr>
      </w:pPr>
      <w:r>
        <w:rPr>
          <w:lang w:val="en-US" w:eastAsia="zh-CN"/>
        </w:rPr>
        <w:t>3）加强安全管理</w:t>
      </w:r>
    </w:p>
    <w:p w14:paraId="35634357">
      <w:pPr>
        <w:bidi w:val="0"/>
        <w:rPr>
          <w:lang w:val="en-US" w:eastAsia="zh-CN"/>
        </w:rPr>
      </w:pPr>
      <w:r>
        <w:rPr>
          <w:rFonts w:hint="eastAsia"/>
          <w:lang w:val="en-US" w:eastAsia="zh-CN"/>
        </w:rPr>
        <w:t>①</w:t>
      </w:r>
      <w:r>
        <w:rPr>
          <w:lang w:val="en-US" w:eastAsia="zh-CN"/>
        </w:rPr>
        <w:t>对运转设备机泵、阀门、管道材质的选型选用先进、可靠的产品。同时应加强储存过程中设备与管道系统的管理与维修，使储存系统处于密闭化，严禁跑、冒、滴、漏现象的发生，对压力窗口的设计制造严格遵守有关规范、规定执行，通过以上措施，使各有害介质操作岗位介质浓度均控制在国家要求的允许浓度内。</w:t>
      </w:r>
    </w:p>
    <w:p w14:paraId="25A1B7C3">
      <w:pPr>
        <w:bidi w:val="0"/>
        <w:rPr>
          <w:lang w:val="en-US" w:eastAsia="zh-CN"/>
        </w:rPr>
      </w:pPr>
      <w:r>
        <w:rPr>
          <w:rFonts w:hint="eastAsia"/>
          <w:lang w:val="en-US" w:eastAsia="zh-CN"/>
        </w:rPr>
        <w:t>②</w:t>
      </w:r>
      <w:r>
        <w:rPr>
          <w:lang w:val="en-US" w:eastAsia="zh-CN"/>
        </w:rPr>
        <w:t>加强储罐区设备的巡查管理，及时发现泄漏情况便于及时处理。每个储罐内的物料的液面、温度、压力等信息，均输</w:t>
      </w:r>
      <w:r>
        <w:rPr>
          <w:rFonts w:hint="eastAsia"/>
          <w:lang w:val="en-US" w:eastAsia="zh-CN"/>
        </w:rPr>
        <w:t>送到</w:t>
      </w:r>
      <w:r>
        <w:rPr>
          <w:lang w:val="en-US" w:eastAsia="zh-CN"/>
        </w:rPr>
        <w:t>中央控制室及总调度室。重要参数，均设有上、下限及警报装置，如有异常应立即采取相应措施。</w:t>
      </w:r>
    </w:p>
    <w:p w14:paraId="48137D7F">
      <w:pPr>
        <w:bidi w:val="0"/>
        <w:rPr>
          <w:lang w:val="en-US" w:eastAsia="zh-CN"/>
        </w:rPr>
      </w:pPr>
      <w:r>
        <w:rPr>
          <w:rFonts w:hint="eastAsia"/>
          <w:lang w:val="en-US" w:eastAsia="zh-CN"/>
        </w:rPr>
        <w:t>③</w:t>
      </w:r>
      <w:r>
        <w:rPr>
          <w:lang w:val="en-US" w:eastAsia="zh-CN"/>
        </w:rPr>
        <w:t>储罐每年要检查一次腐蚀情况并测壁厚，如不合要求，要进行整修或更换。定期检查储罐上的测量设施，如其测量值不在允许误差范围内，立即检修或更换。泵及管线每班要巡检四次。</w:t>
      </w:r>
    </w:p>
    <w:p w14:paraId="2EC250D2">
      <w:pPr>
        <w:bidi w:val="0"/>
        <w:rPr>
          <w:lang w:val="en-US" w:eastAsia="zh-CN"/>
        </w:rPr>
      </w:pPr>
      <w:r>
        <w:rPr>
          <w:rFonts w:hint="eastAsia"/>
          <w:lang w:val="en-US" w:eastAsia="zh-CN"/>
        </w:rPr>
        <w:t>④</w:t>
      </w:r>
      <w:r>
        <w:rPr>
          <w:lang w:val="en-US" w:eastAsia="zh-CN"/>
        </w:rPr>
        <w:t>消防器材按安全规定放置。消防器材设置在明显和便于取用的地点，周围不准堆放物品及杂物。消防器材有专人管理、负责、检查、修理、保养、更换和添置，保证完好存放。</w:t>
      </w:r>
    </w:p>
    <w:p w14:paraId="0FDA7260">
      <w:pPr>
        <w:pStyle w:val="2"/>
        <w:bidi w:val="0"/>
        <w:rPr>
          <w:lang w:val="en-US" w:eastAsia="zh-CN"/>
        </w:rPr>
      </w:pPr>
      <w:r>
        <w:rPr>
          <w:rFonts w:hint="eastAsia"/>
          <w:lang w:val="en-US" w:eastAsia="zh-CN"/>
        </w:rPr>
        <w:t>8.2.2</w:t>
      </w:r>
      <w:r>
        <w:rPr>
          <w:lang w:val="en-US" w:eastAsia="zh-CN"/>
        </w:rPr>
        <w:t xml:space="preserve"> 地下水环境风险防范措施</w:t>
      </w:r>
    </w:p>
    <w:p w14:paraId="4A629974">
      <w:pPr>
        <w:bidi w:val="0"/>
        <w:rPr>
          <w:lang w:val="en-US" w:eastAsia="zh-CN"/>
        </w:rPr>
      </w:pPr>
      <w:r>
        <w:rPr>
          <w:lang w:val="en-US" w:eastAsia="zh-CN"/>
        </w:rPr>
        <w:t>（1）本项目应按照“源头控制、分区防治、污染监控、应急响应”相结合的原则从污染物的产生、入渗、扩散、应急响应进行控制，应尽量防止管道、设备以及各工艺废水产生区、厂区污水存储及处理区等产生跑冒滴漏情况。</w:t>
      </w:r>
    </w:p>
    <w:p w14:paraId="43A5C30B">
      <w:pPr>
        <w:bidi w:val="0"/>
        <w:rPr>
          <w:lang w:val="en-US" w:eastAsia="zh-CN"/>
        </w:rPr>
      </w:pPr>
      <w:r>
        <w:rPr>
          <w:lang w:val="en-US" w:eastAsia="zh-CN"/>
        </w:rPr>
        <w:t>（2）保证废水收集、输送及处理设施正常运行。</w:t>
      </w:r>
    </w:p>
    <w:p w14:paraId="493856E9">
      <w:pPr>
        <w:bidi w:val="0"/>
        <w:rPr>
          <w:lang w:val="en-US" w:eastAsia="zh-CN"/>
        </w:rPr>
      </w:pPr>
      <w:r>
        <w:rPr>
          <w:lang w:val="en-US" w:eastAsia="zh-CN"/>
        </w:rPr>
        <w:t>（3）罐区设置防火堤，防火堤高度1.0m，并保障围堰内废水能够自流入厂区设置的</w:t>
      </w:r>
      <w:r>
        <w:rPr>
          <w:rFonts w:hint="eastAsia"/>
          <w:lang w:val="en-US" w:eastAsia="zh-CN"/>
        </w:rPr>
        <w:t>2160</w:t>
      </w:r>
      <w:r>
        <w:rPr>
          <w:lang w:val="en-US" w:eastAsia="zh-CN"/>
        </w:rPr>
        <w:t>m</w:t>
      </w:r>
      <w:r>
        <w:rPr>
          <w:vertAlign w:val="superscript"/>
          <w:lang w:val="en-US" w:eastAsia="zh-CN"/>
        </w:rPr>
        <w:t>3</w:t>
      </w:r>
      <w:r>
        <w:rPr>
          <w:lang w:val="en-US" w:eastAsia="zh-CN"/>
        </w:rPr>
        <w:t>事故水池。罐区设置防火堤的大小、容量应满足相关设计规范，罐区内进料、出料管道及排水管道均应设截断阀。</w:t>
      </w:r>
    </w:p>
    <w:p w14:paraId="116B014A">
      <w:pPr>
        <w:bidi w:val="0"/>
        <w:rPr>
          <w:lang w:val="en-US" w:eastAsia="zh-CN"/>
        </w:rPr>
      </w:pPr>
      <w:r>
        <w:rPr>
          <w:lang w:val="en-US" w:eastAsia="zh-CN"/>
        </w:rPr>
        <w:t>（4）为了防止物料泄漏到地面，对于存储和输送有毒有害介质的设备和管线排液阀门应设为双阀，设备及管道排放出的各种含有毒有害介质液体，应加以收集，不得任意排放。</w:t>
      </w:r>
    </w:p>
    <w:p w14:paraId="511D22CA">
      <w:pPr>
        <w:bidi w:val="0"/>
        <w:rPr>
          <w:lang w:val="en-US" w:eastAsia="zh-CN"/>
        </w:rPr>
      </w:pPr>
      <w:r>
        <w:rPr>
          <w:lang w:val="en-US" w:eastAsia="zh-CN"/>
        </w:rPr>
        <w:t>（5）对于阶梯式布置装置区域，阶梯间应设有防止泄漏液体漫流的措施。</w:t>
      </w:r>
    </w:p>
    <w:p w14:paraId="65CC6DFB">
      <w:pPr>
        <w:bidi w:val="0"/>
        <w:rPr>
          <w:lang w:val="en-US" w:eastAsia="zh-CN"/>
        </w:rPr>
      </w:pPr>
      <w:r>
        <w:rPr>
          <w:lang w:val="en-US" w:eastAsia="zh-CN"/>
        </w:rPr>
        <w:t>（6）对于机泵基础周边宜设置废液收集设施，确保泄漏物料统一收集至处理系统。</w:t>
      </w:r>
    </w:p>
    <w:p w14:paraId="6EA424C6">
      <w:pPr>
        <w:bidi w:val="0"/>
        <w:rPr>
          <w:lang w:val="en-US" w:eastAsia="zh-CN"/>
        </w:rPr>
      </w:pPr>
      <w:r>
        <w:rPr>
          <w:lang w:val="en-US" w:eastAsia="zh-CN"/>
        </w:rPr>
        <w:t>（7）当发生有毒物料泄漏时，应根据事故级别启动应急预案。当比空气重的易挥发易燃液体泄漏采用喷雾状水稀释或大水量冲洗等方法处理时，应构筑临时围堤收容产生的大量废水，收集后的废水应进入废水处理系统处理，不外排。</w:t>
      </w:r>
    </w:p>
    <w:p w14:paraId="16103AFD">
      <w:pPr>
        <w:bidi w:val="0"/>
        <w:rPr>
          <w:lang w:val="en-US" w:eastAsia="zh-CN"/>
        </w:rPr>
      </w:pPr>
      <w:r>
        <w:rPr>
          <w:lang w:val="en-US" w:eastAsia="zh-CN"/>
        </w:rPr>
        <w:t>（8）当装置发生火灾或爆炸时，应根据事故级别启动应急预案。因救火产生的大量消防水，应及时收集进入事故应急池，不外排。</w:t>
      </w:r>
    </w:p>
    <w:p w14:paraId="07B3B682">
      <w:pPr>
        <w:bidi w:val="0"/>
        <w:rPr>
          <w:lang w:val="en-US" w:eastAsia="zh-CN"/>
        </w:rPr>
      </w:pPr>
      <w:r>
        <w:rPr>
          <w:lang w:val="en-US" w:eastAsia="zh-CN"/>
        </w:rPr>
        <w:t>（9）管道低点放净口附近宜设地漏、地沟或用软管接至地漏或地沟，不得随意排放，工艺介质调节阀前的排放口应布置在低围堰区。</w:t>
      </w:r>
    </w:p>
    <w:p w14:paraId="146D4E5B">
      <w:pPr>
        <w:bidi w:val="0"/>
        <w:rPr>
          <w:lang w:val="en-US" w:eastAsia="zh-CN"/>
        </w:rPr>
      </w:pPr>
      <w:r>
        <w:rPr>
          <w:lang w:val="en-US" w:eastAsia="zh-CN"/>
        </w:rPr>
        <w:t>（10）对于高压、A1类流体管道排放采用双阀，对于所有与易燃、易爆、腐蚀性和有毒介质接触的管线和设备的排净口都必须用管帽或法兰盖、丝堵上。</w:t>
      </w:r>
    </w:p>
    <w:p w14:paraId="4063A438">
      <w:pPr>
        <w:pStyle w:val="2"/>
        <w:bidi w:val="0"/>
        <w:rPr>
          <w:lang w:val="en-US" w:eastAsia="zh-CN"/>
        </w:rPr>
      </w:pPr>
      <w:r>
        <w:rPr>
          <w:rFonts w:hint="eastAsia"/>
          <w:lang w:val="en-US" w:eastAsia="zh-CN"/>
        </w:rPr>
        <w:t xml:space="preserve">8.2.3 </w:t>
      </w:r>
      <w:r>
        <w:rPr>
          <w:lang w:val="en-US" w:eastAsia="zh-CN"/>
        </w:rPr>
        <w:t>事故废水环境风险防范措施</w:t>
      </w:r>
    </w:p>
    <w:p w14:paraId="499FC3CC">
      <w:pPr>
        <w:bidi w:val="0"/>
        <w:rPr>
          <w:lang w:val="en-US" w:eastAsia="zh-CN"/>
        </w:rPr>
      </w:pPr>
      <w:r>
        <w:rPr>
          <w:lang w:val="en-US" w:eastAsia="zh-CN"/>
        </w:rPr>
        <w:t>本项目事故情况下会有泄漏物料、污染消防水、污染雨水等产生。为确保事故废水不外排，评价提出“单元--厂区--园区/区域”的环境风险三级防控体系要求。</w:t>
      </w:r>
    </w:p>
    <w:p w14:paraId="11273F94">
      <w:pPr>
        <w:bidi w:val="0"/>
        <w:rPr>
          <w:lang w:val="en-US" w:eastAsia="zh-CN"/>
        </w:rPr>
      </w:pPr>
      <w:r>
        <w:rPr>
          <w:lang w:val="en-US" w:eastAsia="zh-CN"/>
        </w:rPr>
        <w:t>（1）一级防控设施（罐区围堰/防火堤）</w:t>
      </w:r>
    </w:p>
    <w:p w14:paraId="29BEDBC5">
      <w:pPr>
        <w:bidi w:val="0"/>
        <w:rPr>
          <w:lang w:val="en-US" w:eastAsia="zh-CN"/>
        </w:rPr>
      </w:pPr>
      <w:r>
        <w:rPr>
          <w:rFonts w:hint="eastAsia"/>
          <w:lang w:val="en-US" w:eastAsia="zh-CN"/>
        </w:rPr>
        <w:t>①</w:t>
      </w:r>
      <w:r>
        <w:rPr>
          <w:lang w:val="en-US" w:eastAsia="zh-CN"/>
        </w:rPr>
        <w:t>在储罐四周设置围堰/防火堤，围堰/防火堤的有效容积不应小于罐组内一个最大储罐的容量，可使泄漏的物料可以完全限制在围堰/防火堤内。</w:t>
      </w:r>
    </w:p>
    <w:p w14:paraId="1A01E797">
      <w:pPr>
        <w:bidi w:val="0"/>
        <w:rPr>
          <w:lang w:val="en-US" w:eastAsia="zh-CN"/>
        </w:rPr>
      </w:pPr>
      <w:r>
        <w:rPr>
          <w:rFonts w:hint="eastAsia"/>
          <w:lang w:val="en-US" w:eastAsia="zh-CN"/>
        </w:rPr>
        <w:t>②</w:t>
      </w:r>
      <w:r>
        <w:rPr>
          <w:lang w:val="en-US" w:eastAsia="zh-CN"/>
        </w:rPr>
        <w:t>围堰/防火堤应按要求进行防腐、防渗处置；储罐设液位计或高、低液位报警器。</w:t>
      </w:r>
    </w:p>
    <w:p w14:paraId="561E4939">
      <w:pPr>
        <w:bidi w:val="0"/>
        <w:rPr>
          <w:lang w:val="en-US" w:eastAsia="zh-CN"/>
        </w:rPr>
      </w:pPr>
      <w:r>
        <w:rPr>
          <w:rFonts w:hint="eastAsia"/>
          <w:lang w:val="en-US" w:eastAsia="zh-CN"/>
        </w:rPr>
        <w:t>③</w:t>
      </w:r>
      <w:r>
        <w:rPr>
          <w:lang w:val="en-US" w:eastAsia="zh-CN"/>
        </w:rPr>
        <w:t>罐区应有明显的安全标志和标识，每个储罐应有标明名称储存物品、容积、危险特性和灭火方法的标识。</w:t>
      </w:r>
    </w:p>
    <w:p w14:paraId="62EBE07A">
      <w:pPr>
        <w:bidi w:val="0"/>
        <w:rPr>
          <w:lang w:val="en-US" w:eastAsia="zh-CN"/>
        </w:rPr>
      </w:pPr>
      <w:r>
        <w:rPr>
          <w:rFonts w:hint="eastAsia"/>
          <w:lang w:val="en-US" w:eastAsia="zh-CN"/>
        </w:rPr>
        <w:t>④</w:t>
      </w:r>
      <w:r>
        <w:rPr>
          <w:lang w:val="en-US" w:eastAsia="zh-CN"/>
        </w:rPr>
        <w:t>罐区内排水沟设立正常排放和事故排放切换闸门，罐区内各雨水、污水管网的最终排放口与外部水体间安装截断装置并有切换到事故池的设施，防止突发事件时物料外泄。</w:t>
      </w:r>
    </w:p>
    <w:p w14:paraId="0E0FA12F">
      <w:pPr>
        <w:bidi w:val="0"/>
        <w:rPr>
          <w:lang w:val="en-US" w:eastAsia="zh-CN"/>
        </w:rPr>
      </w:pPr>
      <w:r>
        <w:rPr>
          <w:lang w:val="en-US" w:eastAsia="zh-CN"/>
        </w:rPr>
        <w:t>（2）二级防控设施（事故池）</w:t>
      </w:r>
    </w:p>
    <w:p w14:paraId="08A73B07">
      <w:pPr>
        <w:bidi w:val="0"/>
        <w:rPr>
          <w:lang w:val="en-US" w:eastAsia="zh-CN"/>
        </w:rPr>
      </w:pPr>
      <w:r>
        <w:rPr>
          <w:lang w:val="en-US" w:eastAsia="zh-CN"/>
        </w:rPr>
        <w:t>公司厂区已建设一座容积</w:t>
      </w:r>
      <w:r>
        <w:rPr>
          <w:rFonts w:hint="eastAsia"/>
          <w:lang w:val="en-US" w:eastAsia="zh-CN"/>
        </w:rPr>
        <w:t>2160</w:t>
      </w:r>
      <w:r>
        <w:rPr>
          <w:lang w:val="en-US" w:eastAsia="zh-CN"/>
        </w:rPr>
        <w:t>m</w:t>
      </w:r>
      <w:r>
        <w:rPr>
          <w:vertAlign w:val="superscript"/>
          <w:lang w:val="en-US" w:eastAsia="zh-CN"/>
        </w:rPr>
        <w:t>3</w:t>
      </w:r>
      <w:r>
        <w:rPr>
          <w:lang w:val="en-US" w:eastAsia="zh-CN"/>
        </w:rPr>
        <w:t>的事故水池，应将事故状态下产生的消防废水、污染雨水等集中收集至事故池，并经废水处理站集中处理，不得随意外排。</w:t>
      </w:r>
    </w:p>
    <w:p w14:paraId="129042CE">
      <w:pPr>
        <w:bidi w:val="0"/>
        <w:rPr>
          <w:lang w:val="en-US" w:eastAsia="zh-CN"/>
        </w:rPr>
      </w:pPr>
      <w:r>
        <w:rPr>
          <w:lang w:val="en-US" w:eastAsia="zh-CN"/>
        </w:rPr>
        <w:t>（3）三级防控设施</w:t>
      </w:r>
    </w:p>
    <w:p w14:paraId="435F8259">
      <w:pPr>
        <w:bidi w:val="0"/>
        <w:rPr>
          <w:lang w:val="en-US" w:eastAsia="zh-CN"/>
        </w:rPr>
      </w:pPr>
      <w:r>
        <w:rPr>
          <w:lang w:val="en-US" w:eastAsia="zh-CN"/>
        </w:rPr>
        <w:t>依托园区及周边企业的事故废水防控体系。</w:t>
      </w:r>
    </w:p>
    <w:p w14:paraId="41B07FC6">
      <w:pPr>
        <w:bidi w:val="0"/>
        <w:rPr>
          <w:lang w:val="en-US" w:eastAsia="zh-CN"/>
        </w:rPr>
      </w:pPr>
      <w:r>
        <w:rPr>
          <w:lang w:val="en-US" w:eastAsia="zh-CN"/>
        </w:rPr>
        <w:t>考虑事故触发具有不确定性，厂内环境风险防控系统应纳入园区环境风险防控体系，环境风险防控设施、管理应与园区及周边企业环境风险应急系统相衔接，与园区及周边企业的环境风险防控设施起到有效联动，确保在极端事故发生时，项目环境风险防控及应急处置不能及时处理事故的情况下，能按分级响应要求及时启动园区及周边企业环境风险防范措施，有效防控环境风险，将环境风险控制在可接受范围内。</w:t>
      </w:r>
    </w:p>
    <w:p w14:paraId="2B229F08">
      <w:pPr>
        <w:pStyle w:val="2"/>
        <w:bidi w:val="0"/>
        <w:rPr>
          <w:lang w:val="en-US" w:eastAsia="zh-CN"/>
        </w:rPr>
      </w:pPr>
      <w:r>
        <w:rPr>
          <w:rFonts w:hint="eastAsia"/>
          <w:lang w:val="en-US" w:eastAsia="zh-CN"/>
        </w:rPr>
        <w:t xml:space="preserve">8.2.4 </w:t>
      </w:r>
      <w:r>
        <w:rPr>
          <w:lang w:val="en-US" w:eastAsia="zh-CN"/>
        </w:rPr>
        <w:t>应急撤离防范措施</w:t>
      </w:r>
    </w:p>
    <w:p w14:paraId="6A3BB00C">
      <w:pPr>
        <w:bidi w:val="0"/>
        <w:rPr>
          <w:lang w:val="en-US" w:eastAsia="zh-CN"/>
        </w:rPr>
      </w:pPr>
      <w:r>
        <w:rPr>
          <w:lang w:val="en-US" w:eastAsia="zh-CN"/>
        </w:rPr>
        <w:t>根据本次环境风险评价预测结果，在设定的最大可信事故情况下，油类或CO的浓度大气毒性终点浓度没有居民集中居住区分布。本项目的事故紧急撤离方案除针对周边关心点居民外，也应侧重针对本项目厂区及周边企业的工作人员而制定。从环境风险管理的要求出发，在环境风险事故状态下应进行应急撤离。因此，企业环境风险事故应急预案应充分考虑与周边区域及园区突发事件应急预案进行有效联动，明确联动方式和响应程序，明确发生事故时的汇报程序和应急措施，保证在发生事故后10min内将危害范围内的全部人员撤离到安全地带，保证人民生命财产安全。本项目厂区发生有毒物质严重泄漏挥发或火灾燃烧次生SO</w:t>
      </w:r>
      <w:r>
        <w:rPr>
          <w:vertAlign w:val="subscript"/>
          <w:lang w:val="en-US" w:eastAsia="zh-CN"/>
        </w:rPr>
        <w:t>2</w:t>
      </w:r>
      <w:r>
        <w:rPr>
          <w:lang w:val="en-US" w:eastAsia="zh-CN"/>
        </w:rPr>
        <w:t>、CO污染事故后，建设单位应立即启动应急预案程序，并及时与园区、地方政府相关部门联系，启动园区及地方应急预案。</w:t>
      </w:r>
    </w:p>
    <w:p w14:paraId="0EDDBAC4">
      <w:pPr>
        <w:bidi w:val="0"/>
        <w:rPr>
          <w:lang w:val="en-US" w:eastAsia="zh-CN"/>
        </w:rPr>
      </w:pPr>
      <w:r>
        <w:rPr>
          <w:rFonts w:hint="eastAsia"/>
          <w:lang w:val="en-US" w:eastAsia="zh-CN"/>
        </w:rPr>
        <w:t>①</w:t>
      </w:r>
      <w:r>
        <w:rPr>
          <w:lang w:val="en-US" w:eastAsia="zh-CN"/>
        </w:rPr>
        <w:t>立即通知公安、消防、医院，赶往现场，并派出有关人员赶赴现场指挥、协助相关人员撤离；</w:t>
      </w:r>
    </w:p>
    <w:p w14:paraId="6B52B516">
      <w:pPr>
        <w:bidi w:val="0"/>
        <w:rPr>
          <w:lang w:val="en-US" w:eastAsia="zh-CN"/>
        </w:rPr>
      </w:pPr>
      <w:r>
        <w:rPr>
          <w:rFonts w:hint="eastAsia"/>
          <w:lang w:val="en-US" w:eastAsia="zh-CN"/>
        </w:rPr>
        <w:t>②</w:t>
      </w:r>
      <w:r>
        <w:rPr>
          <w:lang w:val="en-US" w:eastAsia="zh-CN"/>
        </w:rPr>
        <w:t>园区及地方政府调动警力封锁事故区域，禁止无关车辆和人员进入救援现场；</w:t>
      </w:r>
    </w:p>
    <w:p w14:paraId="5EF9FC8F">
      <w:pPr>
        <w:bidi w:val="0"/>
        <w:rPr>
          <w:lang w:val="en-US" w:eastAsia="zh-CN"/>
        </w:rPr>
      </w:pPr>
      <w:r>
        <w:rPr>
          <w:rFonts w:hint="eastAsia"/>
          <w:lang w:val="en-US" w:eastAsia="zh-CN"/>
        </w:rPr>
        <w:t>③</w:t>
      </w:r>
      <w:r>
        <w:rPr>
          <w:lang w:val="en-US" w:eastAsia="zh-CN"/>
        </w:rPr>
        <w:t>根据厂区风向标指示的风向，迅速通知危害范围的所有人员在10min内撤离至事故源的上风向，并由园区及政府协调调动公交车运送人员。根据需要疏散周围居住区人群。</w:t>
      </w:r>
    </w:p>
    <w:p w14:paraId="375AE59F">
      <w:pPr>
        <w:bidi w:val="0"/>
        <w:rPr>
          <w:lang w:val="en-US" w:eastAsia="zh-CN"/>
        </w:rPr>
      </w:pPr>
      <w:r>
        <w:rPr>
          <w:rFonts w:hint="eastAsia"/>
          <w:lang w:val="en-US" w:eastAsia="zh-CN"/>
        </w:rPr>
        <w:t>④</w:t>
      </w:r>
      <w:r>
        <w:rPr>
          <w:lang w:val="en-US" w:eastAsia="zh-CN"/>
        </w:rPr>
        <w:t>企业做好紧急救援工作，根据需要合理调动消防、气防资源；</w:t>
      </w:r>
    </w:p>
    <w:p w14:paraId="3527DF47">
      <w:pPr>
        <w:bidi w:val="0"/>
        <w:rPr>
          <w:lang w:val="en-US" w:eastAsia="zh-CN"/>
        </w:rPr>
      </w:pPr>
      <w:r>
        <w:rPr>
          <w:rFonts w:hint="eastAsia"/>
          <w:lang w:val="en-US" w:eastAsia="zh-CN"/>
        </w:rPr>
        <w:t>⑤</w:t>
      </w:r>
      <w:r>
        <w:rPr>
          <w:lang w:val="en-US" w:eastAsia="zh-CN"/>
        </w:rPr>
        <w:t>地方政府组织医院做好受伤人员的救治工作；</w:t>
      </w:r>
    </w:p>
    <w:p w14:paraId="55AD6A74">
      <w:pPr>
        <w:bidi w:val="0"/>
        <w:rPr>
          <w:lang w:val="en-US" w:eastAsia="zh-CN"/>
        </w:rPr>
      </w:pPr>
      <w:r>
        <w:rPr>
          <w:rFonts w:hint="eastAsia"/>
          <w:lang w:val="en-US" w:eastAsia="zh-CN"/>
        </w:rPr>
        <w:t>⑥</w:t>
      </w:r>
      <w:r>
        <w:rPr>
          <w:lang w:val="en-US" w:eastAsia="zh-CN"/>
        </w:rPr>
        <w:t>及时向各级政府汇报事态情况，引导媒体真实报道事故处理情况，稳定民众思想情绪；得到应急终止通知后，组织撤离人员返回，并配合做好事故善后处理工作。</w:t>
      </w:r>
    </w:p>
    <w:p w14:paraId="5479B66F">
      <w:pPr>
        <w:pStyle w:val="2"/>
        <w:bidi w:val="0"/>
        <w:rPr>
          <w:lang w:val="en-US" w:eastAsia="zh-CN"/>
        </w:rPr>
      </w:pPr>
      <w:r>
        <w:rPr>
          <w:rFonts w:hint="eastAsia"/>
          <w:lang w:val="en-US" w:eastAsia="zh-CN"/>
        </w:rPr>
        <w:t xml:space="preserve">8.2.5 </w:t>
      </w:r>
      <w:r>
        <w:rPr>
          <w:lang w:val="en-US" w:eastAsia="zh-CN"/>
        </w:rPr>
        <w:t>事故应急预案</w:t>
      </w:r>
    </w:p>
    <w:p w14:paraId="5C5892D2">
      <w:pPr>
        <w:bidi w:val="0"/>
        <w:rPr>
          <w:lang w:val="en-US" w:eastAsia="zh-CN"/>
        </w:rPr>
      </w:pPr>
      <w:r>
        <w:rPr>
          <w:lang w:val="en-US" w:eastAsia="zh-CN"/>
        </w:rPr>
        <w:t>（1）应急预案的制定</w:t>
      </w:r>
    </w:p>
    <w:p w14:paraId="1F9CA736">
      <w:pPr>
        <w:keepNext w:val="0"/>
        <w:keepLines w:val="0"/>
        <w:pageBreakBefore w:val="0"/>
        <w:widowControl/>
        <w:kinsoku/>
        <w:wordWrap/>
        <w:overflowPunct/>
        <w:topLinePunct w:val="0"/>
        <w:autoSpaceDE/>
        <w:autoSpaceDN/>
        <w:bidi w:val="0"/>
        <w:snapToGrid/>
        <w:spacing w:line="520" w:lineRule="exact"/>
        <w:textAlignment w:val="auto"/>
        <w:rPr>
          <w:rFonts w:eastAsia="宋体" w:cs="Calibri"/>
          <w:kern w:val="2"/>
          <w:lang w:val="en-US" w:eastAsia="zh-CN" w:bidi="ar-SA"/>
        </w:rPr>
      </w:pPr>
      <w:r>
        <w:rPr>
          <w:rFonts w:hint="eastAsia"/>
          <w:kern w:val="2"/>
          <w:highlight w:val="none"/>
          <w:lang w:val="en-US" w:eastAsia="zh-CN" w:bidi="ar-SA"/>
        </w:rPr>
        <w:t>巴州海祥石油化工有限公司为防止突发事故可能造成的环境危害，编制了突发环境事件应急预案并于2026年8月21日完成修订并备案，备案编号652800-2026-8-M。</w:t>
      </w:r>
      <w:r>
        <w:rPr>
          <w:rFonts w:eastAsia="宋体" w:cs="Calibri"/>
          <w:kern w:val="2"/>
          <w:highlight w:val="none"/>
          <w:lang w:val="en-US" w:eastAsia="zh-CN" w:bidi="ar-SA"/>
        </w:rPr>
        <w:t>考虑到事故</w:t>
      </w:r>
      <w:r>
        <w:rPr>
          <w:rFonts w:eastAsia="宋体" w:cs="Calibri"/>
          <w:kern w:val="2"/>
          <w:lang w:val="en-US" w:eastAsia="zh-CN" w:bidi="ar-SA"/>
        </w:rPr>
        <w:t>发生的不确定性，</w:t>
      </w:r>
      <w:r>
        <w:rPr>
          <w:rFonts w:hint="eastAsia" w:eastAsia="宋体" w:cs="Calibri"/>
          <w:kern w:val="2"/>
          <w:lang w:val="en-US" w:eastAsia="zh-CN" w:bidi="ar-SA"/>
        </w:rPr>
        <w:t>本</w:t>
      </w:r>
      <w:r>
        <w:rPr>
          <w:rFonts w:eastAsia="宋体" w:cs="Calibri"/>
          <w:kern w:val="2"/>
          <w:lang w:val="en-US" w:eastAsia="zh-CN" w:bidi="ar-SA"/>
        </w:rPr>
        <w:t>项目建设完成后，应及时更新并完善应急预案相关内容，并及时备案，厂内环境风险防控系统应及时纳入园区环境风险防控体系，明确防控措施、管理衔接的具体要求。应急预案主要包括如下几个方面：</w:t>
      </w:r>
    </w:p>
    <w:p w14:paraId="57C79663">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①</w:t>
      </w:r>
      <w:r>
        <w:rPr>
          <w:rFonts w:eastAsia="宋体" w:cs="Calibri"/>
          <w:kern w:val="2"/>
          <w:lang w:val="en-US" w:eastAsia="zh-CN" w:bidi="ar-SA"/>
        </w:rPr>
        <w:t>明确组织指挥机构，包括应急领导和指挥机构、日常管理机构的人员组成和人员的职责分工，并应建立通畅有效的通讯网络；</w:t>
      </w:r>
    </w:p>
    <w:p w14:paraId="1EE130A7">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②</w:t>
      </w:r>
      <w:r>
        <w:rPr>
          <w:rFonts w:eastAsia="宋体" w:cs="Calibri"/>
          <w:kern w:val="2"/>
          <w:lang w:val="en-US" w:eastAsia="zh-CN" w:bidi="ar-SA"/>
        </w:rPr>
        <w:t>预警和预防机制，建立突发环境事件预警制度，明确预警级别、预警方式；</w:t>
      </w:r>
    </w:p>
    <w:p w14:paraId="40144498">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③</w:t>
      </w:r>
      <w:r>
        <w:rPr>
          <w:rFonts w:eastAsia="宋体" w:cs="Calibri"/>
          <w:kern w:val="2"/>
          <w:lang w:val="en-US" w:eastAsia="zh-CN" w:bidi="ar-SA"/>
        </w:rPr>
        <w:t>应急响应程序，制定</w:t>
      </w:r>
      <w:r>
        <w:rPr>
          <w:rFonts w:hint="eastAsia" w:cs="Calibri"/>
          <w:kern w:val="2"/>
          <w:lang w:val="en-US" w:eastAsia="zh-CN" w:bidi="ar-SA"/>
        </w:rPr>
        <w:t>突发环境事件应急响应</w:t>
      </w:r>
      <w:r>
        <w:rPr>
          <w:rFonts w:eastAsia="宋体" w:cs="Calibri"/>
          <w:kern w:val="2"/>
          <w:lang w:val="en-US" w:eastAsia="zh-CN" w:bidi="ar-SA"/>
        </w:rPr>
        <w:t>程序，包括事故的报警、应急反应等级的确定、应急反应启动、紧急救援行动的开展、事故调查以及事故索赔等应急环节；</w:t>
      </w:r>
    </w:p>
    <w:p w14:paraId="64985176">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④</w:t>
      </w:r>
      <w:r>
        <w:rPr>
          <w:rFonts w:eastAsia="宋体" w:cs="Calibri"/>
          <w:kern w:val="2"/>
          <w:lang w:val="en-US" w:eastAsia="zh-CN" w:bidi="ar-SA"/>
        </w:rPr>
        <w:t>应急保障，包括应急反应设备、应急队伍、物资及后勤、经费保障等应急支援与装备保障，技术储备与保障，还应建立培训和演习的相关制度；</w:t>
      </w:r>
    </w:p>
    <w:p w14:paraId="4279F854">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⑤</w:t>
      </w:r>
      <w:r>
        <w:rPr>
          <w:rFonts w:eastAsia="宋体" w:cs="Calibri"/>
          <w:kern w:val="2"/>
          <w:lang w:val="en-US" w:eastAsia="zh-CN" w:bidi="ar-SA"/>
        </w:rPr>
        <w:t>附图附件（应急通讯联络表、应急处理、人员急救方式等）。</w:t>
      </w:r>
    </w:p>
    <w:p w14:paraId="5C388DE6">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w:t>
      </w:r>
      <w:r>
        <w:rPr>
          <w:kern w:val="2"/>
          <w:lang w:val="en-US" w:eastAsia="zh-CN" w:bidi="ar-SA"/>
        </w:rPr>
        <w:t>2</w:t>
      </w:r>
      <w:r>
        <w:rPr>
          <w:rFonts w:eastAsia="宋体" w:cs="Calibri"/>
          <w:kern w:val="2"/>
          <w:lang w:val="en-US" w:eastAsia="zh-CN" w:bidi="ar-SA"/>
        </w:rPr>
        <w:t>）应急体系及联动机制的建设</w:t>
      </w:r>
    </w:p>
    <w:p w14:paraId="00A8932A">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本项目</w:t>
      </w:r>
      <w:r>
        <w:rPr>
          <w:rFonts w:hint="eastAsia" w:cs="Calibri"/>
          <w:kern w:val="2"/>
          <w:lang w:val="en-US" w:eastAsia="zh-CN" w:bidi="ar-SA"/>
        </w:rPr>
        <w:t>突发环境事件应急响应</w:t>
      </w:r>
      <w:r>
        <w:rPr>
          <w:rFonts w:eastAsia="宋体" w:cs="Calibri"/>
          <w:kern w:val="2"/>
          <w:lang w:val="en-US" w:eastAsia="zh-CN" w:bidi="ar-SA"/>
        </w:rPr>
        <w:t>措施应在以下几个方面做好工作：</w:t>
      </w:r>
    </w:p>
    <w:p w14:paraId="5E22673B">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①</w:t>
      </w:r>
      <w:r>
        <w:rPr>
          <w:rFonts w:eastAsia="宋体" w:cs="Calibri"/>
          <w:kern w:val="2"/>
          <w:lang w:val="en-US" w:eastAsia="zh-CN" w:bidi="ar-SA"/>
        </w:rPr>
        <w:t>建立健全应急反应的组织指挥系统</w:t>
      </w:r>
    </w:p>
    <w:p w14:paraId="68DF2C62">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为确保</w:t>
      </w:r>
      <w:r>
        <w:rPr>
          <w:rFonts w:hint="eastAsia" w:cs="Calibri"/>
          <w:kern w:val="2"/>
          <w:lang w:val="en-US" w:eastAsia="zh-CN" w:bidi="ar-SA"/>
        </w:rPr>
        <w:t>突发环境事件应急响应</w:t>
      </w:r>
      <w:r>
        <w:rPr>
          <w:rFonts w:eastAsia="宋体" w:cs="Calibri"/>
          <w:kern w:val="2"/>
          <w:lang w:val="en-US" w:eastAsia="zh-CN" w:bidi="ar-SA"/>
        </w:rPr>
        <w:t>的有序、高效，建设单位应根据本项目自身特点建立应急反应的组织指挥系统，并明确不同级别污染事故应急组织指挥人员组成、人员职责及其有效联系方式。</w:t>
      </w:r>
    </w:p>
    <w:p w14:paraId="54B68AC2">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②</w:t>
      </w:r>
      <w:r>
        <w:rPr>
          <w:rFonts w:eastAsia="宋体" w:cs="Calibri"/>
          <w:kern w:val="2"/>
          <w:lang w:val="en-US" w:eastAsia="zh-CN" w:bidi="ar-SA"/>
        </w:rPr>
        <w:t>应急反应设施、设备的配备</w:t>
      </w:r>
    </w:p>
    <w:p w14:paraId="79F6288A">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充分利用园区相关单位的应急资源，并签订相关合作协议，保证应急资源的有效利用。</w:t>
      </w:r>
    </w:p>
    <w:p w14:paraId="737E1DD5">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③</w:t>
      </w:r>
      <w:r>
        <w:rPr>
          <w:rFonts w:eastAsia="宋体" w:cs="Calibri"/>
          <w:kern w:val="2"/>
          <w:lang w:val="en-US" w:eastAsia="zh-CN" w:bidi="ar-SA"/>
        </w:rPr>
        <w:t>应急防治队伍及演习</w:t>
      </w:r>
    </w:p>
    <w:p w14:paraId="1E6F8D84">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为保证应急预案的科学、高效、有序和针对性，建设单位应急管理部门必须组织开展应急预案的模拟演练，以检验应急部门应对突发环境事件的应急能力，检验各相关部门和各单位之间的协同作战能力。建设单位应对应急救援队伍作定期强化培训和演练的计划，加强了解应急防治操作规程，掌握应急防治设备器材的操作使用，一旦发生应急事故，应急队伍能迅速投入防治活动，从而增强应对突发环境事件的处置能力。</w:t>
      </w:r>
    </w:p>
    <w:p w14:paraId="3894B8C7">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④</w:t>
      </w:r>
      <w:r>
        <w:rPr>
          <w:rFonts w:eastAsia="宋体" w:cs="Calibri"/>
          <w:kern w:val="2"/>
          <w:lang w:val="en-US" w:eastAsia="zh-CN" w:bidi="ar-SA"/>
        </w:rPr>
        <w:t>应急通信联络</w:t>
      </w:r>
    </w:p>
    <w:p w14:paraId="3C816A22">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为确保突发环境事件的报告、报警和通报，以及应急反应各种信息能及时、准确、可靠的传输，必须建立通畅有效、快速灵敏的报警系统和指挥通讯网络，包括与园区应急反应指挥系统。</w:t>
      </w:r>
    </w:p>
    <w:p w14:paraId="4BD16AE6">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⑤</w:t>
      </w:r>
      <w:r>
        <w:rPr>
          <w:rFonts w:eastAsia="宋体" w:cs="Calibri"/>
          <w:kern w:val="2"/>
          <w:lang w:val="en-US" w:eastAsia="zh-CN" w:bidi="ar-SA"/>
        </w:rPr>
        <w:t>与各应急力量联动、应急资源共享</w:t>
      </w:r>
    </w:p>
    <w:p w14:paraId="3BFEDD82">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应急资源充分就近利用应急资源，必要时应上报政府，由政府统一指挥应急行动。</w:t>
      </w:r>
    </w:p>
    <w:p w14:paraId="3B84A9E8">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hint="eastAsia" w:ascii="宋体" w:hAnsi="宋体" w:eastAsia="宋体" w:cs="宋体"/>
          <w:kern w:val="2"/>
          <w:lang w:val="en-US" w:eastAsia="zh-CN" w:bidi="ar-SA"/>
        </w:rPr>
        <w:t>⑥</w:t>
      </w:r>
      <w:r>
        <w:rPr>
          <w:rFonts w:eastAsia="宋体" w:cs="Calibri"/>
          <w:kern w:val="2"/>
          <w:lang w:val="en-US" w:eastAsia="zh-CN" w:bidi="ar-SA"/>
        </w:rPr>
        <w:t>与政府级相关应急预案的衔接</w:t>
      </w:r>
    </w:p>
    <w:p w14:paraId="6B76EF69">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预案的编制过程中应充分考虑与园区相关应急预案的衔接，将本项目的应急反应体系应纳入园区的应急体系，建立区域应急联动机制。</w:t>
      </w:r>
    </w:p>
    <w:p w14:paraId="4CCB8FF2">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巴州海祥石油化工有限公司应急预案已备案，公司建立有应急管理体制，成立了事故应急救援指挥部，制定了应急响应分级机制和应急措施，编制了应急监测方案，配备有应急设施和物资，定期开展应急培训和应急演练。本项目建成后厂内环境风险防控系统应纳入公司应急管理体系，及时更新公司应急预案并重新备案。本项目应急预案应纳入公司应急预案保持协调一致、相互配合。与园区突发环境事件应急预案相衔接，形成联动。</w:t>
      </w:r>
    </w:p>
    <w:p w14:paraId="385E1A0C">
      <w:pPr>
        <w:keepNext w:val="0"/>
        <w:keepLines w:val="0"/>
        <w:pageBreakBefore w:val="0"/>
        <w:widowControl/>
        <w:kinsoku/>
        <w:wordWrap/>
        <w:overflowPunct/>
        <w:topLinePunct w:val="0"/>
        <w:autoSpaceDE/>
        <w:autoSpaceDN/>
        <w:bidi w:val="0"/>
        <w:adjustRightInd w:val="0"/>
        <w:snapToGrid/>
        <w:spacing w:line="520" w:lineRule="exact"/>
        <w:ind w:firstLine="480" w:firstLineChars="200"/>
        <w:jc w:val="both"/>
        <w:textAlignment w:val="auto"/>
        <w:outlineLvl w:val="9"/>
        <w:rPr>
          <w:rFonts w:eastAsia="宋体" w:cs="Calibri"/>
          <w:kern w:val="2"/>
          <w:lang w:val="en-US" w:eastAsia="zh-CN" w:bidi="ar-SA"/>
        </w:rPr>
      </w:pPr>
      <w:r>
        <w:rPr>
          <w:rFonts w:eastAsia="宋体" w:cs="Calibri"/>
          <w:kern w:val="2"/>
          <w:lang w:val="en-US" w:eastAsia="zh-CN" w:bidi="ar-SA"/>
        </w:rPr>
        <w:t>应急预案应按照国家、地方和相关部门要求进行编制，应急预案应明确企业、园区</w:t>
      </w:r>
      <w:r>
        <w:rPr>
          <w:kern w:val="2"/>
          <w:lang w:val="en-US" w:eastAsia="zh-CN" w:bidi="ar-SA"/>
        </w:rPr>
        <w:t>/</w:t>
      </w:r>
      <w:r>
        <w:rPr>
          <w:rFonts w:eastAsia="宋体" w:cs="Calibri"/>
          <w:kern w:val="2"/>
          <w:lang w:val="en-US" w:eastAsia="zh-CN" w:bidi="ar-SA"/>
        </w:rPr>
        <w:t>区域、地方政府环境风险应急体系。企业突发环境事件应急预案应体现分级响应、区域联动的原则，与地方政府突发环境事件应急预案相衔接，明确分级响应程序。基本内容见表</w:t>
      </w:r>
      <w:r>
        <w:rPr>
          <w:rFonts w:hint="eastAsia"/>
          <w:kern w:val="2"/>
          <w:lang w:val="en-US" w:eastAsia="zh-CN" w:bidi="ar-SA"/>
        </w:rPr>
        <w:t>8-1</w:t>
      </w:r>
      <w:r>
        <w:rPr>
          <w:rFonts w:eastAsia="宋体" w:cs="Calibri"/>
          <w:kern w:val="2"/>
          <w:lang w:val="en-US" w:eastAsia="zh-CN" w:bidi="ar-SA"/>
        </w:rPr>
        <w:t>。</w:t>
      </w:r>
    </w:p>
    <w:p w14:paraId="0D19FDC1">
      <w:pPr>
        <w:keepNext/>
        <w:keepLines w:val="0"/>
        <w:pageBreakBefore w:val="0"/>
        <w:widowControl w:val="0"/>
        <w:kinsoku/>
        <w:wordWrap/>
        <w:overflowPunct/>
        <w:topLinePunct w:val="0"/>
        <w:autoSpaceDE/>
        <w:autoSpaceDN/>
        <w:bidi w:val="0"/>
        <w:adjustRightInd w:val="0"/>
        <w:snapToGrid/>
        <w:spacing w:before="164" w:beforeLines="50" w:after="0" w:afterLines="0" w:line="240" w:lineRule="auto"/>
        <w:jc w:val="center"/>
        <w:textAlignment w:val="auto"/>
        <w:outlineLvl w:val="9"/>
        <w:rPr>
          <w:rFonts w:eastAsia="宋体" w:cs="Calibri"/>
          <w:b/>
          <w:kern w:val="2"/>
          <w:lang w:val="en-US" w:eastAsia="zh-CN" w:bidi="ar-SA"/>
        </w:rPr>
      </w:pPr>
      <w:r>
        <w:rPr>
          <w:rFonts w:eastAsia="宋体" w:cs="Calibri"/>
          <w:b/>
          <w:kern w:val="2"/>
          <w:lang w:val="en-US" w:eastAsia="zh-CN" w:bidi="ar-SA"/>
        </w:rPr>
        <w:t>表</w:t>
      </w:r>
      <w:r>
        <w:rPr>
          <w:rFonts w:hint="eastAsia" w:cs="Calibri"/>
          <w:b/>
          <w:kern w:val="2"/>
          <w:lang w:val="en-US" w:eastAsia="zh-CN" w:bidi="ar-SA"/>
        </w:rPr>
        <w:t>8</w:t>
      </w:r>
      <w:r>
        <w:rPr>
          <w:rFonts w:eastAsia="宋体" w:cs="Calibri"/>
          <w:b/>
          <w:kern w:val="2"/>
          <w:lang w:val="en-US" w:eastAsia="zh-CN" w:bidi="ar-SA"/>
        </w:rPr>
        <w:t>-1  环境风险事故应急预案基本内容一览</w:t>
      </w:r>
    </w:p>
    <w:p w14:paraId="39287BDA">
      <w:pPr>
        <w:keepLines w:val="0"/>
        <w:pageBreakBefore w:val="0"/>
        <w:widowControl w:val="0"/>
        <w:kinsoku/>
        <w:wordWrap/>
        <w:overflowPunct/>
        <w:topLinePunct w:val="0"/>
        <w:autoSpaceDE/>
        <w:autoSpaceDN/>
        <w:bidi w:val="0"/>
        <w:adjustRightInd w:val="0"/>
        <w:spacing w:line="14" w:lineRule="exact"/>
        <w:jc w:val="both"/>
        <w:textAlignment w:val="auto"/>
        <w:outlineLvl w:val="9"/>
        <w:rPr>
          <w:rFonts w:eastAsia="宋体"/>
          <w:kern w:val="2"/>
          <w:szCs w:val="22"/>
          <w:lang w:val="en-US" w:eastAsia="zh-CN" w:bidi="ar-SA"/>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1444"/>
        <w:gridCol w:w="3592"/>
        <w:gridCol w:w="4025"/>
      </w:tblGrid>
      <w:tr w14:paraId="38F18E3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612430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项目</w:t>
            </w:r>
          </w:p>
        </w:tc>
        <w:tc>
          <w:tcPr>
            <w:tcW w:w="1982" w:type="pct"/>
            <w:vAlign w:val="center"/>
          </w:tcPr>
          <w:p w14:paraId="4465F5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内容及要求</w:t>
            </w:r>
          </w:p>
        </w:tc>
        <w:tc>
          <w:tcPr>
            <w:tcW w:w="2221" w:type="pct"/>
            <w:vAlign w:val="center"/>
          </w:tcPr>
          <w:p w14:paraId="16759C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备注</w:t>
            </w:r>
          </w:p>
        </w:tc>
      </w:tr>
      <w:tr w14:paraId="2B9679C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25EADE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应急计划区</w:t>
            </w:r>
          </w:p>
        </w:tc>
        <w:tc>
          <w:tcPr>
            <w:tcW w:w="1982" w:type="pct"/>
            <w:vAlign w:val="center"/>
          </w:tcPr>
          <w:p w14:paraId="3E6E74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危险目标：生产区、输送区、环境保护目标。</w:t>
            </w:r>
          </w:p>
        </w:tc>
        <w:tc>
          <w:tcPr>
            <w:tcW w:w="2221" w:type="pct"/>
            <w:vAlign w:val="center"/>
          </w:tcPr>
          <w:p w14:paraId="2E8125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项目周围</w:t>
            </w:r>
            <w:r>
              <w:rPr>
                <w:kern w:val="2"/>
                <w:sz w:val="21"/>
                <w:lang w:val="en-US" w:eastAsia="zh-CN" w:bidi="ar-SA"/>
              </w:rPr>
              <w:t>5km</w:t>
            </w:r>
            <w:r>
              <w:rPr>
                <w:rFonts w:eastAsia="宋体" w:cs="Calibri"/>
                <w:kern w:val="2"/>
                <w:sz w:val="21"/>
                <w:lang w:val="en-US" w:eastAsia="zh-CN" w:bidi="ar-SA"/>
              </w:rPr>
              <w:t>范围内的人群。</w:t>
            </w:r>
          </w:p>
        </w:tc>
      </w:tr>
      <w:tr w14:paraId="1F4FA1F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4A798A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应急组织机构、人员</w:t>
            </w:r>
          </w:p>
        </w:tc>
        <w:tc>
          <w:tcPr>
            <w:tcW w:w="1982" w:type="pct"/>
            <w:vAlign w:val="center"/>
          </w:tcPr>
          <w:p w14:paraId="093CCC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工厂、地区应急组织机构、人员。</w:t>
            </w:r>
          </w:p>
        </w:tc>
        <w:tc>
          <w:tcPr>
            <w:tcW w:w="2221" w:type="pct"/>
            <w:vAlign w:val="center"/>
          </w:tcPr>
          <w:p w14:paraId="7C8BEE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事故应急指挥领导小组，由总经理、分管副总及生产运行、环保安全等部门、应急工作支持部门、现场指挥部等机构组成，发生事故时，总经理任总指挥、分管副总任副总指挥，负责全厂应急救援工作的组织和指挥。</w:t>
            </w:r>
          </w:p>
        </w:tc>
      </w:tr>
      <w:tr w14:paraId="417F4EF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7B6E13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预案分级响应条件</w:t>
            </w:r>
          </w:p>
        </w:tc>
        <w:tc>
          <w:tcPr>
            <w:tcW w:w="1982" w:type="pct"/>
            <w:vAlign w:val="center"/>
          </w:tcPr>
          <w:p w14:paraId="2C8391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规定预案的级别及分级响应程序。</w:t>
            </w:r>
          </w:p>
        </w:tc>
        <w:tc>
          <w:tcPr>
            <w:tcW w:w="2221" w:type="pct"/>
            <w:vAlign w:val="center"/>
          </w:tcPr>
          <w:p w14:paraId="4E7A36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根据事故的严重程度，将突发事故分为一般事故、重大事故和特别重大事故三级，相应的应急预案级别也划分为一、二、三级，分别为：一般事故对应一级响应、重大事故对应二级响应、特别重大事故对应三级响应，采取相应的响应措施。</w:t>
            </w:r>
          </w:p>
        </w:tc>
      </w:tr>
      <w:tr w14:paraId="2F99947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251937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应急救援保障</w:t>
            </w:r>
          </w:p>
        </w:tc>
        <w:tc>
          <w:tcPr>
            <w:tcW w:w="1982" w:type="pct"/>
            <w:vAlign w:val="center"/>
          </w:tcPr>
          <w:p w14:paraId="046AB5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应急设施，设备与器材等。</w:t>
            </w:r>
          </w:p>
        </w:tc>
        <w:tc>
          <w:tcPr>
            <w:tcW w:w="2221" w:type="pct"/>
            <w:vAlign w:val="center"/>
          </w:tcPr>
          <w:p w14:paraId="0CB5A5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根据总体预案切实做好应对环境风险事故的人力、物力、财力、交通运输、医疗卫生及通信保障等工作，保证应急救援工作的需要。</w:t>
            </w:r>
          </w:p>
        </w:tc>
      </w:tr>
      <w:tr w14:paraId="0404D53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31E118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报警、通讯联络方式</w:t>
            </w:r>
          </w:p>
        </w:tc>
        <w:tc>
          <w:tcPr>
            <w:tcW w:w="1982" w:type="pct"/>
            <w:vAlign w:val="center"/>
          </w:tcPr>
          <w:p w14:paraId="236C67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规定应急状态下的报警通讯方式、通知方式和交通保障、管制。</w:t>
            </w:r>
          </w:p>
        </w:tc>
        <w:tc>
          <w:tcPr>
            <w:tcW w:w="2221" w:type="pct"/>
            <w:vAlign w:val="center"/>
          </w:tcPr>
          <w:p w14:paraId="10DCDC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厂内报警系统采用警报器、广播和无线、有线电话的方式。</w:t>
            </w:r>
          </w:p>
        </w:tc>
      </w:tr>
      <w:tr w14:paraId="5EF1AE6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10BA7D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应急环境监测、抢险、救援及控制措施</w:t>
            </w:r>
          </w:p>
        </w:tc>
        <w:tc>
          <w:tcPr>
            <w:tcW w:w="1982" w:type="pct"/>
            <w:vAlign w:val="center"/>
          </w:tcPr>
          <w:p w14:paraId="623024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由专业队伍负责对事故现场进行侦察监测，对事故性质、参数与后果进行评估，为指挥部门提供决策依据。</w:t>
            </w:r>
          </w:p>
        </w:tc>
        <w:tc>
          <w:tcPr>
            <w:tcW w:w="2221" w:type="pct"/>
            <w:vAlign w:val="center"/>
          </w:tcPr>
          <w:p w14:paraId="6BEC2F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由当地监测站负责现场及周边的应急监测，并根据事故的类型、规模及时判断和</w:t>
            </w:r>
            <w:r>
              <w:rPr>
                <w:rFonts w:hint="eastAsia" w:cs="Calibri"/>
                <w:kern w:val="2"/>
                <w:sz w:val="21"/>
                <w:lang w:val="en-US" w:eastAsia="zh-CN" w:bidi="ar-SA"/>
              </w:rPr>
              <w:t>确定</w:t>
            </w:r>
            <w:r>
              <w:rPr>
                <w:rFonts w:eastAsia="宋体" w:cs="Calibri"/>
                <w:kern w:val="2"/>
                <w:sz w:val="21"/>
                <w:lang w:val="en-US" w:eastAsia="zh-CN" w:bidi="ar-SA"/>
              </w:rPr>
              <w:t>环境风险污染危害程度，及时向当地环保部门提出申请，积极配合，在影响范围区域内合理布点，进行跟踪监测，提出监测报告及事故后果评价报告，作为事故善后处理的参考依据。</w:t>
            </w:r>
          </w:p>
        </w:tc>
      </w:tr>
      <w:tr w14:paraId="6F4D3AB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46C22B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应急检测、防护措施、清除泄漏措施和器材</w:t>
            </w:r>
          </w:p>
        </w:tc>
        <w:tc>
          <w:tcPr>
            <w:tcW w:w="1982" w:type="pct"/>
            <w:vAlign w:val="center"/>
          </w:tcPr>
          <w:p w14:paraId="10E990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事故现场、邻近区域、控制防火区域，控制和清除污染措施及相应设备。</w:t>
            </w:r>
          </w:p>
        </w:tc>
        <w:tc>
          <w:tcPr>
            <w:tcW w:w="2221" w:type="pct"/>
            <w:vAlign w:val="center"/>
          </w:tcPr>
          <w:p w14:paraId="060B01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事故现场：控制事故，防止扩大、蔓延及连锁反应。清除现场泄漏物，降低危害，相应的设施器材配备；邻近区域：控制防火区域，控制和清除污染措施及相应设备配备。</w:t>
            </w:r>
          </w:p>
        </w:tc>
      </w:tr>
      <w:tr w14:paraId="030FFBB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22BFE0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人员紧急撤离、疏散，应急剂量控制、撤离组织计划</w:t>
            </w:r>
          </w:p>
        </w:tc>
        <w:tc>
          <w:tcPr>
            <w:tcW w:w="1982" w:type="pct"/>
            <w:vAlign w:val="center"/>
          </w:tcPr>
          <w:p w14:paraId="362312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事故现场、工厂邻近区、受事故影响的区域人员及公众对毒物应急剂量控制规定，撤离组织计划及救护，医疗救护与公众健康。</w:t>
            </w:r>
          </w:p>
        </w:tc>
        <w:tc>
          <w:tcPr>
            <w:tcW w:w="2221" w:type="pct"/>
            <w:vAlign w:val="center"/>
          </w:tcPr>
          <w:p w14:paraId="354715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position w:val="-2"/>
                <w:sz w:val="20"/>
                <w:szCs w:val="20"/>
                <w:lang w:val="en-US" w:eastAsia="zh-CN" w:bidi="ar-SA"/>
              </w:rPr>
              <w:t>--</w:t>
            </w:r>
          </w:p>
        </w:tc>
      </w:tr>
      <w:tr w14:paraId="4D64C26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36CFB3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事故应急救援关闭程序与恢复措施</w:t>
            </w:r>
          </w:p>
        </w:tc>
        <w:tc>
          <w:tcPr>
            <w:tcW w:w="1982" w:type="pct"/>
            <w:vAlign w:val="center"/>
          </w:tcPr>
          <w:p w14:paraId="5925C6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规定应急状态终止程序，事故现场善后处理，恢复措施。邻近区域解除事故警戒及善后恢复措施。</w:t>
            </w:r>
          </w:p>
        </w:tc>
        <w:tc>
          <w:tcPr>
            <w:tcW w:w="2221" w:type="pct"/>
            <w:vAlign w:val="center"/>
          </w:tcPr>
          <w:p w14:paraId="192C23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当事故源关闭，险情被控制消除后，关闭事故应急救援程序；对事故现场善后处理，恢复措施；邻近区域解除事故警戒及善后恢复措施。</w:t>
            </w:r>
          </w:p>
        </w:tc>
      </w:tr>
      <w:tr w14:paraId="5B4B192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2D8316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应急培训计划</w:t>
            </w:r>
          </w:p>
        </w:tc>
        <w:tc>
          <w:tcPr>
            <w:tcW w:w="1982" w:type="pct"/>
            <w:vAlign w:val="center"/>
          </w:tcPr>
          <w:p w14:paraId="19003D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应急计划制定后，平时安排人员培训与演练。</w:t>
            </w:r>
          </w:p>
        </w:tc>
        <w:tc>
          <w:tcPr>
            <w:tcW w:w="2221" w:type="pct"/>
            <w:vAlign w:val="center"/>
          </w:tcPr>
          <w:p w14:paraId="36905C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position w:val="-2"/>
                <w:sz w:val="20"/>
                <w:szCs w:val="20"/>
                <w:lang w:val="en-US" w:eastAsia="zh-CN" w:bidi="ar-SA"/>
              </w:rPr>
              <w:t>--</w:t>
            </w:r>
          </w:p>
        </w:tc>
      </w:tr>
      <w:tr w14:paraId="3FBD43E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283" w:hRule="atLeast"/>
          <w:jc w:val="center"/>
        </w:trPr>
        <w:tc>
          <w:tcPr>
            <w:tcW w:w="797" w:type="pct"/>
            <w:vAlign w:val="center"/>
          </w:tcPr>
          <w:p w14:paraId="1180E5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公众教育和信息</w:t>
            </w:r>
          </w:p>
        </w:tc>
        <w:tc>
          <w:tcPr>
            <w:tcW w:w="1982" w:type="pct"/>
            <w:vAlign w:val="center"/>
          </w:tcPr>
          <w:p w14:paraId="18E358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对工厂邻近地区开展公众教育、培训和发布有关信息。</w:t>
            </w:r>
          </w:p>
        </w:tc>
        <w:tc>
          <w:tcPr>
            <w:tcW w:w="2221" w:type="pct"/>
            <w:vAlign w:val="center"/>
          </w:tcPr>
          <w:p w14:paraId="7B8BDD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kern w:val="2"/>
                <w:sz w:val="20"/>
                <w:szCs w:val="20"/>
                <w:lang w:val="en-US" w:eastAsia="zh-CN" w:bidi="ar-SA"/>
              </w:rPr>
            </w:pPr>
            <w:r>
              <w:rPr>
                <w:kern w:val="2"/>
                <w:position w:val="-2"/>
                <w:sz w:val="20"/>
                <w:szCs w:val="20"/>
                <w:lang w:val="en-US" w:eastAsia="zh-CN" w:bidi="ar-SA"/>
              </w:rPr>
              <w:t>--</w:t>
            </w:r>
          </w:p>
        </w:tc>
      </w:tr>
    </w:tbl>
    <w:p w14:paraId="3E639285">
      <w:pPr>
        <w:keepLines w:val="0"/>
        <w:pageBreakBefore w:val="0"/>
        <w:widowControl w:val="0"/>
        <w:kinsoku/>
        <w:wordWrap/>
        <w:overflowPunct/>
        <w:topLinePunct w:val="0"/>
        <w:autoSpaceDE/>
        <w:autoSpaceDN/>
        <w:bidi w:val="0"/>
        <w:adjustRightInd w:val="0"/>
        <w:spacing w:before="270" w:line="360" w:lineRule="auto"/>
        <w:ind w:left="24" w:firstLine="474"/>
        <w:jc w:val="both"/>
        <w:textAlignment w:val="auto"/>
        <w:outlineLvl w:val="9"/>
        <w:rPr>
          <w:rFonts w:eastAsia="宋体"/>
          <w:kern w:val="2"/>
          <w:szCs w:val="22"/>
          <w:lang w:val="en-US" w:eastAsia="zh-CN" w:bidi="ar-SA"/>
        </w:rPr>
      </w:pPr>
      <w:r>
        <w:rPr>
          <w:rFonts w:hint="eastAsia" w:eastAsia="宋体" w:cstheme="minorBidi"/>
          <w:kern w:val="2"/>
          <w:szCs w:val="22"/>
          <w:highlight w:val="none"/>
          <w:lang w:val="en-US" w:eastAsia="zh-CN" w:bidi="ar-SA"/>
        </w:rPr>
        <w:t>巴州海祥石油化工有限公司为防止突发事故可能造成的环境危害，编制了突发环境事件应急预案并于2026年8月21日完成修订并备案，备案编号652800-2026-8-M。</w:t>
      </w:r>
      <w:r>
        <w:rPr>
          <w:rFonts w:eastAsia="宋体" w:cstheme="minorBidi"/>
          <w:kern w:val="2"/>
          <w:szCs w:val="22"/>
          <w:lang w:val="en-US" w:eastAsia="zh-CN" w:bidi="ar-SA"/>
        </w:rPr>
        <w:t>考虑到事故发生的不确定性，</w:t>
      </w:r>
      <w:r>
        <w:rPr>
          <w:rFonts w:hint="eastAsia" w:cstheme="minorBidi"/>
          <w:kern w:val="2"/>
          <w:szCs w:val="22"/>
          <w:lang w:val="en-US" w:eastAsia="zh-CN" w:bidi="ar-SA"/>
        </w:rPr>
        <w:t>本</w:t>
      </w:r>
      <w:r>
        <w:rPr>
          <w:rFonts w:eastAsia="宋体" w:cstheme="minorBidi"/>
          <w:kern w:val="2"/>
          <w:szCs w:val="22"/>
          <w:lang w:val="en-US" w:eastAsia="zh-CN" w:bidi="ar-SA"/>
        </w:rPr>
        <w:t>项目建设完成后，应及时更新并完善应急预案相关内容，并及时备案，厂内环境风险防控系统应及时纳入园区环境风险防控体系，明确防控措施、管理衔接的具体要求。</w:t>
      </w:r>
    </w:p>
    <w:p w14:paraId="35C11D61">
      <w:pPr>
        <w:keepLines w:val="0"/>
        <w:pageBreakBefore w:val="0"/>
        <w:widowControl w:val="0"/>
        <w:kinsoku/>
        <w:wordWrap/>
        <w:overflowPunct/>
        <w:topLinePunct w:val="0"/>
        <w:autoSpaceDE/>
        <w:autoSpaceDN/>
        <w:bidi w:val="0"/>
        <w:adjustRightInd w:val="0"/>
        <w:spacing w:before="78" w:line="361" w:lineRule="auto"/>
        <w:ind w:left="25" w:hanging="2"/>
        <w:jc w:val="both"/>
        <w:textAlignment w:val="auto"/>
        <w:outlineLvl w:val="9"/>
        <w:rPr>
          <w:rFonts w:eastAsia="宋体"/>
          <w:kern w:val="2"/>
          <w:szCs w:val="22"/>
          <w:lang w:val="en-US" w:eastAsia="zh-CN" w:bidi="ar-SA"/>
        </w:rPr>
        <w:sectPr>
          <w:pgSz w:w="11907" w:h="16840"/>
          <w:pgMar w:top="1531" w:right="1531" w:bottom="1531" w:left="1531" w:header="851" w:footer="851" w:gutter="0"/>
          <w:pgBorders>
            <w:top w:val="none" w:sz="0" w:space="0"/>
            <w:left w:val="none" w:sz="0" w:space="0"/>
            <w:bottom w:val="none" w:sz="0" w:space="0"/>
            <w:right w:val="none" w:sz="0" w:space="0"/>
          </w:pgBorders>
          <w:pgNumType w:fmt="decimal"/>
          <w:cols w:space="720" w:num="1"/>
          <w:docGrid w:type="linesAndChars" w:linePitch="328" w:charSpace="0"/>
        </w:sectPr>
      </w:pPr>
    </w:p>
    <w:p w14:paraId="4A8DFDF7">
      <w:pPr>
        <w:pStyle w:val="2"/>
        <w:bidi w:val="0"/>
        <w:rPr>
          <w:lang w:val="en-US" w:eastAsia="zh-CN"/>
        </w:rPr>
      </w:pPr>
      <w:r>
        <w:rPr>
          <w:rFonts w:hint="eastAsia"/>
          <w:lang w:val="en-US" w:eastAsia="zh-CN"/>
        </w:rPr>
        <w:t xml:space="preserve">9 </w:t>
      </w:r>
      <w:r>
        <w:rPr>
          <w:lang w:val="en-US" w:eastAsia="zh-CN"/>
        </w:rPr>
        <w:t>环境风险评价结论及建议</w:t>
      </w:r>
    </w:p>
    <w:p w14:paraId="026CAB10">
      <w:pPr>
        <w:pStyle w:val="2"/>
        <w:bidi w:val="0"/>
        <w:rPr>
          <w:lang w:val="en-US" w:eastAsia="zh-CN"/>
        </w:rPr>
      </w:pPr>
      <w:r>
        <w:rPr>
          <w:rFonts w:hint="eastAsia"/>
          <w:lang w:val="en-US" w:eastAsia="zh-CN"/>
        </w:rPr>
        <w:t xml:space="preserve">9.1 </w:t>
      </w:r>
      <w:r>
        <w:rPr>
          <w:lang w:val="en-US" w:eastAsia="zh-CN"/>
        </w:rPr>
        <w:t>项目危险因素</w:t>
      </w:r>
    </w:p>
    <w:p w14:paraId="1DEB2842">
      <w:pPr>
        <w:bidi w:val="0"/>
        <w:rPr>
          <w:lang w:val="en-US" w:eastAsia="zh-CN"/>
        </w:rPr>
      </w:pPr>
      <w:r>
        <w:rPr>
          <w:lang w:val="en-US" w:eastAsia="zh-CN"/>
        </w:rPr>
        <w:t>本项目主要危险单元主要是罐区、事故池等，主要危险物质有</w:t>
      </w:r>
      <w:r>
        <w:rPr>
          <w:rFonts w:hint="eastAsia"/>
          <w:lang w:val="en-US" w:eastAsia="zh-CN"/>
        </w:rPr>
        <w:t>轻烃原料和碳五烷烃</w:t>
      </w:r>
      <w:r>
        <w:rPr>
          <w:lang w:val="en-US" w:eastAsia="zh-CN"/>
        </w:rPr>
        <w:t>。本项目主要考虑罐区</w:t>
      </w:r>
      <w:r>
        <w:rPr>
          <w:rFonts w:hint="eastAsia"/>
          <w:lang w:val="en-US" w:eastAsia="zh-CN"/>
        </w:rPr>
        <w:t>四球罐的泄漏发生</w:t>
      </w:r>
      <w:r>
        <w:rPr>
          <w:lang w:val="en-US" w:eastAsia="zh-CN"/>
        </w:rPr>
        <w:t>火灾伴生/次生污染物一氧化碳、</w:t>
      </w:r>
      <w:r>
        <w:rPr>
          <w:rFonts w:hint="eastAsia"/>
          <w:lang w:val="en-US" w:eastAsia="zh-CN"/>
        </w:rPr>
        <w:t>泄露物质本身</w:t>
      </w:r>
      <w:r>
        <w:rPr>
          <w:lang w:val="en-US" w:eastAsia="zh-CN"/>
        </w:rPr>
        <w:t>在大气中的扩散对大气环境的影响。</w:t>
      </w:r>
    </w:p>
    <w:p w14:paraId="61741C3B">
      <w:pPr>
        <w:pStyle w:val="2"/>
        <w:bidi w:val="0"/>
        <w:rPr>
          <w:lang w:val="en-US" w:eastAsia="zh-CN"/>
        </w:rPr>
      </w:pPr>
      <w:r>
        <w:rPr>
          <w:rFonts w:hint="eastAsia"/>
          <w:lang w:val="en-US" w:eastAsia="zh-CN"/>
        </w:rPr>
        <w:t xml:space="preserve">9.2 </w:t>
      </w:r>
      <w:r>
        <w:rPr>
          <w:lang w:val="en-US" w:eastAsia="zh-CN"/>
        </w:rPr>
        <w:t>环境敏感性及事故环境影响</w:t>
      </w:r>
    </w:p>
    <w:p w14:paraId="3E6BF360">
      <w:pPr>
        <w:bidi w:val="0"/>
        <w:rPr>
          <w:lang w:val="en-US" w:eastAsia="zh-CN"/>
        </w:rPr>
      </w:pPr>
      <w:r>
        <w:rPr>
          <w:lang w:val="en-US" w:eastAsia="zh-CN"/>
        </w:rPr>
        <w:t>本项目环境敏感程度为中度敏感区，项目环境风险影响范围内环境敏感目标主要为东南侧约2.3km处的阿克亚村、西南偏西侧约3.7km处的拉依苏村。评价要求企业严格按照制定的应急预案相关内容对泄漏、火灾事故产生的有毒有害气体采取有效应急措施，及时疏散厂区职工及周边村庄居民至安置场所，保证人员安全，使事故造成的影响降至最低。</w:t>
      </w:r>
    </w:p>
    <w:p w14:paraId="4E6491F3">
      <w:pPr>
        <w:bidi w:val="0"/>
        <w:rPr>
          <w:rFonts w:eastAsia="宋体" w:cs="Calibri"/>
          <w:kern w:val="2"/>
          <w:lang w:val="en-US" w:eastAsia="zh-CN" w:bidi="ar-SA"/>
        </w:rPr>
      </w:pPr>
      <w:r>
        <w:rPr>
          <w:rFonts w:eastAsia="宋体" w:cs="Calibri"/>
          <w:kern w:val="2"/>
          <w:lang w:val="en-US" w:eastAsia="zh-CN" w:bidi="ar-SA"/>
        </w:rPr>
        <w:t>本项目考虑到储罐破裂发生物料泄漏，一般仅限于在罐区围堰</w:t>
      </w:r>
      <w:r>
        <w:rPr>
          <w:kern w:val="2"/>
          <w:lang w:val="en-US" w:eastAsia="zh-CN" w:bidi="ar-SA"/>
        </w:rPr>
        <w:t>/</w:t>
      </w:r>
      <w:r>
        <w:rPr>
          <w:rFonts w:eastAsia="宋体" w:cs="Calibri"/>
          <w:kern w:val="2"/>
          <w:lang w:val="en-US" w:eastAsia="zh-CN" w:bidi="ar-SA"/>
        </w:rPr>
        <w:t>防火堤内漫流，平时应保证围堰的出口雨水阀处于关闭状态，当发生泄漏时利用围堤收集物料，并根据情况决定物料是否可以回用，如不能回用可通过移动泵送事故池，然后分批送厂区污水处理站处理。厂区已建的</w:t>
      </w:r>
      <w:r>
        <w:rPr>
          <w:rFonts w:hint="eastAsia"/>
          <w:kern w:val="2"/>
          <w:lang w:val="en-US" w:eastAsia="zh-CN" w:bidi="ar-SA"/>
        </w:rPr>
        <w:t>2160</w:t>
      </w:r>
      <w:r>
        <w:rPr>
          <w:kern w:val="2"/>
          <w:lang w:val="en-US" w:eastAsia="zh-CN" w:bidi="ar-SA"/>
        </w:rPr>
        <w:t>m</w:t>
      </w:r>
      <w:r>
        <w:rPr>
          <w:kern w:val="2"/>
          <w:position w:val="7"/>
          <w:sz w:val="15"/>
          <w:szCs w:val="15"/>
          <w:lang w:val="en-US" w:eastAsia="zh-CN" w:bidi="ar-SA"/>
        </w:rPr>
        <w:t>3</w:t>
      </w:r>
      <w:r>
        <w:rPr>
          <w:rFonts w:eastAsia="宋体" w:cs="Calibri"/>
          <w:kern w:val="2"/>
          <w:lang w:val="en-US" w:eastAsia="zh-CN" w:bidi="ar-SA"/>
        </w:rPr>
        <w:t>事故水池，对事故废水进行收集，并建设消防泵、稳压泵、消火栓等配套设施以满足事故消防，确保发生事故时，事故废水全部进入应急事故池内，逐步处理，以防止直接外排到外环境而造成环境污染。</w:t>
      </w:r>
    </w:p>
    <w:p w14:paraId="217DDA01">
      <w:pPr>
        <w:bidi w:val="0"/>
        <w:rPr>
          <w:lang w:val="en-US" w:eastAsia="zh-CN"/>
        </w:rPr>
      </w:pPr>
      <w:r>
        <w:rPr>
          <w:lang w:val="en-US" w:eastAsia="zh-CN"/>
        </w:rPr>
        <w:t>本项目地下水污染防治措施按照“源头控制、分区防治、污染监控、应急响应”相结合的原则，从污染物的产生、入渗、扩散、应急响应进行控制。建设单位按《环境影响评价技术导则地下水环境》（HJ610-2016）做好分区防渗的基础上，污染物事故状态下对地下水环境影响较小。</w:t>
      </w:r>
    </w:p>
    <w:p w14:paraId="74212024">
      <w:pPr>
        <w:pStyle w:val="2"/>
        <w:bidi w:val="0"/>
        <w:rPr>
          <w:lang w:val="en-US" w:eastAsia="zh-CN"/>
        </w:rPr>
      </w:pPr>
      <w:r>
        <w:rPr>
          <w:rFonts w:hint="eastAsia"/>
          <w:lang w:val="en-US" w:eastAsia="zh-CN"/>
        </w:rPr>
        <w:t xml:space="preserve">9.3 </w:t>
      </w:r>
      <w:r>
        <w:rPr>
          <w:lang w:val="en-US" w:eastAsia="zh-CN"/>
        </w:rPr>
        <w:t>环境风险防范措施和应急预案</w:t>
      </w:r>
    </w:p>
    <w:p w14:paraId="35DB05BB">
      <w:pPr>
        <w:bidi w:val="0"/>
        <w:rPr>
          <w:lang w:val="en-US" w:eastAsia="zh-CN"/>
        </w:rPr>
      </w:pPr>
      <w:r>
        <w:rPr>
          <w:lang w:val="en-US" w:eastAsia="zh-CN"/>
        </w:rPr>
        <w:t>本项目设置应急救援中心、配备应急物资和装备。采取选择高质量设备、设越限报警系统、加强生产设备管道的管理与维修，设置水环境风险事故三级防控措施，地下水源头控制、分区防渗、加强污染监控、应急响应等措施，减少环境风险影响。建议企业优化调整环境风险防范措施、及时更新完善企业突发环境事件应急预案，本项目应急预案应纳入公司应急预案保持协调一致、相互配合。与园区突发环境事件应急预案相衔接，形成联动。</w:t>
      </w:r>
    </w:p>
    <w:p w14:paraId="2E77AC21">
      <w:pPr>
        <w:pStyle w:val="2"/>
        <w:bidi w:val="0"/>
        <w:rPr>
          <w:lang w:val="en-US" w:eastAsia="zh-CN"/>
        </w:rPr>
      </w:pPr>
      <w:r>
        <w:rPr>
          <w:rFonts w:hint="eastAsia"/>
          <w:lang w:val="en-US" w:eastAsia="zh-CN"/>
        </w:rPr>
        <w:t xml:space="preserve">9.4 </w:t>
      </w:r>
      <w:r>
        <w:rPr>
          <w:lang w:val="en-US" w:eastAsia="zh-CN"/>
        </w:rPr>
        <w:t>环境风险评价结论</w:t>
      </w:r>
    </w:p>
    <w:p w14:paraId="558AF0F3">
      <w:pPr>
        <w:bidi w:val="0"/>
        <w:rPr>
          <w:lang w:val="en-US" w:eastAsia="zh-CN"/>
        </w:rPr>
      </w:pPr>
      <w:r>
        <w:rPr>
          <w:lang w:val="en-US" w:eastAsia="zh-CN"/>
        </w:rPr>
        <w:t>事故状态下，本项目运行</w:t>
      </w:r>
      <w:r>
        <w:rPr>
          <w:rFonts w:hint="eastAsia"/>
          <w:lang w:val="en-US" w:eastAsia="zh-CN"/>
        </w:rPr>
        <w:t>过程中存在</w:t>
      </w:r>
      <w:r>
        <w:rPr>
          <w:lang w:val="en-US" w:eastAsia="zh-CN"/>
        </w:rPr>
        <w:t>泄漏，必须严格按照有关规范标准的要求对生产装置区、储罐区等进行监控和管理。在认真落实评价所提出的环境风险防范措施以及环境风险应急预案后，建设单位应做到环境安全管理常抓不懈；严格落实各项环境风险防范措施，强化与园区应急体系的联动，不断完善环境风险管理体系，在这样的前提下，本项目的环境风险是可防控的。</w:t>
      </w:r>
    </w:p>
    <w:p w14:paraId="6F55F593">
      <w:pPr>
        <w:keepLines w:val="0"/>
        <w:pageBreakBefore w:val="0"/>
        <w:widowControl/>
        <w:kinsoku/>
        <w:wordWrap/>
        <w:overflowPunct/>
        <w:topLinePunct w:val="0"/>
        <w:autoSpaceDE/>
        <w:autoSpaceDN/>
        <w:bidi w:val="0"/>
        <w:adjustRightInd w:val="0"/>
        <w:spacing w:line="360" w:lineRule="auto"/>
        <w:ind w:firstLine="480" w:firstLineChars="200"/>
        <w:jc w:val="both"/>
        <w:textAlignment w:val="auto"/>
        <w:outlineLvl w:val="9"/>
        <w:rPr>
          <w:rFonts w:eastAsia="宋体" w:cs="Calibri"/>
          <w:kern w:val="2"/>
          <w:lang w:val="en-US" w:eastAsia="zh-CN" w:bidi="ar-SA"/>
        </w:rPr>
        <w:sectPr>
          <w:pgSz w:w="11907" w:h="16840"/>
          <w:pgMar w:top="1531" w:right="1531" w:bottom="1531" w:left="1531" w:header="851" w:footer="851" w:gutter="0"/>
          <w:pgBorders>
            <w:top w:val="none" w:sz="0" w:space="0"/>
            <w:left w:val="none" w:sz="0" w:space="0"/>
            <w:bottom w:val="none" w:sz="0" w:space="0"/>
            <w:right w:val="none" w:sz="0" w:space="0"/>
          </w:pgBorders>
          <w:pgNumType w:fmt="decimal"/>
          <w:cols w:space="720" w:num="1"/>
          <w:docGrid w:type="linesAndChars" w:linePitch="328" w:charSpace="0"/>
        </w:sectPr>
      </w:pPr>
    </w:p>
    <w:p w14:paraId="3BFCE11D">
      <w:pPr>
        <w:pStyle w:val="2"/>
        <w:bidi w:val="0"/>
        <w:rPr>
          <w:lang w:val="en-US" w:eastAsia="zh-CN"/>
        </w:rPr>
      </w:pPr>
      <w:r>
        <w:rPr>
          <w:rFonts w:hint="eastAsia"/>
          <w:lang w:val="en-US" w:eastAsia="zh-CN"/>
        </w:rPr>
        <w:t xml:space="preserve">10 </w:t>
      </w:r>
      <w:r>
        <w:rPr>
          <w:lang w:val="en-US" w:eastAsia="zh-CN"/>
        </w:rPr>
        <w:t>环境风险评价自查表</w:t>
      </w:r>
    </w:p>
    <w:p w14:paraId="6F54F2E5">
      <w:pPr>
        <w:bidi w:val="0"/>
        <w:rPr>
          <w:lang w:val="en-US" w:eastAsia="zh-CN"/>
        </w:rPr>
      </w:pPr>
      <w:r>
        <w:rPr>
          <w:lang w:val="en-US" w:eastAsia="zh-CN"/>
        </w:rPr>
        <w:t>项目环境风险评价自查表见表</w:t>
      </w:r>
      <w:r>
        <w:rPr>
          <w:rFonts w:hint="eastAsia"/>
          <w:lang w:val="en-US" w:eastAsia="zh-CN"/>
        </w:rPr>
        <w:t>10</w:t>
      </w:r>
      <w:r>
        <w:rPr>
          <w:lang w:val="en-US" w:eastAsia="zh-CN"/>
        </w:rPr>
        <w:t>-1。</w:t>
      </w:r>
    </w:p>
    <w:p w14:paraId="28F72178">
      <w:pPr>
        <w:pStyle w:val="4"/>
        <w:bidi w:val="0"/>
        <w:rPr>
          <w:lang w:val="en-US" w:eastAsia="zh-CN"/>
        </w:rPr>
      </w:pPr>
      <w:r>
        <w:rPr>
          <w:lang w:val="en-US" w:eastAsia="zh-CN"/>
        </w:rPr>
        <w:t>表</w:t>
      </w:r>
      <w:r>
        <w:rPr>
          <w:rFonts w:hint="eastAsia"/>
          <w:lang w:val="en-US" w:eastAsia="zh-CN"/>
        </w:rPr>
        <w:t>10</w:t>
      </w:r>
      <w:r>
        <w:rPr>
          <w:lang w:val="en-US" w:eastAsia="zh-CN"/>
        </w:rPr>
        <w:t>-1  环境风险评价自查表</w:t>
      </w:r>
    </w:p>
    <w:p w14:paraId="2BCBD030">
      <w:pPr>
        <w:keepLines w:val="0"/>
        <w:pageBreakBefore w:val="0"/>
        <w:widowControl w:val="0"/>
        <w:kinsoku/>
        <w:wordWrap/>
        <w:overflowPunct/>
        <w:topLinePunct w:val="0"/>
        <w:autoSpaceDE/>
        <w:autoSpaceDN/>
        <w:bidi w:val="0"/>
        <w:adjustRightInd w:val="0"/>
        <w:spacing w:line="15" w:lineRule="exact"/>
        <w:jc w:val="both"/>
        <w:textAlignment w:val="auto"/>
        <w:outlineLvl w:val="9"/>
        <w:rPr>
          <w:rFonts w:eastAsia="宋体"/>
          <w:kern w:val="2"/>
          <w:szCs w:val="22"/>
          <w:lang w:val="en-US" w:eastAsia="zh-CN" w:bidi="ar-SA"/>
        </w:rPr>
      </w:pPr>
    </w:p>
    <w:tbl>
      <w:tblPr>
        <w:tblStyle w:val="19"/>
        <w:tblW w:w="4835"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108" w:type="dxa"/>
          <w:bottom w:w="0" w:type="dxa"/>
          <w:right w:w="108" w:type="dxa"/>
        </w:tblCellMar>
      </w:tblPr>
      <w:tblGrid>
        <w:gridCol w:w="438"/>
        <w:gridCol w:w="94"/>
        <w:gridCol w:w="954"/>
        <w:gridCol w:w="935"/>
        <w:gridCol w:w="705"/>
        <w:gridCol w:w="1281"/>
        <w:gridCol w:w="1169"/>
        <w:gridCol w:w="410"/>
        <w:gridCol w:w="1009"/>
        <w:gridCol w:w="1246"/>
      </w:tblGrid>
      <w:tr w14:paraId="301AA9B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176" w:hRule="atLeast"/>
          <w:jc w:val="center"/>
        </w:trPr>
        <w:tc>
          <w:tcPr>
            <w:tcW w:w="902" w:type="pct"/>
            <w:gridSpan w:val="3"/>
            <w:vAlign w:val="center"/>
          </w:tcPr>
          <w:p w14:paraId="44FE81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工作内容</w:t>
            </w:r>
          </w:p>
        </w:tc>
        <w:tc>
          <w:tcPr>
            <w:tcW w:w="4097" w:type="pct"/>
            <w:gridSpan w:val="7"/>
            <w:vAlign w:val="center"/>
          </w:tcPr>
          <w:p w14:paraId="72C950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完成情况</w:t>
            </w:r>
          </w:p>
        </w:tc>
      </w:tr>
      <w:tr w14:paraId="508B452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266" w:type="pct"/>
            <w:vMerge w:val="restart"/>
            <w:tcBorders>
              <w:right w:val="single" w:color="auto" w:sz="4" w:space="0"/>
            </w:tcBorders>
            <w:vAlign w:val="center"/>
          </w:tcPr>
          <w:p w14:paraId="09EC87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风险调查</w:t>
            </w:r>
          </w:p>
        </w:tc>
        <w:tc>
          <w:tcPr>
            <w:tcW w:w="635" w:type="pct"/>
            <w:gridSpan w:val="2"/>
            <w:vMerge w:val="restart"/>
            <w:tcBorders>
              <w:top w:val="single" w:color="auto" w:sz="4" w:space="0"/>
              <w:left w:val="single" w:color="auto" w:sz="4" w:space="0"/>
              <w:bottom w:val="single" w:color="auto" w:sz="4" w:space="0"/>
              <w:right w:val="single" w:color="auto" w:sz="4" w:space="0"/>
            </w:tcBorders>
            <w:vAlign w:val="center"/>
          </w:tcPr>
          <w:p w14:paraId="3EBD85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危险物质</w:t>
            </w:r>
          </w:p>
        </w:tc>
        <w:tc>
          <w:tcPr>
            <w:tcW w:w="567" w:type="pct"/>
            <w:tcBorders>
              <w:left w:val="single" w:color="auto" w:sz="4" w:space="0"/>
            </w:tcBorders>
            <w:vAlign w:val="center"/>
          </w:tcPr>
          <w:p w14:paraId="07A58C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名称</w:t>
            </w:r>
          </w:p>
        </w:tc>
        <w:tc>
          <w:tcPr>
            <w:tcW w:w="3529" w:type="pct"/>
            <w:gridSpan w:val="6"/>
            <w:vAlign w:val="center"/>
          </w:tcPr>
          <w:p w14:paraId="15A75C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轻烃</w:t>
            </w:r>
            <w:r>
              <w:rPr>
                <w:rFonts w:hint="eastAsia" w:cs="Calibri"/>
                <w:kern w:val="2"/>
                <w:sz w:val="21"/>
                <w:lang w:val="en-US" w:eastAsia="zh-CN" w:bidi="ar-SA"/>
              </w:rPr>
              <w:t>/</w:t>
            </w:r>
            <w:r>
              <w:rPr>
                <w:rFonts w:eastAsia="宋体" w:cs="Calibri"/>
                <w:kern w:val="2"/>
                <w:sz w:val="21"/>
                <w:lang w:val="en-US" w:eastAsia="zh-CN" w:bidi="ar-SA"/>
              </w:rPr>
              <w:t>碳五烷烃</w:t>
            </w:r>
          </w:p>
        </w:tc>
      </w:tr>
      <w:tr w14:paraId="1DB6BBC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266" w:type="pct"/>
            <w:vMerge w:val="continue"/>
            <w:tcBorders>
              <w:right w:val="single" w:color="auto" w:sz="4" w:space="0"/>
            </w:tcBorders>
            <w:vAlign w:val="center"/>
          </w:tcPr>
          <w:p w14:paraId="09E939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35" w:type="pct"/>
            <w:gridSpan w:val="2"/>
            <w:vMerge w:val="continue"/>
            <w:tcBorders>
              <w:top w:val="single" w:color="auto" w:sz="4" w:space="0"/>
              <w:left w:val="single" w:color="auto" w:sz="4" w:space="0"/>
              <w:bottom w:val="single" w:color="auto" w:sz="4" w:space="0"/>
              <w:right w:val="single" w:color="auto" w:sz="4" w:space="0"/>
            </w:tcBorders>
            <w:vAlign w:val="center"/>
          </w:tcPr>
          <w:p w14:paraId="534BA9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67" w:type="pct"/>
            <w:tcBorders>
              <w:left w:val="single" w:color="auto" w:sz="4" w:space="0"/>
            </w:tcBorders>
            <w:vAlign w:val="center"/>
          </w:tcPr>
          <w:p w14:paraId="18A1AE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存在总量/t</w:t>
            </w:r>
          </w:p>
        </w:tc>
        <w:tc>
          <w:tcPr>
            <w:tcW w:w="3529" w:type="pct"/>
            <w:gridSpan w:val="6"/>
            <w:vAlign w:val="center"/>
          </w:tcPr>
          <w:p w14:paraId="750361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eastAsia="宋体" w:cs="Calibri"/>
                <w:kern w:val="2"/>
                <w:sz w:val="21"/>
                <w:lang w:val="en-US" w:eastAsia="zh-CN" w:bidi="ar-SA"/>
              </w:rPr>
            </w:pPr>
            <w:r>
              <w:rPr>
                <w:rFonts w:hint="eastAsia" w:cs="Calibri"/>
                <w:kern w:val="2"/>
                <w:sz w:val="21"/>
                <w:lang w:val="en-US" w:eastAsia="zh-CN" w:bidi="ar-SA"/>
              </w:rPr>
              <w:t>1144/1196.8</w:t>
            </w:r>
          </w:p>
        </w:tc>
      </w:tr>
      <w:tr w14:paraId="5E2EFD0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394591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35" w:type="pct"/>
            <w:gridSpan w:val="2"/>
            <w:vMerge w:val="restart"/>
            <w:tcBorders>
              <w:top w:val="single" w:color="auto" w:sz="4" w:space="0"/>
              <w:bottom w:val="single" w:color="auto" w:sz="4" w:space="0"/>
            </w:tcBorders>
            <w:vAlign w:val="center"/>
          </w:tcPr>
          <w:p w14:paraId="308110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环境敏感性</w:t>
            </w:r>
          </w:p>
        </w:tc>
        <w:tc>
          <w:tcPr>
            <w:tcW w:w="567" w:type="pct"/>
            <w:vMerge w:val="restart"/>
            <w:tcBorders>
              <w:bottom w:val="nil"/>
            </w:tcBorders>
            <w:vAlign w:val="center"/>
          </w:tcPr>
          <w:p w14:paraId="62622C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大气</w:t>
            </w:r>
          </w:p>
        </w:tc>
        <w:tc>
          <w:tcPr>
            <w:tcW w:w="1914" w:type="pct"/>
            <w:gridSpan w:val="3"/>
            <w:vAlign w:val="center"/>
          </w:tcPr>
          <w:p w14:paraId="6B5BBB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500m范围内人口数</w:t>
            </w:r>
            <w:r>
              <w:rPr>
                <w:rFonts w:eastAsia="宋体" w:cs="Calibri"/>
                <w:kern w:val="2"/>
                <w:sz w:val="21"/>
                <w:u w:val="single"/>
                <w:lang w:val="en-US" w:eastAsia="zh-CN" w:bidi="ar-SA"/>
              </w:rPr>
              <w:t>165</w:t>
            </w:r>
            <w:r>
              <w:rPr>
                <w:rFonts w:eastAsia="宋体" w:cs="Calibri"/>
                <w:kern w:val="2"/>
                <w:sz w:val="21"/>
                <w:lang w:val="en-US" w:eastAsia="zh-CN" w:bidi="ar-SA"/>
              </w:rPr>
              <w:t>人</w:t>
            </w:r>
          </w:p>
        </w:tc>
        <w:tc>
          <w:tcPr>
            <w:tcW w:w="1615" w:type="pct"/>
            <w:gridSpan w:val="3"/>
            <w:vAlign w:val="center"/>
          </w:tcPr>
          <w:p w14:paraId="39326A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5km范围内人口数约</w:t>
            </w:r>
            <w:r>
              <w:rPr>
                <w:rFonts w:hint="eastAsia" w:cs="Calibri"/>
                <w:kern w:val="2"/>
                <w:sz w:val="21"/>
                <w:u w:val="single"/>
                <w:lang w:val="en-US" w:eastAsia="zh-CN" w:bidi="ar-SA"/>
              </w:rPr>
              <w:t>825</w:t>
            </w:r>
            <w:r>
              <w:rPr>
                <w:rFonts w:eastAsia="宋体" w:cs="Calibri"/>
                <w:kern w:val="2"/>
                <w:sz w:val="21"/>
                <w:lang w:val="en-US" w:eastAsia="zh-CN" w:bidi="ar-SA"/>
              </w:rPr>
              <w:t>人</w:t>
            </w:r>
          </w:p>
        </w:tc>
      </w:tr>
      <w:tr w14:paraId="0BBC46A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4BAE43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35" w:type="pct"/>
            <w:gridSpan w:val="2"/>
            <w:vMerge w:val="continue"/>
            <w:tcBorders>
              <w:top w:val="single" w:color="auto" w:sz="4" w:space="0"/>
              <w:bottom w:val="single" w:color="auto" w:sz="4" w:space="0"/>
            </w:tcBorders>
            <w:vAlign w:val="center"/>
          </w:tcPr>
          <w:p w14:paraId="77640B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67" w:type="pct"/>
            <w:vMerge w:val="continue"/>
            <w:tcBorders>
              <w:top w:val="nil"/>
            </w:tcBorders>
            <w:vAlign w:val="center"/>
          </w:tcPr>
          <w:p w14:paraId="542147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2775" w:type="pct"/>
            <w:gridSpan w:val="5"/>
            <w:vAlign w:val="center"/>
          </w:tcPr>
          <w:p w14:paraId="1BB6C3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每公里管段周边200m范围内人口数（最大）</w:t>
            </w:r>
          </w:p>
        </w:tc>
        <w:tc>
          <w:tcPr>
            <w:tcW w:w="754" w:type="pct"/>
            <w:vAlign w:val="center"/>
          </w:tcPr>
          <w:p w14:paraId="4D63E1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hint="eastAsia" w:eastAsia="宋体" w:cs="Calibri"/>
                <w:kern w:val="2"/>
                <w:sz w:val="21"/>
                <w:u w:val="single"/>
                <w:lang w:val="en-US" w:eastAsia="zh-CN" w:bidi="ar-SA"/>
              </w:rPr>
              <w:t xml:space="preserve">  </w:t>
            </w:r>
            <w:r>
              <w:rPr>
                <w:rFonts w:eastAsia="宋体" w:cs="Calibri"/>
                <w:kern w:val="2"/>
                <w:sz w:val="21"/>
                <w:u w:val="single"/>
                <w:lang w:val="en-US" w:eastAsia="zh-CN" w:bidi="ar-SA"/>
              </w:rPr>
              <w:t>/</w:t>
            </w:r>
            <w:r>
              <w:rPr>
                <w:rFonts w:hint="eastAsia" w:eastAsia="宋体" w:cs="Calibri"/>
                <w:kern w:val="2"/>
                <w:sz w:val="21"/>
                <w:u w:val="single"/>
                <w:lang w:val="en-US" w:eastAsia="zh-CN" w:bidi="ar-SA"/>
              </w:rPr>
              <w:t xml:space="preserve">  </w:t>
            </w:r>
            <w:r>
              <w:rPr>
                <w:rFonts w:hint="eastAsia" w:eastAsia="宋体" w:cs="Calibri"/>
                <w:kern w:val="2"/>
                <w:sz w:val="21"/>
                <w:lang w:val="en-US" w:eastAsia="zh-CN" w:bidi="ar-SA"/>
              </w:rPr>
              <w:t>人</w:t>
            </w:r>
          </w:p>
        </w:tc>
      </w:tr>
      <w:tr w14:paraId="535AEB5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50EE18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35" w:type="pct"/>
            <w:gridSpan w:val="2"/>
            <w:vMerge w:val="continue"/>
            <w:tcBorders>
              <w:top w:val="single" w:color="auto" w:sz="4" w:space="0"/>
              <w:bottom w:val="single" w:color="auto" w:sz="4" w:space="0"/>
            </w:tcBorders>
            <w:vAlign w:val="center"/>
          </w:tcPr>
          <w:p w14:paraId="592A1A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67" w:type="pct"/>
            <w:vMerge w:val="restart"/>
            <w:tcBorders>
              <w:bottom w:val="nil"/>
            </w:tcBorders>
            <w:vAlign w:val="center"/>
          </w:tcPr>
          <w:p w14:paraId="3F3B21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地表水</w:t>
            </w:r>
          </w:p>
        </w:tc>
        <w:tc>
          <w:tcPr>
            <w:tcW w:w="1204" w:type="pct"/>
            <w:gridSpan w:val="2"/>
            <w:vAlign w:val="center"/>
          </w:tcPr>
          <w:p w14:paraId="5A809C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地表水功能敏感性</w:t>
            </w:r>
          </w:p>
        </w:tc>
        <w:tc>
          <w:tcPr>
            <w:tcW w:w="709" w:type="pct"/>
            <w:vAlign w:val="center"/>
          </w:tcPr>
          <w:p w14:paraId="130FA0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F1□</w:t>
            </w:r>
          </w:p>
        </w:tc>
        <w:tc>
          <w:tcPr>
            <w:tcW w:w="860" w:type="pct"/>
            <w:gridSpan w:val="2"/>
            <w:vAlign w:val="center"/>
          </w:tcPr>
          <w:p w14:paraId="598F5D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F2□</w:t>
            </w:r>
          </w:p>
        </w:tc>
        <w:tc>
          <w:tcPr>
            <w:tcW w:w="754" w:type="pct"/>
            <w:vAlign w:val="center"/>
          </w:tcPr>
          <w:p w14:paraId="6C0693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F3</w:t>
            </w:r>
            <w:r>
              <w:rPr>
                <w:rFonts w:ascii="Wingdings 2" w:hAnsi="Wingdings 2" w:eastAsia="宋体" w:cs="Calibri"/>
                <w:kern w:val="2"/>
                <w:sz w:val="21"/>
                <w:lang w:val="en-US" w:eastAsia="zh-CN" w:bidi="ar-SA"/>
              </w:rPr>
              <w:sym w:font="Wingdings 2" w:char="F052"/>
            </w:r>
          </w:p>
        </w:tc>
      </w:tr>
      <w:tr w14:paraId="23F868A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620377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35" w:type="pct"/>
            <w:gridSpan w:val="2"/>
            <w:vMerge w:val="continue"/>
            <w:tcBorders>
              <w:top w:val="single" w:color="auto" w:sz="4" w:space="0"/>
              <w:bottom w:val="single" w:color="auto" w:sz="4" w:space="0"/>
            </w:tcBorders>
            <w:vAlign w:val="center"/>
          </w:tcPr>
          <w:p w14:paraId="39FAC6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67" w:type="pct"/>
            <w:vMerge w:val="continue"/>
            <w:tcBorders>
              <w:top w:val="nil"/>
            </w:tcBorders>
            <w:vAlign w:val="center"/>
          </w:tcPr>
          <w:p w14:paraId="649641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1204" w:type="pct"/>
            <w:gridSpan w:val="2"/>
            <w:vAlign w:val="center"/>
          </w:tcPr>
          <w:p w14:paraId="736086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环境敏感目标分级</w:t>
            </w:r>
          </w:p>
        </w:tc>
        <w:tc>
          <w:tcPr>
            <w:tcW w:w="709" w:type="pct"/>
            <w:vAlign w:val="center"/>
          </w:tcPr>
          <w:p w14:paraId="590800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S1□</w:t>
            </w:r>
          </w:p>
        </w:tc>
        <w:tc>
          <w:tcPr>
            <w:tcW w:w="860" w:type="pct"/>
            <w:gridSpan w:val="2"/>
            <w:vAlign w:val="center"/>
          </w:tcPr>
          <w:p w14:paraId="2313A8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S2□</w:t>
            </w:r>
          </w:p>
        </w:tc>
        <w:tc>
          <w:tcPr>
            <w:tcW w:w="754" w:type="pct"/>
            <w:vAlign w:val="center"/>
          </w:tcPr>
          <w:p w14:paraId="4444F1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S3</w:t>
            </w:r>
            <w:r>
              <w:rPr>
                <w:rFonts w:ascii="Wingdings 2" w:hAnsi="Wingdings 2" w:eastAsia="宋体" w:cs="Calibri"/>
                <w:kern w:val="2"/>
                <w:sz w:val="21"/>
                <w:lang w:val="en-US" w:eastAsia="zh-CN" w:bidi="ar-SA"/>
              </w:rPr>
              <w:sym w:font="Wingdings 2" w:char="F052"/>
            </w:r>
          </w:p>
        </w:tc>
      </w:tr>
      <w:tr w14:paraId="7E2C114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0BD434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35" w:type="pct"/>
            <w:gridSpan w:val="2"/>
            <w:vMerge w:val="continue"/>
            <w:tcBorders>
              <w:top w:val="single" w:color="auto" w:sz="4" w:space="0"/>
              <w:bottom w:val="single" w:color="auto" w:sz="4" w:space="0"/>
            </w:tcBorders>
            <w:vAlign w:val="center"/>
          </w:tcPr>
          <w:p w14:paraId="66EB03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67" w:type="pct"/>
            <w:vMerge w:val="restart"/>
            <w:vAlign w:val="center"/>
          </w:tcPr>
          <w:p w14:paraId="60F016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地下水</w:t>
            </w:r>
          </w:p>
        </w:tc>
        <w:tc>
          <w:tcPr>
            <w:tcW w:w="1204" w:type="pct"/>
            <w:gridSpan w:val="2"/>
            <w:vAlign w:val="center"/>
          </w:tcPr>
          <w:p w14:paraId="75A800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地下水功能敏感性</w:t>
            </w:r>
          </w:p>
        </w:tc>
        <w:tc>
          <w:tcPr>
            <w:tcW w:w="709" w:type="pct"/>
            <w:tcBorders>
              <w:bottom w:val="single" w:color="000000" w:sz="6" w:space="0"/>
            </w:tcBorders>
            <w:vAlign w:val="center"/>
          </w:tcPr>
          <w:p w14:paraId="492FDC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G1□</w:t>
            </w:r>
          </w:p>
        </w:tc>
        <w:tc>
          <w:tcPr>
            <w:tcW w:w="860" w:type="pct"/>
            <w:gridSpan w:val="2"/>
            <w:tcBorders>
              <w:bottom w:val="single" w:color="000000" w:sz="6" w:space="0"/>
            </w:tcBorders>
            <w:vAlign w:val="center"/>
          </w:tcPr>
          <w:p w14:paraId="4C345F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G2□</w:t>
            </w:r>
          </w:p>
        </w:tc>
        <w:tc>
          <w:tcPr>
            <w:tcW w:w="754" w:type="pct"/>
            <w:tcBorders>
              <w:bottom w:val="single" w:color="000000" w:sz="6" w:space="0"/>
            </w:tcBorders>
            <w:vAlign w:val="center"/>
          </w:tcPr>
          <w:p w14:paraId="104D3D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G3</w:t>
            </w:r>
            <w:r>
              <w:rPr>
                <w:rFonts w:ascii="Wingdings 2" w:hAnsi="Wingdings 2" w:eastAsia="宋体" w:cs="Calibri"/>
                <w:kern w:val="2"/>
                <w:sz w:val="21"/>
                <w:lang w:val="en-US" w:eastAsia="zh-CN" w:bidi="ar-SA"/>
              </w:rPr>
              <w:sym w:font="Wingdings 2" w:char="F052"/>
            </w:r>
          </w:p>
        </w:tc>
      </w:tr>
      <w:tr w14:paraId="198ED74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207C79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635" w:type="pct"/>
            <w:gridSpan w:val="2"/>
            <w:vMerge w:val="continue"/>
            <w:tcBorders>
              <w:top w:val="single" w:color="auto" w:sz="4" w:space="0"/>
              <w:bottom w:val="single" w:color="auto" w:sz="4" w:space="0"/>
            </w:tcBorders>
            <w:vAlign w:val="center"/>
          </w:tcPr>
          <w:p w14:paraId="625205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67" w:type="pct"/>
            <w:vMerge w:val="continue"/>
            <w:vAlign w:val="center"/>
          </w:tcPr>
          <w:p w14:paraId="7FB18E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1204" w:type="pct"/>
            <w:gridSpan w:val="2"/>
            <w:vAlign w:val="center"/>
          </w:tcPr>
          <w:p w14:paraId="1388B0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包气带防污性能</w:t>
            </w:r>
          </w:p>
        </w:tc>
        <w:tc>
          <w:tcPr>
            <w:tcW w:w="709" w:type="pct"/>
            <w:vAlign w:val="center"/>
          </w:tcPr>
          <w:p w14:paraId="7DD83D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D1</w:t>
            </w:r>
            <w:r>
              <w:rPr>
                <w:rFonts w:ascii="Wingdings 2" w:hAnsi="Wingdings 2" w:eastAsia="宋体" w:cs="Calibri"/>
                <w:kern w:val="2"/>
                <w:sz w:val="21"/>
                <w:lang w:val="en-US" w:eastAsia="zh-CN" w:bidi="ar-SA"/>
              </w:rPr>
              <w:sym w:font="Wingdings 2" w:char="F052"/>
            </w:r>
          </w:p>
        </w:tc>
        <w:tc>
          <w:tcPr>
            <w:tcW w:w="860" w:type="pct"/>
            <w:gridSpan w:val="2"/>
            <w:vAlign w:val="center"/>
          </w:tcPr>
          <w:p w14:paraId="6BC0B9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D2□</w:t>
            </w:r>
          </w:p>
        </w:tc>
        <w:tc>
          <w:tcPr>
            <w:tcW w:w="754" w:type="pct"/>
            <w:vAlign w:val="center"/>
          </w:tcPr>
          <w:p w14:paraId="5B9496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D3□</w:t>
            </w:r>
          </w:p>
        </w:tc>
      </w:tr>
      <w:tr w14:paraId="30C3A3A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902" w:type="pct"/>
            <w:gridSpan w:val="3"/>
            <w:vMerge w:val="restart"/>
            <w:tcBorders>
              <w:bottom w:val="nil"/>
            </w:tcBorders>
            <w:vAlign w:val="center"/>
          </w:tcPr>
          <w:p w14:paraId="714AF3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物质及工艺系统危险性</w:t>
            </w:r>
          </w:p>
        </w:tc>
        <w:tc>
          <w:tcPr>
            <w:tcW w:w="567" w:type="pct"/>
            <w:vAlign w:val="center"/>
          </w:tcPr>
          <w:p w14:paraId="63717B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Q值</w:t>
            </w:r>
          </w:p>
        </w:tc>
        <w:tc>
          <w:tcPr>
            <w:tcW w:w="1204" w:type="pct"/>
            <w:gridSpan w:val="2"/>
            <w:vAlign w:val="center"/>
          </w:tcPr>
          <w:p w14:paraId="1394E1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Q＜1□</w:t>
            </w:r>
          </w:p>
        </w:tc>
        <w:tc>
          <w:tcPr>
            <w:tcW w:w="709" w:type="pct"/>
            <w:vAlign w:val="center"/>
          </w:tcPr>
          <w:p w14:paraId="518EE3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1≤Q＜10□</w:t>
            </w:r>
          </w:p>
        </w:tc>
        <w:tc>
          <w:tcPr>
            <w:tcW w:w="860" w:type="pct"/>
            <w:gridSpan w:val="2"/>
            <w:vAlign w:val="center"/>
          </w:tcPr>
          <w:p w14:paraId="71AA09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10≤Q＜100□</w:t>
            </w:r>
          </w:p>
        </w:tc>
        <w:tc>
          <w:tcPr>
            <w:tcW w:w="754" w:type="pct"/>
            <w:vAlign w:val="center"/>
          </w:tcPr>
          <w:p w14:paraId="232AE8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Q＞100</w:t>
            </w:r>
            <w:r>
              <w:rPr>
                <w:rFonts w:ascii="Wingdings 2" w:hAnsi="Wingdings 2" w:eastAsia="宋体" w:cs="Calibri"/>
                <w:kern w:val="2"/>
                <w:sz w:val="21"/>
                <w:lang w:val="en-US" w:eastAsia="zh-CN" w:bidi="ar-SA"/>
              </w:rPr>
              <w:sym w:font="Wingdings 2" w:char="F052"/>
            </w:r>
          </w:p>
        </w:tc>
      </w:tr>
      <w:tr w14:paraId="4408306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902" w:type="pct"/>
            <w:gridSpan w:val="3"/>
            <w:vMerge w:val="continue"/>
            <w:tcBorders>
              <w:top w:val="nil"/>
              <w:bottom w:val="nil"/>
            </w:tcBorders>
            <w:vAlign w:val="center"/>
          </w:tcPr>
          <w:p w14:paraId="5C69DB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67" w:type="pct"/>
            <w:vAlign w:val="center"/>
          </w:tcPr>
          <w:p w14:paraId="641ECF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M值</w:t>
            </w:r>
          </w:p>
        </w:tc>
        <w:tc>
          <w:tcPr>
            <w:tcW w:w="1204" w:type="pct"/>
            <w:gridSpan w:val="2"/>
            <w:vAlign w:val="center"/>
          </w:tcPr>
          <w:p w14:paraId="0CFBE7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M1□</w:t>
            </w:r>
          </w:p>
        </w:tc>
        <w:tc>
          <w:tcPr>
            <w:tcW w:w="709" w:type="pct"/>
            <w:vAlign w:val="center"/>
          </w:tcPr>
          <w:p w14:paraId="36E13F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M2□</w:t>
            </w:r>
          </w:p>
        </w:tc>
        <w:tc>
          <w:tcPr>
            <w:tcW w:w="860" w:type="pct"/>
            <w:gridSpan w:val="2"/>
            <w:vAlign w:val="center"/>
          </w:tcPr>
          <w:p w14:paraId="7A4775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M3□</w:t>
            </w:r>
          </w:p>
        </w:tc>
        <w:tc>
          <w:tcPr>
            <w:tcW w:w="754" w:type="pct"/>
            <w:vAlign w:val="center"/>
          </w:tcPr>
          <w:p w14:paraId="226EA1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M4</w:t>
            </w:r>
            <w:r>
              <w:rPr>
                <w:rFonts w:ascii="Wingdings 2" w:hAnsi="Wingdings 2" w:eastAsia="宋体" w:cs="Calibri"/>
                <w:kern w:val="2"/>
                <w:sz w:val="21"/>
                <w:lang w:val="en-US" w:eastAsia="zh-CN" w:bidi="ar-SA"/>
              </w:rPr>
              <w:sym w:font="Wingdings 2" w:char="F052"/>
            </w:r>
          </w:p>
        </w:tc>
      </w:tr>
      <w:tr w14:paraId="69F9A68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902" w:type="pct"/>
            <w:gridSpan w:val="3"/>
            <w:vMerge w:val="continue"/>
            <w:tcBorders>
              <w:top w:val="nil"/>
            </w:tcBorders>
            <w:vAlign w:val="center"/>
          </w:tcPr>
          <w:p w14:paraId="0936EA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67" w:type="pct"/>
            <w:vAlign w:val="center"/>
          </w:tcPr>
          <w:p w14:paraId="1ACF9B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P值</w:t>
            </w:r>
          </w:p>
        </w:tc>
        <w:tc>
          <w:tcPr>
            <w:tcW w:w="1204" w:type="pct"/>
            <w:gridSpan w:val="2"/>
            <w:vAlign w:val="center"/>
          </w:tcPr>
          <w:p w14:paraId="2997E2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P1□</w:t>
            </w:r>
          </w:p>
        </w:tc>
        <w:tc>
          <w:tcPr>
            <w:tcW w:w="709" w:type="pct"/>
            <w:vAlign w:val="center"/>
          </w:tcPr>
          <w:p w14:paraId="42CFC3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P2□</w:t>
            </w:r>
          </w:p>
        </w:tc>
        <w:tc>
          <w:tcPr>
            <w:tcW w:w="860" w:type="pct"/>
            <w:gridSpan w:val="2"/>
            <w:vAlign w:val="center"/>
          </w:tcPr>
          <w:p w14:paraId="379D80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P3</w:t>
            </w:r>
            <w:r>
              <w:rPr>
                <w:rFonts w:hint="eastAsia" w:ascii="宋体" w:hAnsi="宋体" w:eastAsia="宋体" w:cs="宋体"/>
                <w:kern w:val="2"/>
                <w:sz w:val="21"/>
                <w:lang w:val="en-US" w:eastAsia="zh-CN" w:bidi="ar-SA"/>
              </w:rPr>
              <w:sym w:font="Wingdings 2" w:char="F052"/>
            </w:r>
          </w:p>
        </w:tc>
        <w:tc>
          <w:tcPr>
            <w:tcW w:w="754" w:type="pct"/>
            <w:vAlign w:val="center"/>
          </w:tcPr>
          <w:p w14:paraId="3065AF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P4□</w:t>
            </w:r>
          </w:p>
        </w:tc>
      </w:tr>
      <w:tr w14:paraId="3CFC5F6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902" w:type="pct"/>
            <w:gridSpan w:val="3"/>
            <w:vMerge w:val="restart"/>
            <w:tcBorders>
              <w:bottom w:val="nil"/>
            </w:tcBorders>
            <w:vAlign w:val="center"/>
          </w:tcPr>
          <w:p w14:paraId="549302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环境敏感程度</w:t>
            </w:r>
          </w:p>
        </w:tc>
        <w:tc>
          <w:tcPr>
            <w:tcW w:w="567" w:type="pct"/>
            <w:vAlign w:val="center"/>
          </w:tcPr>
          <w:p w14:paraId="26DC5F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大气</w:t>
            </w:r>
          </w:p>
        </w:tc>
        <w:tc>
          <w:tcPr>
            <w:tcW w:w="1204" w:type="pct"/>
            <w:gridSpan w:val="2"/>
            <w:vAlign w:val="center"/>
          </w:tcPr>
          <w:p w14:paraId="6F58F6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E1□</w:t>
            </w:r>
          </w:p>
        </w:tc>
        <w:tc>
          <w:tcPr>
            <w:tcW w:w="1570" w:type="pct"/>
            <w:gridSpan w:val="3"/>
            <w:vAlign w:val="center"/>
          </w:tcPr>
          <w:p w14:paraId="42F323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E2□</w:t>
            </w:r>
          </w:p>
        </w:tc>
        <w:tc>
          <w:tcPr>
            <w:tcW w:w="754" w:type="pct"/>
            <w:vAlign w:val="center"/>
          </w:tcPr>
          <w:p w14:paraId="04AF10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E3</w:t>
            </w:r>
            <w:r>
              <w:rPr>
                <w:rFonts w:ascii="Wingdings 2" w:hAnsi="Wingdings 2" w:eastAsia="宋体" w:cs="Calibri"/>
                <w:kern w:val="2"/>
                <w:sz w:val="21"/>
                <w:lang w:val="en-US" w:eastAsia="zh-CN" w:bidi="ar-SA"/>
              </w:rPr>
              <w:sym w:font="Wingdings 2" w:char="F052"/>
            </w:r>
          </w:p>
        </w:tc>
      </w:tr>
      <w:tr w14:paraId="6917E81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902" w:type="pct"/>
            <w:gridSpan w:val="3"/>
            <w:vMerge w:val="continue"/>
            <w:tcBorders>
              <w:top w:val="nil"/>
              <w:bottom w:val="nil"/>
            </w:tcBorders>
            <w:vAlign w:val="center"/>
          </w:tcPr>
          <w:p w14:paraId="38E5C5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67" w:type="pct"/>
            <w:vAlign w:val="center"/>
          </w:tcPr>
          <w:p w14:paraId="61D843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地表水</w:t>
            </w:r>
          </w:p>
        </w:tc>
        <w:tc>
          <w:tcPr>
            <w:tcW w:w="1204" w:type="pct"/>
            <w:gridSpan w:val="2"/>
            <w:vAlign w:val="center"/>
          </w:tcPr>
          <w:p w14:paraId="409DD0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E1□</w:t>
            </w:r>
          </w:p>
        </w:tc>
        <w:tc>
          <w:tcPr>
            <w:tcW w:w="1570" w:type="pct"/>
            <w:gridSpan w:val="3"/>
            <w:vAlign w:val="center"/>
          </w:tcPr>
          <w:p w14:paraId="01651B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E2□</w:t>
            </w:r>
          </w:p>
        </w:tc>
        <w:tc>
          <w:tcPr>
            <w:tcW w:w="754" w:type="pct"/>
            <w:vAlign w:val="center"/>
          </w:tcPr>
          <w:p w14:paraId="1EDC93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E3</w:t>
            </w:r>
            <w:r>
              <w:rPr>
                <w:rFonts w:ascii="Wingdings 2" w:hAnsi="Wingdings 2" w:eastAsia="宋体" w:cs="Calibri"/>
                <w:kern w:val="2"/>
                <w:sz w:val="21"/>
                <w:lang w:val="en-US" w:eastAsia="zh-CN" w:bidi="ar-SA"/>
              </w:rPr>
              <w:sym w:font="Wingdings 2" w:char="F052"/>
            </w:r>
          </w:p>
        </w:tc>
      </w:tr>
      <w:tr w14:paraId="51E1639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902" w:type="pct"/>
            <w:gridSpan w:val="3"/>
            <w:vMerge w:val="continue"/>
            <w:tcBorders>
              <w:top w:val="nil"/>
            </w:tcBorders>
            <w:vAlign w:val="center"/>
          </w:tcPr>
          <w:p w14:paraId="552EDC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67" w:type="pct"/>
            <w:vAlign w:val="center"/>
          </w:tcPr>
          <w:p w14:paraId="01BFE1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地下水</w:t>
            </w:r>
          </w:p>
        </w:tc>
        <w:tc>
          <w:tcPr>
            <w:tcW w:w="1204" w:type="pct"/>
            <w:gridSpan w:val="2"/>
            <w:vAlign w:val="center"/>
          </w:tcPr>
          <w:p w14:paraId="393D29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E1□</w:t>
            </w:r>
          </w:p>
        </w:tc>
        <w:tc>
          <w:tcPr>
            <w:tcW w:w="1570" w:type="pct"/>
            <w:gridSpan w:val="3"/>
            <w:vAlign w:val="center"/>
          </w:tcPr>
          <w:p w14:paraId="7A73CB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E2</w:t>
            </w:r>
            <w:r>
              <w:rPr>
                <w:rFonts w:ascii="Wingdings 2" w:hAnsi="Wingdings 2" w:eastAsia="宋体" w:cs="Calibri"/>
                <w:kern w:val="2"/>
                <w:sz w:val="21"/>
                <w:lang w:val="en-US" w:eastAsia="zh-CN" w:bidi="ar-SA"/>
              </w:rPr>
              <w:sym w:font="Wingdings 2" w:char="F052"/>
            </w:r>
          </w:p>
        </w:tc>
        <w:tc>
          <w:tcPr>
            <w:tcW w:w="754" w:type="pct"/>
            <w:vAlign w:val="center"/>
          </w:tcPr>
          <w:p w14:paraId="47500A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E3□</w:t>
            </w:r>
          </w:p>
        </w:tc>
      </w:tr>
      <w:tr w14:paraId="6D4AEA5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902" w:type="pct"/>
            <w:gridSpan w:val="3"/>
            <w:vAlign w:val="center"/>
          </w:tcPr>
          <w:p w14:paraId="4A6232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环境风险潜势</w:t>
            </w:r>
          </w:p>
        </w:tc>
        <w:tc>
          <w:tcPr>
            <w:tcW w:w="567" w:type="pct"/>
            <w:vAlign w:val="center"/>
          </w:tcPr>
          <w:p w14:paraId="342E7A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Ⅳ+□</w:t>
            </w:r>
          </w:p>
        </w:tc>
        <w:tc>
          <w:tcPr>
            <w:tcW w:w="1204" w:type="pct"/>
            <w:gridSpan w:val="2"/>
            <w:vAlign w:val="center"/>
          </w:tcPr>
          <w:p w14:paraId="761B4B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Ⅳ□</w:t>
            </w:r>
          </w:p>
        </w:tc>
        <w:tc>
          <w:tcPr>
            <w:tcW w:w="958" w:type="pct"/>
            <w:gridSpan w:val="2"/>
            <w:vAlign w:val="center"/>
          </w:tcPr>
          <w:p w14:paraId="1028F4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Ⅲ</w:t>
            </w:r>
            <w:r>
              <w:rPr>
                <w:rFonts w:ascii="Wingdings 2" w:hAnsi="Wingdings 2" w:eastAsia="宋体" w:cs="Calibri"/>
                <w:kern w:val="2"/>
                <w:sz w:val="21"/>
                <w:lang w:val="en-US" w:eastAsia="zh-CN" w:bidi="ar-SA"/>
              </w:rPr>
              <w:sym w:font="Wingdings 2" w:char="F052"/>
            </w:r>
          </w:p>
        </w:tc>
        <w:tc>
          <w:tcPr>
            <w:tcW w:w="612" w:type="pct"/>
            <w:vAlign w:val="center"/>
          </w:tcPr>
          <w:p w14:paraId="0E3CA2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Ⅱ□</w:t>
            </w:r>
          </w:p>
        </w:tc>
        <w:tc>
          <w:tcPr>
            <w:tcW w:w="754" w:type="pct"/>
            <w:vAlign w:val="center"/>
          </w:tcPr>
          <w:p w14:paraId="473B40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I□</w:t>
            </w:r>
          </w:p>
        </w:tc>
      </w:tr>
      <w:tr w14:paraId="5A936EE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902" w:type="pct"/>
            <w:gridSpan w:val="3"/>
            <w:vAlign w:val="center"/>
          </w:tcPr>
          <w:p w14:paraId="6E0D54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评价等级</w:t>
            </w:r>
          </w:p>
        </w:tc>
        <w:tc>
          <w:tcPr>
            <w:tcW w:w="995" w:type="pct"/>
            <w:gridSpan w:val="2"/>
            <w:vAlign w:val="center"/>
          </w:tcPr>
          <w:p w14:paraId="106399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一级□</w:t>
            </w:r>
          </w:p>
        </w:tc>
        <w:tc>
          <w:tcPr>
            <w:tcW w:w="777" w:type="pct"/>
            <w:vAlign w:val="center"/>
          </w:tcPr>
          <w:p w14:paraId="57F217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二级</w:t>
            </w:r>
            <w:r>
              <w:rPr>
                <w:rFonts w:ascii="Wingdings 2" w:hAnsi="Wingdings 2" w:eastAsia="宋体" w:cs="Calibri"/>
                <w:kern w:val="2"/>
                <w:sz w:val="21"/>
                <w:lang w:val="en-US" w:eastAsia="zh-CN" w:bidi="ar-SA"/>
              </w:rPr>
              <w:sym w:font="Wingdings 2" w:char="F052"/>
            </w:r>
          </w:p>
        </w:tc>
        <w:tc>
          <w:tcPr>
            <w:tcW w:w="1570" w:type="pct"/>
            <w:gridSpan w:val="3"/>
            <w:vAlign w:val="center"/>
          </w:tcPr>
          <w:p w14:paraId="7D851C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三级□</w:t>
            </w:r>
          </w:p>
        </w:tc>
        <w:tc>
          <w:tcPr>
            <w:tcW w:w="754" w:type="pct"/>
            <w:vAlign w:val="center"/>
          </w:tcPr>
          <w:p w14:paraId="769AA4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简单分析□</w:t>
            </w:r>
          </w:p>
        </w:tc>
      </w:tr>
      <w:tr w14:paraId="07C5EEF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323" w:type="pct"/>
            <w:gridSpan w:val="2"/>
            <w:vMerge w:val="restart"/>
            <w:tcBorders>
              <w:bottom w:val="nil"/>
            </w:tcBorders>
            <w:vAlign w:val="center"/>
          </w:tcPr>
          <w:p w14:paraId="6511D6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风险识别</w:t>
            </w:r>
          </w:p>
        </w:tc>
        <w:tc>
          <w:tcPr>
            <w:tcW w:w="578" w:type="pct"/>
            <w:vAlign w:val="center"/>
          </w:tcPr>
          <w:p w14:paraId="5A644E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物质危险性</w:t>
            </w:r>
          </w:p>
        </w:tc>
        <w:tc>
          <w:tcPr>
            <w:tcW w:w="1772" w:type="pct"/>
            <w:gridSpan w:val="3"/>
            <w:vAlign w:val="center"/>
          </w:tcPr>
          <w:p w14:paraId="551C48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eastAsia="宋体" w:cs="Calibri"/>
                <w:kern w:val="2"/>
                <w:sz w:val="21"/>
                <w:lang w:val="en-US" w:eastAsia="zh-CN" w:bidi="ar-SA"/>
              </w:rPr>
            </w:pPr>
            <w:r>
              <w:rPr>
                <w:rFonts w:eastAsia="宋体" w:cs="Calibri"/>
                <w:kern w:val="2"/>
                <w:sz w:val="21"/>
                <w:lang w:val="en-US" w:eastAsia="zh-CN" w:bidi="ar-SA"/>
              </w:rPr>
              <w:t>有毒有害</w:t>
            </w:r>
            <w:r>
              <w:rPr>
                <w:rFonts w:ascii="Wingdings 2" w:hAnsi="Wingdings 2" w:eastAsia="宋体" w:cs="Calibri"/>
                <w:kern w:val="2"/>
                <w:sz w:val="21"/>
                <w:lang w:val="en-US" w:eastAsia="zh-CN" w:bidi="ar-SA"/>
              </w:rPr>
              <w:sym w:font="Wingdings 2" w:char="F052"/>
            </w:r>
            <w:r>
              <w:rPr>
                <w:rFonts w:hint="eastAsia" w:ascii="Wingdings 2" w:hAnsi="Wingdings 2" w:cs="Calibri"/>
                <w:kern w:val="2"/>
                <w:sz w:val="21"/>
                <w:lang w:val="en-US" w:eastAsia="zh-CN" w:bidi="ar-SA"/>
              </w:rPr>
              <w:t xml:space="preserve"> </w:t>
            </w:r>
          </w:p>
        </w:tc>
        <w:tc>
          <w:tcPr>
            <w:tcW w:w="2324" w:type="pct"/>
            <w:gridSpan w:val="4"/>
            <w:vAlign w:val="center"/>
          </w:tcPr>
          <w:p w14:paraId="390B76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易燃易爆</w:t>
            </w:r>
            <w:r>
              <w:rPr>
                <w:rFonts w:ascii="Wingdings 2" w:hAnsi="Wingdings 2" w:eastAsia="宋体" w:cs="Calibri"/>
                <w:kern w:val="2"/>
                <w:sz w:val="21"/>
                <w:lang w:val="en-US" w:eastAsia="zh-CN" w:bidi="ar-SA"/>
              </w:rPr>
              <w:sym w:font="Wingdings 2" w:char="F052"/>
            </w:r>
          </w:p>
        </w:tc>
      </w:tr>
      <w:tr w14:paraId="35124AB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323" w:type="pct"/>
            <w:gridSpan w:val="2"/>
            <w:vMerge w:val="continue"/>
            <w:tcBorders>
              <w:top w:val="nil"/>
              <w:bottom w:val="nil"/>
            </w:tcBorders>
            <w:vAlign w:val="center"/>
          </w:tcPr>
          <w:p w14:paraId="4F6C69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78" w:type="pct"/>
            <w:vAlign w:val="center"/>
          </w:tcPr>
          <w:p w14:paraId="1F3484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环境风险类别</w:t>
            </w:r>
          </w:p>
        </w:tc>
        <w:tc>
          <w:tcPr>
            <w:tcW w:w="995" w:type="pct"/>
            <w:gridSpan w:val="2"/>
            <w:vAlign w:val="center"/>
          </w:tcPr>
          <w:p w14:paraId="3CC843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泄漏</w:t>
            </w:r>
            <w:r>
              <w:rPr>
                <w:rFonts w:ascii="Wingdings 2" w:hAnsi="Wingdings 2" w:eastAsia="宋体" w:cs="Calibri"/>
                <w:kern w:val="2"/>
                <w:sz w:val="21"/>
                <w:lang w:val="en-US" w:eastAsia="zh-CN" w:bidi="ar-SA"/>
              </w:rPr>
              <w:sym w:font="Wingdings 2" w:char="F052"/>
            </w:r>
          </w:p>
        </w:tc>
        <w:tc>
          <w:tcPr>
            <w:tcW w:w="3102" w:type="pct"/>
            <w:gridSpan w:val="5"/>
            <w:vAlign w:val="center"/>
          </w:tcPr>
          <w:p w14:paraId="69CE94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火灾、爆炸引发伴生/次生污染物排放</w:t>
            </w:r>
            <w:r>
              <w:rPr>
                <w:rFonts w:ascii="Wingdings 2" w:hAnsi="Wingdings 2" w:eastAsia="宋体" w:cs="Calibri"/>
                <w:kern w:val="2"/>
                <w:sz w:val="21"/>
                <w:lang w:val="en-US" w:eastAsia="zh-CN" w:bidi="ar-SA"/>
              </w:rPr>
              <w:sym w:font="Wingdings 2" w:char="F052"/>
            </w:r>
          </w:p>
        </w:tc>
      </w:tr>
      <w:tr w14:paraId="335C965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323" w:type="pct"/>
            <w:gridSpan w:val="2"/>
            <w:vMerge w:val="continue"/>
            <w:tcBorders>
              <w:top w:val="nil"/>
            </w:tcBorders>
            <w:vAlign w:val="center"/>
          </w:tcPr>
          <w:p w14:paraId="19C9AE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78" w:type="pct"/>
            <w:vAlign w:val="center"/>
          </w:tcPr>
          <w:p w14:paraId="6938DB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影响途径</w:t>
            </w:r>
          </w:p>
        </w:tc>
        <w:tc>
          <w:tcPr>
            <w:tcW w:w="1772" w:type="pct"/>
            <w:gridSpan w:val="3"/>
            <w:vAlign w:val="center"/>
          </w:tcPr>
          <w:p w14:paraId="455691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大气</w:t>
            </w:r>
            <w:r>
              <w:rPr>
                <w:rFonts w:ascii="Wingdings 2" w:hAnsi="Wingdings 2" w:eastAsia="宋体" w:cs="Calibri"/>
                <w:kern w:val="2"/>
                <w:sz w:val="21"/>
                <w:lang w:val="en-US" w:eastAsia="zh-CN" w:bidi="ar-SA"/>
              </w:rPr>
              <w:sym w:font="Wingdings 2" w:char="F052"/>
            </w:r>
          </w:p>
        </w:tc>
        <w:tc>
          <w:tcPr>
            <w:tcW w:w="1570" w:type="pct"/>
            <w:gridSpan w:val="3"/>
            <w:vAlign w:val="center"/>
          </w:tcPr>
          <w:p w14:paraId="251630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地表水□</w:t>
            </w:r>
          </w:p>
        </w:tc>
        <w:tc>
          <w:tcPr>
            <w:tcW w:w="754" w:type="pct"/>
            <w:vAlign w:val="center"/>
          </w:tcPr>
          <w:p w14:paraId="5F49F5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地下水</w:t>
            </w:r>
            <w:r>
              <w:rPr>
                <w:rFonts w:ascii="Wingdings 2" w:hAnsi="Wingdings 2" w:eastAsia="宋体" w:cs="Calibri"/>
                <w:kern w:val="2"/>
                <w:sz w:val="21"/>
                <w:lang w:val="en-US" w:eastAsia="zh-CN" w:bidi="ar-SA"/>
              </w:rPr>
              <w:sym w:font="Wingdings 2" w:char="F052"/>
            </w:r>
          </w:p>
        </w:tc>
      </w:tr>
      <w:tr w14:paraId="3F81894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902" w:type="pct"/>
            <w:gridSpan w:val="3"/>
            <w:vAlign w:val="center"/>
          </w:tcPr>
          <w:p w14:paraId="0200EC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事故情形分析</w:t>
            </w:r>
          </w:p>
        </w:tc>
        <w:tc>
          <w:tcPr>
            <w:tcW w:w="995" w:type="pct"/>
            <w:gridSpan w:val="2"/>
            <w:vAlign w:val="center"/>
          </w:tcPr>
          <w:p w14:paraId="788C93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源强设定方法</w:t>
            </w:r>
          </w:p>
        </w:tc>
        <w:tc>
          <w:tcPr>
            <w:tcW w:w="777" w:type="pct"/>
            <w:vAlign w:val="center"/>
          </w:tcPr>
          <w:p w14:paraId="43FFFF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计算法</w:t>
            </w:r>
            <w:r>
              <w:rPr>
                <w:rFonts w:ascii="Wingdings 2" w:hAnsi="Wingdings 2" w:eastAsia="宋体" w:cs="Calibri"/>
                <w:color w:val="000000"/>
                <w:kern w:val="2"/>
                <w:sz w:val="21"/>
                <w:szCs w:val="21"/>
                <w:lang w:val="en-US" w:eastAsia="zh-CN" w:bidi="ar-SA"/>
              </w:rPr>
              <w:sym w:font="Wingdings 2" w:char="00A3"/>
            </w:r>
          </w:p>
        </w:tc>
        <w:tc>
          <w:tcPr>
            <w:tcW w:w="1570" w:type="pct"/>
            <w:gridSpan w:val="3"/>
            <w:vAlign w:val="center"/>
          </w:tcPr>
          <w:p w14:paraId="4F0953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经验估算法□</w:t>
            </w:r>
          </w:p>
        </w:tc>
        <w:tc>
          <w:tcPr>
            <w:tcW w:w="754" w:type="pct"/>
            <w:vAlign w:val="center"/>
          </w:tcPr>
          <w:p w14:paraId="28DDAA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其他估算法</w:t>
            </w:r>
            <w:r>
              <w:rPr>
                <w:rFonts w:hint="eastAsia" w:cs="Calibri"/>
                <w:kern w:val="2"/>
                <w:sz w:val="21"/>
                <w:lang w:val="en-US" w:eastAsia="zh-CN" w:bidi="ar-SA"/>
              </w:rPr>
              <w:t>☑</w:t>
            </w:r>
          </w:p>
        </w:tc>
      </w:tr>
      <w:tr w14:paraId="3353CAE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323" w:type="pct"/>
            <w:gridSpan w:val="2"/>
            <w:vMerge w:val="restart"/>
            <w:tcBorders>
              <w:bottom w:val="nil"/>
            </w:tcBorders>
            <w:vAlign w:val="center"/>
          </w:tcPr>
          <w:p w14:paraId="34A9D3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环境风险预测与评价</w:t>
            </w:r>
          </w:p>
        </w:tc>
        <w:tc>
          <w:tcPr>
            <w:tcW w:w="578" w:type="pct"/>
            <w:vMerge w:val="restart"/>
            <w:tcBorders>
              <w:bottom w:val="nil"/>
            </w:tcBorders>
            <w:vAlign w:val="center"/>
          </w:tcPr>
          <w:p w14:paraId="7295F8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大气</w:t>
            </w:r>
          </w:p>
        </w:tc>
        <w:tc>
          <w:tcPr>
            <w:tcW w:w="995" w:type="pct"/>
            <w:gridSpan w:val="2"/>
            <w:vAlign w:val="center"/>
          </w:tcPr>
          <w:p w14:paraId="7E6F59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预测模型</w:t>
            </w:r>
          </w:p>
        </w:tc>
        <w:tc>
          <w:tcPr>
            <w:tcW w:w="777" w:type="pct"/>
            <w:vAlign w:val="center"/>
          </w:tcPr>
          <w:p w14:paraId="10D130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SLAB</w:t>
            </w:r>
            <w:r>
              <w:rPr>
                <w:rFonts w:ascii="Wingdings 2" w:hAnsi="Wingdings 2" w:eastAsia="宋体" w:cs="Calibri"/>
                <w:color w:val="000000"/>
                <w:kern w:val="2"/>
                <w:sz w:val="21"/>
                <w:szCs w:val="21"/>
                <w:lang w:val="en-US" w:eastAsia="zh-CN" w:bidi="ar-SA"/>
              </w:rPr>
              <w:sym w:font="Wingdings 2" w:char="00A3"/>
            </w:r>
          </w:p>
        </w:tc>
        <w:tc>
          <w:tcPr>
            <w:tcW w:w="1570" w:type="pct"/>
            <w:gridSpan w:val="3"/>
            <w:vAlign w:val="center"/>
          </w:tcPr>
          <w:p w14:paraId="444EA2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AFTOX</w:t>
            </w:r>
            <w:r>
              <w:rPr>
                <w:rFonts w:ascii="Wingdings 2" w:hAnsi="Wingdings 2" w:eastAsia="宋体" w:cs="Calibri"/>
                <w:color w:val="000000"/>
                <w:kern w:val="2"/>
                <w:sz w:val="21"/>
                <w:szCs w:val="21"/>
                <w:lang w:val="en-US" w:eastAsia="zh-CN" w:bidi="ar-SA"/>
              </w:rPr>
              <w:sym w:font="Wingdings 2" w:char="00A3"/>
            </w:r>
          </w:p>
        </w:tc>
        <w:tc>
          <w:tcPr>
            <w:tcW w:w="754" w:type="pct"/>
            <w:vAlign w:val="center"/>
          </w:tcPr>
          <w:p w14:paraId="17B08D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其他□</w:t>
            </w:r>
          </w:p>
        </w:tc>
      </w:tr>
      <w:tr w14:paraId="42C4ED4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323" w:type="pct"/>
            <w:gridSpan w:val="2"/>
            <w:vMerge w:val="continue"/>
            <w:tcBorders>
              <w:top w:val="nil"/>
              <w:bottom w:val="nil"/>
            </w:tcBorders>
            <w:vAlign w:val="center"/>
          </w:tcPr>
          <w:p w14:paraId="309AB0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78" w:type="pct"/>
            <w:vMerge w:val="continue"/>
            <w:tcBorders>
              <w:top w:val="nil"/>
              <w:bottom w:val="nil"/>
            </w:tcBorders>
            <w:vAlign w:val="center"/>
          </w:tcPr>
          <w:p w14:paraId="39643A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995" w:type="pct"/>
            <w:gridSpan w:val="2"/>
            <w:vMerge w:val="restart"/>
            <w:tcBorders>
              <w:bottom w:val="nil"/>
            </w:tcBorders>
            <w:vAlign w:val="center"/>
          </w:tcPr>
          <w:p w14:paraId="5531CA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预测结果</w:t>
            </w:r>
          </w:p>
        </w:tc>
        <w:tc>
          <w:tcPr>
            <w:tcW w:w="3102" w:type="pct"/>
            <w:gridSpan w:val="5"/>
            <w:vAlign w:val="center"/>
          </w:tcPr>
          <w:p w14:paraId="7231A700">
            <w:pPr>
              <w:pStyle w:val="62"/>
              <w:tabs>
                <w:tab w:val="left" w:pos="2554"/>
                <w:tab w:val="left" w:pos="4023"/>
              </w:tabs>
              <w:spacing w:line="240" w:lineRule="auto"/>
              <w:ind w:firstLine="0" w:firstLineChars="0"/>
              <w:jc w:val="center"/>
              <w:rPr>
                <w:rFonts w:eastAsia="宋体" w:cs="Calibri"/>
                <w:kern w:val="2"/>
                <w:sz w:val="21"/>
                <w:lang w:val="en-US" w:eastAsia="zh-CN" w:bidi="ar-SA"/>
              </w:rPr>
            </w:pPr>
            <w:r>
              <w:rPr>
                <w:sz w:val="21"/>
                <w:szCs w:val="21"/>
              </w:rPr>
              <w:t>大气毒性终点浓度-1 最大影响范围</w:t>
            </w:r>
            <w:r>
              <w:rPr>
                <w:sz w:val="21"/>
                <w:szCs w:val="21"/>
                <w:u w:val="single"/>
                <w:lang w:val="en-US"/>
              </w:rPr>
              <w:t xml:space="preserve">  </w:t>
            </w:r>
            <w:r>
              <w:rPr>
                <w:rFonts w:hint="eastAsia" w:eastAsia="宋体"/>
                <w:sz w:val="21"/>
                <w:szCs w:val="21"/>
                <w:u w:val="single"/>
                <w:lang w:val="en-US" w:eastAsia="zh-CN"/>
              </w:rPr>
              <w:t xml:space="preserve"> </w:t>
            </w:r>
            <w:r>
              <w:rPr>
                <w:sz w:val="21"/>
                <w:szCs w:val="21"/>
                <w:u w:val="single"/>
                <w:lang w:val="en-US"/>
              </w:rPr>
              <w:t xml:space="preserve"> </w:t>
            </w:r>
            <w:r>
              <w:rPr>
                <w:sz w:val="21"/>
                <w:szCs w:val="21"/>
              </w:rPr>
              <w:t>m</w:t>
            </w:r>
          </w:p>
        </w:tc>
      </w:tr>
      <w:tr w14:paraId="742AE55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323" w:type="pct"/>
            <w:gridSpan w:val="2"/>
            <w:vMerge w:val="continue"/>
            <w:tcBorders>
              <w:top w:val="nil"/>
              <w:bottom w:val="nil"/>
            </w:tcBorders>
            <w:vAlign w:val="center"/>
          </w:tcPr>
          <w:p w14:paraId="17D066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78" w:type="pct"/>
            <w:vMerge w:val="continue"/>
            <w:tcBorders>
              <w:top w:val="nil"/>
            </w:tcBorders>
            <w:vAlign w:val="center"/>
          </w:tcPr>
          <w:p w14:paraId="30FE2F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995" w:type="pct"/>
            <w:gridSpan w:val="2"/>
            <w:vMerge w:val="continue"/>
            <w:tcBorders>
              <w:top w:val="nil"/>
            </w:tcBorders>
            <w:vAlign w:val="center"/>
          </w:tcPr>
          <w:p w14:paraId="2271AC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3102" w:type="pct"/>
            <w:gridSpan w:val="5"/>
            <w:vAlign w:val="center"/>
          </w:tcPr>
          <w:p w14:paraId="7DF56FA4">
            <w:pPr>
              <w:pStyle w:val="62"/>
              <w:tabs>
                <w:tab w:val="left" w:pos="2554"/>
                <w:tab w:val="left" w:pos="4023"/>
              </w:tabs>
              <w:spacing w:line="240" w:lineRule="auto"/>
              <w:ind w:firstLine="0" w:firstLineChars="0"/>
              <w:jc w:val="center"/>
              <w:rPr>
                <w:rFonts w:eastAsia="宋体" w:cs="Calibri"/>
                <w:kern w:val="2"/>
                <w:sz w:val="21"/>
                <w:lang w:val="en-US" w:eastAsia="zh-CN" w:bidi="ar-SA"/>
              </w:rPr>
            </w:pPr>
            <w:r>
              <w:rPr>
                <w:sz w:val="21"/>
                <w:szCs w:val="21"/>
              </w:rPr>
              <w:t>大气毒性终点浓度-2 最大影响范围</w:t>
            </w:r>
            <w:r>
              <w:rPr>
                <w:sz w:val="21"/>
                <w:szCs w:val="21"/>
                <w:u w:val="single"/>
                <w:lang w:val="en-US"/>
              </w:rPr>
              <w:t xml:space="preserve">  </w:t>
            </w:r>
            <w:r>
              <w:rPr>
                <w:rFonts w:hint="eastAsia" w:eastAsia="宋体"/>
                <w:sz w:val="21"/>
                <w:szCs w:val="21"/>
                <w:u w:val="single"/>
                <w:lang w:val="en-US" w:eastAsia="zh-CN"/>
              </w:rPr>
              <w:t xml:space="preserve"> </w:t>
            </w:r>
            <w:r>
              <w:rPr>
                <w:sz w:val="21"/>
                <w:szCs w:val="21"/>
                <w:u w:val="single"/>
                <w:lang w:val="en-US"/>
              </w:rPr>
              <w:t xml:space="preserve"> </w:t>
            </w:r>
            <w:r>
              <w:rPr>
                <w:sz w:val="21"/>
                <w:szCs w:val="21"/>
              </w:rPr>
              <w:t>m</w:t>
            </w:r>
          </w:p>
        </w:tc>
      </w:tr>
      <w:tr w14:paraId="4EBFF11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323" w:type="pct"/>
            <w:gridSpan w:val="2"/>
            <w:vMerge w:val="continue"/>
            <w:tcBorders>
              <w:top w:val="nil"/>
              <w:bottom w:val="nil"/>
            </w:tcBorders>
            <w:vAlign w:val="center"/>
          </w:tcPr>
          <w:p w14:paraId="2CACEA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78" w:type="pct"/>
            <w:vAlign w:val="center"/>
          </w:tcPr>
          <w:p w14:paraId="00B513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地表水</w:t>
            </w:r>
          </w:p>
        </w:tc>
        <w:tc>
          <w:tcPr>
            <w:tcW w:w="4097" w:type="pct"/>
            <w:gridSpan w:val="7"/>
            <w:vAlign w:val="center"/>
          </w:tcPr>
          <w:p w14:paraId="3DB11F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最近环境敏感目标，到达时间</w:t>
            </w:r>
            <w:r>
              <w:rPr>
                <w:rFonts w:hint="eastAsia" w:cs="Calibri"/>
                <w:kern w:val="2"/>
                <w:sz w:val="21"/>
                <w:u w:val="single"/>
                <w:lang w:val="en-US" w:eastAsia="zh-CN" w:bidi="ar-SA"/>
              </w:rPr>
              <w:t xml:space="preserve">   </w:t>
            </w:r>
            <w:r>
              <w:rPr>
                <w:rFonts w:eastAsia="宋体" w:cs="Calibri"/>
                <w:kern w:val="2"/>
                <w:sz w:val="21"/>
                <w:lang w:val="en-US" w:eastAsia="zh-CN" w:bidi="ar-SA"/>
              </w:rPr>
              <w:t>/h</w:t>
            </w:r>
          </w:p>
        </w:tc>
      </w:tr>
      <w:tr w14:paraId="4BC6E3D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323" w:type="pct"/>
            <w:gridSpan w:val="2"/>
            <w:vMerge w:val="continue"/>
            <w:tcBorders>
              <w:top w:val="nil"/>
              <w:bottom w:val="nil"/>
            </w:tcBorders>
            <w:vAlign w:val="center"/>
          </w:tcPr>
          <w:p w14:paraId="349182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78" w:type="pct"/>
            <w:vMerge w:val="restart"/>
            <w:tcBorders>
              <w:bottom w:val="nil"/>
            </w:tcBorders>
            <w:vAlign w:val="center"/>
          </w:tcPr>
          <w:p w14:paraId="4D4C60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地下水</w:t>
            </w:r>
          </w:p>
        </w:tc>
        <w:tc>
          <w:tcPr>
            <w:tcW w:w="4097" w:type="pct"/>
            <w:gridSpan w:val="7"/>
            <w:vAlign w:val="center"/>
          </w:tcPr>
          <w:p w14:paraId="061C39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下游厂区边界到达时间</w:t>
            </w:r>
            <w:r>
              <w:rPr>
                <w:rFonts w:hint="eastAsia" w:cs="Calibri"/>
                <w:kern w:val="2"/>
                <w:sz w:val="21"/>
                <w:u w:val="single"/>
                <w:lang w:val="en-US" w:eastAsia="zh-CN" w:bidi="ar-SA"/>
              </w:rPr>
              <w:t xml:space="preserve">  </w:t>
            </w:r>
            <w:r>
              <w:rPr>
                <w:rFonts w:eastAsia="宋体" w:cs="Calibri"/>
                <w:kern w:val="2"/>
                <w:sz w:val="21"/>
                <w:lang w:val="en-US" w:eastAsia="zh-CN" w:bidi="ar-SA"/>
              </w:rPr>
              <w:t>d</w:t>
            </w:r>
          </w:p>
        </w:tc>
      </w:tr>
      <w:tr w14:paraId="6AB900F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323" w:type="pct"/>
            <w:gridSpan w:val="2"/>
            <w:vMerge w:val="continue"/>
            <w:tcBorders>
              <w:top w:val="nil"/>
            </w:tcBorders>
            <w:vAlign w:val="center"/>
          </w:tcPr>
          <w:p w14:paraId="281EAB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578" w:type="pct"/>
            <w:vMerge w:val="continue"/>
            <w:tcBorders>
              <w:top w:val="nil"/>
            </w:tcBorders>
            <w:vAlign w:val="center"/>
          </w:tcPr>
          <w:p w14:paraId="3BAFFB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p>
        </w:tc>
        <w:tc>
          <w:tcPr>
            <w:tcW w:w="4097" w:type="pct"/>
            <w:gridSpan w:val="7"/>
            <w:vAlign w:val="center"/>
          </w:tcPr>
          <w:p w14:paraId="694AAF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最近环境敏感目标</w:t>
            </w:r>
            <w:r>
              <w:rPr>
                <w:rFonts w:hint="eastAsia" w:cs="Calibri"/>
                <w:kern w:val="2"/>
                <w:sz w:val="21"/>
                <w:u w:val="single"/>
                <w:lang w:val="en-US" w:eastAsia="zh-CN" w:bidi="ar-SA"/>
              </w:rPr>
              <w:t xml:space="preserve">      </w:t>
            </w:r>
            <w:r>
              <w:rPr>
                <w:rFonts w:eastAsia="宋体" w:cs="Calibri"/>
                <w:kern w:val="2"/>
                <w:sz w:val="21"/>
                <w:lang w:val="en-US" w:eastAsia="zh-CN" w:bidi="ar-SA"/>
              </w:rPr>
              <w:t>，到达时间</w:t>
            </w:r>
            <w:r>
              <w:rPr>
                <w:rFonts w:hint="eastAsia" w:cs="Calibri"/>
                <w:kern w:val="2"/>
                <w:sz w:val="21"/>
                <w:u w:val="single"/>
                <w:lang w:val="en-US" w:eastAsia="zh-CN" w:bidi="ar-SA"/>
              </w:rPr>
              <w:t xml:space="preserve">         </w:t>
            </w:r>
            <w:r>
              <w:rPr>
                <w:rFonts w:eastAsia="宋体" w:cs="Calibri"/>
                <w:kern w:val="2"/>
                <w:sz w:val="21"/>
                <w:lang w:val="en-US" w:eastAsia="zh-CN" w:bidi="ar-SA"/>
              </w:rPr>
              <w:t>d</w:t>
            </w:r>
          </w:p>
        </w:tc>
      </w:tr>
      <w:tr w14:paraId="00CFBEB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902" w:type="pct"/>
            <w:gridSpan w:val="3"/>
            <w:vAlign w:val="center"/>
          </w:tcPr>
          <w:p w14:paraId="6CA11F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重点环境风险防范措施</w:t>
            </w:r>
          </w:p>
        </w:tc>
        <w:tc>
          <w:tcPr>
            <w:tcW w:w="4097" w:type="pct"/>
            <w:gridSpan w:val="7"/>
            <w:vAlign w:val="center"/>
          </w:tcPr>
          <w:p w14:paraId="7C4D7C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可以通过科学的设计、施工、操作和管理，将环境风险和安全事故发生的可能性大大降低，将事故的危害降低到最低程度，真正做到防患于未然。</w:t>
            </w:r>
          </w:p>
        </w:tc>
      </w:tr>
      <w:tr w14:paraId="49D8D6C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902" w:type="pct"/>
            <w:gridSpan w:val="3"/>
            <w:vAlign w:val="center"/>
          </w:tcPr>
          <w:p w14:paraId="609C3E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评价结论与建议</w:t>
            </w:r>
          </w:p>
        </w:tc>
        <w:tc>
          <w:tcPr>
            <w:tcW w:w="4097" w:type="pct"/>
            <w:gridSpan w:val="7"/>
            <w:vAlign w:val="center"/>
          </w:tcPr>
          <w:p w14:paraId="650360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建设单位应严格落实设计及环评提出的各项环境风险防范措施，及时更新完善应急预案，其环境风险水平是可以接受的。</w:t>
            </w:r>
          </w:p>
        </w:tc>
      </w:tr>
      <w:tr w14:paraId="5A31AA4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5000" w:type="pct"/>
            <w:gridSpan w:val="10"/>
            <w:vAlign w:val="center"/>
          </w:tcPr>
          <w:p w14:paraId="1EB594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cs="Calibri"/>
                <w:kern w:val="2"/>
                <w:sz w:val="21"/>
                <w:lang w:val="en-US" w:eastAsia="zh-CN" w:bidi="ar-SA"/>
              </w:rPr>
            </w:pPr>
            <w:r>
              <w:rPr>
                <w:rFonts w:eastAsia="宋体" w:cs="Calibri"/>
                <w:kern w:val="2"/>
                <w:sz w:val="21"/>
                <w:lang w:val="en-US" w:eastAsia="zh-CN" w:bidi="ar-SA"/>
              </w:rPr>
              <w:t>注：“□”为勾选项，填“√”;“()”为内容填写项。</w:t>
            </w:r>
          </w:p>
        </w:tc>
      </w:tr>
    </w:tbl>
    <w:p w14:paraId="4284F50D">
      <w:pPr>
        <w:keepNext w:val="0"/>
        <w:keepLines w:val="0"/>
        <w:pageBreakBefore w:val="0"/>
        <w:widowControl w:val="0"/>
        <w:kinsoku/>
        <w:wordWrap/>
        <w:overflowPunct/>
        <w:topLinePunct w:val="0"/>
        <w:autoSpaceDE/>
        <w:autoSpaceDN/>
        <w:bidi w:val="0"/>
        <w:adjustRightInd/>
        <w:snapToGrid/>
        <w:spacing w:before="240" w:beforeLines="100" w:after="240" w:afterLines="100" w:line="480" w:lineRule="auto"/>
        <w:jc w:val="center"/>
        <w:textAlignment w:val="auto"/>
        <w:rPr>
          <w:rFonts w:hint="eastAsia" w:eastAsia="宋体"/>
          <w:kern w:val="2"/>
          <w:sz w:val="21"/>
          <w:lang w:val="en-US" w:eastAsia="zh-CN" w:bidi="ar-SA"/>
        </w:rPr>
      </w:pPr>
    </w:p>
    <w:sectPr>
      <w:footerReference r:id="rId13"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0979230-BB3B-4DBC-BB38-C541C8CEB1C0}"/>
  </w:font>
  <w:font w:name="黑体">
    <w:panose1 w:val="02010609060101010101"/>
    <w:charset w:val="86"/>
    <w:family w:val="auto"/>
    <w:pitch w:val="default"/>
    <w:sig w:usb0="800002BF" w:usb1="38CF7CFA" w:usb2="00000016" w:usb3="00000000" w:csb0="00040001" w:csb1="00000000"/>
    <w:embedRegular r:id="rId2" w:fontKey="{9949E423-7FD7-41D6-9963-99BDD91AE4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154AE29-5D0E-4D1B-9CCA-BB4E5BD10B83}"/>
  </w:font>
  <w:font w:name="仿宋_GB2312">
    <w:panose1 w:val="02010609030101010101"/>
    <w:charset w:val="86"/>
    <w:family w:val="modern"/>
    <w:pitch w:val="default"/>
    <w:sig w:usb0="00000001" w:usb1="080E0000" w:usb2="00000000" w:usb3="00000000" w:csb0="00040000" w:csb1="00000000"/>
    <w:embedRegular r:id="rId4" w:fontKey="{3D054334-676C-4D9F-865A-8BB615512735}"/>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embedRegular r:id="rId5" w:fontKey="{112838B5-6A9D-4E51-8283-CA5F94EDCCBD}"/>
  </w:font>
  <w:font w:name="WPSEMBED7">
    <w:panose1 w:val="02010609030101010101"/>
    <w:charset w:val="86"/>
    <w:family w:val="auto"/>
    <w:pitch w:val="default"/>
    <w:sig w:usb0="00000001" w:usb1="080E0000" w:usb2="00000000" w:usb3="00000000" w:csb0="00040000" w:csb1="00000000"/>
  </w:font>
  <w:font w:name="WPSEMBED8">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64198">
    <w:pPr>
      <w:pStyle w:val="1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16277">
    <w:pPr>
      <w:pStyle w:val="12"/>
      <w:framePr w:wrap="around" w:vAnchor="text" w:hAnchor="margin" w:xAlign="center" w:y="1"/>
      <w:rPr>
        <w:rStyle w:val="23"/>
      </w:rPr>
    </w:pPr>
    <w:r>
      <w:fldChar w:fldCharType="begin"/>
    </w:r>
    <w:r>
      <w:rPr>
        <w:rStyle w:val="23"/>
      </w:rPr>
      <w:instrText xml:space="preserve">PAGE  </w:instrText>
    </w:r>
    <w:r>
      <w:fldChar w:fldCharType="end"/>
    </w:r>
  </w:p>
  <w:p w14:paraId="6286EDC6">
    <w:pPr>
      <w:pStyle w:val="1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AE740">
    <w:pPr>
      <w:pStyle w:val="12"/>
      <w:tabs>
        <w:tab w:val="left" w:pos="5414"/>
        <w:tab w:val="clear" w:pos="4153"/>
      </w:tabs>
      <w:ind w:right="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19710" cy="153035"/>
              <wp:effectExtent l="0" t="0" r="0" b="0"/>
              <wp:wrapNone/>
              <wp:docPr id="48" name="文本框 1030"/>
              <wp:cNvGraphicFramePr/>
              <a:graphic xmlns:a="http://schemas.openxmlformats.org/drawingml/2006/main">
                <a:graphicData uri="http://schemas.microsoft.com/office/word/2010/wordprocessingShape">
                  <wps:wsp>
                    <wps:cNvSpPr txBox="1"/>
                    <wps:spPr>
                      <a:xfrm>
                        <a:off x="0" y="0"/>
                        <a:ext cx="219710" cy="153035"/>
                      </a:xfrm>
                      <a:prstGeom prst="rect">
                        <a:avLst/>
                      </a:prstGeom>
                      <a:noFill/>
                      <a:ln>
                        <a:noFill/>
                      </a:ln>
                    </wps:spPr>
                    <wps:txbx>
                      <w:txbxContent>
                        <w:p w14:paraId="6CDC77AB">
                          <w:pPr>
                            <w:pStyle w:val="12"/>
                          </w:pPr>
                          <w:r>
                            <w:fldChar w:fldCharType="begin"/>
                          </w:r>
                          <w:r>
                            <w:instrText xml:space="preserve"> PAGE  \* MERGEFORMAT </w:instrText>
                          </w:r>
                          <w:r>
                            <w:fldChar w:fldCharType="separate"/>
                          </w:r>
                          <w:r>
                            <w:t>- 1 -</w:t>
                          </w:r>
                          <w:r>
                            <w:fldChar w:fldCharType="end"/>
                          </w:r>
                        </w:p>
                      </w:txbxContent>
                    </wps:txbx>
                    <wps:bodyPr vert="horz" wrap="square" lIns="0" tIns="0" rIns="0" bIns="0" anchor="t" anchorCtr="0"/>
                  </wps:wsp>
                </a:graphicData>
              </a:graphic>
            </wp:anchor>
          </w:drawing>
        </mc:Choice>
        <mc:Fallback>
          <w:pict>
            <v:shape id="文本框 1030" o:spid="_x0000_s1026" o:spt="202" type="#_x0000_t202" style="position:absolute;left:0pt;margin-top:0pt;height:12.05pt;width:17.3pt;mso-position-horizontal:center;mso-position-horizontal-relative:margin;z-index:251659264;mso-width-relative:page;mso-height-relative:page;" filled="f" stroked="f" coordsize="21600,21600" o:gfxdata="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xh19U1AAAAAMBAAAPAAAAAAAAAAEAIAAAACIA&#10;AABkcnMvZG93bnJldi54bWxQSwECFAAUAAAACACHTuJAJDWnLNQBAACcAwAADgAAAAAAAAABACAA&#10;AAAjAQAAZHJzL2Uyb0RvYy54bWxQSwUGAAAAAAYABgBZAQAAaQUAAAAA&#10;">
              <v:fill on="f" focussize="0,0"/>
              <v:stroke on="f"/>
              <v:imagedata o:title=""/>
              <o:lock v:ext="edit" aspectratio="f"/>
              <v:textbox inset="0mm,0mm,0mm,0mm">
                <w:txbxContent>
                  <w:p w14:paraId="6CDC77AB">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3E81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7476E1">
                          <w:pPr>
                            <w:pStyle w:val="12"/>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4D7476E1">
                    <w:pPr>
                      <w:pStyle w:val="12"/>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8A4B1">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245" cy="206375"/>
              <wp:effectExtent l="0" t="0" r="0" b="0"/>
              <wp:wrapNone/>
              <wp:docPr id="788739853" name="文本框 33"/>
              <wp:cNvGraphicFramePr/>
              <a:graphic xmlns:a="http://schemas.openxmlformats.org/drawingml/2006/main">
                <a:graphicData uri="http://schemas.microsoft.com/office/word/2010/wordprocessingShape">
                  <wps:wsp>
                    <wps:cNvSpPr txBox="1"/>
                    <wps:spPr>
                      <a:xfrm>
                        <a:off x="0" y="0"/>
                        <a:ext cx="182245" cy="2063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3765"/>
                          </w:sdtPr>
                          <w:sdtContent>
                            <w:p w14:paraId="32EADA66">
                              <w:pPr>
                                <w:pStyle w:val="12"/>
                                <w:widowControl w:val="0"/>
                                <w:pBdr>
                                  <w:top w:val="none" w:color="auto" w:sz="0" w:space="1"/>
                                  <w:left w:val="none" w:color="auto" w:sz="0" w:space="4"/>
                                  <w:bottom w:val="none" w:color="auto" w:sz="0" w:space="1"/>
                                  <w:right w:val="none" w:color="auto" w:sz="0" w:space="4"/>
                                  <w:between w:val="none" w:color="auto" w:sz="0" w:space="0"/>
                                </w:pBdr>
                                <w:adjustRightInd w:val="0"/>
                                <w:snapToGrid w:val="0"/>
                                <w:spacing w:line="240" w:lineRule="auto"/>
                                <w:jc w:val="center"/>
                              </w:pPr>
                              <w:r>
                                <w:fldChar w:fldCharType="begin"/>
                              </w:r>
                              <w:r>
                                <w:instrText xml:space="preserve">PAGE   \* MERGEFORMAT</w:instrText>
                              </w:r>
                              <w:r>
                                <w:fldChar w:fldCharType="separate"/>
                              </w:r>
                              <w:r>
                                <w:rPr>
                                  <w:lang w:val="zh-CN"/>
                                </w:rPr>
                                <w:t>2</w:t>
                              </w:r>
                              <w:r>
                                <w:fldChar w:fldCharType="end"/>
                              </w:r>
                            </w:p>
                          </w:sdtContent>
                        </w:sdt>
                        <w:p w14:paraId="586D94DC"/>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文本框 33" o:spid="_x0000_s1026" o:spt="202" type="#_x0000_t202" style="position:absolute;left:0pt;margin-top:0pt;height:16.25pt;width:14.35pt;mso-position-horizontal:center;mso-position-horizontal-relative:margin;z-index:251661312;mso-width-relative:page;mso-height-relative:page;" filled="f" stroked="f" coordsize="21600,21600" o:gfxdata="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rq7M/UAAAAAwEAAA8AAAAAAAAAAQAgAAAAIgAAAGRycy9kb3ducmV2LnhtbFBLAQIUABQA&#10;AAAIAIdO4kDutrqVLQIAAEQEAAAOAAAAAAAAAAEAIAAAACMBAABkcnMvZTJvRG9jLnhtbFBLBQYA&#10;AAAABgAGAFkBAADCBQAAAAA=&#10;">
              <v:fill on="f" focussize="0,0"/>
              <v:stroke on="f" weight="0.5pt"/>
              <v:imagedata o:title=""/>
              <o:lock v:ext="edit" aspectratio="f"/>
              <v:textbox inset="0mm,0mm,0mm,0mm">
                <w:txbxContent>
                  <w:sdt>
                    <w:sdtPr>
                      <w:id w:val="147453765"/>
                    </w:sdtPr>
                    <w:sdtContent>
                      <w:p w14:paraId="32EADA66">
                        <w:pPr>
                          <w:pStyle w:val="12"/>
                          <w:widowControl w:val="0"/>
                          <w:pBdr>
                            <w:top w:val="none" w:color="auto" w:sz="0" w:space="1"/>
                            <w:left w:val="none" w:color="auto" w:sz="0" w:space="4"/>
                            <w:bottom w:val="none" w:color="auto" w:sz="0" w:space="1"/>
                            <w:right w:val="none" w:color="auto" w:sz="0" w:space="4"/>
                            <w:between w:val="none" w:color="auto" w:sz="0" w:space="0"/>
                          </w:pBdr>
                          <w:adjustRightInd w:val="0"/>
                          <w:snapToGrid w:val="0"/>
                          <w:spacing w:line="240" w:lineRule="auto"/>
                          <w:jc w:val="center"/>
                        </w:pPr>
                        <w:r>
                          <w:fldChar w:fldCharType="begin"/>
                        </w:r>
                        <w:r>
                          <w:instrText xml:space="preserve">PAGE   \* MERGEFORMAT</w:instrText>
                        </w:r>
                        <w:r>
                          <w:fldChar w:fldCharType="separate"/>
                        </w:r>
                        <w:r>
                          <w:rPr>
                            <w:lang w:val="zh-CN"/>
                          </w:rPr>
                          <w:t>2</w:t>
                        </w:r>
                        <w:r>
                          <w:fldChar w:fldCharType="end"/>
                        </w:r>
                      </w:p>
                    </w:sdtContent>
                  </w:sdt>
                  <w:p w14:paraId="586D94DC"/>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45828">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7479397"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8511"/>
                          </w:sdtPr>
                          <w:sdtContent>
                            <w:p w14:paraId="785D139E">
                              <w:pPr>
                                <w:pStyle w:val="12"/>
                              </w:pPr>
                              <w:r>
                                <w:fldChar w:fldCharType="begin"/>
                              </w:r>
                              <w:r>
                                <w:instrText xml:space="preserve">PAGE   \* MERGEFORMAT</w:instrText>
                              </w:r>
                              <w:r>
                                <w:fldChar w:fldCharType="separate"/>
                              </w:r>
                              <w:r>
                                <w:rPr>
                                  <w:lang w:val="zh-CN"/>
                                </w:rPr>
                                <w:t>2</w:t>
                              </w:r>
                              <w:r>
                                <w:fldChar w:fldCharType="end"/>
                              </w:r>
                            </w:p>
                          </w:sdtContent>
                        </w:sdt>
                        <w:p w14:paraId="11FAE653"/>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Gmj3uM2AgAAXwQAAA4AAAAAAAAAAQAgAAAAHwEAAGRycy9lMm9Eb2MueG1s&#10;UEsFBgAAAAAGAAYAWQEAAMcFAAAAAA==&#10;">
              <v:fill on="f" focussize="0,0"/>
              <v:stroke on="f" weight="0.5pt"/>
              <v:imagedata o:title=""/>
              <o:lock v:ext="edit" aspectratio="f"/>
              <v:textbox inset="0mm,0mm,0mm,0mm" style="mso-fit-shape-to-text:t;">
                <w:txbxContent>
                  <w:sdt>
                    <w:sdtPr>
                      <w:id w:val="147458511"/>
                    </w:sdtPr>
                    <w:sdtContent>
                      <w:p w14:paraId="785D139E">
                        <w:pPr>
                          <w:pStyle w:val="12"/>
                        </w:pPr>
                        <w:r>
                          <w:fldChar w:fldCharType="begin"/>
                        </w:r>
                        <w:r>
                          <w:instrText xml:space="preserve">PAGE   \* MERGEFORMAT</w:instrText>
                        </w:r>
                        <w:r>
                          <w:fldChar w:fldCharType="separate"/>
                        </w:r>
                        <w:r>
                          <w:rPr>
                            <w:lang w:val="zh-CN"/>
                          </w:rPr>
                          <w:t>2</w:t>
                        </w:r>
                        <w:r>
                          <w:fldChar w:fldCharType="end"/>
                        </w:r>
                      </w:p>
                    </w:sdtContent>
                  </w:sdt>
                  <w:p w14:paraId="11FAE653"/>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A5589">
    <w:pPr>
      <w:jc w:val="center"/>
      <w:rPr>
        <w:rFonts w:hint="eastAsia"/>
        <w:lang w:val="en-US" w:eastAsia="zh-CN"/>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1C12AE6">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EAnA/tIBAACkAwAADgAAAAAAAAABACAAAAAfAQAA&#10;ZHJzL2Uyb0RvYy54bWxQSwUGAAAAAAYABgBZAQAAYwUAAAAA&#10;">
              <v:fill on="f" focussize="0,0"/>
              <v:stroke on="f" weight="0.5pt"/>
              <v:imagedata o:title=""/>
              <o:lock v:ext="edit" aspectratio="f"/>
              <v:textbox inset="0mm,0mm,0mm,0mm" style="mso-fit-shape-to-text:t;">
                <w:txbxContent>
                  <w:p w14:paraId="11C12AE6">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p w14:paraId="4A3E4D86">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D2950">
    <w:pPr>
      <w:pStyle w:val="13"/>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6036A">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 w:val="035D3297"/>
    <w:rsid w:val="04644811"/>
    <w:rsid w:val="0552716B"/>
    <w:rsid w:val="094D474B"/>
    <w:rsid w:val="0F3D4FB6"/>
    <w:rsid w:val="0FE95EB3"/>
    <w:rsid w:val="105357A5"/>
    <w:rsid w:val="15AE4EC3"/>
    <w:rsid w:val="17C06B86"/>
    <w:rsid w:val="1CDF2BD7"/>
    <w:rsid w:val="1D5E11E8"/>
    <w:rsid w:val="1E016A0C"/>
    <w:rsid w:val="202B191B"/>
    <w:rsid w:val="20E65D8D"/>
    <w:rsid w:val="21CA773B"/>
    <w:rsid w:val="21D051F5"/>
    <w:rsid w:val="2289781C"/>
    <w:rsid w:val="25806B84"/>
    <w:rsid w:val="2A7A6657"/>
    <w:rsid w:val="2CFC47CB"/>
    <w:rsid w:val="2E7C0212"/>
    <w:rsid w:val="33341DA1"/>
    <w:rsid w:val="35472496"/>
    <w:rsid w:val="3978732C"/>
    <w:rsid w:val="3AFD062D"/>
    <w:rsid w:val="3E190930"/>
    <w:rsid w:val="42A163B6"/>
    <w:rsid w:val="48CC365F"/>
    <w:rsid w:val="4C4B25FE"/>
    <w:rsid w:val="4FF60A54"/>
    <w:rsid w:val="51EC67A7"/>
    <w:rsid w:val="5672073A"/>
    <w:rsid w:val="56A5796D"/>
    <w:rsid w:val="58C11F16"/>
    <w:rsid w:val="60D517C3"/>
    <w:rsid w:val="6129558E"/>
    <w:rsid w:val="63185EFB"/>
    <w:rsid w:val="6A542D50"/>
    <w:rsid w:val="6D5E670D"/>
    <w:rsid w:val="6ECF448D"/>
    <w:rsid w:val="71F43BC4"/>
    <w:rsid w:val="74E06816"/>
    <w:rsid w:val="74F01912"/>
    <w:rsid w:val="75F86204"/>
    <w:rsid w:val="760D0CD1"/>
    <w:rsid w:val="7C923CDE"/>
    <w:rsid w:val="7CFF5A01"/>
    <w:rsid w:val="7EC74C41"/>
    <w:rsid w:val="7FF86B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ocked="1"/>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ocked="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ocked="1"/>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ocked="1"/>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ocked="1"/>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ocked="1"/>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20" w:lineRule="exact"/>
      <w:ind w:firstLine="600" w:firstLineChars="200"/>
      <w:jc w:val="both"/>
    </w:pPr>
    <w:rPr>
      <w:rFonts w:ascii="Times New Roman" w:hAnsi="Times New Roman" w:eastAsia="宋体" w:cs="Times New Roman"/>
      <w:sz w:val="24"/>
      <w:szCs w:val="24"/>
      <w:lang w:val="en-US" w:eastAsia="en-US" w:bidi="ar-SA"/>
    </w:rPr>
  </w:style>
  <w:style w:type="paragraph" w:styleId="2">
    <w:name w:val="heading 1"/>
    <w:basedOn w:val="1"/>
    <w:next w:val="1"/>
    <w:link w:val="65"/>
    <w:qFormat/>
    <w:uiPriority w:val="0"/>
    <w:pPr>
      <w:keepNext/>
      <w:keepLines/>
      <w:widowControl w:val="0"/>
      <w:autoSpaceDE w:val="0"/>
      <w:autoSpaceDN w:val="0"/>
      <w:jc w:val="both"/>
      <w:outlineLvl w:val="0"/>
    </w:pPr>
    <w:rPr>
      <w:b/>
      <w:kern w:val="44"/>
      <w:lang w:eastAsia="zh-CN"/>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link w:val="66"/>
    <w:unhideWhenUsed/>
    <w:qFormat/>
    <w:locked/>
    <w:uiPriority w:val="0"/>
    <w:pPr>
      <w:widowControl w:val="0"/>
      <w:spacing w:beforeAutospacing="0" w:afterAutospacing="0"/>
      <w:ind w:firstLine="0" w:firstLineChars="0"/>
      <w:jc w:val="center"/>
      <w:outlineLvl w:val="2"/>
    </w:pPr>
    <w:rPr>
      <w:rFonts w:ascii="Times New Roman" w:hAnsi="Times New Roman" w:cs="宋体"/>
      <w:b/>
      <w:bCs/>
      <w:sz w:val="24"/>
      <w:szCs w:val="24"/>
      <w:lang w:eastAsia="zh-CN" w:bidi="ar"/>
    </w:rPr>
  </w:style>
  <w:style w:type="paragraph" w:styleId="5">
    <w:name w:val="heading 4"/>
    <w:basedOn w:val="1"/>
    <w:next w:val="1"/>
    <w:unhideWhenUsed/>
    <w:qFormat/>
    <w:uiPriority w:val="0"/>
    <w:pPr>
      <w:keepNext/>
      <w:keepLines/>
      <w:autoSpaceDE/>
      <w:autoSpaceDN/>
      <w:spacing w:line="240" w:lineRule="auto"/>
      <w:ind w:firstLine="0" w:firstLineChars="0"/>
      <w:jc w:val="center"/>
      <w:outlineLvl w:val="3"/>
    </w:pPr>
    <w:rPr>
      <w:sz w:val="21"/>
      <w:szCs w:val="21"/>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Normal Indent"/>
    <w:basedOn w:val="1"/>
    <w:qFormat/>
    <w:locked/>
    <w:uiPriority w:val="0"/>
    <w:pPr>
      <w:widowControl w:val="0"/>
      <w:ind w:firstLine="420" w:firstLineChars="200"/>
      <w:jc w:val="both"/>
    </w:pPr>
    <w:rPr>
      <w:rFonts w:eastAsia="仿宋_GB2312"/>
      <w:bCs/>
      <w:kern w:val="2"/>
      <w:sz w:val="32"/>
      <w:szCs w:val="20"/>
      <w:lang w:val="en-US" w:eastAsia="zh-CN" w:bidi="ar-SA"/>
    </w:rPr>
  </w:style>
  <w:style w:type="paragraph" w:styleId="7">
    <w:name w:val="annotation text"/>
    <w:basedOn w:val="1"/>
    <w:qFormat/>
    <w:uiPriority w:val="0"/>
    <w:pPr>
      <w:jc w:val="left"/>
    </w:pPr>
  </w:style>
  <w:style w:type="paragraph" w:styleId="8">
    <w:name w:val="Body Text"/>
    <w:basedOn w:val="1"/>
    <w:next w:val="1"/>
    <w:qFormat/>
    <w:uiPriority w:val="0"/>
    <w:pPr>
      <w:widowControl/>
      <w:snapToGrid w:val="0"/>
      <w:spacing w:before="60" w:after="160" w:line="259" w:lineRule="auto"/>
      <w:ind w:right="113"/>
    </w:pPr>
    <w:rPr>
      <w:kern w:val="0"/>
      <w:sz w:val="18"/>
      <w:szCs w:val="20"/>
    </w:rPr>
  </w:style>
  <w:style w:type="paragraph" w:styleId="9">
    <w:name w:val="Body Text Indent"/>
    <w:basedOn w:val="1"/>
    <w:link w:val="28"/>
    <w:qFormat/>
    <w:uiPriority w:val="0"/>
    <w:pPr>
      <w:widowControl w:val="0"/>
      <w:spacing w:after="120"/>
      <w:ind w:left="420" w:leftChars="200"/>
      <w:jc w:val="both"/>
    </w:pPr>
    <w:rPr>
      <w:rFonts w:eastAsia="宋体"/>
      <w:szCs w:val="20"/>
      <w:lang w:val="en-US" w:eastAsia="zh-CN" w:bidi="ar-SA"/>
    </w:rPr>
  </w:style>
  <w:style w:type="paragraph" w:styleId="10">
    <w:name w:val="Block Text"/>
    <w:basedOn w:val="1"/>
    <w:next w:val="1"/>
    <w:unhideWhenUsed/>
    <w:qFormat/>
    <w:uiPriority w:val="0"/>
    <w:pPr>
      <w:spacing w:beforeLines="0" w:after="120" w:afterLines="0"/>
      <w:ind w:left="1440" w:leftChars="700" w:right="700" w:rightChars="700"/>
    </w:pPr>
    <w:rPr>
      <w:rFonts w:hint="default" w:ascii="Times New Roman" w:hAnsi="Times New Roman" w:eastAsia="宋体" w:cs="Times New Roman"/>
      <w:sz w:val="21"/>
      <w:szCs w:val="24"/>
    </w:rPr>
  </w:style>
  <w:style w:type="paragraph" w:styleId="11">
    <w:name w:val="Plain Text"/>
    <w:basedOn w:val="1"/>
    <w:qFormat/>
    <w:locked/>
    <w:uiPriority w:val="99"/>
    <w:pPr>
      <w:widowControl w:val="0"/>
      <w:jc w:val="both"/>
    </w:pPr>
    <w:rPr>
      <w:rFonts w:ascii="宋体" w:hAnsi="Courier New" w:eastAsia="宋体"/>
      <w:kern w:val="2"/>
      <w:sz w:val="21"/>
      <w:szCs w:val="21"/>
      <w:lang w:val="en-US" w:eastAsia="zh-CN" w:bidi="ar-SA"/>
    </w:rPr>
  </w:style>
  <w:style w:type="paragraph" w:styleId="12">
    <w:name w:val="footer"/>
    <w:basedOn w:val="1"/>
    <w:link w:val="27"/>
    <w:qFormat/>
    <w:uiPriority w:val="99"/>
    <w:pPr>
      <w:widowControl w:val="0"/>
      <w:tabs>
        <w:tab w:val="center" w:pos="4153"/>
        <w:tab w:val="right" w:pos="8306"/>
      </w:tabs>
      <w:snapToGrid w:val="0"/>
    </w:pPr>
    <w:rPr>
      <w:rFonts w:eastAsia="宋体"/>
      <w:sz w:val="18"/>
      <w:szCs w:val="20"/>
      <w:lang w:val="en-US" w:eastAsia="zh-CN" w:bidi="ar-SA"/>
    </w:rPr>
  </w:style>
  <w:style w:type="paragraph" w:styleId="13">
    <w:name w:val="header"/>
    <w:basedOn w:val="1"/>
    <w:link w:val="26"/>
    <w:qFormat/>
    <w:uiPriority w:val="0"/>
    <w:pPr>
      <w:widowControl w:val="0"/>
      <w:pBdr>
        <w:bottom w:val="single" w:color="auto" w:sz="6" w:space="1"/>
      </w:pBdr>
      <w:tabs>
        <w:tab w:val="center" w:pos="4153"/>
        <w:tab w:val="right" w:pos="8306"/>
      </w:tabs>
      <w:snapToGrid w:val="0"/>
      <w:jc w:val="center"/>
    </w:pPr>
    <w:rPr>
      <w:rFonts w:eastAsia="宋体"/>
      <w:sz w:val="18"/>
      <w:szCs w:val="20"/>
      <w:lang w:val="en-US" w:eastAsia="zh-CN" w:bidi="ar-SA"/>
    </w:rPr>
  </w:style>
  <w:style w:type="paragraph" w:styleId="14">
    <w:name w:val="toc 1"/>
    <w:basedOn w:val="1"/>
    <w:next w:val="1"/>
    <w:unhideWhenUsed/>
    <w:qFormat/>
    <w:locked/>
    <w:uiPriority w:val="39"/>
    <w:pPr>
      <w:widowControl w:val="0"/>
      <w:jc w:val="both"/>
    </w:pPr>
    <w:rPr>
      <w:rFonts w:eastAsia="宋体"/>
      <w:kern w:val="2"/>
      <w:sz w:val="21"/>
      <w:lang w:val="en-US" w:eastAsia="zh-CN" w:bidi="ar-SA"/>
    </w:rPr>
  </w:style>
  <w:style w:type="paragraph" w:styleId="15">
    <w:name w:val="List"/>
    <w:basedOn w:val="1"/>
    <w:next w:val="16"/>
    <w:qFormat/>
    <w:locked/>
    <w:uiPriority w:val="0"/>
    <w:pPr>
      <w:widowControl w:val="0"/>
      <w:ind w:left="200" w:hanging="200" w:hangingChars="200"/>
      <w:jc w:val="both"/>
    </w:pPr>
    <w:rPr>
      <w:rFonts w:eastAsia="宋体"/>
      <w:kern w:val="2"/>
      <w:sz w:val="21"/>
      <w:lang w:val="en-US" w:eastAsia="zh-CN" w:bidi="ar-SA"/>
    </w:rPr>
  </w:style>
  <w:style w:type="paragraph" w:styleId="16">
    <w:name w:val="Body Text First Indent"/>
    <w:basedOn w:val="8"/>
    <w:next w:val="1"/>
    <w:qFormat/>
    <w:uiPriority w:val="0"/>
    <w:pPr>
      <w:adjustRightInd w:val="0"/>
      <w:spacing w:before="50" w:beforeLines="50" w:after="0" w:line="360" w:lineRule="auto"/>
      <w:ind w:firstLine="200"/>
    </w:pPr>
    <w:rPr>
      <w:sz w:val="24"/>
    </w:rPr>
  </w:style>
  <w:style w:type="paragraph" w:styleId="17">
    <w:name w:val="Normal (Web)"/>
    <w:basedOn w:val="1"/>
    <w:link w:val="31"/>
    <w:qFormat/>
    <w:uiPriority w:val="0"/>
    <w:pPr>
      <w:spacing w:before="100" w:beforeAutospacing="1" w:after="100" w:afterAutospacing="1"/>
    </w:pPr>
    <w:rPr>
      <w:rFonts w:ascii="宋体" w:hAnsi="宋体" w:eastAsia="宋体"/>
      <w:szCs w:val="20"/>
      <w:lang w:val="en-US" w:eastAsia="zh-CN" w:bidi="ar-SA"/>
    </w:rPr>
  </w:style>
  <w:style w:type="paragraph" w:styleId="18">
    <w:name w:val="Body Text First Indent 2"/>
    <w:basedOn w:val="9"/>
    <w:next w:val="1"/>
    <w:qFormat/>
    <w:locked/>
    <w:uiPriority w:val="0"/>
    <w:pPr>
      <w:ind w:firstLine="420"/>
    </w:pPr>
    <w:rPr>
      <w:sz w:val="21"/>
      <w:szCs w:val="24"/>
    </w:rPr>
  </w:style>
  <w:style w:type="table" w:styleId="20">
    <w:name w:val="Table Grid"/>
    <w:basedOn w:val="19"/>
    <w:qFormat/>
    <w:uiPriority w:val="0"/>
    <w:rPr>
      <w:rFonts w:eastAsia="宋体"/>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styleId="24">
    <w:name w:val="annotation reference"/>
    <w:semiHidden/>
    <w:qFormat/>
    <w:uiPriority w:val="0"/>
    <w:rPr>
      <w:sz w:val="21"/>
    </w:rPr>
  </w:style>
  <w:style w:type="paragraph" w:customStyle="1" w:styleId="25">
    <w:name w:val="Char Char Char Char Char Char Char Char Char1 Char"/>
    <w:basedOn w:val="1"/>
    <w:qFormat/>
    <w:uiPriority w:val="0"/>
    <w:pPr>
      <w:spacing w:line="360" w:lineRule="auto"/>
      <w:ind w:firstLine="200" w:firstLineChars="200"/>
    </w:pPr>
    <w:rPr>
      <w:rFonts w:hAnsi="宋体" w:cs="宋体"/>
      <w:spacing w:val="0"/>
      <w:sz w:val="24"/>
      <w:szCs w:val="24"/>
    </w:rPr>
  </w:style>
  <w:style w:type="character" w:customStyle="1" w:styleId="26">
    <w:name w:val="页眉 Char"/>
    <w:link w:val="13"/>
    <w:qFormat/>
    <w:locked/>
    <w:uiPriority w:val="0"/>
    <w:rPr>
      <w:rFonts w:eastAsia="宋体"/>
      <w:sz w:val="18"/>
    </w:rPr>
  </w:style>
  <w:style w:type="character" w:customStyle="1" w:styleId="27">
    <w:name w:val="页脚 Char"/>
    <w:link w:val="12"/>
    <w:qFormat/>
    <w:locked/>
    <w:uiPriority w:val="99"/>
    <w:rPr>
      <w:rFonts w:eastAsia="宋体"/>
      <w:sz w:val="18"/>
    </w:rPr>
  </w:style>
  <w:style w:type="character" w:customStyle="1" w:styleId="28">
    <w:name w:val="正文文本缩进 Char"/>
    <w:link w:val="9"/>
    <w:semiHidden/>
    <w:qFormat/>
    <w:locked/>
    <w:uiPriority w:val="0"/>
    <w:rPr>
      <w:rFonts w:eastAsia="宋体"/>
      <w:sz w:val="24"/>
    </w:rPr>
  </w:style>
  <w:style w:type="table" w:customStyle="1" w:styleId="29">
    <w:name w:val="Table Normal_0"/>
    <w:basedOn w:val="19"/>
    <w:qFormat/>
    <w:uiPriority w:val="0"/>
    <w:rPr>
      <w:rFonts w:eastAsia="宋体"/>
    </w:rPr>
    <w:tblPr>
      <w:tblCellMar>
        <w:left w:w="0" w:type="dxa"/>
        <w:right w:w="0" w:type="dxa"/>
      </w:tblCellMar>
    </w:tblPr>
  </w:style>
  <w:style w:type="paragraph" w:customStyle="1" w:styleId="30">
    <w:name w:val="Table Text"/>
    <w:basedOn w:val="1"/>
    <w:semiHidden/>
    <w:qFormat/>
    <w:uiPriority w:val="0"/>
    <w:pPr>
      <w:widowControl w:val="0"/>
      <w:jc w:val="both"/>
    </w:pPr>
    <w:rPr>
      <w:rFonts w:ascii="宋体" w:hAnsi="宋体" w:eastAsia="宋体" w:cs="宋体"/>
      <w:kern w:val="2"/>
      <w:sz w:val="20"/>
      <w:szCs w:val="20"/>
      <w:lang w:val="en-US" w:eastAsia="en-US" w:bidi="ar-SA"/>
    </w:rPr>
  </w:style>
  <w:style w:type="character" w:customStyle="1" w:styleId="31">
    <w:name w:val="普通(网站) Char"/>
    <w:link w:val="17"/>
    <w:qFormat/>
    <w:locked/>
    <w:uiPriority w:val="0"/>
    <w:rPr>
      <w:rFonts w:ascii="宋体" w:hAnsi="宋体" w:eastAsia="宋体"/>
      <w:sz w:val="24"/>
    </w:rPr>
  </w:style>
  <w:style w:type="paragraph" w:customStyle="1" w:styleId="32">
    <w:name w:val="纯文本1"/>
    <w:basedOn w:val="1"/>
    <w:qFormat/>
    <w:uiPriority w:val="0"/>
    <w:pPr>
      <w:widowControl w:val="0"/>
      <w:jc w:val="both"/>
    </w:pPr>
    <w:rPr>
      <w:rFonts w:ascii="宋体" w:hAnsi="Courier New" w:eastAsia="宋体" w:cs="Courier New"/>
      <w:kern w:val="2"/>
      <w:sz w:val="21"/>
      <w:szCs w:val="21"/>
      <w:lang w:val="en-US" w:eastAsia="zh-CN" w:bidi="ar-SA"/>
    </w:rPr>
  </w:style>
  <w:style w:type="paragraph" w:customStyle="1" w:styleId="33">
    <w:name w:val="Default"/>
    <w:basedOn w:val="32"/>
    <w:next w:val="1"/>
    <w:qFormat/>
    <w:uiPriority w:val="0"/>
    <w:pPr>
      <w:autoSpaceDE w:val="0"/>
      <w:autoSpaceDN w:val="0"/>
      <w:adjustRightInd w:val="0"/>
    </w:pPr>
    <w:rPr>
      <w:rFonts w:hAnsi="Times New Roman" w:cs="宋体"/>
      <w:color w:val="000000"/>
      <w:sz w:val="24"/>
      <w:szCs w:val="24"/>
    </w:rPr>
  </w:style>
  <w:style w:type="paragraph" w:customStyle="1" w:styleId="34">
    <w:name w:val="正文 楷体"/>
    <w:basedOn w:val="1"/>
    <w:qFormat/>
    <w:uiPriority w:val="0"/>
    <w:pPr>
      <w:widowControl w:val="0"/>
      <w:spacing w:line="500" w:lineRule="exact"/>
      <w:ind w:firstLine="200" w:firstLineChars="200"/>
      <w:jc w:val="both"/>
    </w:pPr>
    <w:rPr>
      <w:rFonts w:ascii="楷体_GB2312" w:hAnsi="楷体_GB2312" w:eastAsia="楷体_GB2312" w:cs="宋体"/>
      <w:kern w:val="2"/>
      <w:lang w:val="en-US" w:eastAsia="zh-CN" w:bidi="ar-SA"/>
    </w:rPr>
  </w:style>
  <w:style w:type="paragraph" w:customStyle="1" w:styleId="35">
    <w:name w:val="zwb-正文"/>
    <w:basedOn w:val="1"/>
    <w:qFormat/>
    <w:uiPriority w:val="0"/>
    <w:pPr>
      <w:widowControl w:val="0"/>
      <w:spacing w:line="360" w:lineRule="auto"/>
      <w:ind w:firstLine="480" w:firstLineChars="200"/>
      <w:jc w:val="both"/>
    </w:pPr>
    <w:rPr>
      <w:rFonts w:eastAsia="宋体"/>
      <w:kern w:val="2"/>
      <w:lang w:val="en-US" w:eastAsia="zh-CN" w:bidi="ar-SA"/>
    </w:rPr>
  </w:style>
  <w:style w:type="paragraph" w:customStyle="1" w:styleId="36">
    <w:name w:val="图表名称"/>
    <w:next w:val="1"/>
    <w:qFormat/>
    <w:uiPriority w:val="0"/>
    <w:pPr>
      <w:adjustRightInd w:val="0"/>
      <w:snapToGrid w:val="0"/>
      <w:spacing w:line="360" w:lineRule="auto"/>
      <w:jc w:val="center"/>
    </w:pPr>
    <w:rPr>
      <w:rFonts w:ascii="宋体" w:hAnsi="宋体" w:eastAsia="Times New Roman" w:cs="Times New Roman"/>
      <w:b/>
      <w:bCs/>
      <w:kern w:val="2"/>
      <w:sz w:val="24"/>
      <w:szCs w:val="24"/>
      <w:lang w:val="en-US" w:eastAsia="zh-CN" w:bidi="ar-SA"/>
    </w:rPr>
  </w:style>
  <w:style w:type="paragraph" w:customStyle="1" w:styleId="37">
    <w:name w:val="表格内"/>
    <w:basedOn w:val="1"/>
    <w:qFormat/>
    <w:uiPriority w:val="0"/>
    <w:pPr>
      <w:widowControl w:val="0"/>
      <w:adjustRightInd w:val="0"/>
      <w:snapToGrid w:val="0"/>
      <w:spacing w:line="360" w:lineRule="exact"/>
      <w:jc w:val="center"/>
    </w:pPr>
    <w:rPr>
      <w:snapToGrid w:val="0"/>
      <w:sz w:val="21"/>
      <w:szCs w:val="21"/>
      <w:lang w:val="en-US" w:eastAsia="zh-CN" w:bidi="ar-SA"/>
    </w:rPr>
  </w:style>
  <w:style w:type="paragraph" w:customStyle="1" w:styleId="38">
    <w:name w:val="中石油正文"/>
    <w:basedOn w:val="1"/>
    <w:qFormat/>
    <w:uiPriority w:val="0"/>
    <w:pPr>
      <w:widowControl w:val="0"/>
      <w:spacing w:line="560" w:lineRule="exact"/>
      <w:ind w:firstLine="480" w:firstLineChars="200"/>
      <w:jc w:val="both"/>
    </w:pPr>
    <w:rPr>
      <w:rFonts w:ascii="宋体" w:hAnsi="宋体" w:eastAsia="宋体"/>
      <w:kern w:val="2"/>
      <w:lang w:val="en-US" w:eastAsia="zh-CN" w:bidi="ar-SA"/>
    </w:rPr>
  </w:style>
  <w:style w:type="paragraph" w:customStyle="1" w:styleId="39">
    <w:name w:val="阿拉山口正文"/>
    <w:basedOn w:val="38"/>
    <w:qFormat/>
    <w:uiPriority w:val="0"/>
  </w:style>
  <w:style w:type="paragraph" w:customStyle="1" w:styleId="40">
    <w:name w:val="农贸市场正文"/>
    <w:basedOn w:val="39"/>
    <w:qFormat/>
    <w:uiPriority w:val="0"/>
    <w:pPr>
      <w:spacing w:line="360" w:lineRule="auto"/>
      <w:ind w:firstLine="200"/>
    </w:pPr>
    <w:rPr>
      <w:rFonts w:ascii="Times New Roman" w:hAnsi="Times New Roman"/>
      <w:b/>
      <w:snapToGrid w:val="0"/>
      <w:color w:val="000000"/>
    </w:rPr>
  </w:style>
  <w:style w:type="paragraph" w:customStyle="1" w:styleId="41">
    <w:name w:val="表格"/>
    <w:basedOn w:val="15"/>
    <w:next w:val="1"/>
    <w:link w:val="42"/>
    <w:qFormat/>
    <w:uiPriority w:val="0"/>
    <w:pPr>
      <w:adjustRightInd w:val="0"/>
      <w:snapToGrid w:val="0"/>
      <w:spacing w:beforeLines="10" w:afterLines="10" w:line="259" w:lineRule="auto"/>
      <w:jc w:val="center"/>
    </w:pPr>
    <w:rPr>
      <w:rFonts w:ascii="宋体"/>
      <w:kern w:val="0"/>
      <w:szCs w:val="20"/>
    </w:rPr>
  </w:style>
  <w:style w:type="character" w:customStyle="1" w:styleId="42">
    <w:name w:val="表格 Char"/>
    <w:link w:val="41"/>
    <w:qFormat/>
    <w:locked/>
    <w:uiPriority w:val="0"/>
    <w:rPr>
      <w:rFonts w:ascii="宋体" w:eastAsia="宋体"/>
      <w:sz w:val="21"/>
    </w:rPr>
  </w:style>
  <w:style w:type="paragraph" w:customStyle="1" w:styleId="43">
    <w:name w:val="三级标题"/>
    <w:basedOn w:val="1"/>
    <w:next w:val="1"/>
    <w:qFormat/>
    <w:uiPriority w:val="0"/>
    <w:pPr>
      <w:keepNext/>
      <w:widowControl w:val="0"/>
      <w:jc w:val="both"/>
      <w:outlineLvl w:val="2"/>
    </w:pPr>
    <w:rPr>
      <w:rFonts w:eastAsia="黑体"/>
      <w:kern w:val="2"/>
      <w:sz w:val="28"/>
      <w:lang w:val="en-US" w:eastAsia="zh-CN" w:bidi="ar-SA"/>
    </w:rPr>
  </w:style>
  <w:style w:type="paragraph" w:customStyle="1" w:styleId="44">
    <w:name w:val="四级标题"/>
    <w:basedOn w:val="43"/>
    <w:next w:val="1"/>
    <w:qFormat/>
    <w:uiPriority w:val="0"/>
    <w:pPr>
      <w:outlineLvl w:val="3"/>
    </w:pPr>
    <w:rPr>
      <w:rFonts w:eastAsia="宋体"/>
      <w:b/>
      <w:sz w:val="24"/>
    </w:rPr>
  </w:style>
  <w:style w:type="paragraph" w:customStyle="1" w:styleId="45">
    <w:name w:val="表格内容"/>
    <w:basedOn w:val="44"/>
    <w:qFormat/>
    <w:uiPriority w:val="0"/>
    <w:pPr>
      <w:autoSpaceDE w:val="0"/>
      <w:autoSpaceDN w:val="0"/>
      <w:adjustRightInd w:val="0"/>
      <w:jc w:val="center"/>
      <w:textAlignment w:val="center"/>
    </w:pPr>
    <w:rPr>
      <w:kern w:val="0"/>
      <w:sz w:val="21"/>
      <w:szCs w:val="21"/>
    </w:rPr>
  </w:style>
  <w:style w:type="paragraph" w:customStyle="1" w:styleId="46">
    <w:name w:val="表头"/>
    <w:basedOn w:val="45"/>
    <w:next w:val="1"/>
    <w:link w:val="59"/>
    <w:qFormat/>
    <w:uiPriority w:val="0"/>
    <w:pPr>
      <w:snapToGrid w:val="0"/>
      <w:spacing w:before="60" w:after="60" w:line="400" w:lineRule="exact"/>
    </w:pPr>
    <w:rPr>
      <w:rFonts w:ascii="黑体" w:eastAsia="黑体"/>
      <w:snapToGrid w:val="0"/>
      <w:spacing w:val="10"/>
      <w:w w:val="98"/>
      <w:kern w:val="21"/>
      <w:szCs w:val="20"/>
    </w:rPr>
  </w:style>
  <w:style w:type="paragraph" w:customStyle="1" w:styleId="47">
    <w:name w:val="报告书正文"/>
    <w:basedOn w:val="11"/>
    <w:qFormat/>
    <w:uiPriority w:val="0"/>
    <w:pPr>
      <w:widowControl/>
      <w:spacing w:line="360" w:lineRule="auto"/>
      <w:ind w:firstLine="480" w:firstLineChars="200"/>
    </w:pPr>
    <w:rPr>
      <w:rFonts w:ascii="Times New Roman" w:hAnsi="Times New Roman"/>
      <w:sz w:val="24"/>
      <w:szCs w:val="24"/>
    </w:rPr>
  </w:style>
  <w:style w:type="paragraph" w:customStyle="1" w:styleId="48">
    <w:name w:val="p17"/>
    <w:basedOn w:val="1"/>
    <w:qFormat/>
    <w:uiPriority w:val="0"/>
    <w:pPr>
      <w:jc w:val="both"/>
    </w:pPr>
    <w:rPr>
      <w:rFonts w:ascii="宋体" w:hAnsi="宋体" w:eastAsia="宋体" w:cs="宋体"/>
      <w:sz w:val="21"/>
      <w:szCs w:val="21"/>
      <w:lang w:val="en-US" w:eastAsia="zh-CN" w:bidi="ar-SA"/>
    </w:rPr>
  </w:style>
  <w:style w:type="paragraph" w:customStyle="1" w:styleId="49">
    <w:name w:val="报告正文"/>
    <w:basedOn w:val="48"/>
    <w:qFormat/>
    <w:uiPriority w:val="0"/>
    <w:pPr>
      <w:widowControl w:val="0"/>
      <w:snapToGrid w:val="0"/>
      <w:spacing w:line="360" w:lineRule="auto"/>
      <w:ind w:firstLine="200" w:firstLineChars="200"/>
    </w:pPr>
    <w:rPr>
      <w:rFonts w:ascii="Times New Roman" w:hAnsi="Times New Roman" w:cs="Times New Roman"/>
      <w:snapToGrid w:val="0"/>
      <w:sz w:val="24"/>
      <w:szCs w:val="28"/>
    </w:rPr>
  </w:style>
  <w:style w:type="paragraph" w:customStyle="1" w:styleId="50">
    <w:name w:val="报告表正文"/>
    <w:basedOn w:val="49"/>
    <w:qFormat/>
    <w:uiPriority w:val="0"/>
    <w:pPr>
      <w:adjustRightInd w:val="0"/>
      <w:ind w:firstLine="482"/>
      <w:textAlignment w:val="baseline"/>
    </w:pPr>
    <w:rPr>
      <w:rFonts w:eastAsia="Times New Roman"/>
    </w:rPr>
  </w:style>
  <w:style w:type="paragraph" w:customStyle="1" w:styleId="51">
    <w:name w:val="简单回函地址"/>
    <w:basedOn w:val="1"/>
    <w:qFormat/>
    <w:uiPriority w:val="0"/>
    <w:pPr>
      <w:widowControl w:val="0"/>
      <w:jc w:val="both"/>
    </w:pPr>
    <w:rPr>
      <w:rFonts w:eastAsia="宋体"/>
      <w:kern w:val="2"/>
      <w:szCs w:val="20"/>
      <w:lang w:val="en-US" w:eastAsia="zh-CN" w:bidi="ar-SA"/>
    </w:rPr>
  </w:style>
  <w:style w:type="paragraph" w:customStyle="1" w:styleId="52">
    <w:name w:val="一级标题"/>
    <w:basedOn w:val="1"/>
    <w:next w:val="1"/>
    <w:link w:val="53"/>
    <w:qFormat/>
    <w:uiPriority w:val="0"/>
    <w:pPr>
      <w:keepNext/>
      <w:widowControl w:val="0"/>
      <w:adjustRightInd w:val="0"/>
      <w:spacing w:before="100" w:beforeLines="100" w:after="100" w:afterLines="100" w:line="360" w:lineRule="auto"/>
      <w:jc w:val="center"/>
      <w:outlineLvl w:val="0"/>
    </w:pPr>
    <w:rPr>
      <w:rFonts w:eastAsia="宋体" w:cs="Calibri"/>
      <w:b/>
      <w:kern w:val="2"/>
      <w:sz w:val="36"/>
      <w:lang w:val="en-US" w:eastAsia="zh-CN" w:bidi="ar-SA"/>
    </w:rPr>
  </w:style>
  <w:style w:type="character" w:customStyle="1" w:styleId="53">
    <w:name w:val="一级标题 字符"/>
    <w:basedOn w:val="21"/>
    <w:link w:val="52"/>
    <w:qFormat/>
    <w:uiPriority w:val="0"/>
    <w:rPr>
      <w:rFonts w:eastAsia="宋体" w:cs="Calibri"/>
      <w:b/>
      <w:kern w:val="2"/>
      <w:sz w:val="36"/>
      <w:szCs w:val="24"/>
    </w:rPr>
  </w:style>
  <w:style w:type="paragraph" w:customStyle="1" w:styleId="54">
    <w:name w:val="二级标题"/>
    <w:basedOn w:val="1"/>
    <w:next w:val="1"/>
    <w:link w:val="55"/>
    <w:qFormat/>
    <w:uiPriority w:val="0"/>
    <w:pPr>
      <w:keepNext/>
      <w:widowControl w:val="0"/>
      <w:adjustRightInd w:val="0"/>
      <w:spacing w:before="50" w:beforeLines="50" w:after="50" w:afterLines="50" w:line="360" w:lineRule="auto"/>
      <w:outlineLvl w:val="1"/>
    </w:pPr>
    <w:rPr>
      <w:rFonts w:eastAsia="宋体" w:cs="Calibri"/>
      <w:b/>
      <w:kern w:val="2"/>
      <w:sz w:val="32"/>
      <w:lang w:val="en-US" w:eastAsia="zh-CN" w:bidi="ar-SA"/>
    </w:rPr>
  </w:style>
  <w:style w:type="character" w:customStyle="1" w:styleId="55">
    <w:name w:val="二级标题 字符"/>
    <w:basedOn w:val="21"/>
    <w:link w:val="54"/>
    <w:qFormat/>
    <w:uiPriority w:val="0"/>
    <w:rPr>
      <w:rFonts w:eastAsia="宋体" w:cs="Calibri"/>
      <w:b/>
      <w:kern w:val="2"/>
      <w:sz w:val="32"/>
      <w:szCs w:val="24"/>
    </w:rPr>
  </w:style>
  <w:style w:type="paragraph" w:customStyle="1" w:styleId="56">
    <w:name w:val="图件格式"/>
    <w:basedOn w:val="1"/>
    <w:link w:val="57"/>
    <w:qFormat/>
    <w:uiPriority w:val="0"/>
    <w:pPr>
      <w:widowControl w:val="0"/>
      <w:adjustRightInd w:val="0"/>
      <w:spacing w:line="360" w:lineRule="auto"/>
      <w:jc w:val="center"/>
    </w:pPr>
    <w:rPr>
      <w:rFonts w:eastAsia="宋体" w:cs="Calibri"/>
      <w:kern w:val="2"/>
      <w:lang w:val="en-US" w:eastAsia="zh-CN" w:bidi="ar-SA"/>
    </w:rPr>
  </w:style>
  <w:style w:type="character" w:customStyle="1" w:styleId="57">
    <w:name w:val="图件格式 字符"/>
    <w:basedOn w:val="21"/>
    <w:link w:val="56"/>
    <w:qFormat/>
    <w:uiPriority w:val="0"/>
    <w:rPr>
      <w:rFonts w:eastAsia="宋体" w:cs="Calibri"/>
      <w:kern w:val="2"/>
      <w:sz w:val="24"/>
      <w:szCs w:val="24"/>
      <w:lang w:eastAsia="zh-CN"/>
    </w:rPr>
  </w:style>
  <w:style w:type="paragraph" w:customStyle="1" w:styleId="58">
    <w:name w:val="图号"/>
    <w:basedOn w:val="46"/>
    <w:next w:val="1"/>
    <w:link w:val="60"/>
    <w:qFormat/>
    <w:uiPriority w:val="0"/>
    <w:pPr>
      <w:keepNext w:val="0"/>
      <w:autoSpaceDE/>
      <w:autoSpaceDN/>
      <w:snapToGrid/>
      <w:spacing w:before="50" w:beforeLines="50" w:after="50" w:afterLines="50" w:line="240" w:lineRule="auto"/>
      <w:textAlignment w:val="auto"/>
      <w:outlineLvl w:val="9"/>
    </w:pPr>
    <w:rPr>
      <w:rFonts w:ascii="Times New Roman" w:eastAsia="宋体" w:cs="Calibri"/>
      <w:snapToGrid/>
      <w:spacing w:val="0"/>
      <w:w w:val="100"/>
      <w:kern w:val="2"/>
      <w:sz w:val="24"/>
      <w:szCs w:val="24"/>
    </w:rPr>
  </w:style>
  <w:style w:type="character" w:customStyle="1" w:styleId="59">
    <w:name w:val="表头 字符"/>
    <w:basedOn w:val="21"/>
    <w:link w:val="46"/>
    <w:qFormat/>
    <w:uiPriority w:val="0"/>
    <w:rPr>
      <w:rFonts w:eastAsia="宋体" w:cs="Calibri"/>
      <w:b/>
      <w:kern w:val="2"/>
      <w:sz w:val="24"/>
      <w:szCs w:val="24"/>
    </w:rPr>
  </w:style>
  <w:style w:type="character" w:customStyle="1" w:styleId="60">
    <w:name w:val="图号 字符"/>
    <w:basedOn w:val="59"/>
    <w:link w:val="58"/>
    <w:qFormat/>
    <w:uiPriority w:val="0"/>
    <w:rPr>
      <w:rFonts w:eastAsia="黑体"/>
      <w:lang w:eastAsia="zh-CN"/>
    </w:rPr>
  </w:style>
  <w:style w:type="table" w:customStyle="1" w:styleId="61">
    <w:name w:val="Table Normal_0_0"/>
    <w:semiHidden/>
    <w:unhideWhenUsed/>
    <w:qFormat/>
    <w:uiPriority w:val="0"/>
    <w:rPr>
      <w:rFonts w:ascii="Arial" w:hAnsi="Arial" w:eastAsia="等线" w:cs="Arial"/>
    </w:rPr>
    <w:tblPr>
      <w:tblCellMar>
        <w:top w:w="0" w:type="dxa"/>
        <w:left w:w="0" w:type="dxa"/>
        <w:bottom w:w="0" w:type="dxa"/>
        <w:right w:w="0" w:type="dxa"/>
      </w:tblCellMar>
    </w:tblPr>
  </w:style>
  <w:style w:type="paragraph" w:customStyle="1" w:styleId="62">
    <w:name w:val="Table Paragraph"/>
    <w:basedOn w:val="1"/>
    <w:qFormat/>
    <w:uiPriority w:val="1"/>
  </w:style>
  <w:style w:type="paragraph" w:customStyle="1" w:styleId="63">
    <w:name w:val="表头1"/>
    <w:basedOn w:val="1"/>
    <w:qFormat/>
    <w:uiPriority w:val="0"/>
    <w:pPr>
      <w:tabs>
        <w:tab w:val="left" w:pos="5280"/>
      </w:tabs>
      <w:autoSpaceDE w:val="0"/>
      <w:autoSpaceDN w:val="0"/>
      <w:adjustRightInd w:val="0"/>
      <w:snapToGrid w:val="0"/>
      <w:ind w:firstLine="422"/>
      <w:jc w:val="center"/>
      <w:textAlignment w:val="baseline"/>
    </w:pPr>
    <w:rPr>
      <w:b/>
      <w:kern w:val="16"/>
      <w:szCs w:val="20"/>
    </w:rPr>
  </w:style>
  <w:style w:type="paragraph" w:customStyle="1" w:styleId="64">
    <w:name w:val="表头！！！！！！！！！！"/>
    <w:autoRedefine/>
    <w:qFormat/>
    <w:uiPriority w:val="0"/>
    <w:pPr>
      <w:widowControl w:val="0"/>
      <w:autoSpaceDE w:val="0"/>
      <w:autoSpaceDN w:val="0"/>
      <w:adjustRightInd w:val="0"/>
      <w:spacing w:line="300" w:lineRule="exact"/>
      <w:ind w:firstLine="420" w:firstLineChars="200"/>
      <w:jc w:val="center"/>
      <w:textAlignment w:val="baseline"/>
    </w:pPr>
    <w:rPr>
      <w:rFonts w:ascii="宋体" w:hAnsi="宋体" w:eastAsia="宋体" w:cs="Times New Roman"/>
      <w:b/>
      <w:snapToGrid w:val="0"/>
      <w:sz w:val="21"/>
      <w:szCs w:val="24"/>
      <w:lang w:val="en-US" w:eastAsia="zh-CN" w:bidi="ar-SA"/>
    </w:rPr>
  </w:style>
  <w:style w:type="character" w:customStyle="1" w:styleId="65">
    <w:name w:val="标题 1 Char"/>
    <w:link w:val="2"/>
    <w:qFormat/>
    <w:uiPriority w:val="0"/>
    <w:rPr>
      <w:b/>
      <w:kern w:val="44"/>
      <w:lang w:eastAsia="zh-CN"/>
    </w:rPr>
  </w:style>
  <w:style w:type="character" w:customStyle="1" w:styleId="66">
    <w:name w:val="标题 3 Char"/>
    <w:link w:val="4"/>
    <w:qFormat/>
    <w:uiPriority w:val="0"/>
    <w:rPr>
      <w:rFonts w:ascii="Times New Roman" w:hAnsi="Times New Roman" w:cs="宋体"/>
      <w:b/>
      <w:bCs/>
      <w:sz w:val="24"/>
      <w:szCs w:val="24"/>
      <w:lang w:eastAsia="zh-CN" w:bidi="ar"/>
    </w:rPr>
  </w:style>
  <w:style w:type="paragraph" w:customStyle="1" w:styleId="67">
    <w:name w:val="B图表标题"/>
    <w:basedOn w:val="1"/>
    <w:qFormat/>
    <w:uiPriority w:val="0"/>
    <w:pPr>
      <w:ind w:firstLine="0" w:firstLineChars="0"/>
      <w:jc w:val="center"/>
    </w:pPr>
    <w:rPr>
      <w:b/>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customXml" Target="../customXml/item1.xml"/><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wmf"/><Relationship Id="rId26" Type="http://schemas.openxmlformats.org/officeDocument/2006/relationships/image" Target="media/image10.wmf"/><Relationship Id="rId25" Type="http://schemas.openxmlformats.org/officeDocument/2006/relationships/image" Target="media/image9.wmf"/><Relationship Id="rId24" Type="http://schemas.openxmlformats.org/officeDocument/2006/relationships/image" Target="media/image8.wmf"/><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e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emf"/><Relationship Id="rId16" Type="http://schemas.openxmlformats.org/officeDocument/2006/relationships/oleObject" Target="embeddings/oleObject1.bin"/><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URBd0pUZEVKVEpESlRJeVpXeGxiV1Z1ZEhNbE1qSWxNMEVsTjBJbE1qSnhRM0p4Y0VSRWIyWlFNelE1TmpVMEpUSXlKVE5CSlRkQ0pUSXlhV1FsTWpJbE0wRWxNakp4UTNKeGNFUkViMlpRTXpRNU5qVTBKVEl5SlRKREpUSXlibUZ0WlNVeU1pVXpRU1V5TW5CeWIyTmxjM01sTWpJbE1rTWxNakowYVhSc1pTVXlNaVV6UVNVeU1pVkZOaVZDTlNVNE1TVkZOeVZCT0NVNFFpVXlNaVV5UXlVeU1tTmhkR1ZuYjNKNUpUSXlKVE5CSlRJeVpteHZk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wMmRYVjJjMFppUTJFMk5ERTBOellsTWpJbE4wUWxNa01sTjBJbE1qSnVZVzFsSlRJeUpUTkJKVEl5SlVVMUpUa3dKVGhFSlVVM0pVRTNKVUl3SlRJeUpUSkRKVEl5ZEhsd1pTVXlNaVV6UVNVeU1uTjBjbWx1WnlVeU1pVXlReVV5TW5aaGJIVmxKVEl5SlROQkpUSXlKVEl5SlRKREpUSXlZMkYwWldkdmNua2xNaklsTTBFbE1qSmtaV1poZFd4MEpUSXlKVEpESlRJeWFXUWxNaklsTTBFbE1qSktlblpJVG5WblZYTnlNalk0TmpNe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qRWxNak1sUlRnbFFrUWxRa0lsUlRjbE9ETWxPRE1sUlRVbE9FVWxPVVlsUlRZbE9UWWxPVGtsUlVZbFFrTWxPRGdsUlRjbFFrUWxPVEFsUlRnbFFrUWxRVFlsUlVZbFFrTWxPRGt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5jWFprY2xwcGRtaE9NVFUxTWprMUpUSXlKVE5CSlRkQ0pUSXlhV1FsTWpJbE0wRWxNakpuY1haa2NscHBkbWhPTVRVMU1qazFKVEl5SlRKREpUSXlibUZ0WlNVeU1pVXpRU1V5TW5CeWIyTmxjM01sTWpJbE1rTWxNakowYVhSc1pTVXlNaVV6UVNVeU1pVkZOaVZDTlNVNE1TVkZOeVZCT0NVNFFpVXlNaVV5UXlVeU1tTmhkR1ZuYjNKNUpUSXlKVE5CSlRJeVpteHZk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oUVdHRjJaSGxqYlVnNE1UUTJOallsTWpJbE4wUWxNa01sTjBJbE1qSnVZVzFsSlRJeUpUTkJKVEl5SlVVMUpUa3dKVGhFSlVVM0pVRTNKVUl3SlRJeUpUSkRKVEl5ZEhsd1pTVXlNaVV6UVNVeU1uTjBjbWx1WnlVeU1pVXlReVV5TW5aaGJIVmxKVEl5SlROQkpUSXlKVEl5SlRKREpUSXlZMkYwWldkdmNua2xNaklsTTBFbE1qSmtaV1poZFd4MEpUSXlKVEpESlRJeWFXUWxNaklsTTBFbE1qSmhhMWhxVEhwd1pIRmhNemt5T1RNe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qRWxNak1sUlRnbFFrUWxRa0lsUlRjbE9ETWxPRE1sUlRVbE9FUWxRamdsUlRnbFFrUWxRVFlsUlRZbFFqTWxRal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dlR3h1ZEhSS2JucHVOekl5TWpjNEpUSXlKVE5CSlRkQ0pUSXlhV1FsTWpJbE0wRWxNakpHZUd4dWRIUktibnB1TnpJeU1qYzRKVEl5SlRKREpUSXlibUZ0WlNVeU1pVXpRU1V5TW5CeWIyTmxjM01sTWpJbE1rTWxNakowYVhSc1pTVXlNaVV6UVNVeU1pVkZOaVZDTlNVNE1TVkZOeVZCT0NVNFFpVXlNaVV5UXlVeU1tTmhkR1ZuYjNKNUpUSXlKVE5CSlRJeVpteHZk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WQmQxTkdiMWRxVFdveU16STFOekVsTWpJbE4wUWxNa01sTjBJbE1qSnVZVzFsSlRJeUpUTkJKVEl5SlVVMUpUa3dKVGhFSlVVM0pVRTNKVUl3SlRJeUpUSkRKVEl5ZEhsd1pTVXlNaVV6UVNVeU1uTjBjbWx1WnlVeU1pVXlReVV5TW5aaGJIVmxKVEl5SlROQkpUSXlKVEl5SlRKREpUSXlZMkYwWldkdmNua2xNaklsTTBFbE1qSmtaV1poZFd4MEpUSXlKVEpESlRJeWFXUWxNaklsTTBFbE1qSndiVzVSUkdkRWEwdFhOVGcyT0Rn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eVU1TUNVNE15VkZOeVZDUkNVNU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GSlNtbE1kWHB3ZW1zeU5qazVNRGdsTWpJbE0wRWxOMElsTWpKcFpDVXlNaVV6UVNVeU1sRkpTbWxNZFhwd2Vtc3lOams1TURnbE1qSWxNa01sTWpKdVlXMWxKVEl5SlROQkpUSXljSEp2WTJWemN5VXlNaVV5UXlVeU1uUnBkR3hsSlRJeUpUTkJKVEl5SlVVMkpVSTFKVGd4SlVVM0pVRTRKVGhDSlRJeUpUSkRKVEl5WTJGMFpXZHZjbmtsTWpJbE0wRWxNakptYkc5M0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V1ZUYkUxbGVVSklSRE0wTXpZM01pVXlNaVUzUkNVeVF5VTNRaVV5TW01aGJXVWxNaklsTTBFbE1qSWxSVFVsT1RBbE9FUWxSVGNsUVRjbFFqQWxNaklsTWtNbE1qSjBlWEJsSlRJeUpUTkJKVEl5YzNSeWFXNW5KVEl5SlRKREpUSXlkbUZzZFdVbE1qSWxNMEVsTWpJbE1qSWxNa01sTWpKallYUmxaMjl5ZVNVeU1pVXpRU1V5TW1SbFptRjFiSFFsTWpJbE1rTWxNakpwWkNVeU1pVXpRU1V5TWxGRmVsZGxaRkZYYTFBd09EVTRNRG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PQ1ZDUlNVNU15VkZPU1U0TUNVNE1TVkZOaVZDTXlWQ0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OeVQyeG5SM1pLV1ZjeE9EUTVNRE1sTWpJbE0wRWxOMElsTWpKcFpDVXlNaVV6UVNVeU1uTnlUMnhuUjNaS1dWY3hPRFE1TURNbE1qSWxNa01sTWpKdVlXMWxKVEl5SlROQkpUSXljSEp2WTJWemN5VXlNaVV5UXlVeU1uUnBkR3hsSlRJeUpUTkJKVEl5SlVVMkpVSTFKVGd4SlVVM0pVRTRKVGhDSlRJeUpUSkRKVEl5WTJGMFpXZHZjbmtsTWpJbE0wRWxNakptYkc5M0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RVUo0YjFoaFIySkNTRGM1TXpjeE9TVXlNaVUzUkNVeVF5VTNRaVV5TW01aGJXVWxNaklsTTBFbE1qSWxSVFVsT1RBbE9FUWxSVGNsUVRjbFFqQWxNaklsTWtNbE1qSjBlWEJsSlRJeUpUTkJKVEl5YzNSeWFXNW5KVEl5SlRKREpUSXlkbUZzZFdVbE1qSWxNMEVsTWpJbE1qSWxNa01sTWpKallYUmxaMjl5ZVNVeU1pVXpRU1V5TW1SbFptRjFiSFFsTWpJbE1rTWxNakpwWkNVeU1pVXpRU1V5TW1WelNXdDBaSEpZYW1VNU56RTJOal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0pUaEZKVUl3SlVVMkpUbERKVGc1SlVVMUpVSTNKVUUxSlVVM0pVRTRKVGhDSlVVMEpVSTRKVUpDSlVVNEpVRXpKVGcxSlVVM0pVSkVKVUZ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jblpHZW1kS1YyRkdSakEzTXpBeU1TVXlNaVV6UVNVM1FpVXlNbWxrSlRJeUpUTkJKVEl5Y25aR2VtZEtWMkZHUmpBM016QXlN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pUMk5VUzNkNFFYcHdOREl5TWpNeUpUSXlKVGRFSlRKREpUZENKVEl5Ym1GdFpTVXlNaVV6UVNVeU1pVkZOU1U1TUNVNFJDVkZOeVZCTnlWQ01DVXlNaVV5UXlVeU1uUjVjR1VsTWpJbE0wRWxNakp6ZEhKcGJtY2xNaklsTWtNbE1qSjJZV3gxWlNVeU1pVXpRU1V5TWlVeU1pVXlReVV5TW1OaGRHVm5iM0o1SlRJeUpUTkJKVEl5WkdWbVlYVnNkQ1V5TWlVeVF5VXlNbWxrSlRJeUpUTkJKVEl5ZFhkeGJGcFJUMHRPY3pjek16WTBN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zSlRoRkpVSXdKVVUySlRsREpUZzVKVVUxSlVJM0pVRTFKVVUzSlVFNEpUaENKVVUwSlVJNEpVSkNKVVU0SlVFekpUZzFKVVUzSlVKRUpVR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FuZExkMkpIYzI5UFdUQXdNVEEwTVNVeU1pVXpRU1UzUWlVeU1tbGtKVEl5SlROQkpUSXlRbmRMZDJKSGMyOVBXVEF3TVRBME1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lRHNVBWV1Z3ZGxoUU9EQTNNakEwSlRJeUpUZEVKVEpESlRkQ0pUSXlibUZ0WlNVeU1pVXpRU1V5TWlWRk5TVTVNQ1U0UkNWRk55VkJOeVZDTUNVeU1pVXlReVV5TW5SNWNHVWxNaklsTTBFbE1qSnpkSEpwYm1jbE1qSWxNa01sTWpKMllXeDFaU1V5TWlVelFTVXlNaVV5TWlVeVF5VXlNbU5oZEdWbmIzSjVKVEl5SlROQkpUSXlaR1ZtWVhWc2RDVXlNaVV5UXlVeU1tbGtKVEl5SlROQkpUSXllVWhaYTNCM2RXUnNTVEV3TURRek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NKVGt3SlRnekpVVTNKVUpFSlRr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ZGxCbVpVUnBUMWRIVWpBMU16QXlOeVV5TWlVelFTVTNRaVV5TW1sa0pUSXlKVE5CSlRJeWRsQm1aVVJwVDFkSFVqQTFNekF5Tn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XYVZCd1lYUmxSM2hqTXpRek16WTFKVEl5SlRkRUpUSkRKVGRDSlRJeWJtRnRaU1V5TWlVelFTVXlNaVZGTlNVNU1DVTRSQ1ZGTnlWQk55VkNNQ1V5TWlVeVF5VXlNblI1Y0dVbE1qSWxNMEVsTWpKemRISnBibWNsTWpJbE1rTWxNakoyWVd4MVpTVXlNaVV6UVNVeU1pVXlNaVV5UXlVeU1tTmhkR1ZuYjNKNUpUSXlKVE5CSlRJeVpHVm1ZWFZzZENVeU1pVXlReVV5TW1sa0pUSXlKVE5CSlRJeWJuRkdaMmQ0YWtSVWJEWXpNRFl3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GdsUWtVbE9UTWxSVGtsT0RBbE9ERWxSVFlsUWpNbFFq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S2JWTlRWbGw1ZEhOdE9EUXhOVGsySlRJeUpUTkJKVGRDSlRJeWFXUWxNaklsTTBFbE1qSktiVk5UVmxsNWRITnRPRFF4TlRrMk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SUmFteDNWRTFLU2tzNU5UY3hPRFlsTWpJbE4wUWxNa01sTjBJbE1qSnVZVzFsSlRJeUpUTkJKVEl5SlVVMUpUa3dKVGhFSlVVM0pVRTNKVUl3SlRJeUpUSkRKVEl5ZEhsd1pTVXlNaVV6UVNVeU1uTjBjbWx1WnlVeU1pVXlReVV5TW5aaGJIVmxKVEl5SlROQkpUSXlKVEl5SlRKREpUSXlZMkYwWldkdmNua2xNaklsTTBFbE1qSmtaV1poZFd4MEpUSXlKVEpESlRJeWFXUWxNaklsTTBFbE1qSkRZVlJWUWxoM1pIcGtORE16TXpNM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NKVGhGSlVJd0pVVTJKVGxESlRnNUpVVTFKVUkzSlVFMUpVVTNKVUU0SlRoQ0pVVTRKVUl3SlRnekpVVTJKVUl5SlVJNUpVVTJKVUkzSlVJM0pVVTFKVGt3SlRnNEpVVTFKVGs1SlVFN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VVWbWMwaFNTRUY2U2pjek5qRXpOeVV5TWlVelFTVTNRaVV5TW1sa0pUSXlKVE5CSlRJeVVVVm1jMGhTU0VGNlNqY3pOakV6Tn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XYkVKRVZGcGhZVlZNTVRrMk9UWXdKVEl5SlRkRUpUSkRKVGRDSlRJeWJtRnRaU1V5TWlVelFTVXlNaVZGTlNVNU1DVTRSQ1ZGTnlWQk55VkNNQ1V5TWlVeVF5VXlNblI1Y0dVbE1qSWxNMEVsTWpKemRISnBibWNsTWpJbE1rTWxNakoyWVd4MVpTVXlNaVV6UVNVeU1pVXlNaVV5UXlVeU1tTmhkR1ZuYjNKNUpUSXlKVE5CSlRJeVpHVm1ZWFZzZENVeU1pVXlReVV5TW1sa0pUSXlKVE5CSlRJeWRGQnpiRWhrVkZWNFZqUXdNVE0yTX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GNsUVRJbFFqTWxSVFFsUWtFbE9UUWxSVGNsT0RNbFFqY2xSVGNsT0RNbE9ETWxSVGdsUVRNbE9EVWxSVGdsUWtRbFFUWWxSVFlsUWpNbFFq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WFRtNTFZMlpyV2tWVE5UY3lOVE15SlRJeUpUTkJKVGRDSlRJeWFXUWxNaklsTTBFbE1qSlhUbTUxWTJacldrVlROVGN5TlRNe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OblpsWnpkMnh3U0Vzd01EUTROVGNsTWpJbE4wUWxNa01sTjBJbE1qSnVZVzFsSlRJeUpUTkJKVEl5SlVVMUpUa3dKVGhFSlVVM0pVRTNKVUl3SlRJeUpUSkRKVEl5ZEhsd1pTVXlNaVV6UVNVeU1uTjBjbWx1WnlVeU1pVXlReVV5TW5aaGJIVmxKVEl5SlROQkpUSXlKVEl5SlRKREpUSXlZMkYwWldkdmNua2xNaklsTTBFbE1qSmtaV1poZFd4MEpUSXlKVEpESlRJeWFXUWxNaklsTTBFbE1qSnpSbHBpVm1WWWEzZE1NVEUxTWpRe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Z2xRVE1sT0RVbFJUZ2xRa1FsUVRZbFJUTWxPREFsT0RFbFJUVWxRVFFsT1RZbFJUZ2xRa1lsT1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1VVhGMmFVRkJVVkpKTnpnd016QTBKVEl5SlROQkpUZENKVEl5YVdRbE1qSWxNMEVsTWpKdVVYRjJhVUZCVVZKSk56Z3dNekEwSlRJeUpUSkRKVEl5Ym1GdFpTVXlNaVV6UVNVeU1uTjBZVzVrWVhKa1ZHVjRkQ1V5TWlVeVF5VXlNblJwZEd4bEpUSXlKVE5CSlRJeUpUSXlKVEpESlRJeVkyRjBaV2R2Y25rbE1qSWxNMEVsTWpKemRHRnVaR0Z5WkN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xUkNVeVF5VXlNbkJ5YjNCekpUSXlKVE5CSlRkQ0pUSXllQ1V5TWlVelFUTTJOaVV5UXlVeU1ua2xNaklsTTBFek5UQWxNa01sTWpKM0pUSXlKVE5CTVRBd0pUSkRKVEl5YUNVeU1pVXpRVFF3SlRKREpUSXllbWx1WkdWNEpUSXlKVE5CTWpJbE1rTWxNakpoYm1kc1pTVXlNaVV6UVRBbE4wUWxNa01sTWpKemFHRndaVk4wZVd4bEpUSXlKVE5CSlRkQ0pUSXlZV3h3YUdFbE1qSWxNMEV4SlRkRUpUSkRKVEl5YkdsdVpWTjBlV3hsSlRJeUpUTkJKVGRD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OU1ZDUVNVNVJpVkZOaVZDTUNVNU5DVkZNeVU0TUNVNE1TVkZOU1U1T1NWQlFTVkZOU1ZCTXlWQ0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KU2JYcG1hSGhuVjB3ME56YzBNak1sTWpJbE0wRWxOMElsTWpKcFpDVXlNaVV6UVNVeU1rSlNiWHBtYUhoblYwdzBOemMwTWpNbE1qSWxNa01sTWpKdVlXMWxKVEl5SlROQkpUSXljM1JoYm1SaGNtUlVaWGgwSlRJeUpUSkRKVEl5ZEdsMGJHVWxNaklsTTBFbE1qSWxNaklsTWtNbE1qSmpZWFJsWjI5eWVTVXlNaVV6UVNVeU1uTjBZVzVrWVhKa0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WRUpUSkRKVEl5Y0hKdmNITWxNaklsTTBFbE4wSWxNako0SlRJeUpUTkJOak01TGpjMUpUSkRKVEl5ZVNVeU1pVXpRVFl5TVM0eE1qVWxNa01sTWpKM0pUSXlKVE5CTVRBd0pUSkRKVEl5YUNVeU1pVXpRVEkzTGpnM05TVXlReVV5TW5wcGJtUmxlQ1V5TWlVelFUSTBKVEpESlRJeVlXNW5iR1VsTWpJbE0wRXdKVGRFSlRKREpUSXljMmhoY0dWVGRIbHNaU1V5TWlVelFTVTNRaVV5TW1Gc2NHaGhKVEl5SlROQk1TVTNSQ1V5UXlVeU1teHBibVZUZEhsc1pTVXlNaVV6UVNVM1Fp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FFrRWxPVVlsUlRZbFFqQWxPVFFsUlRNbE9EQWxPREVsUlRVbE9Ua2xRVUVsUlRVbFFUTWxRak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WRUpUSkRKVEl5Y0hKdmNITWxNaklsTTBFbE4wSWxNako0SlRJeUpUTkJOak01TGpjMUpUSkRKVEl5ZVNVeU1pVXpRVE0zTUNVeVF5VXlNbmNsTWpJbE0wRXhNREFsTWtNbE1qSm9KVEl5SlROQk1qQWxNa01sTWpKNmFXNWtaWGdsTWpJbE0wRXlOaVV5UXlVeU1tRnVaMnhsSlRJeUpUTkJNQ1UzUkNVeVF5VXlNbk5vWVhCbFUzUjViR1VsTWpJbE0wRWxOMElsTWpKaGJIQm9ZU1V5TWlVelFURWxOMFFsTWtNbE1qSnNhVzVsVTNSNWJHVWxNaklsTTBFbE4wS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UpUazVKVUZCSlVVMUpVRXpKVUl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xUkNVeVF5VXlNbkJ5YjNCekpUSXlKVE5CSlRkQ0pUSXllQ1V5TWlVelFUWXpPUzQzTlNVeVF5VXlNbmtsTWpJbE0wRTFNelF1TURZeU5TVXlReVV5TW5jbE1qSWxNMEV4TURBbE1rTWxNakpvSlRJeUpUTkJNakFsTWtNbE1qSjZhVzVrWlhnbE1qSWxNMEV5T0NVeVF5VXlNbUZ1WjJ4bEpUSXlKVE5CTUNVM1JDVXlReVV5TW5Ob1lYQmxVM1I1YkdVbE1qSWxNMEVsTjBJbE1qSmhiSEJvWVNVeU1pVXpRVEVsTjBRbE1rTWxNakpzYVc1bFUzUjViR1VsTWpJbE0wRWxOMEl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FsTWtNbE1qSjVKVEl5SlROQk1DVXlReVV5TW5jbE1qSWxNMEVsTWpKM0pUSXlKVEpESlRJeWFDVXlNaVV6UVNVeU1tZ2xNaklsTjBRbE1rTWxNakowWlhoMEpUSXlKVE5CSlRJeUpVVTFKVGs1SlVGQkpVVTFKVUV6SlVJ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ZEV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mUwNzNiNmUyLTRiOWMtNGE4Yy1iYjdkLWNjNGE3ODk5MjdjOCIKfQo="/>
    </extobj>
  </extobjs>
</s:customData>
</file>

<file path=customXml/item2.xml><?xml version="1.0" encoding="utf-8"?>
<contractReview xmlns="http://schemas.wps.cn/vas-ai-hub/contract-review">
  <reviewItems>
    <reviewItem>
      <errorID>2bc996f4-ab32-403a-adc2-c1ca77a014ed</errorID>
      <errorWord>-</errorWord>
      <group>L1_Format</group>
      <groupName>格式问题</groupName>
      <ability>L2_HalfPunc_CN</ability>
      <abilityName>全半角检查</abilityName>
      <candidateList>
        <item>－</item>
      </candidateList>
      <explain>文本全半角错误。</explain>
      <paraID> D057D5D</paraID>
      <start>45</start>
      <end>46</end>
      <status>unmodified</status>
      <modifiedWord/>
      <trackRevisions>false</trackRevisions>
    </reviewItem>
    <reviewItem>
      <errorID>3af3975f-0c26-480d-9cc4-d69bce47d040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46C0291C</paraID>
      <start>25</start>
      <end>26</end>
      <status>unmodified</status>
      <modifiedWord/>
      <trackRevisions>false</trackRevisions>
    </reviewItem>
    <reviewItem>
      <errorID>8edc3296-d2d5-40dc-a027-c485fa828d76</errorID>
      <errorWord>&lt;</errorWord>
      <group>L1_Format</group>
      <groupName>格式问题</groupName>
      <ability>L2_HalfPunc_CN</ability>
      <abilityName>全半角检查</abilityName>
      <candidateList>
        <item>〈</item>
      </candidateList>
      <explain>文本全半角错误。</explain>
      <paraID>43711A26</paraID>
      <start>11</start>
      <end>12</end>
      <status>modified</status>
      <modifiedWord>〈</modifiedWord>
      <trackRevisions>false</trackRevisions>
    </reviewItem>
    <reviewItem>
      <errorID>aa7439cd-b886-455c-852d-bea9df61767c</errorID>
      <errorWord>&gt;</errorWord>
      <group>L1_Format</group>
      <groupName>格式问题</groupName>
      <ability>L2_HalfPunc_CN</ability>
      <abilityName>全半角检查</abilityName>
      <candidateList>
        <item>〉</item>
      </candidateList>
      <explain>文本全半角错误。</explain>
      <paraID>43711A26</paraID>
      <start>38</start>
      <end>39</end>
      <status>modified</status>
      <modifiedWord>〉</modifiedWord>
      <trackRevisions>false</trackRevisions>
    </reviewItem>
    <reviewItem>
      <errorID>e187045c-3437-4b64-b2ac-30457ffd07cd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337BFCC</paraID>
      <start>29</start>
      <end>30</end>
      <status>unmodified</status>
      <modifiedWord/>
      <trackRevisions>false</trackRevisions>
    </reviewItem>
    <reviewItem>
      <errorID>cf2337cc-0d55-4e08-9eac-029751ba4be9</errorID>
      <errorWord>&lt;</errorWord>
      <group>L1_Format</group>
      <groupName>格式问题</groupName>
      <ability>L2_HalfPunc_CN</ability>
      <abilityName>全半角检查</abilityName>
      <candidateList>
        <item>〈</item>
      </candidateList>
      <explain>文本全半角错误。</explain>
      <paraID>13C3B1B8</paraID>
      <start>13</start>
      <end>14</end>
      <status>modified</status>
      <modifiedWord>〈</modifiedWord>
      <trackRevisions>false</trackRevisions>
    </reviewItem>
    <reviewItem>
      <errorID>4eb07509-5eb0-40ec-8008-180a557ab636</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13C3B1B8</paraID>
      <start>31</start>
      <end>32</end>
      <status>unmodified</status>
      <modifiedWord/>
      <trackRevisions>false</trackRevisions>
    </reviewItem>
    <reviewItem>
      <errorID>90bcf60b-499c-4243-aefa-ffe33b8b2c4e</errorID>
      <errorWord>&gt;</errorWord>
      <group>L1_Format</group>
      <groupName>格式问题</groupName>
      <ability>L2_HalfPunc_CN</ability>
      <abilityName>全半角检查</abilityName>
      <candidateList>
        <item>〉</item>
      </candidateList>
      <explain>文本全半角错误。</explain>
      <paraID>13C3B1B8</paraID>
      <start>45</start>
      <end>46</end>
      <status>modified</status>
      <modifiedWord>〉</modifiedWord>
      <trackRevisions>false</trackRevisions>
    </reviewItem>
    <reviewItem>
      <errorID>5849cf6b-518b-4a63-a262-da626a296d83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11412903</paraID>
      <start>23</start>
      <end>24</end>
      <status>unmodified</status>
      <modifiedWord/>
      <trackRevisions>false</trackRevisions>
    </reviewItem>
    <reviewItem>
      <errorID>f37643f8-d417-4940-addf-dc70feb92ab8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49E29830</paraID>
      <start>21</start>
      <end>22</end>
      <status>unmodified</status>
      <modifiedWord/>
      <trackRevisions>false</trackRevisions>
    </reviewItem>
    <reviewItem>
      <errorID>a37fe34a-6570-49a8-91e6-6c98de4c81e2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2DA43CA6</paraID>
      <start>26</start>
      <end>27</end>
      <status>unmodified</status>
      <modifiedWord/>
      <trackRevisions>false</trackRevisions>
    </reviewItem>
    <reviewItem>
      <errorID>d0257648-7d62-422b-b123-d83470fdafa6</errorID>
      <errorWord>属</errorWord>
      <group>L1_Word</group>
      <groupName>字词问题</groupName>
      <ability>L2_Typo</ability>
      <abilityName>字词错误</abilityName>
      <candidateList>
        <item>属于</item>
      </candidateList>
      <explain/>
      <paraID>443F1D1B</paraID>
      <start>47</start>
      <end>48</end>
      <status>unmodified</status>
      <modifiedWord/>
      <trackRevisions>false</trackRevisions>
    </reviewItem>
    <reviewItem>
      <errorID>76c5b134-39b0-4b69-bf0c-1c44269e9531</errorID>
      <errorWord>，</errorWord>
      <group>L1_Word</group>
      <groupName>字词问题</groupName>
      <ability>L2_Typo</ability>
      <abilityName>字词错误</abilityName>
      <candidateList>
        <item>，对</item>
      </candidateList>
      <explain/>
      <paraID>68103278</paraID>
      <start>138</start>
      <end>139</end>
      <status>unmodified</status>
      <modifiedWord/>
      <trackRevisions>false</trackRevisions>
    </reviewItem>
    <reviewItem>
      <errorID>d5808138-fe40-4c3f-8f40-3ef9398368be</errorID>
      <errorWord>国家发改委</errorWord>
      <group>L1_Knowledge</group>
      <groupName>知识性问题</groupName>
      <ability>L2_Knowledge</ability>
      <abilityName>其他知识</abilityName>
      <candidateList>
        <item>国家发展改革委</item>
      </candidateList>
      <explain/>
      <paraID>201CD986</paraID>
      <start>49</start>
      <end>54</end>
      <status>unmodified</status>
      <modifiedWord/>
      <trackRevisions>false</trackRevisions>
    </reviewItem>
    <reviewItem>
      <errorID>3211900d-1815-47da-a362-cf41c48b620c</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201CD986</paraID>
      <start>66</start>
      <end>67</end>
      <status>unmodified</status>
      <modifiedWord/>
      <trackRevisions>false</trackRevisions>
    </reviewItem>
    <reviewItem>
      <errorID>87ceb9c3-2d74-409e-bbf8-66126430770b</errorID>
      <errorWord>委员会局</errorWord>
      <group>L1_Word</group>
      <groupName>字词问题</groupName>
      <ability>L2_Typo</ability>
      <abilityName>字词错误</abilityName>
      <candidateList>
        <item>委员会</item>
      </candidateList>
      <explain/>
      <paraID>3F2F1C95</paraID>
      <start>43</start>
      <end>47</end>
      <status>unmodified</status>
      <modifiedWord/>
      <trackRevisions>false</trackRevisions>
    </reviewItem>
    <reviewItem>
      <errorID>0790cd07-55ec-4330-99fa-0c9284180ef0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6BF32C6C</paraID>
      <start>24</start>
      <end>25</end>
      <status>unmodified</status>
      <modifiedWord/>
      <trackRevisions>false</trackRevisions>
    </reviewItem>
    <reviewItem>
      <errorID>018ae43f-734f-484b-932c-fb4215043fe3</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6BF32C6C</paraID>
      <start>30</start>
      <end>31</end>
      <status>unmodified</status>
      <modifiedWord/>
      <trackRevisions>false</trackRevisions>
    </reviewItem>
    <reviewItem>
      <errorID>e403d8da-ef1d-43da-aa6c-e2f4fc51a5e9</errorID>
      <errorWord>&lt;</errorWord>
      <group>L1_Format</group>
      <groupName>格式问题</groupName>
      <ability>L2_HalfPunc_CN</ability>
      <abilityName>全半角检查</abilityName>
      <candidateList>
        <item>〈</item>
      </candidateList>
      <explain>文本全半角错误。</explain>
      <paraID>6BF32C6C</paraID>
      <start>43</start>
      <end>44</end>
      <status>unmodified</status>
      <modifiedWord/>
      <trackRevisions>false</trackRevisions>
    </reviewItem>
    <reviewItem>
      <errorID>4bd06805-f238-4659-8f73-f00589381e29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6BF32C6C</paraID>
      <start>61</start>
      <end>62</end>
      <status>unmodified</status>
      <modifiedWord/>
      <trackRevisions>false</trackRevisions>
    </reviewItem>
    <reviewItem>
      <errorID>4c05a295-3ffd-473d-ac73-26c0af631626</errorID>
      <errorWord>&gt;</errorWord>
      <group>L1_Format</group>
      <groupName>格式问题</groupName>
      <ability>L2_HalfPunc_CN</ability>
      <abilityName>全半角检查</abilityName>
      <candidateList>
        <item>〉</item>
      </candidateList>
      <explain>文本全半角错误。</explain>
      <paraID>6BF32C6C</paraID>
      <start>75</start>
      <end>76</end>
      <status>unmodified</status>
      <modifiedWord/>
      <trackRevisions>false</trackRevisions>
    </reviewItem>
    <reviewItem>
      <errorID>8b41a059-8669-4f26-bdfa-a80bfb9d6dd8</errorID>
      <errorWord>生态红线</errorWord>
      <group>L1_Political</group>
      <groupName>政治性问题</groupName>
      <ability>L2_Unpolitical</ability>
      <abilityName>政治敏感错误</abilityName>
      <candidateList>
        <item>生态保护红线</item>
      </candidateList>
      <explain/>
      <paraID>77BD2619</paraID>
      <start>100</start>
      <end>104</end>
      <status>unmodified</status>
      <modifiedWord/>
      <trackRevisions>false</trackRevisions>
    </reviewItem>
    <reviewItem>
      <errorID>57e17cec-5033-46bd-85f5-d2bbaa78b3bf</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73D7E797</paraID>
      <start>141</start>
      <end>142</end>
      <status>unmodified</status>
      <modifiedWord/>
      <trackRevisions>false</trackRevisions>
    </reviewItem>
    <reviewItem>
      <errorID>de14d584-e69c-49c0-907e-b6202a01fc59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268761A</paraID>
      <start>53</start>
      <end>54</end>
      <status>unmodified</status>
      <modifiedWord/>
      <trackRevisions>false</trackRevisions>
    </reviewItem>
    <reviewItem>
      <errorID>d6fe9307-1231-466a-a85d-78aead1466b9</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 268761A</paraID>
      <start>59</start>
      <end>60</end>
      <status>unmodified</status>
      <modifiedWord/>
      <trackRevisions>false</trackRevisions>
    </reviewItem>
    <reviewItem>
      <errorID>c2a00bdb-14e9-4e28-847f-9bd3d57d2052</errorID>
      <errorWord>&lt;</errorWord>
      <group>L1_Format</group>
      <groupName>格式问题</groupName>
      <ability>L2_HalfPunc_CN</ability>
      <abilityName>全半角检查</abilityName>
      <candidateList>
        <item>〈</item>
      </candidateList>
      <explain>文本全半角错误。</explain>
      <paraID> 268761A</paraID>
      <start>72</start>
      <end>73</end>
      <status>unmodified</status>
      <modifiedWord/>
      <trackRevisions>false</trackRevisions>
    </reviewItem>
    <reviewItem>
      <errorID>d7ddcd96-339c-47cd-aeed-012e0b66753a</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268761A</paraID>
      <start>90</start>
      <end>91</end>
      <status>unmodified</status>
      <modifiedWord/>
      <trackRevisions>false</trackRevisions>
    </reviewItem>
    <reviewItem>
      <errorID>e50da0cb-3a92-42cf-a2a6-054357586691</errorID>
      <errorWord>&gt;</errorWord>
      <group>L1_Format</group>
      <groupName>格式问题</groupName>
      <ability>L2_HalfPunc_CN</ability>
      <abilityName>全半角检查</abilityName>
      <candidateList>
        <item>〉</item>
      </candidateList>
      <explain>文本全半角错误。</explain>
      <paraID> 268761A</paraID>
      <start>104</start>
      <end>105</end>
      <status>unmodified</status>
      <modifiedWord/>
      <trackRevisions>false</trackRevisions>
    </reviewItem>
    <reviewItem>
      <errorID>b84b36c2-0cc5-4b43-bf48-0bcc9cf6085a</errorID>
      <errorWord>）</errorWord>
      <group>L1_Word</group>
      <groupName>字词问题</groupName>
      <ability>L2_Typo</ability>
      <abilityName>字词错误</abilityName>
      <candidateList>
        <item>）和</item>
      </candidateList>
      <explain/>
      <paraID>4FA3F910</paraID>
      <start>23</start>
      <end>24</end>
      <status>unmodified</status>
      <modifiedWord/>
      <trackRevisions>false</trackRevisions>
    </reviewItem>
    <reviewItem>
      <errorID>7e52db93-9236-4655-973e-fc4c5c6d7bf1</errorID>
      <errorWord>1,4-丁二醇</errorWord>
      <group>L1_Sensitive</group>
      <groupName>敏感问题</groupName>
      <ability>L2_Prohibited</ability>
      <abilityName>违禁内容</abilityName>
      <candidateList/>
      <explain>【违禁内容】句中涉及国家法律明令禁止的违禁内容，请注意甄别。</explain>
      <paraID>39425F41</paraID>
      <start>115</start>
      <end>122</end>
      <status>unmodified</status>
      <modifiedWord/>
      <trackRevisions>false</trackRevisions>
    </reviewItem>
    <reviewItem>
      <errorID>93156db7-8aa3-4abb-a60c-8898be5deea5</errorID>
      <errorWord>生态红线</errorWord>
      <group>L1_Political</group>
      <groupName>政治性问题</groupName>
      <ability>L2_Unpolitical</ability>
      <abilityName>政治敏感错误</abilityName>
      <candidateList>
        <item>生态保护红线</item>
      </candidateList>
      <explain/>
      <paraID>42D3C622</paraID>
      <start>45</start>
      <end>51</end>
      <status>modified</status>
      <modifiedWord>生态保护红线</modifiedWord>
      <trackRevisions>false</trackRevisions>
    </reviewItem>
    <reviewItem>
      <errorID>8fd29949-9568-40ce-ab5a-0ed0a4473b95</errorID>
      <errorWord>资源节约高效利用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词汇“资源节约集约利用”在特定场景下为固定表述形式，请确认此处的“资源节约高效利用”是否存在不当。</explain>
      <paraID>334CD219</paraID>
      <start>7</start>
      <end>15</end>
      <status>unmodified</status>
      <modifiedWord/>
      <trackRevisions>false</trackRevisions>
    </reviewItem>
    <reviewItem>
      <errorID>af6a09be-c3b1-4f00-a32a-52d5560a3fcb</errorID>
      <errorWord>"两高"项目</errorWord>
      <group>L1_Political</group>
      <groupName>政治性问题</groupName>
      <ability>L2_Keyword</ability>
      <abilityName>固定表述</abilityName>
      <candidateList>
        <item>“两高”项目</item>
      </candidateList>
      <explain>注意检查当前固定表述标点是否使用规范。</explain>
      <paraID>3C7DC4B8</paraID>
      <start>46</start>
      <end>52</end>
      <status>modified</status>
      <modifiedWord>“两高”项目</modifiedWord>
      <trackRevisions>false</trackRevisions>
    </reviewItem>
    <reviewItem>
      <errorID>b8465bfd-b909-4671-b026-bae85a99bdda</errorID>
      <errorWord>"两高"项目</errorWord>
      <group>L1_Political</group>
      <groupName>政治性问题</groupName>
      <ability>L2_Keyword</ability>
      <abilityName>固定表述</abilityName>
      <candidateList>
        <item>“两高”项目</item>
      </candidateList>
      <explain>注意检查当前固定表述标点是否使用规范。</explain>
      <paraID>3C7DC4B8</paraID>
      <start>331</start>
      <end>337</end>
      <status>modified</status>
      <modifiedWord>“两高”项目</modifiedWord>
      <trackRevisions>false</trackRevisions>
    </reviewItem>
    <reviewItem>
      <errorID>dc572746-6221-4e1f-a452-fae0cf3bf772</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50800905</paraID>
      <start>266</start>
      <end>267</end>
      <status>unmodified</status>
      <modifiedWord/>
      <trackRevisions>false</trackRevisions>
    </reviewItem>
    <reviewItem>
      <errorID>6d0ed192-0b3f-4570-96b2-e0ca1285b6c1</errorID>
      <errorWord>法律、法规</errorWord>
      <group>L1_Word</group>
      <groupName>字词问题</groupName>
      <ability>L2_Typo</ability>
      <abilityName>字词错误</abilityName>
      <candidateList>
        <item>法律法规</item>
      </candidateList>
      <explain/>
      <paraID>1C288433</paraID>
      <start>38</start>
      <end>43</end>
      <status>unmodified</status>
      <modifiedWord/>
      <trackRevisions>false</trackRevisions>
    </reviewItem>
    <reviewItem>
      <errorID>99fba38f-88d7-45c9-9c4c-d2423205e6f6</errorID>
      <errorWord>KW</errorWord>
      <group>L1_Word</group>
      <groupName>字词问题</groupName>
      <ability>L2_Typo</ability>
      <abilityName>字词错误</abilityName>
      <candidateList>
        <item>kW</item>
      </candidateList>
      <explain/>
      <paraID>4557117C</paraID>
      <start>17</start>
      <end>19</end>
      <status>unmodified</status>
      <modifiedWord/>
      <trackRevisions>false</trackRevisions>
    </reviewItem>
    <reviewItem>
      <errorID>99fba38f-88d7-45c9-9c4c-d2423205e6f6</errorID>
      <errorWord>KW</errorWord>
      <group>L1_Word</group>
      <groupName>字词问题</groupName>
      <ability>L2_Typo</ability>
      <abilityName>字词错误</abilityName>
      <candidateList>
        <item>kW</item>
      </candidateList>
      <explain/>
      <paraID>1331FD67</paraID>
      <start>17</start>
      <end>19</end>
      <status>unmodified</status>
      <modifiedWord/>
      <trackRevisions>false</trackRevisions>
    </reviewItem>
    <reviewItem>
      <errorID>99fba38f-88d7-45c9-9c4c-d2423205e6f6</errorID>
      <errorWord>KW</errorWord>
      <group>L1_Word</group>
      <groupName>字词问题</groupName>
      <ability>L2_Typo</ability>
      <abilityName>字词错误</abilityName>
      <candidateList>
        <item>kW</item>
      </candidateList>
      <explain/>
      <paraID>542A28C7</paraID>
      <start>17</start>
      <end>19</end>
      <status>unmodified</status>
      <modifiedWord/>
      <trackRevisions>false</trackRevisions>
    </reviewItem>
    <reviewItem>
      <errorID>ad55aa7c-09e6-4b3a-b44a-8938e4a87201</errorID>
      <errorWord>本</errorWord>
      <group>L1_Word</group>
      <groupName>字词问题</groupName>
      <ability>L2_Typo</ability>
      <abilityName>字词错误</abilityName>
      <candidateList>
        <item>本次</item>
      </candidateList>
      <explain/>
      <paraID>60DF325F</paraID>
      <start>0</start>
      <end>1</end>
      <status>unmodified</status>
      <modifiedWord/>
      <trackRevisions>false</trackRevisions>
    </reviewItem>
    <reviewItem>
      <errorID>41192478-e8dc-40f9-8361-04b449cb88d2</errorID>
      <errorWord>管</errorWord>
      <group>L1_Word</group>
      <groupName>字词问题</groupName>
      <ability>L2_Typo</ability>
      <abilityName>字词错误</abilityName>
      <candidateList>
        <item>罐</item>
      </candidateList>
      <explain/>
      <paraID>654AD4B6</paraID>
      <start>180</start>
      <end>181</end>
      <status>modified</status>
      <modifiedWord>罐</modifiedWord>
      <trackRevisions>false</trackRevisions>
    </reviewItem>
    <reviewItem>
      <errorID>c92e5286-09ef-47a7-abd5-45aa371a954c</errorID>
      <errorWord>计</errorWord>
      <group>L1_Word</group>
      <groupName>字词问题</groupName>
      <ability>L2_Typo</ability>
      <abilityName>字词错误</abilityName>
      <candidateList>
        <item>计算</item>
      </candidateList>
      <explain/>
      <paraID>1C0B350A</paraID>
      <start>33</start>
      <end>34</end>
      <status>unmodified</status>
      <modifiedWord/>
      <trackRevisions>false</trackRevisions>
    </reviewItem>
    <reviewItem>
      <errorID>36ce4864-ed30-4567-bbb6-9519d28342fa</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 EC24E7D</paraID>
      <start>266</start>
      <end>267</end>
      <status>unmodified</status>
      <modifiedWord/>
      <trackRevisions>false</trackRevisions>
    </reviewItem>
    <reviewItem>
      <errorID>400c359e-0770-49ed-80be-728e0dfa604c</errorID>
      <errorWord>（</errorWord>
      <group>L1_Format</group>
      <groupName>格式问题</groupName>
      <ability>L2_HalfPunc_CN</ability>
      <abilityName>全半角检查</abilityName>
      <candidateList>
        <item>(</item>
      </candidateList>
      <explain>文本全半角错误。</explain>
      <paraID>5BE31AD6</paraID>
      <start>2</start>
      <end>3</end>
      <status>unmodified</status>
      <modifiedWord/>
      <trackRevisions>false</trackRevisions>
    </reviewItem>
    <reviewItem>
      <errorID>0f295ca8-bdc7-4926-bbdc-e0cbae91c072</errorID>
      <errorWord>）</errorWord>
      <group>L1_Format</group>
      <groupName>格式问题</groupName>
      <ability>L2_HalfPunc_CN</ability>
      <abilityName>全半角检查</abilityName>
      <candidateList>
        <item>)</item>
      </candidateList>
      <explain>文本全半角错误。</explain>
      <paraID>5BE31AD6</paraID>
      <start>8</start>
      <end>9</end>
      <status>unmodified</status>
      <modifiedWord/>
      <trackRevisions>false</trackRevisions>
    </reviewItem>
    <reviewItem>
      <errorID>4b1efe2e-d393-407f-886d-2557db27235e</errorID>
      <errorWord>II类</errorWord>
      <group>L1_Knowledge</group>
      <groupName>知识性问题</groupName>
      <ability>L2_Knowledge</ability>
      <abilityName>其他知识</abilityName>
      <candidateList>
        <item>Ⅱ类</item>
      </candidateList>
      <explain>中文环境下罗马数字格式错误。</explain>
      <paraID>5F56CBCD</paraID>
      <start>157</start>
      <end>160</end>
      <status>unmodified</status>
      <modifiedWord/>
      <trackRevisions>false</trackRevisions>
    </reviewItem>
    <reviewItem>
      <errorID>6c8d702f-683f-41c2-b84e-fa96483d1b64</errorID>
      <errorWord>种</errorWord>
      <group>L1_Word</group>
      <groupName>字词问题</groupName>
      <ability>L2_Typo</ability>
      <abilityName>字词错误</abilityName>
      <candidateList>
        <item>类</item>
      </candidateList>
      <explain/>
      <paraID>5807315C</paraID>
      <start>7</start>
      <end>8</end>
      <status>unmodified</status>
      <modifiedWord/>
      <trackRevisions>false</trackRevisions>
    </reviewItem>
    <reviewItem>
      <errorID>7c9017c0-3bf5-49b1-9f03-69a410746350</errorID>
      <errorWord>-</errorWord>
      <group>L1_Format</group>
      <groupName>格式问题</groupName>
      <ability>L2_HalfPunc_CN</ability>
      <abilityName>全半角检查</abilityName>
      <candidateList>
        <item>－</item>
      </candidateList>
      <explain>文本全半角错误。</explain>
      <paraID>615279E6</paraID>
      <start>1</start>
      <end>2</end>
      <status>unmodified</status>
      <modifiedWord/>
      <trackRevisions>false</trackRevisions>
    </reviewItem>
    <reviewItem>
      <errorID>7da78dde-4824-4ceb-8f53-9c6e2b56ca78</errorID>
      <errorWord>放控</errorWord>
      <group>L1_Word</group>
      <groupName>字词问题</groupName>
      <ability>L2_Typo</ability>
      <abilityName>字词错误</abilityName>
      <candidateList>
        <item>防控</item>
      </candidateList>
      <explain/>
      <paraID>31595EAA</paraID>
      <start>0</start>
      <end>2</end>
      <status>modified</status>
      <modifiedWord>防控</modifiedWord>
      <trackRevisions>false</trackRevisions>
    </reviewItem>
    <reviewItem>
      <errorID>44902b22-bb0d-465a-821b-5fea53a51559</errorID>
      <errorWord>：</errorWord>
      <group>L1_Format</group>
      <groupName>格式问题</groupName>
      <ability>L2_HalfPunc_CN</ability>
      <abilityName>全半角检查</abilityName>
      <candidateList>
        <item>:</item>
      </candidateList>
      <explain>文本全半角错误。</explain>
      <paraID>2328FC25</paraID>
      <start>80</start>
      <end>81</end>
      <status>unmodified</status>
      <modifiedWord/>
      <trackRevisions>false</trackRevisions>
    </reviewItem>
    <reviewItem>
      <errorID>6845b3eb-0f1c-4e5c-9d80-901b76f39ff7</errorID>
      <errorWord>：</errorWord>
      <group>L1_Format</group>
      <groupName>格式问题</groupName>
      <ability>L2_HalfPunc_CN</ability>
      <abilityName>全半角检查</abilityName>
      <candidateList>
        <item>:</item>
      </candidateList>
      <explain>文本全半角错误。</explain>
      <paraID>2328FC25</paraID>
      <start>86</start>
      <end>87</end>
      <status>unmodified</status>
      <modifiedWord/>
      <trackRevisions>false</trackRevisions>
    </reviewItem>
    <reviewItem>
      <errorID>edfa8682-4c89-4ccf-bc94-f21d92498aa5</errorID>
      <errorWord>：</errorWord>
      <group>L1_Format</group>
      <groupName>格式问题</groupName>
      <ability>L2_HalfPunc_CN</ability>
      <abilityName>全半角检查</abilityName>
      <candidateList>
        <item>:</item>
      </candidateList>
      <explain>文本全半角错误。</explain>
      <paraID>2328FC25</paraID>
      <start>94</start>
      <end>95</end>
      <status>unmodified</status>
      <modifiedWord/>
      <trackRevisions>false</trackRevisions>
    </reviewItem>
    <reviewItem>
      <errorID>c4a989da-d6a8-420d-b615-982ae5055e51</errorID>
      <errorWord>：</errorWord>
      <group>L1_Format</group>
      <groupName>格式问题</groupName>
      <ability>L2_HalfPunc_CN</ability>
      <abilityName>全半角检查</abilityName>
      <candidateList>
        <item>:</item>
      </candidateList>
      <explain>文本全半角错误。</explain>
      <paraID>2328FC25</paraID>
      <start>100</start>
      <end>101</end>
      <status>unmodified</status>
      <modifiedWord/>
      <trackRevisions>false</trackRevisions>
    </reviewItem>
    <reviewItem>
      <errorID>705c7c01-f099-4c21-ae13-812b8a7fe1dd</errorID>
      <errorWord>：</errorWord>
      <group>L1_Format</group>
      <groupName>格式问题</groupName>
      <ability>L2_HalfPunc_CN</ability>
      <abilityName>全半角检查</abilityName>
      <candidateList>
        <item>:</item>
      </candidateList>
      <explain>文本全半角错误。</explain>
      <paraID>2328FC25</paraID>
      <start>108</start>
      <end>109</end>
      <status>unmodified</status>
      <modifiedWord/>
      <trackRevisions>false</trackRevisions>
    </reviewItem>
    <reviewItem>
      <errorID>79d7fbbb-c8f2-453d-9016-66a5e61a2048</errorID>
      <errorWord>：</errorWord>
      <group>L1_Format</group>
      <groupName>格式问题</groupName>
      <ability>L2_HalfPunc_CN</ability>
      <abilityName>全半角检查</abilityName>
      <candidateList>
        <item>:</item>
      </candidateList>
      <explain>文本全半角错误。</explain>
      <paraID>2328FC25</paraID>
      <start>114</start>
      <end>115</end>
      <status>unmodified</status>
      <modifiedWord/>
      <trackRevisions>false</trackRevisions>
    </reviewItem>
    <reviewItem>
      <errorID>336bce74-6200-4221-b36f-8810cb5c3a60</errorID>
      <errorWord>：</errorWord>
      <group>L1_Format</group>
      <groupName>格式问题</groupName>
      <ability>L2_HalfPunc_CN</ability>
      <abilityName>全半角检查</abilityName>
      <candidateList>
        <item>:</item>
      </candidateList>
      <explain>文本全半角错误。</explain>
      <paraID>403E4DBE</paraID>
      <start>73</start>
      <end>74</end>
      <status>unmodified</status>
      <modifiedWord/>
      <trackRevisions>false</trackRevisions>
    </reviewItem>
    <reviewItem>
      <errorID>4ba90e5b-136e-4315-94b3-e85f6fc3cc1f</errorID>
      <errorWord>：</errorWord>
      <group>L1_Format</group>
      <groupName>格式问题</groupName>
      <ability>L2_HalfPunc_CN</ability>
      <abilityName>全半角检查</abilityName>
      <candidateList>
        <item>:</item>
      </candidateList>
      <explain>文本全半角错误。</explain>
      <paraID>403E4DBE</paraID>
      <start>79</start>
      <end>80</end>
      <status>unmodified</status>
      <modifiedWord/>
      <trackRevisions>false</trackRevisions>
    </reviewItem>
    <reviewItem>
      <errorID>d5981fc2-141b-4041-8727-e67b712efcd4</errorID>
      <errorWord>：</errorWord>
      <group>L1_Format</group>
      <groupName>格式问题</groupName>
      <ability>L2_HalfPunc_CN</ability>
      <abilityName>全半角检查</abilityName>
      <candidateList>
        <item>:</item>
      </candidateList>
      <explain>文本全半角错误。</explain>
      <paraID>403E4DBE</paraID>
      <start>88</start>
      <end>89</end>
      <status>unmodified</status>
      <modifiedWord/>
      <trackRevisions>false</trackRevisions>
    </reviewItem>
    <reviewItem>
      <errorID>05ea86bc-0422-43e0-88bd-fa8cdce48d24</errorID>
      <errorWord>：</errorWord>
      <group>L1_Format</group>
      <groupName>格式问题</groupName>
      <ability>L2_HalfPunc_CN</ability>
      <abilityName>全半角检查</abilityName>
      <candidateList>
        <item>:</item>
      </candidateList>
      <explain>文本全半角错误。</explain>
      <paraID>403E4DBE</paraID>
      <start>93</start>
      <end>94</end>
      <status>unmodified</status>
      <modifiedWord/>
      <trackRevisions>false</trackRevisions>
    </reviewItem>
    <reviewItem>
      <errorID>a028c485-81a4-45c5-84ea-5fe22de985f9</errorID>
      <errorWord>"</errorWord>
      <group>L1_Format</group>
      <groupName>格式问题</groupName>
      <ability>L2_HalfPunc_CN</ability>
      <abilityName>全半角检查</abilityName>
      <candidateList>
        <item>“</item>
      </candidateList>
      <explain>文本全半角错误。</explain>
      <paraID> E83E15C</paraID>
      <start>95</start>
      <end>96</end>
      <status>unmodified</status>
      <modifiedWord/>
      <trackRevisions>false</trackRevisions>
    </reviewItem>
    <reviewItem>
      <errorID>cbf88d32-8602-4657-865c-775424324a53</errorID>
      <errorWord>"</errorWord>
      <group>L1_Format</group>
      <groupName>格式问题</groupName>
      <ability>L2_HalfPunc_CN</ability>
      <abilityName>全半角检查</abilityName>
      <candidateList>
        <item>”</item>
      </candidateList>
      <explain>文本全半角错误。</explain>
      <paraID> E83E15C</paraID>
      <start>118</start>
      <end>119</end>
      <status>unmodified</status>
      <modifiedWord/>
      <trackRevisions>false</trackRevisions>
    </reviewItem>
    <reviewItem>
      <errorID>23148d51-1aff-42b2-aeed-601f7b40bbc8</errorID>
      <errorWord>（</errorWord>
      <group>L1_Format</group>
      <groupName>格式问题</groupName>
      <ability>L2_HalfPunc_CN</ability>
      <abilityName>全半角检查</abilityName>
      <candidateList>
        <item>(</item>
      </candidateList>
      <explain>文本全半角错误。</explain>
      <paraID> 9101CC7</paraID>
      <start>3</start>
      <end>4</end>
      <status>unmodified</status>
      <modifiedWord/>
      <trackRevisions>false</trackRevisions>
    </reviewItem>
    <reviewItem>
      <errorID>04b6fd61-4a9a-43ad-9b5e-a6b6675fa11d</errorID>
      <errorWord>）</errorWord>
      <group>L1_Format</group>
      <groupName>格式问题</groupName>
      <ability>L2_HalfPunc_CN</ability>
      <abilityName>全半角检查</abilityName>
      <candidateList>
        <item>)</item>
      </candidateList>
      <explain>文本全半角错误。</explain>
      <paraID> 9101CC7</paraID>
      <start>8</start>
      <end>9</end>
      <status>unmodified</status>
      <modifiedWord/>
      <trackRevisions>false</trackRevisions>
    </reviewItem>
    <reviewItem>
      <errorID>b1fbd8f1-d7e9-485a-aa1b-b155ce92631d</errorID>
      <errorWord>-</errorWord>
      <group>L1_Format</group>
      <groupName>格式问题</groupName>
      <ability>L2_HalfPunc_CN</ability>
      <abilityName>全半角检查</abilityName>
      <candidateList>
        <item>－</item>
      </candidateList>
      <explain>文本全半角错误。</explain>
      <paraID> 99C8A4E</paraID>
      <start>12</start>
      <end>13</end>
      <status>unmodified</status>
      <modifiedWord/>
      <trackRevisions>false</trackRevisions>
    </reviewItem>
    <reviewItem>
      <errorID>2e7323ff-aca6-4a9d-9e2d-32967db8bf46</errorID>
      <errorWord>（</errorWord>
      <group>L1_Punc</group>
      <groupName>标点问题</groupName>
      <ability>L2_Punc_CN</ability>
      <abilityName>标点符号检查</abilityName>
      <candidateList/>
      <explain>同一形式括号套用。</explain>
      <paraID> 99C8A4E</paraID>
      <start>40</start>
      <end>41</end>
      <status>unmodified</status>
      <modifiedWord/>
      <trackRevisions>false</trackRevisions>
    </reviewItem>
    <reviewItem>
      <errorID>6a0bbd19-ce51-46e9-a3b0-8bf931c6ef39</errorID>
      <errorWord>）</errorWord>
      <group>L1_Punc</group>
      <groupName>标点问题</groupName>
      <ability>L2_Punc_CN</ability>
      <abilityName>标点符号检查</abilityName>
      <candidateList/>
      <explain>同一形式括号套用。</explain>
      <paraID> 99C8A4E</paraID>
      <start>52</start>
      <end>53</end>
      <status>unmodified</status>
      <modifiedWord/>
      <trackRevisions>false</trackRevisions>
    </reviewItem>
    <reviewItem>
      <errorID>7468e585-f1c0-4bd9-9e64-51277352848f</errorID>
      <errorWord>：</errorWord>
      <group>L1_Format</group>
      <groupName>格式问题</groupName>
      <ability>L2_HalfPunc_CN</ability>
      <abilityName>全半角检查</abilityName>
      <candidateList>
        <item>:</item>
      </candidateList>
      <explain>文本全半角错误。</explain>
      <paraID> 56CC797</paraID>
      <start>1</start>
      <end>2</end>
      <status>unmodified</status>
      <modifiedWord/>
      <trackRevisions>false</trackRevisions>
    </reviewItem>
    <reviewItem>
      <errorID>c2f67616-0954-4b41-b40f-158ab6df948d</errorID>
      <errorWord>：</errorWord>
      <group>L1_Format</group>
      <groupName>格式问题</groupName>
      <ability>L2_HalfPunc_CN</ability>
      <abilityName>全半角检查</abilityName>
      <candidateList>
        <item>:</item>
      </candidateList>
      <explain>文本全半角错误。</explain>
      <paraID>5B13FE6B</paraID>
      <start>1</start>
      <end>2</end>
      <status>unmodified</status>
      <modifiedWord/>
      <trackRevisions>false</trackRevisions>
    </reviewItem>
    <reviewItem>
      <errorID>be6acc73-c702-4e43-a858-e37be52a7b76</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6690B8A3</paraID>
      <start>71</start>
      <end>72</end>
      <status>unmodified</status>
      <modifiedWord/>
      <trackRevisions>false</trackRevisions>
    </reviewItem>
    <reviewItem>
      <errorID>1b3ce2e5-05f8-4366-80f7-206192e20251</errorID>
      <errorWord>的</errorWord>
      <group>L1_Word</group>
      <groupName>字词问题</groupName>
      <ability>L2_DDD</ability>
      <abilityName>的地得用法</abilityName>
      <candidateList>
        <item>地</item>
      </candidateList>
      <explain/>
      <paraID>61E755D3</paraID>
      <start>55</start>
      <end>56</end>
      <status>unmodified</status>
      <modifiedWord/>
      <trackRevisions>false</trackRevisions>
    </reviewItem>
    <reviewItem>
      <errorID>046ff2a7-fc39-466a-b67c-4de827676968</errorID>
      <errorWord>，可</errorWord>
      <group>L1_Word</group>
      <groupName>字词问题</groupName>
      <ability>L2_Typo</ability>
      <abilityName>字词错误</abilityName>
      <candidateList>
        <item>，</item>
      </candidateList>
      <explain/>
      <paraID>74970663</paraID>
      <start>12</start>
      <end>14</end>
      <status>unmodified</status>
      <modifiedWord/>
      <trackRevisions>false</trackRevisions>
    </reviewItem>
    <reviewItem>
      <errorID>ecbfc50a-7085-4d82-b341-5a5944761a37</errorID>
      <errorWord>（</errorWord>
      <group>L1_Punc</group>
      <groupName>标点问题</groupName>
      <ability>L2_Punc_CN</ability>
      <abilityName>标点符号检查</abilityName>
      <candidateList/>
      <explain>同一形式括号套用。</explain>
      <paraID>213893DF</paraID>
      <start>5</start>
      <end>6</end>
      <status>unmodified</status>
      <modifiedWord/>
      <trackRevisions>false</trackRevisions>
    </reviewItem>
    <reviewItem>
      <errorID>b77b5180-dd1d-413f-8c97-b91e05f529ff</errorID>
      <errorWord>）</errorWord>
      <group>L1_Punc</group>
      <groupName>标点问题</groupName>
      <ability>L2_Punc_CN</ability>
      <abilityName>标点符号检查</abilityName>
      <candidateList/>
      <explain>同一形式括号套用。</explain>
      <paraID>213893DF</paraID>
      <start>11</start>
      <end>12</end>
      <status>unmodified</status>
      <modifiedWord/>
      <trackRevisions>false</trackRevisions>
    </reviewItem>
    <reviewItem>
      <errorID>5f2e83c8-53f3-4a86-9051-b6362e3b1a52</errorID>
      <errorWord>（</errorWord>
      <group>L1_Punc</group>
      <groupName>标点问题</groupName>
      <ability>L2_Punc_CN</ability>
      <abilityName>标点符号检查</abilityName>
      <candidateList/>
      <explain>同一形式括号套用。</explain>
      <paraID>254051EB</paraID>
      <start>3</start>
      <end>4</end>
      <status>unmodified</status>
      <modifiedWord/>
      <trackRevisions>false</trackRevisions>
    </reviewItem>
    <reviewItem>
      <errorID>ac674270-0430-41f8-a0b5-7db66a29315d</errorID>
      <errorWord>）</errorWord>
      <group>L1_Punc</group>
      <groupName>标点问题</groupName>
      <ability>L2_Punc_CN</ability>
      <abilityName>标点符号检查</abilityName>
      <candidateList/>
      <explain>同一形式括号套用。</explain>
      <paraID>254051EB</paraID>
      <start>9</start>
      <end>10</end>
      <status>unmodified</status>
      <modifiedWord/>
      <trackRevisions>false</trackRevisions>
    </reviewItem>
    <reviewItem>
      <errorID>a11812d8-54b7-4e77-960f-5a1a9f423c97</errorID>
      <errorWord>（</errorWord>
      <group>L1_Punc</group>
      <groupName>标点问题</groupName>
      <ability>L2_Punc_CN</ability>
      <abilityName>标点符号检查</abilityName>
      <candidateList/>
      <explain>同一形式括号套用。</explain>
      <paraID>25180B71</paraID>
      <start>4</start>
      <end>5</end>
      <status>unmodified</status>
      <modifiedWord/>
      <trackRevisions>false</trackRevisions>
    </reviewItem>
    <reviewItem>
      <errorID>dfa604a9-a3c2-45ce-837c-9682117aa0fa</errorID>
      <errorWord>）</errorWord>
      <group>L1_Punc</group>
      <groupName>标点问题</groupName>
      <ability>L2_Punc_CN</ability>
      <abilityName>标点符号检查</abilityName>
      <candidateList/>
      <explain>同一形式括号套用。</explain>
      <paraID>25180B71</paraID>
      <start>10</start>
      <end>11</end>
      <status>unmodified</status>
      <modifiedWord/>
      <trackRevisions>false</trackRevisions>
    </reviewItem>
    <reviewItem>
      <errorID>9cfb4af3-2f48-4928-98fe-cf788555cb22</errorID>
      <errorWord>厚</errorWord>
      <group>L1_Word</group>
      <groupName>字词问题</groupName>
      <ability>L2_Typo</ability>
      <abilityName>字词错误</abilityName>
      <candidateList>
        <item>厚度</item>
      </candidateList>
      <explain/>
      <paraID> C9AAEC1</paraID>
      <start>15</start>
      <end>17</end>
      <status>modified</status>
      <modifiedWord>厚度</modifiedWord>
      <trackRevisions>false</trackRevisions>
    </reviewItem>
    <reviewItem>
      <errorID>d30f7db6-1a75-4ba0-b466-0ff1cca549bc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2050F045</paraID>
      <start>21</start>
      <end>22</end>
      <status>unmodified</status>
      <modifiedWord/>
      <trackRevisions>false</trackRevisions>
    </reviewItem>
    <reviewItem>
      <errorID>20102540-a197-4927-80fb-cac990dd478d</errorID>
      <errorWord>范</errorWord>
      <group>L1_Word</group>
      <groupName>字词问题</groupName>
      <ability>L2_Typo</ability>
      <abilityName>字词错误</abilityName>
      <candidateList>
        <item>范和</item>
      </candidateList>
      <explain/>
      <paraID>39EB4FF3</paraID>
      <start>30</start>
      <end>32</end>
      <status>modified</status>
      <modifiedWord>范和</modifiedWord>
      <trackRevisions>false</trackRevisions>
    </reviewItem>
    <reviewItem>
      <errorID>d79dd41d-609e-410a-8ad0-570601cb2c2d</errorID>
      <errorWord>III</errorWord>
      <group>L1_Word</group>
      <groupName>字词问题</groupName>
      <ability>L2_Typo</ability>
      <abilityName>字词错误</abilityName>
      <candidateList>
        <item>Ⅲ</item>
      </candidateList>
      <explain/>
      <paraID>4EBF8589</paraID>
      <start>0</start>
      <end>3</end>
      <status>unmodified</status>
      <modifiedWord/>
      <trackRevisions>false</trackRevisions>
    </reviewItem>
    <reviewItem>
      <errorID>59eb06ff-1bd3-46fc-b000-739f5d62bd67</errorID>
      <errorWord>、且</errorWord>
      <group>L1_Word</group>
      <groupName>字词问题</groupName>
      <ability>L2_Typo</ability>
      <abilityName>字词错误</abilityName>
      <candidateList>
        <item>且</item>
      </candidateList>
      <explain/>
      <paraID>53D6C051</paraID>
      <start>7</start>
      <end>9</end>
      <status>unmodified</status>
      <modifiedWord/>
      <trackRevisions>false</trackRevisions>
    </reviewItem>
    <reviewItem>
      <errorID>a985821a-5fa6-4bf8-9b4a-4a1f79d3cbe3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709CD504</paraID>
      <start>0</start>
      <end>2</end>
      <status>unmodified</status>
      <modifiedWord/>
      <trackRevisions>false</trackRevisions>
    </reviewItem>
    <reviewItem>
      <errorID>2bbe30fe-0dd6-4a67-848f-65a14ccb781a</errorID>
      <errorWord>,</errorWord>
      <group>L1_Format</group>
      <groupName>格式问题</groupName>
      <ability>L2_HalfPunc_CN</ability>
      <abilityName>全半角检查</abilityName>
      <candidateList>
        <item>，</item>
      </candidateList>
      <explain>文本全半角错误。</explain>
      <paraID>53D13B28</paraID>
      <start>15</start>
      <end>16</end>
      <status>unmodified</status>
      <modifiedWord/>
      <trackRevisions>false</trackRevisions>
    </reviewItem>
    <reviewItem>
      <errorID>1cd26328-5b43-4324-b11c-8bc572dc7e8f</errorID>
      <errorWord>分</errorWord>
      <group>L1_Word</group>
      <groupName>字词问题</groupName>
      <ability>L2_Typo</ability>
      <abilityName>字词错误</abilityName>
      <candidateList>
        <item>分为</item>
      </candidateList>
      <explain/>
      <paraID>6E9E7763</paraID>
      <start>63</start>
      <end>64</end>
      <status>unmodified</status>
      <modifiedWord/>
      <trackRevisions>false</trackRevisions>
    </reviewItem>
    <reviewItem>
      <errorID>4678d997-b4b9-4473-b71f-f2dea1d7f9d0</errorID>
      <errorWord>类</errorWord>
      <group>L1_Word</group>
      <groupName>字词问题</groupName>
      <ability>L2_Typo</ability>
      <abilityName>字词错误</abilityName>
      <candidateList>
        <item>类为</item>
      </candidateList>
      <explain/>
      <paraID>3A89B6E8</paraID>
      <start>24</start>
      <end>25</end>
      <status>unmodified</status>
      <modifiedWord/>
      <trackRevisions>false</trackRevisions>
    </reviewItem>
    <reviewItem>
      <errorID>e1744836-8c12-4d7d-9f53-2b46aa4fd490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72903928</paraID>
      <start>16</start>
      <end>17</end>
      <status>unmodified</status>
      <modifiedWord/>
      <trackRevisions>false</trackRevisions>
    </reviewItem>
    <reviewItem>
      <errorID>8f4f4042-f032-4cb0-a35c-96125492ea31</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48F39592</paraID>
      <start>21</start>
      <end>22</end>
      <status>unmodified</status>
      <modifiedWord/>
      <trackRevisions>false</trackRevisions>
    </reviewItem>
    <reviewItem>
      <errorID>32f40522-87d6-424b-8f62-e8cd279e27c3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43BDD73C</paraID>
      <start>14</start>
      <end>15</end>
      <status>unmodified</status>
      <modifiedWord/>
      <trackRevisions>false</trackRevisions>
    </reviewItem>
    <reviewItem>
      <errorID>ee6f840d-4d35-44b7-9c79-196f6a6411e8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43BDD73C</paraID>
      <start>29</start>
      <end>30</end>
      <status>unmodified</status>
      <modifiedWord/>
      <trackRevisions>false</trackRevisions>
    </reviewItem>
    <reviewItem>
      <errorID>2bd97447-1f80-4ee7-ad0b-00ac46fa7f0a</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137D6496</paraID>
      <start>157</start>
      <end>158</end>
      <status>unmodified</status>
      <modifiedWord/>
      <trackRevisions>false</trackRevisions>
    </reviewItem>
    <reviewItem>
      <errorID>8be2bd45-0fbd-4e10-84da-3f15dc9bca6f</errorID>
      <errorWord>IV</errorWord>
      <group>L1_Knowledge</group>
      <groupName>知识性问题</groupName>
      <ability>L2_Knowledge</ability>
      <abilityName>其他知识</abilityName>
      <candidateList>
        <item>Ⅳ</item>
      </candidateList>
      <explain>中文环境下罗马数字格式错误。</explain>
      <paraID>1CBB0D4D</paraID>
      <start>0</start>
      <end>2</end>
      <status>unmodified</status>
      <modifiedWord/>
      <trackRevisions>false</trackRevisions>
    </reviewItem>
    <reviewItem>
      <errorID>ab428c37-106e-46b7-8307-6e76b2705b78</errorID>
      <errorWord>III</errorWord>
      <group>L1_Word</group>
      <groupName>字词问题</groupName>
      <ability>L2_Typo</ability>
      <abilityName>字词错误</abilityName>
      <candidateList>
        <item>Ⅲ</item>
      </candidateList>
      <explain/>
      <paraID>4EF9FE77</paraID>
      <start>0</start>
      <end>3</end>
      <status>unmodified</status>
      <modifiedWord/>
      <trackRevisions>false</trackRevisions>
    </reviewItem>
    <reviewItem>
      <errorID>9603c8d9-1ecb-4171-b5f1-df7fb52c4a94</errorID>
      <errorWord>,</errorWord>
      <group>L1_Format</group>
      <groupName>格式问题</groupName>
      <ability>L2_HalfPunc_CN</ability>
      <abilityName>全半角检查</abilityName>
      <candidateList>
        <item>，</item>
      </candidateList>
      <explain>文本全半角错误。</explain>
      <paraID>71DC7C66</paraID>
      <start>15</start>
      <end>16</end>
      <status>unmodified</status>
      <modifiedWord/>
      <trackRevisions>false</trackRevisions>
    </reviewItem>
    <reviewItem>
      <errorID>a723f475-46d3-458c-8c0d-f5368e250d3c</errorID>
      <errorWord>评价</errorWord>
      <group>L1_Word</group>
      <groupName>字词问题</groupName>
      <ability>L2_Typo</ability>
      <abilityName>字词错误</abilityName>
      <candidateList>
        <item>价</item>
      </candidateList>
      <explain/>
      <paraID>6F8F7D6F</paraID>
      <start>10</start>
      <end>12</end>
      <status>unmodified</status>
      <modifiedWord/>
      <trackRevisions>false</trackRevisions>
    </reviewItem>
    <reviewItem>
      <errorID>1fad58a2-bb4e-42fd-b2f5-d0c343b0379f</errorID>
      <errorWord>综合症</errorWord>
      <group>L1_Word</group>
      <groupName>字词问题</groupName>
      <ability>L2_Typo</ability>
      <abilityName>字词错误</abilityName>
      <candidateList>
        <item>综合征</item>
      </candidateList>
      <explain/>
      <paraID>4B95AC49</paraID>
      <start>255</start>
      <end>258</end>
      <status>unmodified</status>
      <modifiedWord/>
      <trackRevisions>false</trackRevisions>
    </reviewItem>
    <reviewItem>
      <errorID>15c0042d-1140-423f-a21c-55045c7bd5b9</errorID>
      <errorWord>植物神经</errorWord>
      <group>L1_Knowledge</group>
      <groupName>知识性问题</groupName>
      <ability>L2_Term</ability>
      <abilityName>专业术语</abilityName>
      <candidateList>
        <item>自主神经</item>
      </candidateList>
      <explain>医学名词[植物神经]为不规范表述或旧称，其规范书面表述为[自主神经]。</explain>
      <paraID>4B95AC49</paraID>
      <start>259</start>
      <end>263</end>
      <status>modified</status>
      <modifiedWord>自主神经</modifiedWord>
      <trackRevisions>false</trackRevisions>
    </reviewItem>
    <reviewItem>
      <errorID>e9f1384f-f780-4945-9314-13316c06b4bc</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7CC05F8E</paraID>
      <start>139</start>
      <end>142</end>
      <status>unmodified</status>
      <modifiedWord/>
      <trackRevisions>false</trackRevisions>
    </reviewItem>
    <reviewItem>
      <errorID>d29c08f9-bb7e-4c85-bd27-4a4fe11bdc24</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3124E5B</paraID>
      <start>20</start>
      <end>23</end>
      <status>unmodified</status>
      <modifiedWord/>
      <trackRevisions>false</trackRevisions>
    </reviewItem>
    <reviewItem>
      <errorID>07729ee4-e2c3-490a-a5d9-0d1b20ea8b69</errorID>
      <errorWord>其它</errorWord>
      <group>L1_Word</group>
      <groupName>字词问题</groupName>
      <ability>L2_Alias</ability>
      <abilityName>也作/曾用词</abilityName>
      <candidateList>
        <item>其他</item>
      </candidateList>
      <explain>词汇[其它]为不规范表述或旧称，其规范书面表述为[其他]。</explain>
      <paraID> 2488FDB</paraID>
      <start>101</start>
      <end>103</end>
      <status>modified</status>
      <modifiedWord>其他</modifiedWord>
      <trackRevisions>false</trackRevisions>
    </reviewItem>
    <reviewItem>
      <errorID>9b6f72dd-9096-41d3-8109-7f7e81768688</errorID>
      <errorWord>程</errorWord>
      <group>L1_Word</group>
      <groupName>字词问题</groupName>
      <ability>L2_Typo</ability>
      <abilityName>字词错误</abilityName>
      <candidateList>
        <item>程中</item>
      </candidateList>
      <explain/>
      <paraID>5900653C</paraID>
      <start>10</start>
      <end>11</end>
      <status>unmodified</status>
      <modifiedWord/>
      <trackRevisions>false</trackRevisions>
    </reviewItem>
    <reviewItem>
      <errorID>5f6e5c97-9215-4ff0-82b4-a1fce6e13a5f</errorID>
      <errorWord>中毒和窒息、其它伤害</errorWord>
      <group>L1_Word</group>
      <groupName>字词问题</groupName>
      <ability>L2_Alias</ability>
      <abilityName>也作/曾用词</abilityName>
      <candidateList>
        <item>中毒和窒息、其他伤害</item>
      </candidateList>
      <explain>词汇[中毒和窒息、其它伤害]为不规范表述或旧称，其规范书面表述为[中毒和窒息、其他伤害]。</explain>
      <paraID>77597A86</paraID>
      <start>84</start>
      <end>94</end>
      <status>modified</status>
      <modifiedWord>中毒和窒息、其他伤害</modifiedWord>
      <trackRevisions>false</trackRevisions>
    </reviewItem>
    <reviewItem>
      <errorID>356ae51a-db94-4448-90b8-6c7442cb9f2e</errorID>
      <errorWord>其它</errorWord>
      <group>L1_Word</group>
      <groupName>字词问题</groupName>
      <ability>L2_Alias</ability>
      <abilityName>也作/曾用词</abilityName>
      <candidateList>
        <item>其他</item>
      </candidateList>
      <explain>词汇[其它]为不规范表述或旧称，其规范书面表述为[其他]。</explain>
      <paraID> 7C112C7</paraID>
      <start>0</start>
      <end>2</end>
      <status>unmodified</status>
      <modifiedWord/>
      <trackRevisions>false</trackRevisions>
    </reviewItem>
    <reviewItem>
      <errorID>1204677f-ae45-42f9-8ce8-bcb2be5e179b</errorID>
      <errorWord>涉及到</errorWord>
      <group>L1_Other</group>
      <groupName>其他问题</groupName>
      <ability>L2_UserTypo</ability>
      <abilityName>自定义错误</abilityName>
      <candidateList>
        <item>涉及</item>
      </candidateList>
      <explain>来自自定义错词库。</explain>
      <paraID>729E6380</paraID>
      <start>3</start>
      <end>5</end>
      <status>modified</status>
      <modifiedWord>涉及</modifiedWord>
      <trackRevisions>false</trackRevisions>
    </reviewItem>
    <reviewItem>
      <errorID>453de25f-6ae1-473d-abf4-4bbe36672173</errorID>
      <errorWord>（</errorWord>
      <group>L1_Format</group>
      <groupName>格式问题</groupName>
      <ability>L2_HalfPunc_CN</ability>
      <abilityName>全半角检查</abilityName>
      <candidateList>
        <item>(</item>
      </candidateList>
      <explain>文本全半角错误。</explain>
      <paraID>5C48F968</paraID>
      <start>10</start>
      <end>11</end>
      <status>unmodified</status>
      <modifiedWord/>
      <trackRevisions>false</trackRevisions>
    </reviewItem>
    <reviewItem>
      <errorID>5f28ed99-8fa8-44da-8ab1-c4beca954dda</errorID>
      <errorWord>）</errorWord>
      <group>L1_Format</group>
      <groupName>格式问题</groupName>
      <ability>L2_HalfPunc_CN</ability>
      <abilityName>全半角检查</abilityName>
      <candidateList>
        <item>)</item>
      </candidateList>
      <explain>文本全半角错误。</explain>
      <paraID>5C48F968</paraID>
      <start>16</start>
      <end>17</end>
      <status>unmodified</status>
      <modifiedWord/>
      <trackRevisions>false</trackRevisions>
    </reviewItem>
    <reviewItem>
      <errorID>42cc4b5c-117d-4167-af7c-95f660a4e1d3</errorID>
      <errorWord>（</errorWord>
      <group>L1_Format</group>
      <groupName>格式问题</groupName>
      <ability>L2_HalfPunc_CN</ability>
      <abilityName>全半角检查</abilityName>
      <candidateList>
        <item>(</item>
      </candidateList>
      <explain>文本全半角错误。</explain>
      <paraID>7694F04E</paraID>
      <start>10</start>
      <end>11</end>
      <status>unmodified</status>
      <modifiedWord/>
      <trackRevisions>false</trackRevisions>
    </reviewItem>
    <reviewItem>
      <errorID>56272080-4746-4848-b0ab-4cd3fcae11c7</errorID>
      <errorWord>）</errorWord>
      <group>L1_Format</group>
      <groupName>格式问题</groupName>
      <ability>L2_HalfPunc_CN</ability>
      <abilityName>全半角检查</abilityName>
      <candidateList>
        <item>)</item>
      </candidateList>
      <explain>文本全半角错误。</explain>
      <paraID>7694F04E</paraID>
      <start>16</start>
      <end>17</end>
      <status>unmodified</status>
      <modifiedWord/>
      <trackRevisions>false</trackRevisions>
    </reviewItem>
    <reviewItem>
      <errorID>fbdc5af6-33e0-4695-b4d7-cf878200ba1f</errorID>
      <errorWord>（</errorWord>
      <group>L1_Format</group>
      <groupName>格式问题</groupName>
      <ability>L2_HalfPunc_CN</ability>
      <abilityName>全半角检查</abilityName>
      <candidateList>
        <item>(</item>
      </candidateList>
      <explain>文本全半角错误。</explain>
      <paraID> 9CEFEDB</paraID>
      <start>10</start>
      <end>11</end>
      <status>unmodified</status>
      <modifiedWord/>
      <trackRevisions>false</trackRevisions>
    </reviewItem>
    <reviewItem>
      <errorID>cebb4fda-7190-4d29-8896-2b418cf717bc</errorID>
      <errorWord>）</errorWord>
      <group>L1_Format</group>
      <groupName>格式问题</groupName>
      <ability>L2_HalfPunc_CN</ability>
      <abilityName>全半角检查</abilityName>
      <candidateList>
        <item>)</item>
      </candidateList>
      <explain>文本全半角错误。</explain>
      <paraID> 9CEFEDB</paraID>
      <start>16</start>
      <end>17</end>
      <status>unmodified</status>
      <modifiedWord/>
      <trackRevisions>false</trackRevisions>
    </reviewItem>
    <reviewItem>
      <errorID>ed97f4cc-5896-4cbc-8d0f-6592d821a09e</errorID>
      <errorWord>（</errorWord>
      <group>L1_Format</group>
      <groupName>格式问题</groupName>
      <ability>L2_HalfPunc_CN</ability>
      <abilityName>全半角检查</abilityName>
      <candidateList>
        <item>(</item>
      </candidateList>
      <explain>文本全半角错误。</explain>
      <paraID>6513C603</paraID>
      <start>10</start>
      <end>11</end>
      <status>unmodified</status>
      <modifiedWord/>
      <trackRevisions>false</trackRevisions>
    </reviewItem>
    <reviewItem>
      <errorID>a1928ff0-3ece-4229-b7c7-3e95c42bd07f</errorID>
      <errorWord>）</errorWord>
      <group>L1_Format</group>
      <groupName>格式问题</groupName>
      <ability>L2_HalfPunc_CN</ability>
      <abilityName>全半角检查</abilityName>
      <candidateList>
        <item>)</item>
      </candidateList>
      <explain>文本全半角错误。</explain>
      <paraID>6513C603</paraID>
      <start>16</start>
      <end>17</end>
      <status>unmodified</status>
      <modifiedWord/>
      <trackRevisions>false</trackRevisions>
    </reviewItem>
    <reviewItem>
      <errorID>06cc6283-a73d-4345-88a2-a2f1dec807c7</errorID>
      <errorWord>（</errorWord>
      <group>L1_Format</group>
      <groupName>格式问题</groupName>
      <ability>L2_HalfPunc_CN</ability>
      <abilityName>全半角检查</abilityName>
      <candidateList>
        <item>(</item>
      </candidateList>
      <explain>文本全半角错误。</explain>
      <paraID>1DB55253</paraID>
      <start>10</start>
      <end>11</end>
      <status>unmodified</status>
      <modifiedWord/>
      <trackRevisions>false</trackRevisions>
    </reviewItem>
    <reviewItem>
      <errorID>0d8e2ab2-32d7-44fe-a321-561f47cea7e5</errorID>
      <errorWord>）</errorWord>
      <group>L1_Format</group>
      <groupName>格式问题</groupName>
      <ability>L2_HalfPunc_CN</ability>
      <abilityName>全半角检查</abilityName>
      <candidateList>
        <item>)</item>
      </candidateList>
      <explain>文本全半角错误。</explain>
      <paraID>1DB55253</paraID>
      <start>16</start>
      <end>17</end>
      <status>unmodified</status>
      <modifiedWord/>
      <trackRevisions>false</trackRevisions>
    </reviewItem>
    <reviewItem>
      <errorID>b75dbb41-65b2-4cf4-ad8d-a26864f30e79</errorID>
      <errorWord>（</errorWord>
      <group>L1_Format</group>
      <groupName>格式问题</groupName>
      <ability>L2_HalfPunc_CN</ability>
      <abilityName>全半角检查</abilityName>
      <candidateList>
        <item>(</item>
      </candidateList>
      <explain>文本全半角错误。</explain>
      <paraID>5024059B</paraID>
      <start>10</start>
      <end>11</end>
      <status>unmodified</status>
      <modifiedWord/>
      <trackRevisions>false</trackRevisions>
    </reviewItem>
    <reviewItem>
      <errorID>93030bbc-91c7-467f-bc61-e5679f2db89f</errorID>
      <errorWord>）</errorWord>
      <group>L1_Format</group>
      <groupName>格式问题</groupName>
      <ability>L2_HalfPunc_CN</ability>
      <abilityName>全半角检查</abilityName>
      <candidateList>
        <item>)</item>
      </candidateList>
      <explain>文本全半角错误。</explain>
      <paraID>5024059B</paraID>
      <start>16</start>
      <end>17</end>
      <status>unmodified</status>
      <modifiedWord/>
      <trackRevisions>false</trackRevisions>
    </reviewItem>
    <reviewItem>
      <errorID>01619ef8-f5cd-470e-b1f8-f644d003d0b2</errorID>
      <errorWord>作</errorWord>
      <group>L1_Word</group>
      <groupName>字词问题</groupName>
      <ability>L2_Typo</ability>
      <abilityName>字词错误</abilityName>
      <candidateList>
        <item>做</item>
      </candidateList>
      <explain>存在发音相同字词的误用。</explain>
      <paraID> 59F5419</paraID>
      <start>159</start>
      <end>160</end>
      <status>unmodified</status>
      <modifiedWord/>
      <trackRevisions>false</trackRevisions>
    </reviewItem>
    <reviewItem>
      <errorID>ae64e83f-88d8-4737-bc82-6691635ee2c4</errorID>
      <errorWord>设</errorWord>
      <group>L1_Word</group>
      <groupName>字词问题</groupName>
      <ability>L2_Typo</ability>
      <abilityName>字词错误</abilityName>
      <candidateList>
        <item>设置</item>
      </candidateList>
      <explain/>
      <paraID>398A40F8</paraID>
      <start>48</start>
      <end>49</end>
      <status>unmodified</status>
      <modifiedWord/>
      <trackRevisions>false</trackRevisions>
    </reviewItem>
    <reviewItem>
      <errorID>8f9c2c3a-8de1-4a0d-85fb-c4eaeb4c9de9</errorID>
      <errorWord>地</errorWord>
      <group>L1_Word</group>
      <groupName>字词问题</groupName>
      <ability>L2_DDD</ability>
      <abilityName>的地得用法</abilityName>
      <candidateList>
        <item>的</item>
      </candidateList>
      <explain/>
      <paraID>7F6D6033</paraID>
      <start>77</start>
      <end>78</end>
      <status>unmodified</status>
      <modifiedWord/>
      <trackRevisions>false</trackRevisions>
    </reviewItem>
    <reviewItem>
      <errorID>726d0944-3c67-4210-9b93-d1b523de3554</errorID>
      <errorWord>噪音</errorWord>
      <group>L1_Word</group>
      <groupName>字词问题</groupName>
      <ability>L2_Alias</ability>
      <abilityName>也作/曾用词</abilityName>
      <candidateList>
        <item>噪声</item>
      </candidateList>
      <explain>词汇[噪音]为不规范表述或旧称，其规范书面表述为[噪声]。</explain>
      <paraID>241FF488</paraID>
      <start>77</start>
      <end>79</end>
      <status>unmodified</status>
      <modifiedWord/>
      <trackRevisions>false</trackRevisions>
    </reviewItem>
    <reviewItem>
      <errorID>fa1d6953-80e6-444b-b75d-4e8296620671</errorID>
      <errorWord>报警讯号</errorWord>
      <group>L1_Word</group>
      <groupName>字词问题</groupName>
      <ability>L2_Typo</ability>
      <abilityName>字词错误</abilityName>
      <candidateList>
        <item>报警信号</item>
      </candidateList>
      <explain/>
      <paraID>290EEAFE</paraID>
      <start>126</start>
      <end>130</end>
      <status>modified</status>
      <modifiedWord>报警信号</modifiedWord>
      <trackRevisions>false</trackRevisions>
    </reviewItem>
    <reviewItem>
      <errorID>3daca942-f393-4ae3-a9b9-a43eb9c21e09</errorID>
      <errorWord>卸</errorWord>
      <group>L1_Word</group>
      <groupName>字词问题</groupName>
      <ability>L2_Typo</ability>
      <abilityName>字词错误</abilityName>
      <candidateList>
        <item>泄</item>
      </candidateList>
      <explain>存在发音相同字词的误用。</explain>
      <paraID>290EEAFE</paraID>
      <start>165</start>
      <end>166</end>
      <status>modified</status>
      <modifiedWord>泄</modifiedWord>
      <trackRevisions>false</trackRevisions>
    </reviewItem>
    <reviewItem>
      <errorID>e0448a66-36a3-4d1d-9450-e38450ef5d88</errorID>
      <errorWord>处理</errorWord>
      <group>L1_Word</group>
      <groupName>字词问题</groupName>
      <ability>L2_Typo</ability>
      <abilityName>字词错误</abilityName>
      <candidateList>
        <item>处于</item>
      </candidateList>
      <explain/>
      <paraID>3C59D4A9</paraID>
      <start>12</start>
      <end>14</end>
      <status>modified</status>
      <modifiedWord>处于</modifiedWord>
      <trackRevisions>false</trackRevisions>
    </reviewItem>
    <reviewItem>
      <errorID>325b0dab-e175-4fa6-883b-d4e2c28f7d6d</errorID>
      <errorWord>需</errorWord>
      <group>L1_Word</group>
      <groupName>字词问题</groupName>
      <ability>L2_Typo</ability>
      <abilityName>字词错误</abilityName>
      <candidateList>
        <item>须</item>
      </candidateList>
      <explain>存在发音相同字词的误用。</explain>
      <paraID>3C59D4A9</paraID>
      <start>25</start>
      <end>26</end>
      <status>modified</status>
      <modifiedWord>须</modifiedWord>
      <trackRevisions>false</trackRevisions>
    </reviewItem>
    <reviewItem>
      <errorID>78223e0f-c4e1-49c4-a153-bbd9e8700eec</errorID>
      <errorWord>均设</errorWord>
      <group>L1_Word</group>
      <groupName>字词问题</groupName>
      <ability>L2_Typo</ability>
      <abilityName>字词错误</abilityName>
      <candidateList>
        <item>均</item>
      </candidateList>
      <explain/>
      <paraID>5419301B</paraID>
      <start>19</start>
      <end>21</end>
      <status>unmodified</status>
      <modifiedWord/>
      <trackRevisions>false</trackRevisions>
    </reviewItem>
    <reviewItem>
      <errorID>e7ccace3-26ed-434a-8f6d-523357814f78</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6C217229</paraID>
      <start>105</start>
      <end>108</end>
      <status>unmodified</status>
      <modifiedWord/>
      <trackRevisions>false</trackRevisions>
    </reviewItem>
    <reviewItem>
      <errorID>ce3f045a-72e6-44e0-b760-ea690ae594c9</errorID>
      <errorWord>如若</errorWord>
      <group>L1_Word</group>
      <groupName>字词问题</groupName>
      <ability>L2_Typo</ability>
      <abilityName>字词错误</abilityName>
      <candidateList>
        <item>若</item>
      </candidateList>
      <explain/>
      <paraID>6C217229</paraID>
      <start>201</start>
      <end>202</end>
      <status>modified</status>
      <modifiedWord>若</modifiedWord>
      <trackRevisions>false</trackRevisions>
    </reviewItem>
    <reviewItem>
      <errorID>157edb72-2734-42d6-b2f9-ba13be23b392</errorID>
      <errorWord>作</errorWord>
      <group>L1_Word</group>
      <groupName>字词问题</groupName>
      <ability>L2_Typo</ability>
      <abilityName>字词错误</abilityName>
      <candidateList>
        <item>做</item>
      </candidateList>
      <explain/>
      <paraID>6C217229</paraID>
      <start>211</start>
      <end>212</end>
      <status>unmodified</status>
      <modifiedWord/>
      <trackRevisions>false</trackRevisions>
    </reviewItem>
    <reviewItem>
      <errorID>4183c14d-5d11-4a77-ad49-3eeed8470dcb</errorID>
      <errorWord>、</errorWord>
      <group>L1_Word</group>
      <groupName>字词问题</groupName>
      <ability>L2_Typo</ability>
      <abilityName>字词错误</abilityName>
      <candidateList>
        <item>、洗</item>
      </candidateList>
      <explain/>
      <paraID>6F9C4F64</paraID>
      <start>41</start>
      <end>42</end>
      <status>unmodified</status>
      <modifiedWord/>
      <trackRevisions>false</trackRevisions>
    </reviewItem>
    <reviewItem>
      <errorID>e4e4f4b4-9994-4e24-a38a-a785360b2890</errorID>
      <errorWord>相对于</errorWord>
      <group>L1_Word</group>
      <groupName>字词问题</groupName>
      <ability>L2_Typo</ability>
      <abilityName>字词错误</abilityName>
      <candidateList>
        <item>相对</item>
      </candidateList>
      <explain/>
      <paraID>7DAC88D9</paraID>
      <start>19</start>
      <end>21</end>
      <status>modified</status>
      <modifiedWord>相对</modifiedWord>
      <trackRevisions>false</trackRevisions>
    </reviewItem>
    <reviewItem>
      <errorID>6967a3d3-97c9-4cd7-932e-4e3388bef75e</errorID>
      <errorWord>以下的</errorWord>
      <group>L1_Word</group>
      <groupName>字词问题</groupName>
      <ability>L2_Typo</ability>
      <abilityName>字词错误</abilityName>
      <candidateList>
        <item>以下</item>
      </candidateList>
      <explain/>
      <paraID>7DAC88D9</paraID>
      <start>124</start>
      <end>127</end>
      <status>unmodified</status>
      <modifiedWord/>
      <trackRevisions>false</trackRevisions>
    </reviewItem>
    <reviewItem>
      <errorID>6d660173-75e0-47bd-b649-57eec774e160</errorID>
      <errorWord>，可</errorWord>
      <group>L1_Word</group>
      <groupName>字词问题</groupName>
      <ability>L2_Typo</ability>
      <abilityName>字词错误</abilityName>
      <candidateList>
        <item>，</item>
      </candidateList>
      <explain/>
      <paraID>5F0AE384</paraID>
      <start>46</start>
      <end>48</end>
      <status>unmodified</status>
      <modifiedWord/>
      <trackRevisions>false</trackRevisions>
    </reviewItem>
    <reviewItem>
      <errorID>c7658811-0868-446c-997e-ec7b26dc457c</errorID>
      <errorWord>提供了</errorWord>
      <group>L1_Word</group>
      <groupName>字词问题</groupName>
      <ability>L2_Typo</ability>
      <abilityName>字词错误</abilityName>
      <candidateList>
        <item>提供</item>
      </candidateList>
      <explain/>
      <paraID>5F0AE384</paraID>
      <start>56</start>
      <end>58</end>
      <status>modified</status>
      <modifiedWord>提供</modifiedWord>
      <trackRevisions>false</trackRevisions>
    </reviewItem>
    <reviewItem>
      <errorID>312963c2-f124-439c-be55-f6e6e3661ca3</errorID>
      <errorWord>设</errorWord>
      <group>L1_Word</group>
      <groupName>字词问题</groupName>
      <ability>L2_Typo</ability>
      <abilityName>字词错误</abilityName>
      <candidateList>
        <item>设置</item>
      </candidateList>
      <explain/>
      <paraID>1F9772A0</paraID>
      <start>31</start>
      <end>32</end>
      <status>unmodified</status>
      <modifiedWord/>
      <trackRevisions>false</trackRevisions>
    </reviewItem>
    <reviewItem>
      <errorID>b5f82d7f-850b-4c53-879c-d72be29c27be</errorID>
      <errorWord>~</errorWord>
      <group>L1_Format</group>
      <groupName>格式问题</groupName>
      <ability>L2_HalfPunc_CN</ability>
      <abilityName>全半角检查</abilityName>
      <candidateList>
        <item>～</item>
      </candidateList>
      <explain>文本全半角错误。</explain>
      <paraID>3C20FF45</paraID>
      <start>94</start>
      <end>95</end>
      <status>unmodified</status>
      <modifiedWord/>
      <trackRevisions>false</trackRevisions>
    </reviewItem>
    <reviewItem>
      <errorID>481d2129-ddc9-4e23-b0e4-09024524f474</errorID>
      <errorWord>~</errorWord>
      <group>L1_Format</group>
      <groupName>格式问题</groupName>
      <ability>L2_HalfPunc_CN</ability>
      <abilityName>全半角检查</abilityName>
      <candidateList>
        <item>～</item>
      </candidateList>
      <explain>文本全半角错误。</explain>
      <paraID>3C20FF45</paraID>
      <start>116</start>
      <end>117</end>
      <status>unmodified</status>
      <modifiedWord/>
      <trackRevisions>false</trackRevisions>
    </reviewItem>
    <reviewItem>
      <errorID>1f853f44-9625-4c76-bf7f-5fd5567c2053</errorID>
      <errorWord>送</errorWord>
      <group>L1_Word</group>
      <groupName>字词问题</groupName>
      <ability>L2_Typo</ability>
      <abilityName>字词错误</abilityName>
      <candidateList>
        <item>送到</item>
      </candidateList>
      <explain/>
      <paraID>25A1B7C3</paraID>
      <start>52</start>
      <end>53</end>
      <status>unmodified</status>
      <modifiedWord/>
      <trackRevisions>false</trackRevisions>
    </reviewItem>
    <reviewItem>
      <errorID>76613a74-c2df-4b9b-bd1b-3eafb85babd9</errorID>
      <errorWord>自</errorWord>
      <group>L1_Word</group>
      <groupName>字词问题</groupName>
      <ability>L2_Typo</ability>
      <abilityName>字词错误</abilityName>
      <candidateList>
        <item>自动</item>
      </candidateList>
      <explain/>
      <paraID>493856E9</paraID>
      <start>31</start>
      <end>32</end>
      <status>unmodified</status>
      <modifiedWord/>
      <trackRevisions>false</trackRevisions>
    </reviewItem>
    <reviewItem>
      <errorID>affaf65b-066d-4bf6-b046-0be9797c696e</errorID>
      <errorWord>-</errorWord>
      <group>L1_Format</group>
      <groupName>格式问题</groupName>
      <ability>L2_HalfPunc_CN</ability>
      <abilityName>全半角检查</abilityName>
      <candidateList>
        <item>－</item>
      </candidateList>
      <explain>文本全半角错误。</explain>
      <paraID>499FC3CC</paraID>
      <start>47</start>
      <end>48</end>
      <status>unmodified</status>
      <modifiedWord/>
      <trackRevisions>false</trackRevisions>
    </reviewItem>
    <reviewItem>
      <errorID>7db84abb-b570-479e-985b-378fbfd53f83</errorID>
      <errorWord>-</errorWord>
      <group>L1_Format</group>
      <groupName>格式问题</groupName>
      <ability>L2_HalfPunc_CN</ability>
      <abilityName>全半角检查</abilityName>
      <candidateList>
        <item>－</item>
      </candidateList>
      <explain>文本全半角错误。</explain>
      <paraID>499FC3CC</paraID>
      <start>48</start>
      <end>49</end>
      <status>unmodified</status>
      <modifiedWord/>
      <trackRevisions>false</trackRevisions>
    </reviewItem>
    <reviewItem>
      <errorID>da76ad43-40e0-4a51-9229-bff19b715e5f</errorID>
      <errorWord>-</errorWord>
      <group>L1_Format</group>
      <groupName>格式问题</groupName>
      <ability>L2_HalfPunc_CN</ability>
      <abilityName>全半角检查</abilityName>
      <candidateList>
        <item>－</item>
      </candidateList>
      <explain>文本全半角错误。</explain>
      <paraID>499FC3CC</paraID>
      <start>51</start>
      <end>52</end>
      <status>unmodified</status>
      <modifiedWord/>
      <trackRevisions>false</trackRevisions>
    </reviewItem>
    <reviewItem>
      <errorID>8657c587-cf77-4986-a5af-920057072660</errorID>
      <errorWord>-</errorWord>
      <group>L1_Format</group>
      <groupName>格式问题</groupName>
      <ability>L2_HalfPunc_CN</ability>
      <abilityName>全半角检查</abilityName>
      <candidateList>
        <item>－</item>
      </candidateList>
      <explain>文本全半角错误。</explain>
      <paraID>499FC3CC</paraID>
      <start>52</start>
      <end>53</end>
      <status>unmodified</status>
      <modifiedWord/>
      <trackRevisions>false</trackRevisions>
    </reviewItem>
    <reviewItem>
      <errorID>974c3d28-d35d-4ae4-a569-5b10290599c2</errorID>
      <errorWord>突发环境事件的应急响应</errorWord>
      <group>L1_Political</group>
      <groupName>政治性问题</groupName>
      <ability>L2_Keyword</ability>
      <abilityName>固定表述</abilityName>
      <candidateList>
        <item>突发环境事件应急响应</item>
      </candidateList>
      <explain>词汇“突发环境事件应急响应”在特定场景下为固定表述形式，请确认此处的“突发环境事件的应急响应”是否存在不当。</explain>
      <paraID>40144498</paraID>
      <start>10</start>
      <end>21</end>
      <status>unmodified</status>
      <modifiedWord/>
      <trackRevisions>false</trackRevisions>
    </reviewItem>
    <reviewItem>
      <errorID>259865f4-aee2-4792-9d0d-26643846ae15</errorID>
      <errorWord>突发环境事件应急反应</errorWord>
      <group>L1_Political</group>
      <groupName>政治性问题</groupName>
      <ability>L2_Keyword</ability>
      <abilityName>固定表述</abilityName>
      <candidateList>
        <item>突发环境事件应急响应</item>
      </candidateList>
      <explain>词汇“突发环境事件应急响应”在特定场景下为固定表述形式，请确认此处的“突发环境事件应急反应”是否存在不当。</explain>
      <paraID>  A8932A</paraID>
      <start>3</start>
      <end>13</end>
      <status>unmodified</status>
      <modifiedWord/>
      <trackRevisions>false</trackRevisions>
    </reviewItem>
    <reviewItem>
      <errorID>62095e1a-597d-424a-baee-e21f7c9c271f</errorID>
      <errorWord>突发环境事件应急反应</errorWord>
      <group>L1_Political</group>
      <groupName>政治性问题</groupName>
      <ability>L2_Keyword</ability>
      <abilityName>固定表述</abilityName>
      <candidateList>
        <item>突发环境事件应急响应</item>
      </candidateList>
      <explain>词汇“突发环境事件应急响应”在特定场景下为固定表述形式，请确认此处的“突发环境事件应急反应”是否存在不当。</explain>
      <paraID>68DF2C62</paraID>
      <start>3</start>
      <end>13</end>
      <status>unmodified</status>
      <modifiedWord/>
      <trackRevisions>false</trackRevisions>
    </reviewItem>
    <reviewItem>
      <errorID>15dbe784-72bb-4c44-a0fe-19b7681681b4</errorID>
      <errorWord>作</errorWord>
      <group>L1_Word</group>
      <groupName>字词问题</groupName>
      <ability>L2_Typo</ability>
      <abilityName>字词错误</abilityName>
      <candidateList>
        <item>做</item>
      </candidateList>
      <explain>存在发音相同字词的误用。</explain>
      <paraID>1E6F8D84</paraID>
      <start>101</start>
      <end>102</end>
      <status>unmodified</status>
      <modifiedWord/>
      <trackRevisions>false</trackRevisions>
    </reviewItem>
    <reviewItem>
      <errorID>22407634-6a44-4442-8871-e39af142f51a</errorID>
      <errorWord>的</errorWord>
      <group>L1_Word</group>
      <groupName>字词问题</groupName>
      <ability>L2_DDD</ability>
      <abilityName>的地得用法</abilityName>
      <candidateList>
        <item>地</item>
      </candidateList>
      <explain/>
      <paraID>3C816A22</paraID>
      <start>38</start>
      <end>39</end>
      <status>unmodified</status>
      <modifiedWord/>
      <trackRevisions>false</trackRevisions>
    </reviewItem>
    <reviewItem>
      <errorID>638aaf75-1aa4-46cc-90db-9d0794f1a424</errorID>
      <errorWord>救</errorWord>
      <group>L1_Word</group>
      <groupName>字词问题</groupName>
      <ability>L2_Typo</ability>
      <abilityName>字词错误</abilityName>
      <candidateList>
        <item>救援</item>
      </candidateList>
      <explain/>
      <paraID>7C8BEEA8</paraID>
      <start>84</start>
      <end>85</end>
      <status>unmodified</status>
      <modifiedWord/>
      <trackRevisions>false</trackRevisions>
    </reviewItem>
    <reviewItem>
      <errorID>05aea5ba-f4df-4e3b-bdf4-0d728160d0c9</errorID>
      <errorWord>确定出</errorWord>
      <group>L1_Word</group>
      <groupName>字词问题</groupName>
      <ability>L2_Typo</ability>
      <abilityName>字词错误</abilityName>
      <candidateList>
        <item>确定</item>
      </candidateList>
      <explain/>
      <paraID>6BEC2FC6</paraID>
      <start>35</start>
      <end>38</end>
      <status>unmodified</status>
      <modifiedWord/>
      <trackRevisions>false</trackRevisions>
    </reviewItem>
    <reviewItem>
      <errorID>f1139ba1-c4ad-4de8-b68c-4bfdb3ec2a95</errorID>
      <errorWord>区</errorWord>
      <group>L1_Word</group>
      <groupName>字词问题</groupName>
      <ability>L2_Typo</ability>
      <abilityName>字词错误</abilityName>
      <candidateList>
        <item>区域</item>
      </candidateList>
      <explain/>
      <paraID>362312CF</paraID>
      <start>9</start>
      <end>10</end>
      <status>unmodified</status>
      <modifiedWord/>
      <trackRevisions>false</trackRevisions>
    </reviewItem>
    <reviewItem>
      <errorID>ba34277e-feef-439c-accf-6a833b613cf9</errorID>
      <errorWord>设</errorWord>
      <group>L1_Word</group>
      <groupName>字词问题</groupName>
      <ability>L2_Typo</ability>
      <abilityName>字词错误</abilityName>
      <candidateList>
        <item>设置</item>
      </candidateList>
      <explain/>
      <paraID>35DB05BB</paraID>
      <start>32</start>
      <end>33</end>
      <status>unmodified</status>
      <modifiedWord/>
      <trackRevisions>false</trackRevisions>
    </reviewItem>
    <reviewItem>
      <errorID>c7bb61be-68a3-46a0-b6b1-31aaa5e7a64a</errorID>
      <errorWord>过程中存在着</errorWord>
      <group>L1_Word</group>
      <groupName>字词问题</groupName>
      <ability>L2_Typo</ability>
      <abilityName>字词错误</abilityName>
      <candidateList>
        <item>过程中存在</item>
      </candidateList>
      <explain/>
      <paraID>558AF0F3</paraID>
      <start>11</start>
      <end>17</end>
      <status>unmodified</status>
      <modifiedWord/>
      <trackRevisions>false</trackRevisions>
    </reviewItem>
    <reviewItem>
      <errorID>e18a7f64-9e72-4572-93bd-440f730c382b</errorID>
      <errorWord>＜</errorWord>
      <group>L1_Format</group>
      <groupName>格式问题</groupName>
      <ability>L2_HalfPunc_CN</ability>
      <abilityName>全半角检查</abilityName>
      <candidateList>
        <item>&lt;</item>
      </candidateList>
      <explain>文本全半角错误。</explain>
      <paraID>1394E12B</paraID>
      <start>1</start>
      <end>2</end>
      <status>unmodified</status>
      <modifiedWord/>
      <trackRevisions>false</trackRevisions>
    </reviewItem>
    <reviewItem>
      <errorID>a6d43e0d-03fd-4831-821c-02a092e48a7e</errorID>
      <errorWord>＜</errorWord>
      <group>L1_Format</group>
      <groupName>格式问题</groupName>
      <ability>L2_HalfPunc_CN</ability>
      <abilityName>全半角检查</abilityName>
      <candidateList>
        <item>&lt;</item>
      </candidateList>
      <explain>文本全半角错误。</explain>
      <paraID>518EE312</paraID>
      <start>3</start>
      <end>4</end>
      <status>unmodified</status>
      <modifiedWord/>
      <trackRevisions>false</trackRevisions>
    </reviewItem>
    <reviewItem>
      <errorID>8276f57d-accb-4850-b3b8-ff386b6d0ec2</errorID>
      <errorWord>＜</errorWord>
      <group>L1_Format</group>
      <groupName>格式问题</groupName>
      <ability>L2_HalfPunc_CN</ability>
      <abilityName>全半角检查</abilityName>
      <candidateList>
        <item>&lt;</item>
      </candidateList>
      <explain>文本全半角错误。</explain>
      <paraID>71AA0912</paraID>
      <start>4</start>
      <end>5</end>
      <status>unmodified</status>
      <modifiedWord/>
      <trackRevisions>false</trackRevisions>
    </reviewItem>
    <reviewItem>
      <errorID>c16a5423-4fb0-4ba9-9d90-6a5fb664a8e3</errorID>
      <errorWord>＞</errorWord>
      <group>L1_Format</group>
      <groupName>格式问题</groupName>
      <ability>L2_HalfPunc_CN</ability>
      <abilityName>全半角检查</abilityName>
      <candidateList>
        <item>&gt;</item>
      </candidateList>
      <explain>文本全半角错误。</explain>
      <paraID>232AE815</paraID>
      <start>1</start>
      <end>2</end>
      <status>unmodified</status>
      <modifiedWord/>
      <trackRevisions>false</trackRevisions>
    </reviewItem>
    <reviewItem>
      <errorID>1c66155b-eb3c-4952-9525-c786cdbed5b3</errorID>
      <errorWord>;</errorWord>
      <group>L1_Format</group>
      <groupName>格式问题</groupName>
      <ability>L2_HalfPunc_CN</ability>
      <abilityName>全半角检查</abilityName>
      <candidateList>
        <item>；</item>
      </candidateList>
      <explain>文本全半角错误。</explain>
      <paraID>1EB5946D</paraID>
      <start>14</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9630b0-e660-4a93-910d-f7073cb41ac9}">
  <ds:schemaRefs/>
</ds:datastoreItem>
</file>

<file path=docProps/app.xml><?xml version="1.0" encoding="utf-8"?>
<Properties xmlns="http://schemas.openxmlformats.org/officeDocument/2006/extended-properties" xmlns:vt="http://schemas.openxmlformats.org/officeDocument/2006/docPropsVTypes">
  <Template>Normal.dot</Template>
  <Pages>115</Pages>
  <Words>0</Words>
  <Characters>0</Characters>
  <Lines>1</Lines>
  <Paragraphs>1</Paragraphs>
  <TotalTime>20</TotalTime>
  <ScaleCrop>false</ScaleCrop>
  <LinksUpToDate>false</LinksUpToDate>
  <CharactersWithSpaces>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2025-12-09T03:31:00Z</dcterms:created>
  <dc:creator>Admin</dc:creator>
  <cp:lastModifiedBy>橘子</cp:lastModifiedBy>
  <cp:lastPrinted>2026-08-27T12:18:00Z</cp:lastPrinted>
  <dcterms:modified xsi:type="dcterms:W3CDTF">2026-10-09T04:52:59Z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eyJoZGlkIjoiMzU0Nzg5MDhiYWNlODhjOWFjNGJjNmU1YWIyZmY2MWMiLCJ1c2VySWQiOiIxMzAzNzMwMTgxIn0=</vt:lpwstr>
  </property>
  <property fmtid="{D5CDD505-2E9C-101B-9397-08002B2CF9AE}" pid="3" name="KSOProductBuildVer">
    <vt:lpwstr>2052-12.1.0.29161</vt:lpwstr>
  </property>
  <property fmtid="{D5CDD505-2E9C-101B-9397-08002B2CF9AE}" pid="4" name="ICV">
    <vt:lpwstr>EE7F2BF056E543E8A61A6D2A8EB5C482_13</vt:lpwstr>
  </property>
</Properties>
</file>