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9174">
      <w:pPr>
        <w:rPr>
          <w:rFonts w:hint="default" w:ascii="仿宋_GB2312" w:hAnsi="仿宋_GB2312" w:eastAsia="仿宋_GB2312" w:cs="仿宋_GB2312"/>
          <w:sz w:val="36"/>
          <w:szCs w:val="36"/>
          <w:lang w:val="en-US" w:eastAsia="zh-CN"/>
        </w:rPr>
      </w:pPr>
      <w:bookmarkStart w:id="0" w:name="_Hlk57883707"/>
    </w:p>
    <w:p w14:paraId="6C5FBB52">
      <w:pPr>
        <w:rPr>
          <w:rFonts w:ascii="仿宋_GB2312" w:hAnsi="仿宋_GB2312" w:eastAsia="仿宋_GB2312" w:cs="仿宋_GB2312"/>
          <w:sz w:val="36"/>
          <w:szCs w:val="36"/>
        </w:rPr>
      </w:pPr>
    </w:p>
    <w:p w14:paraId="68FE86D4">
      <w:pPr>
        <w:rPr>
          <w:rFonts w:ascii="仿宋_GB2312" w:hAnsi="仿宋_GB2312" w:eastAsia="仿宋_GB2312" w:cs="仿宋_GB2312"/>
          <w:sz w:val="36"/>
          <w:szCs w:val="36"/>
        </w:rPr>
      </w:pPr>
    </w:p>
    <w:p w14:paraId="0EA8FE1E">
      <w:pPr>
        <w:rPr>
          <w:rFonts w:ascii="仿宋_GB2312" w:hAnsi="仿宋_GB2312" w:eastAsia="仿宋_GB2312" w:cs="仿宋_GB2312"/>
          <w:sz w:val="36"/>
          <w:szCs w:val="36"/>
        </w:rPr>
      </w:pPr>
    </w:p>
    <w:bookmarkEnd w:id="0"/>
    <w:p w14:paraId="1AFEE275">
      <w:pPr>
        <w:adjustRightInd w:val="0"/>
        <w:snapToGrid w:val="0"/>
        <w:jc w:val="center"/>
        <w:outlineLvl w:val="0"/>
        <w:rPr>
          <w:rFonts w:hint="eastAsia" w:ascii="方正小标宋_GBK" w:eastAsia="方正小标宋_GBK"/>
          <w:bCs/>
          <w:sz w:val="68"/>
          <w:szCs w:val="68"/>
        </w:rPr>
      </w:pPr>
      <w:r>
        <w:rPr>
          <w:rFonts w:hint="eastAsia" w:ascii="方正小标宋_GBK" w:eastAsia="方正小标宋_GBK"/>
          <w:bCs/>
          <w:sz w:val="68"/>
          <w:szCs w:val="68"/>
        </w:rPr>
        <w:t>建设项目</w:t>
      </w:r>
      <w:r>
        <w:rPr>
          <w:rFonts w:hint="eastAsia" w:ascii="方正小标宋_GBK" w:eastAsia="方正小标宋_GBK"/>
          <w:bCs/>
          <w:sz w:val="68"/>
          <w:szCs w:val="68"/>
          <w:lang w:val="en-US" w:eastAsia="zh-CN"/>
        </w:rPr>
        <w:t>生态</w:t>
      </w:r>
      <w:r>
        <w:rPr>
          <w:rFonts w:hint="eastAsia" w:ascii="方正小标宋_GBK" w:eastAsia="方正小标宋_GBK"/>
          <w:bCs/>
          <w:sz w:val="68"/>
          <w:szCs w:val="68"/>
        </w:rPr>
        <w:t>环境影响报告表</w:t>
      </w:r>
    </w:p>
    <w:p w14:paraId="3B1CDEF5">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（生态影响类）</w:t>
      </w:r>
    </w:p>
    <w:p w14:paraId="03A63692">
      <w:pPr>
        <w:adjustRightInd w:val="0"/>
        <w:snapToGrid w:val="0"/>
        <w:spacing w:line="288" w:lineRule="auto"/>
        <w:jc w:val="center"/>
        <w:outlineLvl w:val="0"/>
        <w:rPr>
          <w:rFonts w:ascii="华文仿宋" w:hAnsi="华文仿宋" w:eastAsia="华文仿宋" w:cs="华文仿宋"/>
          <w:color w:val="000000"/>
          <w:kern w:val="44"/>
          <w:sz w:val="44"/>
          <w:szCs w:val="44"/>
        </w:rPr>
      </w:pPr>
      <w:bookmarkStart w:id="1" w:name="_Hlk57883728"/>
    </w:p>
    <w:p w14:paraId="39111551">
      <w:pPr>
        <w:jc w:val="center"/>
        <w:rPr>
          <w:rFonts w:hint="default" w:ascii="Times New Roman" w:hAnsi="Times New Roman" w:eastAsia="仿宋" w:cs="Times New Roman"/>
          <w:i/>
          <w:iCs/>
          <w:sz w:val="44"/>
          <w:szCs w:val="44"/>
          <w:lang w:val="en-US" w:eastAsia="zh-CN"/>
        </w:rPr>
      </w:pPr>
    </w:p>
    <w:p w14:paraId="24348D5C">
      <w:pPr>
        <w:ind w:firstLine="1040"/>
        <w:rPr>
          <w:rFonts w:hint="default" w:ascii="Times New Roman" w:hAnsi="Times New Roman" w:eastAsia="仿宋" w:cs="Times New Roman"/>
          <w:sz w:val="44"/>
          <w:szCs w:val="44"/>
        </w:rPr>
      </w:pPr>
    </w:p>
    <w:p w14:paraId="75F98155">
      <w:pPr>
        <w:ind w:firstLine="1040"/>
        <w:rPr>
          <w:rFonts w:hint="default" w:ascii="Times New Roman" w:hAnsi="Times New Roman" w:eastAsia="仿宋" w:cs="Times New Roman"/>
          <w:sz w:val="44"/>
          <w:szCs w:val="44"/>
        </w:rPr>
      </w:pPr>
    </w:p>
    <w:p w14:paraId="114B4545">
      <w:pPr>
        <w:ind w:firstLine="1040"/>
        <w:rPr>
          <w:rFonts w:hint="default" w:ascii="Times New Roman" w:hAnsi="Times New Roman" w:eastAsia="仿宋" w:cs="Times New Roman"/>
          <w:sz w:val="44"/>
          <w:szCs w:val="44"/>
        </w:rPr>
      </w:pPr>
    </w:p>
    <w:p w14:paraId="1A9140D1">
      <w:pPr>
        <w:ind w:firstLine="1040"/>
        <w:rPr>
          <w:rFonts w:hint="default" w:ascii="Times New Roman" w:hAnsi="Times New Roman" w:eastAsia="仿宋" w:cs="Times New Roman"/>
          <w:sz w:val="44"/>
          <w:szCs w:val="44"/>
        </w:rPr>
      </w:pPr>
    </w:p>
    <w:bookmarkEnd w:id="1"/>
    <w:p w14:paraId="1798B58A">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项目名称：</w:t>
      </w:r>
      <w:r>
        <w:rPr>
          <w:rFonts w:hint="default" w:ascii="Times New Roman" w:hAnsi="Times New Roman" w:eastAsia="仿宋_GB2312" w:cs="Times New Roman"/>
          <w:sz w:val="36"/>
          <w:szCs w:val="36"/>
          <w:u w:val="single"/>
          <w:lang w:val="en-US" w:eastAsia="zh-CN"/>
        </w:rPr>
        <w:t>2</w:t>
      </w:r>
      <w:r>
        <w:rPr>
          <w:rFonts w:hint="default" w:ascii="Times New Roman" w:hAnsi="Times New Roman" w:eastAsia="仿宋_GB2312" w:cs="Times New Roman"/>
          <w:sz w:val="36"/>
          <w:szCs w:val="36"/>
          <w:u w:val="single"/>
        </w:rPr>
        <w:t>026年若羌县瓦石峡镇吾塔木村防</w:t>
      </w:r>
    </w:p>
    <w:p w14:paraId="15F94138">
      <w:pPr>
        <w:keepNext w:val="0"/>
        <w:keepLines w:val="0"/>
        <w:pageBreakBefore w:val="0"/>
        <w:widowControl w:val="0"/>
        <w:kinsoku/>
        <w:wordWrap/>
        <w:overflowPunct/>
        <w:topLinePunct w:val="0"/>
        <w:autoSpaceDE/>
        <w:autoSpaceDN/>
        <w:bidi w:val="0"/>
        <w:adjustRightInd w:val="0"/>
        <w:snapToGrid w:val="0"/>
        <w:spacing w:line="288" w:lineRule="auto"/>
        <w:ind w:firstLine="2520" w:firstLineChars="700"/>
        <w:textAlignment w:val="auto"/>
        <w:rPr>
          <w:rFonts w:hint="default" w:ascii="Times New Roman" w:hAnsi="Times New Roman" w:eastAsia="仿宋_GB2312" w:cs="Times New Roman"/>
          <w:sz w:val="36"/>
          <w:szCs w:val="36"/>
          <w:u w:val="single"/>
          <w:lang w:val="en-US" w:eastAsia="zh-CN"/>
        </w:rPr>
      </w:pPr>
      <w:r>
        <w:rPr>
          <w:rFonts w:hint="default" w:ascii="Times New Roman" w:hAnsi="Times New Roman" w:eastAsia="仿宋_GB2312" w:cs="Times New Roman"/>
          <w:sz w:val="36"/>
          <w:szCs w:val="36"/>
          <w:u w:val="single"/>
        </w:rPr>
        <w:t>渗渠建设项目</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rPr>
        <w:t>一期</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eastAsia" w:eastAsia="仿宋_GB2312" w:cs="Times New Roman"/>
          <w:sz w:val="36"/>
          <w:szCs w:val="36"/>
          <w:u w:val="single"/>
          <w:lang w:val="en-US" w:eastAsia="zh-CN"/>
        </w:rPr>
        <w:t xml:space="preserve">  </w:t>
      </w:r>
    </w:p>
    <w:p w14:paraId="46676EEC">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建设单位（盖章）：</w:t>
      </w:r>
      <w:r>
        <w:rPr>
          <w:rFonts w:hint="default" w:ascii="Times New Roman" w:hAnsi="Times New Roman" w:eastAsia="仿宋_GB2312" w:cs="Times New Roman"/>
          <w:sz w:val="36"/>
          <w:szCs w:val="36"/>
          <w:u w:val="single"/>
          <w:lang w:val="en-US" w:eastAsia="zh-CN"/>
        </w:rPr>
        <w:t>若羌县瓦石峡</w:t>
      </w:r>
      <w:r>
        <w:rPr>
          <w:rFonts w:hint="eastAsia" w:eastAsia="仿宋_GB2312" w:cs="Times New Roman"/>
          <w:sz w:val="36"/>
          <w:szCs w:val="36"/>
          <w:u w:val="single"/>
          <w:lang w:val="en-US" w:eastAsia="zh-CN"/>
        </w:rPr>
        <w:t>镇</w:t>
      </w:r>
      <w:r>
        <w:rPr>
          <w:rFonts w:hint="default" w:ascii="Times New Roman" w:hAnsi="Times New Roman" w:eastAsia="仿宋_GB2312" w:cs="Times New Roman"/>
          <w:sz w:val="36"/>
          <w:szCs w:val="36"/>
          <w:u w:val="single"/>
          <w:lang w:val="en-US" w:eastAsia="zh-CN"/>
        </w:rPr>
        <w:t>人民政府</w:t>
      </w:r>
    </w:p>
    <w:p w14:paraId="05B961CD">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编制日期：</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eastAsia"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2026年9月</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p>
    <w:p w14:paraId="34757BE9">
      <w:pPr>
        <w:adjustRightInd w:val="0"/>
        <w:snapToGrid w:val="0"/>
        <w:spacing w:line="288" w:lineRule="auto"/>
        <w:ind w:firstLine="1040"/>
        <w:rPr>
          <w:rFonts w:ascii="仿宋_GB2312" w:eastAsia="仿宋_GB2312"/>
          <w:sz w:val="36"/>
          <w:szCs w:val="36"/>
          <w:u w:val="single"/>
        </w:rPr>
      </w:pPr>
    </w:p>
    <w:p w14:paraId="2FD783A1">
      <w:pPr>
        <w:adjustRightInd w:val="0"/>
        <w:snapToGrid w:val="0"/>
        <w:spacing w:line="288" w:lineRule="auto"/>
        <w:ind w:firstLine="1040"/>
        <w:rPr>
          <w:rFonts w:ascii="仿宋_GB2312" w:eastAsia="仿宋_GB2312"/>
          <w:sz w:val="36"/>
          <w:szCs w:val="36"/>
        </w:rPr>
      </w:pPr>
    </w:p>
    <w:p w14:paraId="43A0CC6A">
      <w:pPr>
        <w:adjustRightInd w:val="0"/>
        <w:snapToGrid w:val="0"/>
        <w:spacing w:line="288" w:lineRule="auto"/>
        <w:ind w:firstLine="1040"/>
        <w:rPr>
          <w:rFonts w:ascii="仿宋_GB2312" w:eastAsia="仿宋_GB2312"/>
          <w:sz w:val="36"/>
          <w:szCs w:val="36"/>
        </w:rPr>
      </w:pPr>
    </w:p>
    <w:p w14:paraId="70BE74D7">
      <w:pPr>
        <w:adjustRightInd w:val="0"/>
        <w:snapToGrid w:val="0"/>
        <w:spacing w:line="288" w:lineRule="auto"/>
        <w:ind w:firstLine="1040"/>
        <w:rPr>
          <w:rFonts w:hint="eastAsia" w:ascii="仿宋_GB2312" w:eastAsia="仿宋_GB2312"/>
          <w:sz w:val="36"/>
          <w:szCs w:val="36"/>
        </w:rPr>
      </w:pPr>
    </w:p>
    <w:p w14:paraId="47DC8E2C">
      <w:pPr>
        <w:adjustRightInd w:val="0"/>
        <w:snapToGrid w:val="0"/>
        <w:spacing w:line="288" w:lineRule="auto"/>
        <w:ind w:firstLine="1040"/>
        <w:rPr>
          <w:rFonts w:hint="eastAsia" w:ascii="仿宋_GB2312" w:eastAsia="仿宋_GB2312"/>
          <w:sz w:val="36"/>
          <w:szCs w:val="36"/>
        </w:rPr>
      </w:pPr>
    </w:p>
    <w:p w14:paraId="7C714880">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79D4C7FE">
      <w:pPr>
        <w:adjustRightInd w:val="0"/>
        <w:snapToGrid w:val="0"/>
        <w:spacing w:line="288" w:lineRule="auto"/>
        <w:ind w:firstLine="1040"/>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start="21"/>
          <w:cols w:space="720" w:num="1"/>
          <w:docGrid w:linePitch="312" w:charSpace="0"/>
        </w:sectPr>
      </w:pPr>
    </w:p>
    <w:p w14:paraId="25482684">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一、建设项目基本情况</w:t>
      </w:r>
    </w:p>
    <w:tbl>
      <w:tblPr>
        <w:tblStyle w:val="22"/>
        <w:tblW w:w="9039"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82"/>
        <w:gridCol w:w="1344"/>
        <w:gridCol w:w="2043"/>
        <w:gridCol w:w="2218"/>
        <w:gridCol w:w="10"/>
        <w:gridCol w:w="2542"/>
      </w:tblGrid>
      <w:tr w14:paraId="10713C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6E9B4515">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建设项目名称</w:t>
            </w:r>
          </w:p>
        </w:tc>
        <w:tc>
          <w:tcPr>
            <w:tcW w:w="6813" w:type="dxa"/>
            <w:gridSpan w:val="4"/>
            <w:noWrap w:val="0"/>
            <w:vAlign w:val="center"/>
          </w:tcPr>
          <w:p w14:paraId="22188C2A">
            <w:pPr>
              <w:adjustRightInd w:val="0"/>
              <w:snapToGrid w:val="0"/>
              <w:jc w:val="center"/>
              <w:rPr>
                <w:rFonts w:hint="eastAsia" w:ascii="Times New Roman" w:hAnsi="Times New Roman" w:eastAsia="宋体" w:cs="Times New Roman"/>
                <w:szCs w:val="21"/>
                <w:lang w:eastAsia="zh-CN"/>
              </w:rPr>
            </w:pPr>
            <w:r>
              <w:rPr>
                <w:rFonts w:hint="default" w:ascii="Times New Roman" w:hAnsi="Times New Roman" w:cs="Times New Roman"/>
                <w:szCs w:val="21"/>
                <w:lang w:val="en-US" w:eastAsia="zh-CN"/>
              </w:rPr>
              <w:t>2</w:t>
            </w:r>
            <w:r>
              <w:rPr>
                <w:rFonts w:hint="default" w:ascii="Times New Roman" w:hAnsi="Times New Roman" w:cs="Times New Roman"/>
                <w:szCs w:val="21"/>
              </w:rPr>
              <w:t>026年若羌县瓦石峡镇吾塔木村防渗渠建设项目</w:t>
            </w:r>
            <w:r>
              <w:rPr>
                <w:rFonts w:hint="eastAsia" w:ascii="Times New Roman" w:hAnsi="Times New Roman" w:cs="Times New Roman"/>
                <w:szCs w:val="21"/>
                <w:lang w:eastAsia="zh-CN"/>
              </w:rPr>
              <w:t>（</w:t>
            </w:r>
            <w:r>
              <w:rPr>
                <w:rFonts w:hint="default" w:ascii="Times New Roman" w:hAnsi="Times New Roman" w:cs="Times New Roman"/>
                <w:szCs w:val="21"/>
              </w:rPr>
              <w:t>一期</w:t>
            </w:r>
            <w:r>
              <w:rPr>
                <w:rFonts w:hint="eastAsia" w:ascii="Times New Roman" w:hAnsi="Times New Roman" w:cs="Times New Roman"/>
                <w:szCs w:val="21"/>
                <w:lang w:eastAsia="zh-CN"/>
              </w:rPr>
              <w:t>）</w:t>
            </w:r>
          </w:p>
        </w:tc>
      </w:tr>
      <w:tr w14:paraId="38BFF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2226" w:type="dxa"/>
            <w:gridSpan w:val="2"/>
            <w:noWrap w:val="0"/>
            <w:tcMar>
              <w:top w:w="16" w:type="dxa"/>
              <w:left w:w="16" w:type="dxa"/>
              <w:right w:w="16" w:type="dxa"/>
            </w:tcMar>
            <w:vAlign w:val="center"/>
          </w:tcPr>
          <w:p w14:paraId="53E6C05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项目代码</w:t>
            </w:r>
          </w:p>
        </w:tc>
        <w:tc>
          <w:tcPr>
            <w:tcW w:w="6813" w:type="dxa"/>
            <w:gridSpan w:val="4"/>
            <w:noWrap w:val="0"/>
            <w:vAlign w:val="center"/>
          </w:tcPr>
          <w:p w14:paraId="5E354A6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2603-652824-04-01-403960</w:t>
            </w:r>
          </w:p>
        </w:tc>
      </w:tr>
      <w:tr w14:paraId="754D5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5FA2C6DD">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建设单位联系人</w:t>
            </w:r>
          </w:p>
        </w:tc>
        <w:tc>
          <w:tcPr>
            <w:tcW w:w="2043" w:type="dxa"/>
            <w:noWrap w:val="0"/>
            <w:vAlign w:val="center"/>
          </w:tcPr>
          <w:p w14:paraId="06AAB465">
            <w:pPr>
              <w:adjustRightInd w:val="0"/>
              <w:snapToGrid w:val="0"/>
              <w:jc w:val="center"/>
              <w:rPr>
                <w:rFonts w:hint="default" w:ascii="Times New Roman" w:hAnsi="Times New Roman" w:eastAsia="宋体" w:cs="Times New Roman"/>
                <w:szCs w:val="21"/>
                <w:lang w:val="en-US" w:eastAsia="zh-CN"/>
              </w:rPr>
            </w:pPr>
          </w:p>
        </w:tc>
        <w:tc>
          <w:tcPr>
            <w:tcW w:w="2228" w:type="dxa"/>
            <w:gridSpan w:val="2"/>
            <w:noWrap w:val="0"/>
            <w:vAlign w:val="center"/>
          </w:tcPr>
          <w:p w14:paraId="5C9D8D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2542" w:type="dxa"/>
            <w:noWrap w:val="0"/>
            <w:vAlign w:val="center"/>
          </w:tcPr>
          <w:p w14:paraId="3D05B853">
            <w:pPr>
              <w:adjustRightInd w:val="0"/>
              <w:snapToGrid w:val="0"/>
              <w:jc w:val="center"/>
              <w:rPr>
                <w:rFonts w:hint="default" w:ascii="Times New Roman" w:hAnsi="Times New Roman" w:cs="Times New Roman"/>
                <w:szCs w:val="21"/>
              </w:rPr>
            </w:pPr>
          </w:p>
        </w:tc>
      </w:tr>
      <w:tr w14:paraId="3115D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463CD44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建设地点</w:t>
            </w:r>
          </w:p>
        </w:tc>
        <w:tc>
          <w:tcPr>
            <w:tcW w:w="6813" w:type="dxa"/>
            <w:gridSpan w:val="4"/>
            <w:noWrap w:val="0"/>
            <w:vAlign w:val="center"/>
          </w:tcPr>
          <w:p w14:paraId="7316B6A2">
            <w:pPr>
              <w:adjustRightInd w:val="0"/>
              <w:snapToGrid w:val="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新疆维吾尔自治区巴音郭楞蒙古自治州若羌县瓦石峡镇</w:t>
            </w:r>
            <w:r>
              <w:rPr>
                <w:rFonts w:hint="default" w:ascii="Times New Roman" w:hAnsi="Times New Roman" w:cs="Times New Roman"/>
                <w:szCs w:val="21"/>
              </w:rPr>
              <w:t>吾塔木村</w:t>
            </w:r>
          </w:p>
        </w:tc>
      </w:tr>
      <w:tr w14:paraId="2A64C9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gridSpan w:val="2"/>
            <w:noWrap w:val="0"/>
            <w:tcMar>
              <w:top w:w="16" w:type="dxa"/>
              <w:left w:w="16" w:type="dxa"/>
              <w:right w:w="16" w:type="dxa"/>
            </w:tcMar>
            <w:vAlign w:val="center"/>
          </w:tcPr>
          <w:p w14:paraId="388CB49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地理坐标</w:t>
            </w:r>
          </w:p>
        </w:tc>
        <w:tc>
          <w:tcPr>
            <w:tcW w:w="6813" w:type="dxa"/>
            <w:gridSpan w:val="4"/>
            <w:noWrap w:val="0"/>
            <w:vAlign w:val="center"/>
          </w:tcPr>
          <w:p w14:paraId="0D6312A0">
            <w:pPr>
              <w:adjustRightInd w:val="0"/>
              <w:snapToGrid w:val="0"/>
              <w:jc w:val="center"/>
              <w:rPr>
                <w:rFonts w:hint="default" w:ascii="Times New Roman" w:hAnsi="Times New Roman" w:cs="Times New Roman"/>
                <w:szCs w:val="21"/>
              </w:rPr>
            </w:pPr>
          </w:p>
        </w:tc>
      </w:tr>
      <w:tr w14:paraId="2E65D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gridSpan w:val="2"/>
            <w:noWrap w:val="0"/>
            <w:tcMar>
              <w:top w:w="16" w:type="dxa"/>
              <w:left w:w="16" w:type="dxa"/>
              <w:right w:w="16" w:type="dxa"/>
            </w:tcMar>
            <w:vAlign w:val="center"/>
          </w:tcPr>
          <w:p w14:paraId="58188EE0">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w:t>
            </w:r>
          </w:p>
          <w:p w14:paraId="70F2CF2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行业类别</w:t>
            </w:r>
          </w:p>
        </w:tc>
        <w:tc>
          <w:tcPr>
            <w:tcW w:w="2043" w:type="dxa"/>
            <w:noWrap w:val="0"/>
            <w:vAlign w:val="center"/>
          </w:tcPr>
          <w:p w14:paraId="37DA6463">
            <w:pPr>
              <w:adjustRightInd w:val="0"/>
              <w:snapToGrid w:val="0"/>
              <w:jc w:val="center"/>
              <w:rPr>
                <w:rFonts w:hint="default" w:ascii="Times New Roman" w:hAnsi="Times New Roman" w:cs="Times New Roman"/>
                <w:szCs w:val="21"/>
              </w:rPr>
            </w:pPr>
            <w:r>
              <w:rPr>
                <w:rFonts w:hint="default" w:ascii="Times New Roman" w:hAnsi="Times New Roman" w:cs="Times New Roman"/>
                <w:lang w:eastAsia="zh-CN"/>
              </w:rPr>
              <w:t>五十一、水利</w:t>
            </w:r>
            <w:r>
              <w:rPr>
                <w:rFonts w:hint="default" w:ascii="Times New Roman" w:hAnsi="Times New Roman" w:cs="Times New Roman"/>
                <w:lang w:val="en-US" w:eastAsia="zh-CN"/>
              </w:rPr>
              <w:t>-125灌区工程（不含水源工程的）-其他（不含高标准农田、滴灌等节水改造工程）</w:t>
            </w:r>
          </w:p>
        </w:tc>
        <w:tc>
          <w:tcPr>
            <w:tcW w:w="2218" w:type="dxa"/>
            <w:noWrap w:val="0"/>
            <w:vAlign w:val="center"/>
          </w:tcPr>
          <w:p w14:paraId="59604A8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用地（用海）面积（m</w:t>
            </w:r>
            <w:r>
              <w:rPr>
                <w:rFonts w:hint="default" w:ascii="Times New Roman" w:hAnsi="Times New Roman" w:cs="Times New Roman"/>
                <w:szCs w:val="21"/>
                <w:highlight w:val="none"/>
                <w:vertAlign w:val="superscript"/>
              </w:rPr>
              <w:t>2</w:t>
            </w:r>
            <w:r>
              <w:rPr>
                <w:rFonts w:hint="default" w:ascii="Times New Roman" w:hAnsi="Times New Roman" w:cs="Times New Roman"/>
                <w:szCs w:val="21"/>
                <w:highlight w:val="none"/>
              </w:rPr>
              <w:t>）/长度（km）</w:t>
            </w:r>
          </w:p>
        </w:tc>
        <w:tc>
          <w:tcPr>
            <w:tcW w:w="2552" w:type="dxa"/>
            <w:gridSpan w:val="2"/>
            <w:noWrap w:val="0"/>
            <w:vAlign w:val="center"/>
          </w:tcPr>
          <w:p w14:paraId="32FFD3D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highlight w:val="none"/>
                <w:lang w:val="en-US" w:eastAsia="zh-CN"/>
              </w:rPr>
              <w:t>永久占地面积</w:t>
            </w:r>
            <w:r>
              <w:rPr>
                <w:rFonts w:hint="eastAsia" w:cs="Times New Roman"/>
                <w:highlight w:val="none"/>
                <w:lang w:val="en-US" w:eastAsia="zh-CN"/>
              </w:rPr>
              <w:t>20215</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2</w:t>
            </w:r>
            <w:r>
              <w:rPr>
                <w:rFonts w:hint="eastAsia" w:cs="Times New Roman"/>
                <w:highlight w:val="none"/>
                <w:vertAlign w:val="baseline"/>
                <w:lang w:val="en-US" w:eastAsia="zh-CN"/>
              </w:rPr>
              <w:t>，</w:t>
            </w:r>
            <w:r>
              <w:rPr>
                <w:rFonts w:hint="eastAsia" w:cs="Times New Roman"/>
                <w:highlight w:val="none"/>
                <w:lang w:val="en-US" w:eastAsia="zh-CN"/>
              </w:rPr>
              <w:t>防渗渠</w:t>
            </w:r>
            <w:r>
              <w:rPr>
                <w:rFonts w:hint="default" w:ascii="Times New Roman" w:hAnsi="Times New Roman" w:cs="Times New Roman"/>
                <w:highlight w:val="none"/>
                <w:lang w:val="en-US" w:eastAsia="zh-CN"/>
              </w:rPr>
              <w:t>长度</w:t>
            </w:r>
            <w:r>
              <w:rPr>
                <w:rFonts w:hint="eastAsia" w:cs="Times New Roman"/>
                <w:highlight w:val="none"/>
                <w:lang w:val="en-US" w:eastAsia="zh-CN"/>
              </w:rPr>
              <w:t>为</w:t>
            </w:r>
            <w:r>
              <w:rPr>
                <w:rFonts w:hint="eastAsia" w:ascii="Times New Roman" w:hAnsi="Times New Roman" w:cs="Times New Roman"/>
                <w:highlight w:val="none"/>
                <w:lang w:val="en-US" w:eastAsia="zh-CN"/>
              </w:rPr>
              <w:t>7.35</w:t>
            </w:r>
            <w:r>
              <w:rPr>
                <w:rFonts w:hint="default" w:ascii="Times New Roman" w:hAnsi="Times New Roman" w:cs="Times New Roman"/>
                <w:highlight w:val="none"/>
                <w:lang w:val="en-US" w:eastAsia="zh-CN"/>
              </w:rPr>
              <w:t>km。</w:t>
            </w:r>
          </w:p>
        </w:tc>
      </w:tr>
      <w:tr w14:paraId="0F35E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gridSpan w:val="2"/>
            <w:noWrap w:val="0"/>
            <w:tcMar>
              <w:top w:w="16" w:type="dxa"/>
              <w:left w:w="16" w:type="dxa"/>
              <w:right w:w="16" w:type="dxa"/>
            </w:tcMar>
            <w:vAlign w:val="center"/>
          </w:tcPr>
          <w:p w14:paraId="4BCE1619">
            <w:pPr>
              <w:adjustRightInd w:val="0"/>
              <w:snapToGrid w:val="0"/>
              <w:jc w:val="center"/>
              <w:rPr>
                <w:rFonts w:ascii="宋体" w:hAnsi="宋体" w:cs="宋体"/>
                <w:szCs w:val="21"/>
              </w:rPr>
            </w:pPr>
            <w:r>
              <w:rPr>
                <w:rFonts w:hint="eastAsia" w:ascii="宋体" w:hAnsi="宋体" w:cs="宋体"/>
                <w:szCs w:val="21"/>
              </w:rPr>
              <w:t>建设性质</w:t>
            </w:r>
          </w:p>
        </w:tc>
        <w:tc>
          <w:tcPr>
            <w:tcW w:w="2043" w:type="dxa"/>
            <w:noWrap w:val="0"/>
            <w:vAlign w:val="center"/>
          </w:tcPr>
          <w:p w14:paraId="0398EF83">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新建（迁建）</w:t>
            </w:r>
          </w:p>
          <w:p w14:paraId="72779ECF">
            <w:pPr>
              <w:adjustRightInd w:val="0"/>
              <w:snapToGrid w:val="0"/>
              <w:jc w:val="left"/>
              <w:rPr>
                <w:rFonts w:ascii="宋体" w:hAnsi="宋体" w:cs="宋体"/>
                <w:szCs w:val="21"/>
              </w:rPr>
            </w:pPr>
            <w:r>
              <w:rPr>
                <w:rFonts w:hint="eastAsia" w:ascii="宋体" w:hAnsi="宋体" w:cs="宋体"/>
                <w:szCs w:val="21"/>
              </w:rPr>
              <w:t>□改建</w:t>
            </w:r>
          </w:p>
          <w:p w14:paraId="007B73A3">
            <w:pPr>
              <w:adjustRightInd w:val="0"/>
              <w:snapToGrid w:val="0"/>
              <w:jc w:val="left"/>
              <w:rPr>
                <w:rFonts w:ascii="宋体" w:hAnsi="宋体" w:cs="宋体"/>
                <w:szCs w:val="21"/>
              </w:rPr>
            </w:pPr>
            <w:r>
              <w:rPr>
                <w:rFonts w:hint="eastAsia" w:ascii="宋体" w:hAnsi="宋体" w:cs="宋体"/>
                <w:szCs w:val="21"/>
              </w:rPr>
              <w:t>□扩建</w:t>
            </w:r>
          </w:p>
          <w:p w14:paraId="4B26C309">
            <w:pPr>
              <w:adjustRightInd w:val="0"/>
              <w:snapToGrid w:val="0"/>
              <w:jc w:val="left"/>
              <w:rPr>
                <w:rFonts w:ascii="宋体" w:hAnsi="宋体" w:cs="宋体"/>
                <w:szCs w:val="21"/>
              </w:rPr>
            </w:pPr>
            <w:r>
              <w:rPr>
                <w:rFonts w:hint="eastAsia" w:ascii="宋体" w:hAnsi="宋体" w:cs="宋体"/>
                <w:szCs w:val="21"/>
              </w:rPr>
              <w:t>□技术改造</w:t>
            </w:r>
          </w:p>
        </w:tc>
        <w:tc>
          <w:tcPr>
            <w:tcW w:w="2218" w:type="dxa"/>
            <w:noWrap w:val="0"/>
            <w:vAlign w:val="center"/>
          </w:tcPr>
          <w:p w14:paraId="62B46AE4">
            <w:pPr>
              <w:adjustRightInd w:val="0"/>
              <w:snapToGrid w:val="0"/>
              <w:jc w:val="center"/>
              <w:rPr>
                <w:rFonts w:ascii="宋体" w:hAnsi="宋体" w:cs="宋体"/>
                <w:szCs w:val="21"/>
              </w:rPr>
            </w:pPr>
            <w:r>
              <w:rPr>
                <w:rFonts w:hint="eastAsia" w:ascii="宋体" w:hAnsi="宋体" w:cs="宋体"/>
                <w:szCs w:val="21"/>
              </w:rPr>
              <w:t>建设项目</w:t>
            </w:r>
          </w:p>
          <w:p w14:paraId="78710B88">
            <w:pPr>
              <w:adjustRightInd w:val="0"/>
              <w:snapToGrid w:val="0"/>
              <w:jc w:val="center"/>
              <w:rPr>
                <w:rFonts w:ascii="宋体" w:hAnsi="宋体" w:cs="宋体"/>
                <w:szCs w:val="21"/>
              </w:rPr>
            </w:pPr>
            <w:r>
              <w:rPr>
                <w:rFonts w:hint="eastAsia" w:ascii="宋体" w:hAnsi="宋体" w:cs="宋体"/>
                <w:szCs w:val="21"/>
              </w:rPr>
              <w:t>申报情形</w:t>
            </w:r>
          </w:p>
        </w:tc>
        <w:tc>
          <w:tcPr>
            <w:tcW w:w="2552" w:type="dxa"/>
            <w:gridSpan w:val="2"/>
            <w:noWrap w:val="0"/>
            <w:vAlign w:val="center"/>
          </w:tcPr>
          <w:p w14:paraId="150B4661">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首次申报项目</w:t>
            </w:r>
          </w:p>
          <w:p w14:paraId="1EBF2470">
            <w:pPr>
              <w:adjustRightInd w:val="0"/>
              <w:snapToGrid w:val="0"/>
              <w:jc w:val="left"/>
              <w:rPr>
                <w:rFonts w:ascii="宋体" w:hAnsi="宋体" w:cs="宋体"/>
                <w:szCs w:val="21"/>
              </w:rPr>
            </w:pPr>
            <w:r>
              <w:rPr>
                <w:rFonts w:hint="eastAsia" w:ascii="宋体" w:hAnsi="宋体" w:cs="宋体"/>
                <w:szCs w:val="21"/>
              </w:rPr>
              <w:t>□不予批准后再次申报项目</w:t>
            </w:r>
          </w:p>
          <w:p w14:paraId="6330B838">
            <w:pPr>
              <w:adjustRightInd w:val="0"/>
              <w:snapToGrid w:val="0"/>
              <w:jc w:val="left"/>
              <w:rPr>
                <w:rFonts w:ascii="宋体" w:hAnsi="宋体" w:cs="宋体"/>
                <w:szCs w:val="21"/>
              </w:rPr>
            </w:pPr>
            <w:r>
              <w:rPr>
                <w:rFonts w:hint="eastAsia" w:ascii="宋体" w:hAnsi="宋体" w:cs="宋体"/>
                <w:szCs w:val="21"/>
              </w:rPr>
              <w:t>□超五年重新审核项目</w:t>
            </w:r>
          </w:p>
          <w:p w14:paraId="606C26E3">
            <w:pPr>
              <w:adjustRightInd w:val="0"/>
              <w:snapToGrid w:val="0"/>
              <w:rPr>
                <w:rFonts w:ascii="宋体" w:hAnsi="宋体" w:cs="宋体"/>
                <w:szCs w:val="21"/>
              </w:rPr>
            </w:pPr>
            <w:r>
              <w:rPr>
                <w:rFonts w:hint="eastAsia" w:ascii="宋体" w:hAnsi="宋体" w:cs="宋体"/>
                <w:szCs w:val="21"/>
              </w:rPr>
              <w:t>□重大变动重新报批项目</w:t>
            </w:r>
          </w:p>
        </w:tc>
      </w:tr>
      <w:tr w14:paraId="6330C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gridSpan w:val="2"/>
            <w:noWrap w:val="0"/>
            <w:tcMar>
              <w:top w:w="16" w:type="dxa"/>
              <w:left w:w="16" w:type="dxa"/>
              <w:right w:w="16" w:type="dxa"/>
            </w:tcMar>
            <w:vAlign w:val="center"/>
          </w:tcPr>
          <w:p w14:paraId="3AFD8CC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项目审批（核准/</w:t>
            </w:r>
          </w:p>
          <w:p w14:paraId="00CDC22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备案）部门（选填）</w:t>
            </w:r>
          </w:p>
        </w:tc>
        <w:tc>
          <w:tcPr>
            <w:tcW w:w="2043" w:type="dxa"/>
            <w:noWrap w:val="0"/>
            <w:vAlign w:val="center"/>
          </w:tcPr>
          <w:p w14:paraId="31EFC93E">
            <w:pPr>
              <w:adjustRightInd w:val="0"/>
              <w:snapToGrid w:val="0"/>
              <w:jc w:val="center"/>
              <w:rPr>
                <w:rFonts w:hint="default" w:ascii="Times New Roman" w:hAnsi="Times New Roman" w:cs="Times New Roman"/>
                <w:szCs w:val="21"/>
              </w:rPr>
            </w:pPr>
            <w:r>
              <w:rPr>
                <w:rFonts w:hint="default" w:ascii="Times New Roman" w:hAnsi="Times New Roman" w:cs="Times New Roman"/>
                <w:highlight w:val="none"/>
                <w:lang w:val="en-US" w:eastAsia="zh-CN"/>
              </w:rPr>
              <w:t>若羌县发展和改革委员会</w:t>
            </w:r>
          </w:p>
        </w:tc>
        <w:tc>
          <w:tcPr>
            <w:tcW w:w="2218" w:type="dxa"/>
            <w:noWrap w:val="0"/>
            <w:vAlign w:val="center"/>
          </w:tcPr>
          <w:p w14:paraId="6BE3746E">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项目审批（核准/</w:t>
            </w:r>
          </w:p>
          <w:p w14:paraId="64A7FEB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备案）文号（选填）</w:t>
            </w:r>
          </w:p>
        </w:tc>
        <w:tc>
          <w:tcPr>
            <w:tcW w:w="2552" w:type="dxa"/>
            <w:gridSpan w:val="2"/>
            <w:noWrap w:val="0"/>
            <w:vAlign w:val="center"/>
          </w:tcPr>
          <w:p w14:paraId="0702F69A">
            <w:pPr>
              <w:adjustRightInd w:val="0"/>
              <w:snapToGrid w:val="0"/>
              <w:jc w:val="center"/>
              <w:rPr>
                <w:rFonts w:hint="default" w:ascii="Times New Roman" w:hAnsi="Times New Roman" w:cs="Times New Roman"/>
                <w:szCs w:val="21"/>
                <w:lang w:val="en-US"/>
              </w:rPr>
            </w:pPr>
            <w:r>
              <w:rPr>
                <w:rFonts w:hint="default" w:ascii="Times New Roman" w:hAnsi="Times New Roman" w:cs="Times New Roman"/>
                <w:highlight w:val="none"/>
                <w:lang w:val="en-US" w:eastAsia="zh-CN"/>
              </w:rPr>
              <w:t>若发改字〔2026〕70号</w:t>
            </w:r>
          </w:p>
        </w:tc>
      </w:tr>
      <w:tr w14:paraId="1FF3E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2226" w:type="dxa"/>
            <w:gridSpan w:val="2"/>
            <w:noWrap w:val="0"/>
            <w:tcMar>
              <w:top w:w="16" w:type="dxa"/>
              <w:left w:w="16" w:type="dxa"/>
              <w:right w:w="16" w:type="dxa"/>
            </w:tcMar>
            <w:vAlign w:val="center"/>
          </w:tcPr>
          <w:p w14:paraId="5DD5CCB1">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总投资（万元）</w:t>
            </w:r>
          </w:p>
        </w:tc>
        <w:tc>
          <w:tcPr>
            <w:tcW w:w="2043" w:type="dxa"/>
            <w:noWrap w:val="0"/>
            <w:vAlign w:val="center"/>
          </w:tcPr>
          <w:p w14:paraId="664C3D31">
            <w:pPr>
              <w:adjustRightInd w:val="0"/>
              <w:snapToGrid w:val="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384</w:t>
            </w:r>
          </w:p>
        </w:tc>
        <w:tc>
          <w:tcPr>
            <w:tcW w:w="2218" w:type="dxa"/>
            <w:noWrap w:val="0"/>
            <w:tcMar>
              <w:top w:w="16" w:type="dxa"/>
              <w:left w:w="16" w:type="dxa"/>
              <w:right w:w="16" w:type="dxa"/>
            </w:tcMar>
            <w:vAlign w:val="center"/>
          </w:tcPr>
          <w:p w14:paraId="742D2E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环保投资（万元）</w:t>
            </w:r>
          </w:p>
        </w:tc>
        <w:tc>
          <w:tcPr>
            <w:tcW w:w="2552" w:type="dxa"/>
            <w:gridSpan w:val="2"/>
            <w:noWrap w:val="0"/>
            <w:vAlign w:val="center"/>
          </w:tcPr>
          <w:p w14:paraId="2F4554E2">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13.6</w:t>
            </w:r>
          </w:p>
        </w:tc>
      </w:tr>
      <w:tr w14:paraId="2B585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2226" w:type="dxa"/>
            <w:gridSpan w:val="2"/>
            <w:noWrap w:val="0"/>
            <w:tcMar>
              <w:top w:w="16" w:type="dxa"/>
              <w:left w:w="16" w:type="dxa"/>
              <w:right w:w="16" w:type="dxa"/>
            </w:tcMar>
            <w:vAlign w:val="center"/>
          </w:tcPr>
          <w:p w14:paraId="1DE1520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环保投资占比（%）</w:t>
            </w:r>
          </w:p>
        </w:tc>
        <w:tc>
          <w:tcPr>
            <w:tcW w:w="2043" w:type="dxa"/>
            <w:noWrap w:val="0"/>
            <w:vAlign w:val="center"/>
          </w:tcPr>
          <w:p w14:paraId="3A902688">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3.54</w:t>
            </w:r>
          </w:p>
        </w:tc>
        <w:tc>
          <w:tcPr>
            <w:tcW w:w="2218" w:type="dxa"/>
            <w:noWrap w:val="0"/>
            <w:tcMar>
              <w:top w:w="16" w:type="dxa"/>
              <w:left w:w="16" w:type="dxa"/>
              <w:right w:w="16" w:type="dxa"/>
            </w:tcMar>
            <w:vAlign w:val="center"/>
          </w:tcPr>
          <w:p w14:paraId="3AA1F55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施工工期</w:t>
            </w:r>
          </w:p>
        </w:tc>
        <w:tc>
          <w:tcPr>
            <w:tcW w:w="2552" w:type="dxa"/>
            <w:gridSpan w:val="2"/>
            <w:noWrap w:val="0"/>
            <w:vAlign w:val="center"/>
          </w:tcPr>
          <w:p w14:paraId="77E283D1">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2</w:t>
            </w:r>
            <w:r>
              <w:rPr>
                <w:rFonts w:hint="default" w:ascii="Times New Roman" w:hAnsi="Times New Roman" w:cs="Times New Roman"/>
                <w:szCs w:val="21"/>
                <w:lang w:val="en-US" w:eastAsia="zh-CN"/>
              </w:rPr>
              <w:t>个月</w:t>
            </w:r>
          </w:p>
        </w:tc>
      </w:tr>
      <w:tr w14:paraId="27846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566B5144">
            <w:pPr>
              <w:adjustRightInd w:val="0"/>
              <w:snapToGrid w:val="0"/>
              <w:jc w:val="center"/>
              <w:rPr>
                <w:rFonts w:ascii="宋体" w:hAnsi="宋体" w:cs="宋体"/>
                <w:szCs w:val="21"/>
              </w:rPr>
            </w:pPr>
            <w:r>
              <w:rPr>
                <w:rFonts w:hint="eastAsia" w:ascii="宋体" w:hAnsi="宋体" w:cs="宋体"/>
                <w:szCs w:val="21"/>
              </w:rPr>
              <w:t>是否开工建设</w:t>
            </w:r>
          </w:p>
        </w:tc>
        <w:tc>
          <w:tcPr>
            <w:tcW w:w="6813" w:type="dxa"/>
            <w:gridSpan w:val="4"/>
            <w:noWrap w:val="0"/>
            <w:vAlign w:val="center"/>
          </w:tcPr>
          <w:p w14:paraId="067D5C32">
            <w:pPr>
              <w:adjustRightInd w:val="0"/>
              <w:snapToGrid w:val="0"/>
              <w:ind w:firstLine="105"/>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否</w:t>
            </w:r>
          </w:p>
          <w:p w14:paraId="734ACE81">
            <w:pPr>
              <w:adjustRightInd w:val="0"/>
              <w:snapToGrid w:val="0"/>
              <w:ind w:firstLine="92"/>
              <w:jc w:val="left"/>
              <w:rPr>
                <w:rFonts w:ascii="宋体" w:hAnsi="宋体" w:cs="宋体"/>
                <w:szCs w:val="21"/>
              </w:rPr>
            </w:pPr>
            <w:r>
              <w:rPr>
                <w:rFonts w:hint="eastAsia" w:ascii="宋体" w:hAnsi="宋体" w:cs="宋体"/>
                <w:szCs w:val="21"/>
              </w:rPr>
              <w:t>□是：</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tc>
      </w:tr>
      <w:tr w14:paraId="4F2F0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2990441D">
            <w:pPr>
              <w:autoSpaceDE w:val="0"/>
              <w:autoSpaceDN w:val="0"/>
              <w:adjustRightInd w:val="0"/>
              <w:snapToGrid w:val="0"/>
              <w:jc w:val="center"/>
              <w:rPr>
                <w:rFonts w:ascii="宋体" w:hAnsi="宋体" w:cs="宋体"/>
                <w:kern w:val="0"/>
                <w:szCs w:val="21"/>
              </w:rPr>
            </w:pPr>
            <w:r>
              <w:rPr>
                <w:rFonts w:hint="eastAsia" w:ascii="宋体" w:hAnsi="宋体" w:cs="宋体"/>
                <w:kern w:val="0"/>
                <w:szCs w:val="21"/>
              </w:rPr>
              <w:t>专项评价设置情况</w:t>
            </w:r>
          </w:p>
        </w:tc>
        <w:tc>
          <w:tcPr>
            <w:tcW w:w="6813" w:type="dxa"/>
            <w:gridSpan w:val="4"/>
            <w:noWrap w:val="0"/>
            <w:tcMar>
              <w:top w:w="16" w:type="dxa"/>
              <w:left w:w="16" w:type="dxa"/>
              <w:right w:w="16" w:type="dxa"/>
            </w:tcMar>
            <w:vAlign w:val="center"/>
          </w:tcPr>
          <w:p w14:paraId="2D0C1A00">
            <w:pPr>
              <w:autoSpaceDE w:val="0"/>
              <w:autoSpaceDN w:val="0"/>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r w14:paraId="5A617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7" w:hRule="atLeast"/>
        </w:trPr>
        <w:tc>
          <w:tcPr>
            <w:tcW w:w="2226" w:type="dxa"/>
            <w:gridSpan w:val="2"/>
            <w:noWrap w:val="0"/>
            <w:tcMar>
              <w:top w:w="16" w:type="dxa"/>
              <w:left w:w="16" w:type="dxa"/>
              <w:right w:w="16" w:type="dxa"/>
            </w:tcMar>
            <w:vAlign w:val="center"/>
          </w:tcPr>
          <w:p w14:paraId="67733B4C">
            <w:pPr>
              <w:autoSpaceDE w:val="0"/>
              <w:autoSpaceDN w:val="0"/>
              <w:adjustRightInd w:val="0"/>
              <w:snapToGrid w:val="0"/>
              <w:jc w:val="center"/>
              <w:rPr>
                <w:rFonts w:ascii="宋体" w:hAnsi="宋体" w:cs="宋体"/>
                <w:kern w:val="0"/>
                <w:szCs w:val="21"/>
              </w:rPr>
            </w:pPr>
            <w:r>
              <w:rPr>
                <w:rFonts w:hint="eastAsia" w:ascii="宋体" w:hAnsi="宋体" w:cs="宋体"/>
                <w:szCs w:val="21"/>
              </w:rPr>
              <w:t>规划情况</w:t>
            </w:r>
          </w:p>
        </w:tc>
        <w:tc>
          <w:tcPr>
            <w:tcW w:w="6813" w:type="dxa"/>
            <w:gridSpan w:val="4"/>
            <w:shd w:val="clear" w:color="auto" w:fill="auto"/>
            <w:noWrap w:val="0"/>
            <w:tcMar>
              <w:top w:w="16" w:type="dxa"/>
              <w:left w:w="16" w:type="dxa"/>
              <w:right w:w="16" w:type="dxa"/>
            </w:tcMar>
            <w:vAlign w:val="center"/>
          </w:tcPr>
          <w:p w14:paraId="544BA6F6">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《巴州若羌县瓦石峡河流域规划》</w:t>
            </w:r>
            <w:r>
              <w:rPr>
                <w:rFonts w:hint="eastAsia" w:ascii="Times New Roman" w:hAnsi="Times New Roman" w:eastAsia="宋体" w:cs="Times New Roman"/>
                <w:szCs w:val="21"/>
                <w:lang w:val="en-US" w:eastAsia="zh-CN"/>
              </w:rPr>
              <w:t>；</w:t>
            </w:r>
          </w:p>
          <w:p w14:paraId="08C3ADE7">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若羌县人民政府</w:t>
            </w:r>
            <w:r>
              <w:rPr>
                <w:rFonts w:hint="eastAsia" w:ascii="Times New Roman" w:hAnsi="Times New Roman" w:eastAsia="宋体" w:cs="Times New Roman"/>
                <w:szCs w:val="21"/>
                <w:lang w:val="en-US" w:eastAsia="zh-CN"/>
              </w:rPr>
              <w:t>；</w:t>
            </w:r>
          </w:p>
          <w:p w14:paraId="62834899">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w:t>
            </w:r>
            <w:r>
              <w:rPr>
                <w:rFonts w:hint="default" w:ascii="Times New Roman" w:hAnsi="Times New Roman" w:eastAsia="宋体" w:cs="Times New Roman"/>
                <w:szCs w:val="21"/>
                <w:lang w:val="en-US" w:eastAsia="zh-CN"/>
              </w:rPr>
              <w:t>关于对若羌县瓦石峡河流域规划报告的批复</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若政批复〔2016〕112号）</w:t>
            </w:r>
          </w:p>
        </w:tc>
      </w:tr>
      <w:tr w14:paraId="7CCFB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03" w:hRule="atLeast"/>
        </w:trPr>
        <w:tc>
          <w:tcPr>
            <w:tcW w:w="2226" w:type="dxa"/>
            <w:gridSpan w:val="2"/>
            <w:noWrap w:val="0"/>
            <w:tcMar>
              <w:top w:w="16" w:type="dxa"/>
              <w:left w:w="16" w:type="dxa"/>
              <w:right w:w="16" w:type="dxa"/>
            </w:tcMar>
            <w:vAlign w:val="center"/>
          </w:tcPr>
          <w:p w14:paraId="7FCDB61D">
            <w:pPr>
              <w:autoSpaceDE w:val="0"/>
              <w:autoSpaceDN w:val="0"/>
              <w:adjustRightInd w:val="0"/>
              <w:snapToGrid w:val="0"/>
              <w:jc w:val="center"/>
              <w:rPr>
                <w:rFonts w:ascii="宋体" w:hAnsi="宋体" w:cs="宋体"/>
                <w:szCs w:val="21"/>
              </w:rPr>
            </w:pPr>
            <w:r>
              <w:rPr>
                <w:rFonts w:hint="eastAsia" w:ascii="宋体" w:hAnsi="宋体" w:cs="宋体"/>
                <w:szCs w:val="21"/>
              </w:rPr>
              <w:t>规划环境影响</w:t>
            </w:r>
          </w:p>
          <w:p w14:paraId="0AFF83FE">
            <w:pPr>
              <w:autoSpaceDE w:val="0"/>
              <w:autoSpaceDN w:val="0"/>
              <w:adjustRightInd w:val="0"/>
              <w:snapToGrid w:val="0"/>
              <w:jc w:val="center"/>
              <w:rPr>
                <w:rFonts w:ascii="宋体" w:hAnsi="宋体" w:cs="宋体"/>
                <w:kern w:val="0"/>
                <w:szCs w:val="21"/>
              </w:rPr>
            </w:pPr>
            <w:r>
              <w:rPr>
                <w:rFonts w:hint="eastAsia" w:ascii="宋体" w:hAnsi="宋体" w:cs="宋体"/>
                <w:szCs w:val="21"/>
              </w:rPr>
              <w:t>评价情况</w:t>
            </w:r>
          </w:p>
        </w:tc>
        <w:tc>
          <w:tcPr>
            <w:tcW w:w="6813" w:type="dxa"/>
            <w:gridSpan w:val="4"/>
            <w:shd w:val="clear" w:color="auto" w:fill="auto"/>
            <w:noWrap w:val="0"/>
            <w:tcMar>
              <w:top w:w="16" w:type="dxa"/>
              <w:left w:w="16" w:type="dxa"/>
              <w:right w:w="16" w:type="dxa"/>
            </w:tcMar>
            <w:vAlign w:val="center"/>
          </w:tcPr>
          <w:p w14:paraId="58DBDF1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w:t>
            </w:r>
          </w:p>
          <w:p w14:paraId="71A4DC9D">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巴州生态环境局</w:t>
            </w:r>
            <w:r>
              <w:rPr>
                <w:rFonts w:hint="eastAsia" w:ascii="Times New Roman" w:hAnsi="Times New Roman" w:eastAsia="宋体" w:cs="Times New Roman"/>
                <w:szCs w:val="21"/>
                <w:lang w:val="en-US" w:eastAsia="zh-CN"/>
              </w:rPr>
              <w:t>；</w:t>
            </w:r>
          </w:p>
          <w:p w14:paraId="1DB2914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审批文件名称及文号：《关于</w:t>
            </w:r>
            <w:r>
              <w:rPr>
                <w:rFonts w:hint="eastAsia"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eastAsia" w:cs="Times New Roman"/>
                <w:szCs w:val="21"/>
                <w:lang w:val="en-US" w:eastAsia="zh-CN"/>
              </w:rPr>
              <w:t>〉</w:t>
            </w:r>
            <w:r>
              <w:rPr>
                <w:rFonts w:hint="eastAsia" w:ascii="Times New Roman" w:hAnsi="Times New Roman" w:eastAsia="宋体" w:cs="Times New Roman"/>
                <w:szCs w:val="21"/>
                <w:lang w:val="en-US" w:eastAsia="zh-CN"/>
              </w:rPr>
              <w:t>的审查意见》（</w:t>
            </w:r>
            <w:r>
              <w:rPr>
                <w:rFonts w:hint="default" w:ascii="Times New Roman" w:hAnsi="Times New Roman" w:eastAsia="宋体" w:cs="Times New Roman"/>
                <w:szCs w:val="21"/>
                <w:lang w:val="en-US" w:eastAsia="zh-CN"/>
              </w:rPr>
              <w:t>巴环评价函〔2020〕355号</w:t>
            </w:r>
            <w:r>
              <w:rPr>
                <w:rFonts w:hint="eastAsia" w:ascii="Times New Roman" w:hAnsi="Times New Roman" w:eastAsia="宋体" w:cs="Times New Roman"/>
                <w:szCs w:val="21"/>
                <w:lang w:val="en-US" w:eastAsia="zh-CN"/>
              </w:rPr>
              <w:t>）</w:t>
            </w:r>
          </w:p>
        </w:tc>
      </w:tr>
      <w:tr w14:paraId="1F7D7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90" w:hRule="atLeast"/>
        </w:trPr>
        <w:tc>
          <w:tcPr>
            <w:tcW w:w="882" w:type="dxa"/>
            <w:noWrap w:val="0"/>
            <w:tcMar>
              <w:top w:w="16" w:type="dxa"/>
              <w:left w:w="16" w:type="dxa"/>
              <w:right w:w="16" w:type="dxa"/>
            </w:tcMar>
            <w:vAlign w:val="center"/>
          </w:tcPr>
          <w:p w14:paraId="3C537D7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规划及</w:t>
            </w:r>
            <w:r>
              <w:rPr>
                <w:rFonts w:hint="default" w:ascii="Times New Roman" w:hAnsi="Times New Roman" w:cs="Times New Roman"/>
                <w:szCs w:val="21"/>
              </w:rPr>
              <w:t>规划环境影响评价</w:t>
            </w:r>
            <w:r>
              <w:rPr>
                <w:rFonts w:hint="default" w:ascii="Times New Roman" w:hAnsi="Times New Roman" w:cs="Times New Roman"/>
                <w:kern w:val="0"/>
                <w:szCs w:val="21"/>
              </w:rPr>
              <w:t>符合性分析</w:t>
            </w:r>
          </w:p>
        </w:tc>
        <w:tc>
          <w:tcPr>
            <w:tcW w:w="8157" w:type="dxa"/>
            <w:gridSpan w:val="5"/>
            <w:shd w:val="clear" w:color="auto" w:fill="auto"/>
            <w:noWrap w:val="0"/>
            <w:tcMar>
              <w:top w:w="16" w:type="dxa"/>
              <w:left w:w="16" w:type="dxa"/>
              <w:right w:w="16" w:type="dxa"/>
            </w:tcMar>
            <w:vAlign w:val="center"/>
          </w:tcPr>
          <w:p w14:paraId="5B636FE3">
            <w:pPr>
              <w:keepNext w:val="0"/>
              <w:keepLines w:val="0"/>
              <w:pageBreakBefore w:val="0"/>
              <w:kinsoku/>
              <w:wordWrap/>
              <w:overflowPunct/>
              <w:topLinePunct w:val="0"/>
              <w:autoSpaceDE w:val="0"/>
              <w:autoSpaceDN w:val="0"/>
              <w:bidi w:val="0"/>
              <w:adjustRightInd w:val="0"/>
              <w:snapToGrid w:val="0"/>
              <w:spacing w:line="480" w:lineRule="exact"/>
              <w:textAlignment w:val="auto"/>
              <w:rPr>
                <w:rFonts w:hint="default" w:ascii="Times New Roman" w:hAnsi="Times New Roman" w:cs="Times New Roman"/>
                <w:b/>
                <w:bCs/>
                <w:kern w:val="0"/>
                <w:sz w:val="24"/>
              </w:rPr>
            </w:pPr>
            <w:r>
              <w:rPr>
                <w:rFonts w:hint="eastAsia" w:ascii="Times New Roman" w:hAnsi="Times New Roman" w:cs="Times New Roman"/>
                <w:b/>
                <w:bCs/>
                <w:kern w:val="0"/>
                <w:sz w:val="24"/>
                <w:lang w:val="en-US" w:eastAsia="zh-CN"/>
              </w:rPr>
              <w:t>1</w:t>
            </w:r>
            <w:r>
              <w:rPr>
                <w:rFonts w:hint="default" w:ascii="Times New Roman" w:hAnsi="Times New Roman" w:cs="Times New Roman"/>
                <w:b/>
                <w:bCs/>
                <w:kern w:val="0"/>
                <w:sz w:val="24"/>
              </w:rPr>
              <w:t>与《巴州若羌县瓦石峡河流域规划》</w:t>
            </w:r>
            <w:r>
              <w:rPr>
                <w:rFonts w:hint="default" w:ascii="Times New Roman" w:hAnsi="Times New Roman" w:cs="Times New Roman"/>
                <w:b/>
                <w:bCs/>
                <w:sz w:val="24"/>
              </w:rPr>
              <w:t>的符合性分析</w:t>
            </w:r>
          </w:p>
          <w:p w14:paraId="42BD8AAE">
            <w:pPr>
              <w:keepNext w:val="0"/>
              <w:keepLines w:val="0"/>
              <w:pageBreakBefore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kern w:val="0"/>
                <w:sz w:val="24"/>
                <w:highlight w:val="none"/>
              </w:rPr>
            </w:pPr>
            <w:r>
              <w:rPr>
                <w:rFonts w:hint="eastAsia" w:ascii="Times New Roman" w:hAnsi="Times New Roman" w:cs="Times New Roman"/>
                <w:kern w:val="0"/>
                <w:sz w:val="24"/>
                <w:highlight w:val="none"/>
                <w:lang w:val="en-US" w:eastAsia="zh-CN"/>
              </w:rPr>
              <w:t>根据</w:t>
            </w:r>
            <w:r>
              <w:rPr>
                <w:rFonts w:hint="default" w:ascii="Times New Roman" w:hAnsi="Times New Roman" w:cs="Times New Roman"/>
                <w:kern w:val="0"/>
                <w:sz w:val="24"/>
                <w:highlight w:val="none"/>
              </w:rPr>
              <w:t>《巴州若羌县瓦石峡河流域规划》本项目取水全部依托</w:t>
            </w:r>
            <w:r>
              <w:rPr>
                <w:rFonts w:hint="eastAsia" w:ascii="Times New Roman" w:hAnsi="Times New Roman" w:cs="Times New Roman"/>
                <w:kern w:val="0"/>
                <w:sz w:val="24"/>
                <w:highlight w:val="none"/>
                <w:lang w:val="en-US" w:eastAsia="zh-CN"/>
              </w:rPr>
              <w:t>瓦石峡河</w:t>
            </w:r>
            <w:r>
              <w:rPr>
                <w:rFonts w:hint="default" w:ascii="Times New Roman" w:hAnsi="Times New Roman" w:cs="Times New Roman"/>
                <w:kern w:val="0"/>
                <w:sz w:val="24"/>
                <w:highlight w:val="none"/>
              </w:rPr>
              <w:t>常规分配农业用水指标，不新增取水额度、不挤占流域法定生态基流，取水在流域年度农业用水配额内，符合流域用水总量红线管控，本工程实施后可减少杂草滋生、淤积和坍塌风险，通过减少渠道渗漏损失，显著提高水资源利用效率；渗漏减少抑制地下水补给，避免盐分向地表聚集，改善土壤环境；</w:t>
            </w:r>
            <w:r>
              <w:rPr>
                <w:rFonts w:hint="eastAsia" w:cs="Times New Roman"/>
                <w:kern w:val="0"/>
                <w:sz w:val="24"/>
                <w:highlight w:val="none"/>
                <w:lang w:val="en-US" w:eastAsia="zh-CN"/>
              </w:rPr>
              <w:t>渠道</w:t>
            </w:r>
            <w:r>
              <w:rPr>
                <w:rFonts w:hint="default" w:ascii="Times New Roman" w:hAnsi="Times New Roman" w:cs="Times New Roman"/>
                <w:kern w:val="0"/>
                <w:sz w:val="24"/>
                <w:highlight w:val="none"/>
              </w:rPr>
              <w:t>防渗后灌溉效率提升，保障农作物稳定灌溉需求，工程建设符合流域规划要求。</w:t>
            </w:r>
          </w:p>
          <w:p w14:paraId="55F3DA54">
            <w:pPr>
              <w:pStyle w:val="7"/>
              <w:keepNext w:val="0"/>
              <w:keepLines w:val="0"/>
              <w:pageBreakBefore w:val="0"/>
              <w:kinsoku/>
              <w:wordWrap/>
              <w:overflowPunct/>
              <w:topLinePunct w:val="0"/>
              <w:bidi w:val="0"/>
              <w:spacing w:before="0" w:after="0" w:line="480" w:lineRule="exact"/>
              <w:textAlignment w:val="auto"/>
              <w:rPr>
                <w:rFonts w:hint="default" w:ascii="Times New Roman" w:hAnsi="Times New Roman" w:cs="Times New Roman"/>
                <w:b/>
                <w:bCs/>
                <w:sz w:val="24"/>
                <w:highlight w:val="none"/>
              </w:rPr>
            </w:pPr>
            <w:r>
              <w:rPr>
                <w:rFonts w:hint="eastAsia"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与新疆若羌县瓦石峡河流域规划环评的符合性分析</w:t>
            </w:r>
          </w:p>
          <w:p w14:paraId="0E3B0F24">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根据《新疆若羌县瓦石峡河流域规划环境影响报告书》</w:t>
            </w:r>
            <w:r>
              <w:rPr>
                <w:rFonts w:hint="eastAsia" w:ascii="Times New Roman" w:hAnsi="Times New Roman" w:cs="Times New Roman"/>
                <w:sz w:val="24"/>
                <w:szCs w:val="24"/>
                <w:lang w:val="en-US" w:eastAsia="zh-CN"/>
              </w:rPr>
              <w:t>审查意见，“</w:t>
            </w:r>
            <w:r>
              <w:rPr>
                <w:rFonts w:hint="default" w:ascii="Times New Roman" w:hAnsi="Times New Roman" w:cs="Times New Roman"/>
                <w:sz w:val="24"/>
                <w:szCs w:val="24"/>
              </w:rPr>
              <w:t>通过灌区节水改造工程实现水资源的合理分配，增强流域工农业发展水资源保障能力；通过防洪、水保等工程实施，改善流域环境现状</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因此，</w:t>
            </w:r>
            <w:r>
              <w:rPr>
                <w:rFonts w:hint="eastAsia" w:hAnsi="Times New Roman" w:cs="Times New Roman"/>
                <w:kern w:val="0"/>
                <w:sz w:val="24"/>
                <w:szCs w:val="24"/>
              </w:rPr>
              <w:t>项目为防渗渠建设项目，工程实施后大幅减少渠床侧渗，</w:t>
            </w:r>
            <w:r>
              <w:rPr>
                <w:rFonts w:hint="default" w:ascii="Times New Roman" w:hAnsi="Times New Roman" w:cs="Times New Roman"/>
                <w:sz w:val="24"/>
                <w:szCs w:val="24"/>
              </w:rPr>
              <w:t>符合环境保护要求。</w:t>
            </w:r>
          </w:p>
          <w:p w14:paraId="5F47FB59">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关于生态流量要求，环评要求</w:t>
            </w:r>
            <w:r>
              <w:rPr>
                <w:rFonts w:hint="default" w:ascii="Times New Roman" w:hAnsi="Times New Roman" w:eastAsia="宋体" w:cs="Times New Roman"/>
                <w:kern w:val="0"/>
                <w:sz w:val="24"/>
                <w:lang w:val="en-US" w:eastAsia="zh-CN"/>
              </w:rPr>
              <w:t>瓦石峡水库</w:t>
            </w:r>
            <w:r>
              <w:rPr>
                <w:rFonts w:hint="eastAsia" w:ascii="Times New Roman" w:hAnsi="Times New Roman" w:eastAsia="宋体" w:cs="Times New Roman"/>
                <w:kern w:val="0"/>
                <w:sz w:val="24"/>
                <w:lang w:val="en-US" w:eastAsia="zh-CN"/>
              </w:rPr>
              <w:t>出库</w:t>
            </w:r>
            <w:r>
              <w:rPr>
                <w:rFonts w:hint="default" w:ascii="Times New Roman" w:hAnsi="Times New Roman" w:eastAsia="宋体" w:cs="Times New Roman"/>
                <w:kern w:val="0"/>
                <w:sz w:val="24"/>
                <w:lang w:val="en-US" w:eastAsia="zh-CN"/>
              </w:rPr>
              <w:t>断面：下泄生态流量丰水期4～9月应不小于断面多年平均流量的30%，枯水期10～次年3月应不小于断面多年</w:t>
            </w:r>
            <w:r>
              <w:rPr>
                <w:rFonts w:hint="default" w:ascii="Times New Roman" w:hAnsi="Times New Roman" w:eastAsia="宋体" w:cs="Times New Roman"/>
                <w:sz w:val="24"/>
                <w:szCs w:val="24"/>
                <w:lang w:val="en-US" w:eastAsia="zh-CN"/>
              </w:rPr>
              <w:t>平均流量的10%。</w:t>
            </w:r>
          </w:p>
          <w:p w14:paraId="0BC12E08">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FF0000"/>
                <w:kern w:val="0"/>
                <w:sz w:val="24"/>
                <w:szCs w:val="24"/>
                <w:lang w:val="en-US" w:eastAsia="zh-CN" w:bidi="ar-SA"/>
              </w:rPr>
            </w:pPr>
            <w:r>
              <w:rPr>
                <w:rFonts w:hint="eastAsia" w:ascii="Times New Roman" w:hAnsi="Times New Roman" w:eastAsia="宋体" w:cs="Times New Roman"/>
                <w:sz w:val="24"/>
                <w:szCs w:val="24"/>
                <w:lang w:val="en-US" w:eastAsia="zh-CN"/>
              </w:rPr>
              <w:t>本项目无新增取水，本项目渠道沿原土渠线路，施工限定原有渠线作业带；施工结束恢复植被；项目区无自然保护地、珍稀动物集中栖息地，施工期采用限定作业范围、洒水降尘、禁止越界碾压植被等措施，符合规划环评要求。</w:t>
            </w:r>
          </w:p>
        </w:tc>
      </w:tr>
      <w:tr w14:paraId="39E7A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82" w:type="dxa"/>
            <w:noWrap w:val="0"/>
            <w:tcMar>
              <w:top w:w="16" w:type="dxa"/>
              <w:left w:w="16" w:type="dxa"/>
              <w:right w:w="16" w:type="dxa"/>
            </w:tcMar>
            <w:vAlign w:val="center"/>
          </w:tcPr>
          <w:p w14:paraId="3A272605">
            <w:pPr>
              <w:autoSpaceDE w:val="0"/>
              <w:autoSpaceDN w:val="0"/>
              <w:adjustRightInd w:val="0"/>
              <w:snapToGrid w:val="0"/>
              <w:jc w:val="center"/>
              <w:rPr>
                <w:rFonts w:ascii="宋体" w:hAnsi="宋体" w:cs="宋体"/>
                <w:kern w:val="0"/>
                <w:szCs w:val="21"/>
              </w:rPr>
            </w:pPr>
            <w:bookmarkStart w:id="2" w:name="_Hlk56690880"/>
            <w:r>
              <w:rPr>
                <w:rFonts w:hint="eastAsia" w:ascii="宋体" w:hAnsi="宋体" w:cs="宋体"/>
                <w:kern w:val="0"/>
                <w:szCs w:val="21"/>
              </w:rPr>
              <w:t>其他符合性分析</w:t>
            </w:r>
            <w:bookmarkEnd w:id="2"/>
          </w:p>
        </w:tc>
        <w:tc>
          <w:tcPr>
            <w:tcW w:w="8157" w:type="dxa"/>
            <w:gridSpan w:val="5"/>
            <w:noWrap w:val="0"/>
            <w:tcMar>
              <w:top w:w="16" w:type="dxa"/>
              <w:left w:w="16" w:type="dxa"/>
              <w:right w:w="16" w:type="dxa"/>
            </w:tcMar>
            <w:vAlign w:val="top"/>
          </w:tcPr>
          <w:p w14:paraId="14292D25">
            <w:pPr>
              <w:pStyle w:val="20"/>
              <w:keepNext w:val="0"/>
              <w:keepLines w:val="0"/>
              <w:pageBreakBefore w:val="0"/>
              <w:kinsoku/>
              <w:wordWrap/>
              <w:overflowPunct/>
              <w:topLinePunct w:val="0"/>
              <w:bidi w:val="0"/>
              <w:spacing w:before="0" w:beforeAutospacing="0" w:after="0" w:afterAutospacing="0" w:line="520" w:lineRule="exact"/>
              <w:jc w:val="left"/>
              <w:textAlignment w:val="auto"/>
              <w:rPr>
                <w:rFonts w:hint="default" w:ascii="Times New Roman" w:hAnsi="Times New Roman" w:cs="Times New Roman"/>
                <w:b/>
                <w:szCs w:val="24"/>
              </w:rPr>
            </w:pPr>
            <w:r>
              <w:rPr>
                <w:rFonts w:hint="default" w:ascii="Times New Roman" w:hAnsi="Times New Roman" w:cs="Times New Roman"/>
                <w:b/>
                <w:szCs w:val="24"/>
                <w:lang w:eastAsia="zh-CN"/>
              </w:rPr>
              <w:t>1</w:t>
            </w:r>
            <w:r>
              <w:rPr>
                <w:rFonts w:hint="default" w:ascii="Times New Roman" w:hAnsi="Times New Roman" w:cs="Times New Roman"/>
                <w:b/>
                <w:szCs w:val="24"/>
              </w:rPr>
              <w:t>产业政策符合性分析</w:t>
            </w:r>
          </w:p>
          <w:p w14:paraId="3129D181">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根据国家《产业结构调整指导目录（2024年本）》，项目属于“鼓励类”中</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中的</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节水供水工程：农村供水工程，灌区及配套设施建设、改造，高效输配水、节水灌溉技术推广应用，灌溉排水泵站更新改造工程，合同节水管理，节水改造工程，节水工艺、技术和装备推广应用，城镇用水单位智慧节水系统开发与应用，非常规水源开发利用</w:t>
            </w:r>
            <w:r>
              <w:rPr>
                <w:rFonts w:hint="eastAsia" w:ascii="Times New Roman" w:hAnsi="Times New Roman" w:eastAsia="宋体" w:cs="Times New Roman"/>
                <w:color w:val="000000"/>
                <w:kern w:val="0"/>
                <w:sz w:val="24"/>
                <w:szCs w:val="24"/>
                <w:lang w:val="en-US" w:eastAsia="zh-CN" w:bidi="ar"/>
              </w:rPr>
              <w:t>”。</w:t>
            </w:r>
          </w:p>
          <w:p w14:paraId="3E5D6A18">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本项目已取得若羌县发展和改革委员会的批复，批复文号为若发改字〔2026〕</w:t>
            </w:r>
            <w:r>
              <w:rPr>
                <w:rFonts w:hint="eastAsia" w:ascii="Times New Roman" w:hAnsi="Times New Roman" w:eastAsia="宋体" w:cs="Times New Roman"/>
                <w:b w:val="0"/>
                <w:bCs/>
                <w:lang w:val="en-US" w:eastAsia="zh-CN"/>
              </w:rPr>
              <w:t>70</w:t>
            </w:r>
            <w:r>
              <w:rPr>
                <w:rFonts w:hint="default" w:ascii="Times New Roman" w:hAnsi="Times New Roman" w:eastAsia="宋体" w:cs="Times New Roman"/>
                <w:b w:val="0"/>
                <w:bCs/>
              </w:rPr>
              <w:t>号。</w:t>
            </w:r>
          </w:p>
          <w:p w14:paraId="4AC714B5">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因此，本项目的建设符合国家相关产业政策。</w:t>
            </w:r>
          </w:p>
          <w:p w14:paraId="4CEB887A">
            <w:pPr>
              <w:pStyle w:val="13"/>
              <w:keepNext w:val="0"/>
              <w:keepLines w:val="0"/>
              <w:pageBreakBefore w:val="0"/>
              <w:kinsoku/>
              <w:wordWrap/>
              <w:overflowPunct/>
              <w:topLinePunct w:val="0"/>
              <w:bidi w:val="0"/>
              <w:spacing w:line="520" w:lineRule="exact"/>
              <w:jc w:val="left"/>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lang w:eastAsia="zh-CN"/>
              </w:rPr>
              <w:t>2</w:t>
            </w:r>
            <w:r>
              <w:rPr>
                <w:rFonts w:hint="default" w:ascii="Times New Roman" w:hAnsi="Times New Roman" w:eastAsia="宋体" w:cs="Times New Roman"/>
                <w:b/>
                <w:bCs/>
                <w:color w:val="auto"/>
              </w:rPr>
              <w:t>“生态环境分区管控方案”符合性分析</w:t>
            </w:r>
          </w:p>
          <w:p w14:paraId="55953683">
            <w:pPr>
              <w:keepNext w:val="0"/>
              <w:keepLines w:val="0"/>
              <w:pageBreakBefore w:val="0"/>
              <w:kinsoku/>
              <w:wordWrap/>
              <w:overflowPunct/>
              <w:topLinePunct w:val="0"/>
              <w:autoSpaceDE w:val="0"/>
              <w:autoSpaceDN w:val="0"/>
              <w:bidi w:val="0"/>
              <w:adjustRightInd w:val="0"/>
              <w:snapToGrid w:val="0"/>
              <w:spacing w:line="520" w:lineRule="exact"/>
              <w:ind w:firstLine="482" w:firstLineChars="200"/>
              <w:jc w:val="left"/>
              <w:textAlignment w:val="auto"/>
              <w:rPr>
                <w:rFonts w:hint="default" w:ascii="Times New Roman" w:hAnsi="Times New Roman" w:cs="Times New Roman"/>
                <w:b/>
                <w:sz w:val="24"/>
                <w:highlight w:val="red"/>
              </w:rPr>
            </w:pPr>
            <w:r>
              <w:rPr>
                <w:rFonts w:hint="default" w:ascii="Times New Roman" w:hAnsi="Times New Roman" w:cs="Times New Roman"/>
                <w:b/>
                <w:sz w:val="24"/>
                <w:lang w:bidi="ar"/>
              </w:rPr>
              <w:t>2.</w:t>
            </w:r>
            <w:r>
              <w:rPr>
                <w:rFonts w:hint="default" w:ascii="Times New Roman" w:hAnsi="Times New Roman" w:cs="Times New Roman"/>
                <w:b/>
                <w:sz w:val="24"/>
                <w:lang w:val="en-US" w:eastAsia="zh-CN" w:bidi="ar"/>
              </w:rPr>
              <w:t>1</w:t>
            </w:r>
            <w:r>
              <w:rPr>
                <w:rFonts w:hint="default" w:ascii="Times New Roman" w:hAnsi="Times New Roman" w:cs="Times New Roman"/>
                <w:b/>
                <w:sz w:val="24"/>
                <w:lang w:bidi="ar"/>
              </w:rPr>
              <w:t>与《新疆维吾尔自治区生态环境分区管控动态更新成果》符合性分析</w:t>
            </w:r>
          </w:p>
          <w:p w14:paraId="2B7469B0">
            <w:pPr>
              <w:keepNext w:val="0"/>
              <w:keepLines w:val="0"/>
              <w:pageBreakBefore w:val="0"/>
              <w:kinsoku/>
              <w:wordWrap/>
              <w:overflowPunct/>
              <w:topLinePunct w:val="0"/>
              <w:autoSpaceDE w:val="0"/>
              <w:autoSpaceDN w:val="0"/>
              <w:bidi w:val="0"/>
              <w:adjustRightInd w:val="0"/>
              <w:snapToGrid w:val="0"/>
              <w:spacing w:line="520" w:lineRule="exact"/>
              <w:ind w:firstLine="480" w:firstLineChars="200"/>
              <w:jc w:val="left"/>
              <w:textAlignment w:val="auto"/>
              <w:rPr>
                <w:bCs/>
                <w:sz w:val="24"/>
              </w:rPr>
            </w:pPr>
            <w:r>
              <w:rPr>
                <w:bCs/>
                <w:sz w:val="24"/>
                <w:lang w:bidi="ar"/>
              </w:rPr>
              <w:t>对比新疆维吾尔自治区生态环境厅“关于印发《新疆维吾尔自治区生态环境分区管控动态更新成果》的通知”（新环环评发〔2024〕157号），本项目与该文件相关要求的符合性分析见下表：</w:t>
            </w:r>
          </w:p>
          <w:p w14:paraId="35E01E6D">
            <w:pPr>
              <w:keepNext w:val="0"/>
              <w:keepLines w:val="0"/>
              <w:pageBreakBefore w:val="0"/>
              <w:kinsoku/>
              <w:wordWrap/>
              <w:overflowPunct/>
              <w:topLinePunct w:val="0"/>
              <w:autoSpaceDE w:val="0"/>
              <w:autoSpaceDN w:val="0"/>
              <w:bidi w:val="0"/>
              <w:adjustRightInd w:val="0"/>
              <w:snapToGrid w:val="0"/>
              <w:spacing w:line="520" w:lineRule="exact"/>
              <w:jc w:val="center"/>
              <w:textAlignment w:val="auto"/>
              <w:rPr>
                <w:b/>
                <w:sz w:val="24"/>
                <w:lang w:bidi="ar"/>
              </w:rPr>
            </w:pPr>
            <w:r>
              <w:rPr>
                <w:b/>
                <w:sz w:val="24"/>
                <w:lang w:bidi="ar"/>
              </w:rPr>
              <w:t>表1-</w:t>
            </w:r>
            <w:r>
              <w:rPr>
                <w:rFonts w:hint="eastAsia"/>
                <w:b/>
                <w:sz w:val="24"/>
                <w:lang w:val="en-US" w:eastAsia="zh-CN" w:bidi="ar"/>
              </w:rPr>
              <w:t xml:space="preserve">1   </w:t>
            </w:r>
            <w:r>
              <w:rPr>
                <w:b/>
                <w:sz w:val="24"/>
                <w:lang w:bidi="ar"/>
              </w:rPr>
              <w:t>与《新疆维吾尔自治区生态环境分区管控动态更新成果》</w:t>
            </w:r>
          </w:p>
          <w:tbl>
            <w:tblPr>
              <w:tblStyle w:val="22"/>
              <w:tblW w:w="7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659"/>
              <w:gridCol w:w="3855"/>
              <w:gridCol w:w="1928"/>
              <w:gridCol w:w="728"/>
            </w:tblGrid>
            <w:tr w14:paraId="5818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68" w:type="dxa"/>
                  <w:gridSpan w:val="2"/>
                  <w:tcBorders>
                    <w:tl2br w:val="nil"/>
                    <w:tr2bl w:val="nil"/>
                  </w:tcBorders>
                  <w:noWrap w:val="0"/>
                  <w:vAlign w:val="center"/>
                </w:tcPr>
                <w:p w14:paraId="47078F38">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hint="eastAsia" w:ascii="Times New Roman" w:hAnsi="Times New Roman" w:eastAsia="宋体"/>
                      <w:b/>
                      <w:kern w:val="2"/>
                      <w:sz w:val="21"/>
                      <w:szCs w:val="21"/>
                      <w:lang w:val="en-US" w:eastAsia="zh-CN"/>
                    </w:rPr>
                  </w:pPr>
                  <w:r>
                    <w:rPr>
                      <w:rFonts w:ascii="Times New Roman" w:hAnsi="Times New Roman"/>
                      <w:b/>
                      <w:kern w:val="2"/>
                      <w:sz w:val="21"/>
                      <w:szCs w:val="21"/>
                      <w:lang w:bidi="ar"/>
                    </w:rPr>
                    <w:t>管控</w:t>
                  </w:r>
                  <w:r>
                    <w:rPr>
                      <w:rFonts w:hint="eastAsia" w:ascii="Times New Roman" w:hAnsi="Times New Roman"/>
                      <w:b/>
                      <w:kern w:val="2"/>
                      <w:sz w:val="21"/>
                      <w:szCs w:val="21"/>
                      <w:lang w:val="en-US" w:eastAsia="zh-CN" w:bidi="ar"/>
                    </w:rPr>
                    <w:t>维度</w:t>
                  </w:r>
                </w:p>
              </w:tc>
              <w:tc>
                <w:tcPr>
                  <w:tcW w:w="3855" w:type="dxa"/>
                  <w:tcBorders>
                    <w:tl2br w:val="nil"/>
                    <w:tr2bl w:val="nil"/>
                  </w:tcBorders>
                  <w:noWrap w:val="0"/>
                  <w:vAlign w:val="center"/>
                </w:tcPr>
                <w:p w14:paraId="5A57012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管控要求</w:t>
                  </w:r>
                </w:p>
              </w:tc>
              <w:tc>
                <w:tcPr>
                  <w:tcW w:w="1928" w:type="dxa"/>
                  <w:tcBorders>
                    <w:tl2br w:val="nil"/>
                    <w:tr2bl w:val="nil"/>
                  </w:tcBorders>
                  <w:noWrap w:val="0"/>
                  <w:vAlign w:val="center"/>
                </w:tcPr>
                <w:p w14:paraId="1D174509">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项目情况</w:t>
                  </w:r>
                </w:p>
              </w:tc>
              <w:tc>
                <w:tcPr>
                  <w:tcW w:w="728" w:type="dxa"/>
                  <w:tcBorders>
                    <w:tl2br w:val="nil"/>
                    <w:tr2bl w:val="nil"/>
                  </w:tcBorders>
                  <w:noWrap w:val="0"/>
                  <w:vAlign w:val="center"/>
                </w:tcPr>
                <w:p w14:paraId="7719B23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对照结果</w:t>
                  </w:r>
                </w:p>
              </w:tc>
            </w:tr>
            <w:tr w14:paraId="0D9D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9" w:type="dxa"/>
                  <w:vMerge w:val="restart"/>
                  <w:tcBorders>
                    <w:tl2br w:val="nil"/>
                    <w:tr2bl w:val="nil"/>
                  </w:tcBorders>
                  <w:noWrap w:val="0"/>
                  <w:vAlign w:val="center"/>
                </w:tcPr>
                <w:p w14:paraId="0B314D67">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A1空间布局约束性</w:t>
                  </w:r>
                </w:p>
              </w:tc>
              <w:tc>
                <w:tcPr>
                  <w:tcW w:w="659" w:type="dxa"/>
                  <w:vMerge w:val="restart"/>
                  <w:tcBorders>
                    <w:tl2br w:val="nil"/>
                    <w:tr2bl w:val="nil"/>
                  </w:tcBorders>
                  <w:noWrap w:val="0"/>
                  <w:vAlign w:val="center"/>
                </w:tcPr>
                <w:p w14:paraId="3C80FFB2">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A1.1禁止开发建设的活动</w:t>
                  </w:r>
                </w:p>
              </w:tc>
              <w:tc>
                <w:tcPr>
                  <w:tcW w:w="3855" w:type="dxa"/>
                  <w:tcBorders>
                    <w:tl2br w:val="nil"/>
                    <w:tr2bl w:val="nil"/>
                  </w:tcBorders>
                  <w:noWrap w:val="0"/>
                  <w:vAlign w:val="center"/>
                </w:tcPr>
                <w:p w14:paraId="2689F6BE">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〔A1.1-1〕禁止新建、扩建《产业结构调整指导目录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》中淘汰类项目。禁止引入《市场准入负面清单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2022年版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w:t>
                  </w:r>
                </w:p>
              </w:tc>
              <w:tc>
                <w:tcPr>
                  <w:tcW w:w="1928" w:type="dxa"/>
                  <w:vMerge w:val="restart"/>
                  <w:tcBorders>
                    <w:tl2br w:val="nil"/>
                    <w:tr2bl w:val="nil"/>
                  </w:tcBorders>
                  <w:noWrap w:val="0"/>
                  <w:vAlign w:val="center"/>
                </w:tcPr>
                <w:p w14:paraId="562D29C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本项目为</w:t>
                  </w:r>
                  <w:r>
                    <w:rPr>
                      <w:rFonts w:hint="eastAsia" w:ascii="Times New Roman" w:hAnsi="Times New Roman"/>
                      <w:bCs/>
                      <w:kern w:val="2"/>
                      <w:sz w:val="21"/>
                      <w:szCs w:val="21"/>
                      <w:lang w:val="en-US" w:eastAsia="zh-CN" w:bidi="ar"/>
                    </w:rPr>
                    <w:t>防渗渠</w:t>
                  </w:r>
                  <w:r>
                    <w:rPr>
                      <w:rFonts w:ascii="Times New Roman" w:hAnsi="Times New Roman"/>
                      <w:bCs/>
                      <w:kern w:val="2"/>
                      <w:sz w:val="21"/>
                      <w:szCs w:val="21"/>
                      <w:lang w:bidi="ar"/>
                    </w:rPr>
                    <w:t>工程项目，属于《产业结构调整指导目录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》鼓励类项目，不属于《市场准入负面清单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w:t>
                  </w:r>
                  <w:r>
                    <w:rPr>
                      <w:rFonts w:hint="eastAsia" w:ascii="Times New Roman" w:hAnsi="Times New Roman"/>
                      <w:bCs/>
                      <w:kern w:val="2"/>
                      <w:sz w:val="21"/>
                      <w:szCs w:val="21"/>
                      <w:lang w:val="en-US" w:eastAsia="zh-CN" w:bidi="ar"/>
                    </w:rPr>
                    <w:t>025</w:t>
                  </w:r>
                  <w:r>
                    <w:rPr>
                      <w:rFonts w:ascii="Times New Roman" w:hAnsi="Times New Roman"/>
                      <w:bCs/>
                      <w:kern w:val="2"/>
                      <w:sz w:val="21"/>
                      <w:szCs w:val="21"/>
                      <w:lang w:bidi="ar"/>
                    </w:rPr>
                    <w:t>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》禁止准入类事项，项目区不涉及</w:t>
                  </w:r>
                  <w:r>
                    <w:rPr>
                      <w:rFonts w:hint="eastAsia" w:ascii="Times New Roman" w:hAnsi="Times New Roman"/>
                      <w:bCs/>
                      <w:kern w:val="2"/>
                      <w:sz w:val="21"/>
                      <w:szCs w:val="21"/>
                      <w:lang w:bidi="ar"/>
                    </w:rPr>
                    <w:t>水源涵养区</w:t>
                  </w:r>
                  <w:r>
                    <w:rPr>
                      <w:rFonts w:hint="eastAsia" w:ascii="Times New Roman" w:hAnsi="Times New Roman"/>
                      <w:bCs/>
                      <w:kern w:val="2"/>
                      <w:sz w:val="21"/>
                      <w:szCs w:val="21"/>
                      <w:lang w:val="en-US" w:eastAsia="zh-CN" w:bidi="ar"/>
                    </w:rPr>
                    <w:t>等</w:t>
                  </w:r>
                  <w:r>
                    <w:rPr>
                      <w:rFonts w:ascii="Times New Roman" w:hAnsi="Times New Roman"/>
                      <w:bCs/>
                      <w:kern w:val="2"/>
                      <w:sz w:val="21"/>
                      <w:szCs w:val="21"/>
                      <w:lang w:bidi="ar"/>
                    </w:rPr>
                    <w:t>生态敏感区。</w:t>
                  </w:r>
                </w:p>
              </w:tc>
              <w:tc>
                <w:tcPr>
                  <w:tcW w:w="728" w:type="dxa"/>
                  <w:tcBorders>
                    <w:tl2br w:val="nil"/>
                    <w:tr2bl w:val="nil"/>
                  </w:tcBorders>
                  <w:noWrap w:val="0"/>
                  <w:vAlign w:val="center"/>
                </w:tcPr>
                <w:p w14:paraId="2A915CE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D3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09" w:type="dxa"/>
                  <w:vMerge w:val="continue"/>
                  <w:tcBorders>
                    <w:tl2br w:val="nil"/>
                    <w:tr2bl w:val="nil"/>
                  </w:tcBorders>
                  <w:noWrap w:val="0"/>
                  <w:vAlign w:val="center"/>
                </w:tcPr>
                <w:p w14:paraId="324C545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274CE5E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6CDADB43">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〔A1.1-2〕禁止建设不符合国家和自治区环境保护标准的项目。</w:t>
                  </w:r>
                </w:p>
              </w:tc>
              <w:tc>
                <w:tcPr>
                  <w:tcW w:w="1928" w:type="dxa"/>
                  <w:vMerge w:val="continue"/>
                  <w:tcBorders>
                    <w:tl2br w:val="nil"/>
                    <w:tr2bl w:val="nil"/>
                  </w:tcBorders>
                  <w:noWrap w:val="0"/>
                  <w:vAlign w:val="center"/>
                </w:tcPr>
                <w:p w14:paraId="7DCB378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1019EB9">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895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5EAA4EC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61D8D4A6">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55B57D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〔A1.1-3〕禁止在饮用水水源保护区、风景名胜区、自然保护区的核心区和缓冲区、城镇居民区、文化教育科学研究区等人口集中区域以及</w:t>
                  </w:r>
                  <w:r>
                    <w:rPr>
                      <w:rFonts w:hint="eastAsia" w:ascii="Times New Roman" w:hAnsi="Times New Roman"/>
                      <w:bCs/>
                      <w:kern w:val="2"/>
                      <w:sz w:val="21"/>
                      <w:szCs w:val="21"/>
                      <w:lang w:eastAsia="zh-CN" w:bidi="ar"/>
                    </w:rPr>
                    <w:t>法律法规</w:t>
                  </w:r>
                  <w:r>
                    <w:rPr>
                      <w:rFonts w:ascii="Times New Roman" w:hAnsi="Times New Roman"/>
                      <w:bCs/>
                      <w:kern w:val="2"/>
                      <w:sz w:val="21"/>
                      <w:szCs w:val="21"/>
                      <w:lang w:bidi="ar"/>
                    </w:rPr>
                    <w:t>规定的其他禁止养殖区域建设畜禽养殖场、养殖小区。</w:t>
                  </w:r>
                </w:p>
              </w:tc>
              <w:tc>
                <w:tcPr>
                  <w:tcW w:w="1928" w:type="dxa"/>
                  <w:vMerge w:val="continue"/>
                  <w:tcBorders>
                    <w:tl2br w:val="nil"/>
                    <w:tr2bl w:val="nil"/>
                  </w:tcBorders>
                  <w:noWrap w:val="0"/>
                  <w:vAlign w:val="center"/>
                </w:tcPr>
                <w:p w14:paraId="5A3B762B">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0C60345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2D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1BD52AB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5E9E6939">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E45F3C4">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〔A1.1-4〕禁止在水源涵养区、地下水源、饮用水源、自然保护区、风景名胜区、森林公园、重要湿地及人群密集区等生态敏感区域内进行煤炭、石油、天然气开发。</w:t>
                  </w:r>
                </w:p>
              </w:tc>
              <w:tc>
                <w:tcPr>
                  <w:tcW w:w="1928" w:type="dxa"/>
                  <w:vMerge w:val="continue"/>
                  <w:tcBorders>
                    <w:tl2br w:val="nil"/>
                    <w:tr2bl w:val="nil"/>
                  </w:tcBorders>
                  <w:noWrap w:val="0"/>
                  <w:vAlign w:val="center"/>
                </w:tcPr>
                <w:p w14:paraId="7981814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8C0881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B16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00180D4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restart"/>
                  <w:tcBorders>
                    <w:tl2br w:val="nil"/>
                    <w:tr2bl w:val="nil"/>
                  </w:tcBorders>
                  <w:noWrap w:val="0"/>
                  <w:vAlign w:val="center"/>
                </w:tcPr>
                <w:p w14:paraId="263E844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A1.2限制开发建设的活动</w:t>
                  </w:r>
                </w:p>
              </w:tc>
              <w:tc>
                <w:tcPr>
                  <w:tcW w:w="3855" w:type="dxa"/>
                  <w:tcBorders>
                    <w:tl2br w:val="nil"/>
                    <w:tr2bl w:val="nil"/>
                  </w:tcBorders>
                  <w:noWrap w:val="0"/>
                  <w:vAlign w:val="center"/>
                </w:tcPr>
                <w:p w14:paraId="29893F11">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〔A1.2-1〕严格控制缺水地区、水污染严重区域和敏感区域高耗水、高污染行业发展。</w:t>
                  </w:r>
                </w:p>
              </w:tc>
              <w:tc>
                <w:tcPr>
                  <w:tcW w:w="1928" w:type="dxa"/>
                  <w:tcBorders>
                    <w:tl2br w:val="nil"/>
                    <w:tr2bl w:val="nil"/>
                  </w:tcBorders>
                  <w:noWrap w:val="0"/>
                  <w:vAlign w:val="center"/>
                </w:tcPr>
                <w:p w14:paraId="35B684E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rPr>
                    <w:t>本项目</w:t>
                  </w:r>
                  <w:r>
                    <w:rPr>
                      <w:rFonts w:hint="eastAsia" w:ascii="Times New Roman" w:hAnsi="Times New Roman"/>
                      <w:bCs/>
                      <w:kern w:val="2"/>
                      <w:sz w:val="21"/>
                      <w:szCs w:val="21"/>
                    </w:rPr>
                    <w:t>为防渗渠</w:t>
                  </w:r>
                  <w:r>
                    <w:rPr>
                      <w:rFonts w:hint="eastAsia" w:ascii="Times New Roman" w:hAnsi="Times New Roman"/>
                      <w:bCs/>
                      <w:kern w:val="2"/>
                      <w:sz w:val="21"/>
                      <w:szCs w:val="21"/>
                      <w:lang w:val="en-US" w:eastAsia="zh-CN"/>
                    </w:rPr>
                    <w:t>项目</w:t>
                  </w:r>
                  <w:r>
                    <w:rPr>
                      <w:rFonts w:hint="eastAsia" w:ascii="Times New Roman" w:hAnsi="Times New Roman"/>
                      <w:bCs/>
                      <w:kern w:val="2"/>
                      <w:sz w:val="21"/>
                      <w:szCs w:val="21"/>
                    </w:rPr>
                    <w:t>，不属于水污染严重区域和敏感区域高耗水、高污染行业。</w:t>
                  </w:r>
                </w:p>
              </w:tc>
              <w:tc>
                <w:tcPr>
                  <w:tcW w:w="728" w:type="dxa"/>
                  <w:tcBorders>
                    <w:tl2br w:val="nil"/>
                    <w:tr2bl w:val="nil"/>
                  </w:tcBorders>
                  <w:noWrap w:val="0"/>
                  <w:vAlign w:val="center"/>
                </w:tcPr>
                <w:p w14:paraId="33BAC3D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4F93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609" w:type="dxa"/>
                  <w:vMerge w:val="continue"/>
                  <w:tcBorders>
                    <w:tl2br w:val="nil"/>
                    <w:tr2bl w:val="nil"/>
                  </w:tcBorders>
                  <w:noWrap w:val="0"/>
                  <w:vAlign w:val="center"/>
                </w:tcPr>
                <w:p w14:paraId="2A12B3F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7BFEE22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7FB3C5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928" w:type="dxa"/>
                  <w:tcBorders>
                    <w:tl2br w:val="nil"/>
                    <w:tr2bl w:val="nil"/>
                  </w:tcBorders>
                  <w:noWrap w:val="0"/>
                  <w:vAlign w:val="center"/>
                </w:tcPr>
                <w:p w14:paraId="374B669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ascii="Times New Roman" w:hAnsi="Times New Roman"/>
                      <w:bCs/>
                      <w:kern w:val="2"/>
                      <w:sz w:val="21"/>
                      <w:szCs w:val="21"/>
                      <w:lang w:bidi="ar"/>
                    </w:rPr>
                    <w:t>不占用</w:t>
                  </w:r>
                  <w:r>
                    <w:rPr>
                      <w:rFonts w:hint="eastAsia" w:ascii="Times New Roman" w:hAnsi="Times New Roman"/>
                      <w:bCs/>
                      <w:kern w:val="2"/>
                      <w:sz w:val="21"/>
                      <w:szCs w:val="21"/>
                      <w:lang w:val="en-US" w:eastAsia="zh-CN" w:bidi="ar"/>
                    </w:rPr>
                    <w:t>永久基本农田，符合管控要求。</w:t>
                  </w:r>
                </w:p>
              </w:tc>
              <w:tc>
                <w:tcPr>
                  <w:tcW w:w="728" w:type="dxa"/>
                  <w:tcBorders>
                    <w:tl2br w:val="nil"/>
                    <w:tr2bl w:val="nil"/>
                  </w:tcBorders>
                  <w:noWrap w:val="0"/>
                  <w:vAlign w:val="center"/>
                </w:tcPr>
                <w:p w14:paraId="444077CB">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65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9" w:type="dxa"/>
                  <w:tcBorders>
                    <w:tl2br w:val="nil"/>
                    <w:tr2bl w:val="nil"/>
                  </w:tcBorders>
                  <w:noWrap w:val="0"/>
                  <w:vAlign w:val="center"/>
                </w:tcPr>
                <w:p w14:paraId="65995AF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A2污染物排放管控</w:t>
                  </w:r>
                </w:p>
              </w:tc>
              <w:tc>
                <w:tcPr>
                  <w:tcW w:w="659" w:type="dxa"/>
                  <w:tcBorders>
                    <w:tl2br w:val="nil"/>
                    <w:tr2bl w:val="nil"/>
                  </w:tcBorders>
                  <w:noWrap w:val="0"/>
                  <w:vAlign w:val="center"/>
                </w:tcPr>
                <w:p w14:paraId="0FBC5583">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A2.</w:t>
                  </w:r>
                  <w:r>
                    <w:rPr>
                      <w:rFonts w:hint="eastAsia" w:ascii="Times New Roman" w:hAnsi="Times New Roman"/>
                      <w:bCs/>
                      <w:kern w:val="2"/>
                      <w:sz w:val="21"/>
                      <w:szCs w:val="21"/>
                      <w:lang w:val="en-US" w:eastAsia="zh-CN" w:bidi="ar"/>
                    </w:rPr>
                    <w:t>2污染控制措施要求</w:t>
                  </w:r>
                </w:p>
              </w:tc>
              <w:tc>
                <w:tcPr>
                  <w:tcW w:w="3855" w:type="dxa"/>
                  <w:tcBorders>
                    <w:tl2br w:val="nil"/>
                    <w:tr2bl w:val="nil"/>
                  </w:tcBorders>
                  <w:noWrap w:val="0"/>
                  <w:vAlign w:val="center"/>
                </w:tcPr>
                <w:p w14:paraId="6588962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ascii="Times New Roman" w:hAnsi="Times New Roman"/>
                      <w:bCs/>
                      <w:kern w:val="2"/>
                      <w:sz w:val="21"/>
                      <w:szCs w:val="21"/>
                      <w:lang w:val="en-US" w:eastAsia="zh-CN" w:bidi="ar-SA"/>
                    </w:rPr>
                  </w:pPr>
                  <w:r>
                    <w:rPr>
                      <w:rFonts w:ascii="Times New Roman" w:hAnsi="Times New Roman"/>
                      <w:bCs/>
                      <w:kern w:val="2"/>
                      <w:sz w:val="21"/>
                      <w:szCs w:val="21"/>
                      <w:lang w:bidi="ar"/>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928" w:type="dxa"/>
                  <w:tcBorders>
                    <w:tl2br w:val="nil"/>
                    <w:tr2bl w:val="nil"/>
                  </w:tcBorders>
                  <w:noWrap w:val="0"/>
                  <w:vAlign w:val="center"/>
                </w:tcPr>
                <w:p w14:paraId="4763651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hint="eastAsia" w:ascii="Times New Roman" w:hAnsi="Times New Roman"/>
                      <w:bCs/>
                      <w:kern w:val="2"/>
                      <w:sz w:val="21"/>
                      <w:szCs w:val="21"/>
                      <w:lang w:val="en-US" w:eastAsia="zh-CN" w:bidi="ar"/>
                    </w:rPr>
                  </w:pPr>
                  <w:r>
                    <w:rPr>
                      <w:rFonts w:ascii="Times New Roman" w:hAnsi="Times New Roman"/>
                      <w:bCs/>
                      <w:kern w:val="2"/>
                      <w:sz w:val="21"/>
                      <w:szCs w:val="21"/>
                      <w:lang w:bidi="ar"/>
                    </w:rPr>
                    <w:t>本项目不属于工业污染项目，运营期无废水产生，施工期</w:t>
                  </w:r>
                  <w:r>
                    <w:rPr>
                      <w:rFonts w:hint="eastAsia" w:ascii="Times New Roman" w:hAnsi="Times New Roman"/>
                      <w:bCs/>
                      <w:kern w:val="2"/>
                      <w:sz w:val="21"/>
                      <w:szCs w:val="21"/>
                      <w:lang w:eastAsia="zh-CN" w:bidi="ar"/>
                    </w:rPr>
                    <w:t>产生</w:t>
                  </w:r>
                  <w:r>
                    <w:rPr>
                      <w:rFonts w:ascii="Times New Roman" w:hAnsi="Times New Roman"/>
                      <w:bCs/>
                      <w:kern w:val="2"/>
                      <w:sz w:val="21"/>
                      <w:szCs w:val="21"/>
                      <w:lang w:bidi="ar"/>
                    </w:rPr>
                    <w:t>废水</w:t>
                  </w:r>
                  <w:r>
                    <w:rPr>
                      <w:rFonts w:hint="eastAsia" w:ascii="Times New Roman" w:hAnsi="Times New Roman"/>
                      <w:bCs/>
                      <w:kern w:val="2"/>
                      <w:sz w:val="21"/>
                      <w:szCs w:val="21"/>
                      <w:lang w:eastAsia="zh-CN" w:bidi="ar"/>
                    </w:rPr>
                    <w:t>经临时沉淀池沉淀后回用，不外排。</w:t>
                  </w:r>
                </w:p>
              </w:tc>
              <w:tc>
                <w:tcPr>
                  <w:tcW w:w="728" w:type="dxa"/>
                  <w:tcBorders>
                    <w:tl2br w:val="nil"/>
                    <w:tr2bl w:val="nil"/>
                  </w:tcBorders>
                  <w:noWrap w:val="0"/>
                  <w:vAlign w:val="center"/>
                </w:tcPr>
                <w:p w14:paraId="7A3FDD6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w:t>
                  </w:r>
                </w:p>
              </w:tc>
            </w:tr>
            <w:tr w14:paraId="24D5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609" w:type="dxa"/>
                  <w:vMerge w:val="restart"/>
                  <w:tcBorders>
                    <w:tl2br w:val="nil"/>
                    <w:tr2bl w:val="nil"/>
                  </w:tcBorders>
                  <w:noWrap w:val="0"/>
                  <w:vAlign w:val="center"/>
                </w:tcPr>
                <w:p w14:paraId="7A98673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A4资源利用要</w:t>
                  </w:r>
                </w:p>
                <w:p w14:paraId="5AF33D24">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求</w:t>
                  </w:r>
                </w:p>
              </w:tc>
              <w:tc>
                <w:tcPr>
                  <w:tcW w:w="659" w:type="dxa"/>
                  <w:tcBorders>
                    <w:tl2br w:val="nil"/>
                    <w:tr2bl w:val="nil"/>
                  </w:tcBorders>
                  <w:noWrap w:val="0"/>
                  <w:vAlign w:val="center"/>
                </w:tcPr>
                <w:p w14:paraId="5440B70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A4.1水资源</w:t>
                  </w:r>
                </w:p>
              </w:tc>
              <w:tc>
                <w:tcPr>
                  <w:tcW w:w="3855" w:type="dxa"/>
                  <w:tcBorders>
                    <w:tl2br w:val="nil"/>
                    <w:tr2bl w:val="nil"/>
                  </w:tcBorders>
                  <w:noWrap w:val="0"/>
                  <w:vAlign w:val="center"/>
                </w:tcPr>
                <w:p w14:paraId="03D8E01C">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〔A4.1-1〕自治区用水总量2025年、2030年控制在国家下达的指标内。</w:t>
                  </w:r>
                </w:p>
              </w:tc>
              <w:tc>
                <w:tcPr>
                  <w:tcW w:w="1928" w:type="dxa"/>
                  <w:tcBorders>
                    <w:tl2br w:val="nil"/>
                    <w:tr2bl w:val="nil"/>
                  </w:tcBorders>
                  <w:noWrap w:val="0"/>
                  <w:vAlign w:val="center"/>
                </w:tcPr>
                <w:p w14:paraId="401BB66D">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hint="eastAsia" w:ascii="Times New Roman" w:hAnsi="Times New Roman"/>
                      <w:bCs/>
                      <w:kern w:val="2"/>
                      <w:sz w:val="21"/>
                      <w:szCs w:val="21"/>
                      <w:lang w:eastAsia="zh-CN" w:bidi="ar"/>
                    </w:rPr>
                    <w:t>本项目仅在施工期产生少量用水需求，项目建成后可有效提升水资源利用效率。</w:t>
                  </w:r>
                </w:p>
              </w:tc>
              <w:tc>
                <w:tcPr>
                  <w:tcW w:w="728" w:type="dxa"/>
                  <w:tcBorders>
                    <w:tl2br w:val="nil"/>
                    <w:tr2bl w:val="nil"/>
                  </w:tcBorders>
                  <w:noWrap w:val="0"/>
                  <w:vAlign w:val="center"/>
                </w:tcPr>
                <w:p w14:paraId="3F80D25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31E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F046EE0">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966B5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A4.2土地资源</w:t>
                  </w:r>
                </w:p>
              </w:tc>
              <w:tc>
                <w:tcPr>
                  <w:tcW w:w="3855" w:type="dxa"/>
                  <w:tcBorders>
                    <w:tl2br w:val="nil"/>
                    <w:tr2bl w:val="nil"/>
                  </w:tcBorders>
                  <w:noWrap w:val="0"/>
                  <w:vAlign w:val="center"/>
                </w:tcPr>
                <w:p w14:paraId="79DC88F8">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〔A4.2-1〕土地资源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指标控制在最终批复的国土空间规划控制指标内。</w:t>
                  </w:r>
                </w:p>
              </w:tc>
              <w:tc>
                <w:tcPr>
                  <w:tcW w:w="1928" w:type="dxa"/>
                  <w:tcBorders>
                    <w:tl2br w:val="nil"/>
                    <w:tr2bl w:val="nil"/>
                  </w:tcBorders>
                  <w:noWrap w:val="0"/>
                  <w:vAlign w:val="center"/>
                </w:tcPr>
                <w:p w14:paraId="79CBF0EB">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eastAsia="zh-CN"/>
                    </w:rPr>
                    <w:t>，</w:t>
                  </w:r>
                  <w:r>
                    <w:rPr>
                      <w:rFonts w:ascii="Times New Roman" w:hAnsi="Times New Roman"/>
                      <w:bCs/>
                      <w:kern w:val="2"/>
                      <w:sz w:val="21"/>
                      <w:szCs w:val="21"/>
                      <w:lang w:bidi="ar"/>
                    </w:rPr>
                    <w:t>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指标符合要求</w:t>
                  </w:r>
                  <w:r>
                    <w:rPr>
                      <w:rFonts w:hint="eastAsia" w:ascii="Times New Roman" w:hAnsi="Times New Roman"/>
                      <w:bCs/>
                      <w:kern w:val="2"/>
                      <w:sz w:val="21"/>
                      <w:szCs w:val="21"/>
                      <w:lang w:eastAsia="zh-CN" w:bidi="ar"/>
                    </w:rPr>
                    <w:t>。</w:t>
                  </w:r>
                </w:p>
              </w:tc>
              <w:tc>
                <w:tcPr>
                  <w:tcW w:w="728" w:type="dxa"/>
                  <w:tcBorders>
                    <w:tl2br w:val="nil"/>
                    <w:tr2bl w:val="nil"/>
                  </w:tcBorders>
                  <w:noWrap w:val="0"/>
                  <w:vAlign w:val="center"/>
                </w:tcPr>
                <w:p w14:paraId="7438CB5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40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10687F4">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ACBF6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A4.5资源综合利用</w:t>
                  </w:r>
                </w:p>
              </w:tc>
              <w:tc>
                <w:tcPr>
                  <w:tcW w:w="3855" w:type="dxa"/>
                  <w:tcBorders>
                    <w:tl2br w:val="nil"/>
                    <w:tr2bl w:val="nil"/>
                  </w:tcBorders>
                  <w:noWrap w:val="0"/>
                  <w:vAlign w:val="center"/>
                </w:tcPr>
                <w:p w14:paraId="1F29045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市</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生活垃圾处理设施，到2025年，全疆城市生活垃圾无害化处理率达到99%以上。</w:t>
                  </w:r>
                </w:p>
              </w:tc>
              <w:tc>
                <w:tcPr>
                  <w:tcW w:w="1928" w:type="dxa"/>
                  <w:tcBorders>
                    <w:tl2br w:val="nil"/>
                    <w:tr2bl w:val="nil"/>
                  </w:tcBorders>
                  <w:noWrap w:val="0"/>
                  <w:vAlign w:val="center"/>
                </w:tcPr>
                <w:p w14:paraId="385DBB8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本项目施工区</w:t>
                  </w:r>
                  <w:r>
                    <w:rPr>
                      <w:rFonts w:hint="eastAsia" w:ascii="Times New Roman" w:hAnsi="Times New Roman"/>
                      <w:bCs/>
                      <w:kern w:val="2"/>
                      <w:sz w:val="21"/>
                      <w:szCs w:val="21"/>
                      <w:lang w:eastAsia="zh-CN" w:bidi="ar"/>
                    </w:rPr>
                    <w:t>产生的建筑垃圾经收集后回收利用可利用部分，不可利用部分运送至当地</w:t>
                  </w:r>
                  <w:r>
                    <w:rPr>
                      <w:rFonts w:hint="eastAsia" w:ascii="Times New Roman" w:hAnsi="Times New Roman"/>
                      <w:bCs/>
                      <w:kern w:val="2"/>
                      <w:sz w:val="21"/>
                      <w:szCs w:val="21"/>
                      <w:lang w:val="en-US" w:eastAsia="zh-CN" w:bidi="ar"/>
                    </w:rPr>
                    <w:t>政府</w:t>
                  </w:r>
                  <w:r>
                    <w:rPr>
                      <w:rFonts w:hint="eastAsia" w:ascii="Times New Roman" w:hAnsi="Times New Roman"/>
                      <w:bCs/>
                      <w:kern w:val="2"/>
                      <w:sz w:val="21"/>
                      <w:szCs w:val="21"/>
                      <w:lang w:eastAsia="zh-CN" w:bidi="ar"/>
                    </w:rPr>
                    <w:t>部门指定的</w:t>
                  </w:r>
                  <w:r>
                    <w:rPr>
                      <w:rFonts w:hint="eastAsia" w:ascii="Times New Roman" w:hAnsi="Times New Roman"/>
                      <w:bCs/>
                      <w:kern w:val="2"/>
                      <w:sz w:val="21"/>
                      <w:szCs w:val="21"/>
                      <w:lang w:val="en-US" w:eastAsia="zh-CN" w:bidi="ar"/>
                    </w:rPr>
                    <w:t>地点处置</w:t>
                  </w:r>
                  <w:r>
                    <w:rPr>
                      <w:rFonts w:hint="eastAsia" w:ascii="Times New Roman" w:hAnsi="Times New Roman"/>
                      <w:bCs/>
                      <w:kern w:val="2"/>
                      <w:sz w:val="21"/>
                      <w:szCs w:val="21"/>
                      <w:lang w:eastAsia="zh-CN" w:bidi="ar"/>
                    </w:rPr>
                    <w:t>，运营期无固体废物产生，符合相关要求。</w:t>
                  </w:r>
                </w:p>
              </w:tc>
              <w:tc>
                <w:tcPr>
                  <w:tcW w:w="728" w:type="dxa"/>
                  <w:tcBorders>
                    <w:tl2br w:val="nil"/>
                    <w:tr2bl w:val="nil"/>
                  </w:tcBorders>
                  <w:noWrap w:val="0"/>
                  <w:vAlign w:val="center"/>
                </w:tcPr>
                <w:p w14:paraId="5D0817D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bl>
          <w:p w14:paraId="504621E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b/>
                <w:snapToGrid w:val="0"/>
                <w:kern w:val="0"/>
                <w:sz w:val="24"/>
                <w:lang w:bidi="ar"/>
              </w:rPr>
            </w:pPr>
            <w:r>
              <w:rPr>
                <w:rFonts w:hint="eastAsia"/>
                <w:b/>
                <w:snapToGrid w:val="0"/>
                <w:kern w:val="0"/>
                <w:sz w:val="24"/>
                <w:lang w:val="en-US" w:eastAsia="zh-CN" w:bidi="ar"/>
              </w:rPr>
              <w:t>2.2</w:t>
            </w:r>
            <w:r>
              <w:rPr>
                <w:b/>
                <w:snapToGrid w:val="0"/>
                <w:kern w:val="0"/>
                <w:sz w:val="24"/>
                <w:lang w:bidi="ar"/>
              </w:rPr>
              <w:t>与《巴音郭楞</w:t>
            </w:r>
            <w:r>
              <w:rPr>
                <w:rFonts w:hint="eastAsia"/>
                <w:b/>
                <w:snapToGrid w:val="0"/>
                <w:kern w:val="0"/>
                <w:sz w:val="24"/>
                <w:lang w:val="en-US" w:eastAsia="zh-CN" w:bidi="ar"/>
              </w:rPr>
              <w:t>蒙古自治州“三线一单”生态环境分区管控动态更新成果（2023年）</w:t>
            </w:r>
            <w:r>
              <w:rPr>
                <w:b/>
                <w:snapToGrid w:val="0"/>
                <w:kern w:val="0"/>
                <w:sz w:val="24"/>
                <w:lang w:bidi="ar"/>
              </w:rPr>
              <w:t>》符合性分析</w:t>
            </w:r>
          </w:p>
          <w:p w14:paraId="68C7234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bCs/>
                <w:snapToGrid w:val="0"/>
                <w:kern w:val="0"/>
                <w:sz w:val="24"/>
                <w:lang w:eastAsia="zh-CN" w:bidi="ar"/>
              </w:rPr>
            </w:pPr>
            <w:r>
              <w:rPr>
                <w:rFonts w:hint="eastAsia"/>
                <w:bCs/>
                <w:snapToGrid w:val="0"/>
                <w:kern w:val="0"/>
                <w:sz w:val="24"/>
                <w:lang w:val="en-US" w:eastAsia="zh-CN" w:bidi="ar"/>
              </w:rPr>
              <w:t>项目位于新疆巴音郭楞蒙古自治州若羌县吾塔木村，根据《巴音郭楞蒙古自治州“三线一单”生态环境分区管控动态更新成果（2023年）》（巴政办发〔2024〕32号）</w:t>
            </w:r>
            <w:r>
              <w:rPr>
                <w:rFonts w:hint="eastAsia"/>
                <w:bCs/>
                <w:snapToGrid w:val="0"/>
                <w:kern w:val="0"/>
                <w:sz w:val="24"/>
                <w:lang w:eastAsia="zh-CN" w:bidi="ar"/>
              </w:rPr>
              <w:t>，</w:t>
            </w:r>
            <w:r>
              <w:rPr>
                <w:rFonts w:hint="eastAsia"/>
                <w:bCs/>
                <w:snapToGrid w:val="0"/>
                <w:kern w:val="0"/>
                <w:sz w:val="24"/>
                <w:lang w:bidi="ar"/>
              </w:rPr>
              <w:t>本项目位于</w:t>
            </w:r>
            <w:r>
              <w:rPr>
                <w:rFonts w:hint="eastAsia"/>
                <w:bCs/>
                <w:snapToGrid w:val="0"/>
                <w:kern w:val="0"/>
                <w:sz w:val="24"/>
                <w:lang w:val="en-US" w:eastAsia="zh-CN" w:bidi="ar"/>
              </w:rPr>
              <w:t>一般</w:t>
            </w:r>
            <w:r>
              <w:rPr>
                <w:rFonts w:hint="eastAsia"/>
                <w:bCs/>
                <w:snapToGrid w:val="0"/>
                <w:kern w:val="0"/>
                <w:sz w:val="24"/>
                <w:lang w:bidi="ar"/>
              </w:rPr>
              <w:t>管控单元</w:t>
            </w:r>
            <w:r>
              <w:rPr>
                <w:rFonts w:hint="eastAsia"/>
                <w:bCs/>
                <w:snapToGrid w:val="0"/>
                <w:kern w:val="0"/>
                <w:sz w:val="24"/>
                <w:lang w:eastAsia="zh-CN" w:bidi="ar"/>
              </w:rPr>
              <w:t>，</w:t>
            </w:r>
            <w:r>
              <w:rPr>
                <w:bCs/>
                <w:snapToGrid w:val="0"/>
                <w:kern w:val="0"/>
                <w:sz w:val="24"/>
                <w:lang w:bidi="ar"/>
              </w:rPr>
              <w:t>本项目与巴音郭楞蒙古自治州总体管控要求的符合性分析见下表</w:t>
            </w:r>
            <w:r>
              <w:rPr>
                <w:rFonts w:hint="eastAsia"/>
                <w:bCs/>
                <w:snapToGrid w:val="0"/>
                <w:kern w:val="0"/>
                <w:sz w:val="24"/>
                <w:lang w:eastAsia="zh-CN" w:bidi="ar"/>
              </w:rPr>
              <w:t>。</w:t>
            </w:r>
          </w:p>
          <w:p w14:paraId="0349445A">
            <w:pPr>
              <w:pStyle w:val="46"/>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auto"/>
                <w:highlight w:val="none"/>
                <w:lang w:val="en-US" w:eastAsia="zh-CN"/>
              </w:rPr>
            </w:pPr>
            <w:r>
              <w:rPr>
                <w:rFonts w:hint="eastAsia"/>
                <w:color w:val="auto"/>
                <w:highlight w:val="none"/>
                <w:lang w:val="en-US" w:eastAsia="zh-CN"/>
              </w:rPr>
              <w:t>表1-2   与《</w:t>
            </w:r>
            <w:r>
              <w:rPr>
                <w:rFonts w:hint="eastAsia"/>
                <w:lang w:val="en-US" w:eastAsia="zh-CN"/>
              </w:rPr>
              <w:t>巴音郭楞蒙古自治州生态环境准入清单》</w:t>
            </w:r>
            <w:r>
              <w:rPr>
                <w:rFonts w:hint="eastAsia"/>
                <w:color w:val="auto"/>
                <w:highlight w:val="none"/>
                <w:lang w:val="en-US" w:eastAsia="zh-CN"/>
              </w:rPr>
              <w:t>符合性分析（总体准入要求）</w:t>
            </w:r>
          </w:p>
          <w:tbl>
            <w:tblPr>
              <w:tblStyle w:val="22"/>
              <w:tblW w:w="496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11"/>
              <w:gridCol w:w="452"/>
              <w:gridCol w:w="3696"/>
              <w:gridCol w:w="2309"/>
              <w:gridCol w:w="476"/>
            </w:tblGrid>
            <w:tr w14:paraId="2F756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0" w:type="pct"/>
                  <w:noWrap w:val="0"/>
                  <w:vAlign w:val="center"/>
                </w:tcPr>
                <w:p w14:paraId="0FA407C3">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准入要求</w:t>
                  </w:r>
                </w:p>
              </w:tc>
              <w:tc>
                <w:tcPr>
                  <w:tcW w:w="2578" w:type="pct"/>
                  <w:gridSpan w:val="2"/>
                  <w:noWrap w:val="0"/>
                  <w:vAlign w:val="center"/>
                </w:tcPr>
                <w:p w14:paraId="1EE267F1">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管控要求</w:t>
                  </w:r>
                </w:p>
              </w:tc>
              <w:tc>
                <w:tcPr>
                  <w:tcW w:w="1435" w:type="pct"/>
                  <w:noWrap w:val="0"/>
                  <w:vAlign w:val="center"/>
                </w:tcPr>
                <w:p w14:paraId="085998E5">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本项目相关内容</w:t>
                  </w:r>
                </w:p>
              </w:tc>
              <w:tc>
                <w:tcPr>
                  <w:tcW w:w="295" w:type="pct"/>
                  <w:noWrap w:val="0"/>
                  <w:vAlign w:val="center"/>
                </w:tcPr>
                <w:p w14:paraId="407EE818">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符合性</w:t>
                  </w:r>
                </w:p>
              </w:tc>
            </w:tr>
            <w:tr w14:paraId="5816A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restart"/>
                  <w:noWrap w:val="0"/>
                  <w:vAlign w:val="center"/>
                </w:tcPr>
                <w:p w14:paraId="4AD75C0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总体管控要求</w:t>
                  </w:r>
                </w:p>
              </w:tc>
              <w:tc>
                <w:tcPr>
                  <w:tcW w:w="280" w:type="pct"/>
                  <w:noWrap w:val="0"/>
                  <w:vAlign w:val="center"/>
                </w:tcPr>
                <w:p w14:paraId="6427FAAD">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空间布局约束</w:t>
                  </w:r>
                </w:p>
              </w:tc>
              <w:tc>
                <w:tcPr>
                  <w:tcW w:w="2297" w:type="pct"/>
                  <w:tcBorders>
                    <w:bottom w:val="single" w:color="auto" w:sz="4" w:space="0"/>
                  </w:tcBorders>
                  <w:noWrap w:val="0"/>
                  <w:vAlign w:val="center"/>
                </w:tcPr>
                <w:p w14:paraId="112C495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eastAsia"/>
                      <w:lang w:val="en-US" w:eastAsia="zh-CN"/>
                    </w:rPr>
                  </w:pPr>
                  <w:r>
                    <w:rPr>
                      <w:rFonts w:hint="default"/>
                      <w:lang w:val="en-US" w:eastAsia="zh-CN"/>
                    </w:rPr>
                    <w:t>1.8</w:t>
                  </w:r>
                  <w:r>
                    <w:rPr>
                      <w:rFonts w:hint="eastAsia"/>
                      <w:lang w:val="en-US" w:eastAsia="zh-CN"/>
                    </w:rPr>
                    <w:t>禁止任何单位和个人在基本农田保护区内建窑、建房、建坟、挖砂、采石、采矿、取土、堆放固体废弃物或者进行其他破坏基本农田的活动。</w:t>
                  </w:r>
                </w:p>
                <w:p w14:paraId="6C4A923C">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1.9</w:t>
                  </w:r>
                  <w:r>
                    <w:rPr>
                      <w:rFonts w:hint="eastAsia"/>
                      <w:lang w:val="en-US" w:eastAsia="zh-CN"/>
                    </w:rPr>
                    <w:t>县级以上地方人民政府应当依法将符合条件的优先保护类耕地划为永久基本农田，实行严格保护。在永久基本农田集中区域，不得新建可能造成土壤污染的建设项目；已经建成的，应当限期关闭拆除。</w:t>
                  </w:r>
                </w:p>
                <w:p w14:paraId="2F375AE1">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1.10</w:t>
                  </w:r>
                  <w:r>
                    <w:rPr>
                      <w:rFonts w:hint="eastAsia"/>
                      <w:lang w:val="en-US" w:eastAsia="zh-CN"/>
                    </w:rPr>
                    <w:t>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435" w:type="pct"/>
                  <w:noWrap w:val="0"/>
                  <w:vAlign w:val="center"/>
                </w:tcPr>
                <w:p w14:paraId="4570E6C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b w:val="0"/>
                      <w:bCs/>
                      <w:color w:val="auto"/>
                      <w:spacing w:val="-10"/>
                      <w:sz w:val="21"/>
                      <w:szCs w:val="21"/>
                      <w:highlight w:val="none"/>
                      <w:lang w:val="en-US"/>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val="en-US" w:eastAsia="zh-CN"/>
                    </w:rPr>
                    <w:t>，</w:t>
                  </w:r>
                  <w:r>
                    <w:rPr>
                      <w:rFonts w:hint="default"/>
                      <w:lang w:val="en-US" w:eastAsia="zh-CN"/>
                    </w:rPr>
                    <w:t>不涉及侵占基本农田。</w:t>
                  </w:r>
                </w:p>
              </w:tc>
              <w:tc>
                <w:tcPr>
                  <w:tcW w:w="295" w:type="pct"/>
                  <w:noWrap w:val="0"/>
                  <w:vAlign w:val="center"/>
                </w:tcPr>
                <w:p w14:paraId="63F350C7">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45B89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41" w:hRule="atLeast"/>
                <w:jc w:val="center"/>
              </w:trPr>
              <w:tc>
                <w:tcPr>
                  <w:tcW w:w="690" w:type="pct"/>
                  <w:vMerge w:val="continue"/>
                  <w:noWrap w:val="0"/>
                  <w:vAlign w:val="center"/>
                </w:tcPr>
                <w:p w14:paraId="4F02E67C">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tcBorders>
                    <w:top w:val="single" w:color="auto" w:sz="4" w:space="0"/>
                  </w:tcBorders>
                  <w:noWrap w:val="0"/>
                  <w:vAlign w:val="center"/>
                </w:tcPr>
                <w:p w14:paraId="68CBE2C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污染物</w:t>
                  </w:r>
                  <w:r>
                    <w:rPr>
                      <w:rFonts w:hint="eastAsia" w:cs="Times New Roman"/>
                      <w:b w:val="0"/>
                      <w:bCs/>
                      <w:color w:val="auto"/>
                      <w:spacing w:val="-10"/>
                      <w:sz w:val="21"/>
                      <w:szCs w:val="21"/>
                      <w:highlight w:val="none"/>
                      <w:lang w:val="en-US" w:eastAsia="zh-CN"/>
                    </w:rPr>
                    <w:t>排</w:t>
                  </w:r>
                  <w:r>
                    <w:rPr>
                      <w:rFonts w:hint="default" w:ascii="Times New Roman" w:hAnsi="Times New Roman" w:eastAsia="宋体" w:cs="Times New Roman"/>
                      <w:b w:val="0"/>
                      <w:bCs/>
                      <w:color w:val="auto"/>
                      <w:spacing w:val="-10"/>
                      <w:sz w:val="21"/>
                      <w:szCs w:val="21"/>
                      <w:highlight w:val="none"/>
                    </w:rPr>
                    <w:t>放管控</w:t>
                  </w:r>
                </w:p>
              </w:tc>
              <w:tc>
                <w:tcPr>
                  <w:tcW w:w="2297" w:type="pct"/>
                  <w:tcBorders>
                    <w:top w:val="single" w:color="auto" w:sz="4" w:space="0"/>
                    <w:bottom w:val="single" w:color="auto" w:sz="4" w:space="0"/>
                  </w:tcBorders>
                  <w:noWrap w:val="0"/>
                  <w:vAlign w:val="center"/>
                </w:tcPr>
                <w:p w14:paraId="21D9FDA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2.18</w:t>
                  </w:r>
                  <w:r>
                    <w:rPr>
                      <w:rFonts w:hint="eastAsia"/>
                      <w:lang w:val="en-US" w:eastAsia="zh-CN"/>
                    </w:rPr>
                    <w:t>加强灌溉水水质管理。开展灌溉水水质监测，灌溉用水应符合农田灌溉水水质标准，水质未达到农田灌溉水水质标准的，县级人民政府应当采取措施予以改善。对因长期使用污水灌溉导致土壤污染严重、威胁农产品质量安全的，要及时调整种植结构。</w:t>
                  </w:r>
                </w:p>
              </w:tc>
              <w:tc>
                <w:tcPr>
                  <w:tcW w:w="1435" w:type="pct"/>
                  <w:noWrap w:val="0"/>
                  <w:vAlign w:val="center"/>
                </w:tcPr>
                <w:p w14:paraId="7F74FD1A">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eastAsia"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地表水，水质符合《地表水环境质量标准》（GB3838-2002）Ⅲ类，可满足农田灌溉要求。</w:t>
                  </w:r>
                </w:p>
              </w:tc>
              <w:tc>
                <w:tcPr>
                  <w:tcW w:w="295" w:type="pct"/>
                  <w:noWrap w:val="0"/>
                  <w:vAlign w:val="center"/>
                </w:tcPr>
                <w:p w14:paraId="285ABFFF">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103A1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5BB707D5">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0BEB530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环境风险防控</w:t>
                  </w:r>
                </w:p>
              </w:tc>
              <w:tc>
                <w:tcPr>
                  <w:tcW w:w="2297" w:type="pct"/>
                  <w:tcBorders>
                    <w:top w:val="single" w:color="auto" w:sz="4" w:space="0"/>
                    <w:bottom w:val="single" w:color="auto" w:sz="4" w:space="0"/>
                  </w:tcBorders>
                  <w:noWrap w:val="0"/>
                  <w:vAlign w:val="center"/>
                </w:tcPr>
                <w:p w14:paraId="39D1B55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3.9</w:t>
                  </w:r>
                  <w:r>
                    <w:rPr>
                      <w:rFonts w:hint="eastAsia"/>
                      <w:lang w:val="en-US" w:eastAsia="zh-CN"/>
                    </w:rPr>
                    <w:t>（农田灌溉风险要求）农田灌溉用水应当符合相应的水质标准，防止污染土壤、地下水和农产品。禁止向农田灌溉渠道排放工业废水或者医疗污水。向农田灌溉渠道排放城镇污水以及未综合利用的畜禽养殖废水、农产品加工废水的，应当保证其下游最近的灌溉取水点的水质符合农田灌溉水质标准。</w:t>
                  </w:r>
                </w:p>
              </w:tc>
              <w:tc>
                <w:tcPr>
                  <w:tcW w:w="1435" w:type="pct"/>
                  <w:noWrap w:val="0"/>
                  <w:vAlign w:val="center"/>
                </w:tcPr>
                <w:p w14:paraId="5BF3FAF2">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ascii="Times New Roman" w:hAnsi="Times New Roman" w:eastAsia="宋体" w:cs="Times New Roman"/>
                      <w:b w:val="0"/>
                      <w:bCs/>
                      <w:color w:val="auto"/>
                      <w:kern w:val="0"/>
                      <w:sz w:val="21"/>
                      <w:szCs w:val="21"/>
                      <w:highlight w:val="none"/>
                      <w:lang w:val="en-US"/>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eastAsia="宋体"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w:t>
                  </w:r>
                  <w:r>
                    <w:rPr>
                      <w:rFonts w:hint="default" w:ascii="Times New Roman" w:hAnsi="Times New Roman" w:eastAsia="宋体" w:cs="Times New Roman"/>
                      <w:bCs/>
                      <w:kern w:val="2"/>
                      <w:sz w:val="21"/>
                      <w:szCs w:val="21"/>
                      <w:lang w:val="en-US" w:eastAsia="zh-CN" w:bidi="ar"/>
                    </w:rPr>
                    <w:t>施工</w:t>
                  </w:r>
                  <w:r>
                    <w:rPr>
                      <w:rFonts w:hint="eastAsia" w:ascii="Times New Roman" w:hAnsi="Times New Roman" w:eastAsia="宋体" w:cs="Times New Roman"/>
                      <w:bCs/>
                      <w:kern w:val="2"/>
                      <w:sz w:val="21"/>
                      <w:szCs w:val="21"/>
                      <w:lang w:val="en-US" w:eastAsia="zh-CN" w:bidi="ar"/>
                    </w:rPr>
                    <w:t>期严格管控，禁止向渠道内排放废水</w:t>
                  </w:r>
                  <w:r>
                    <w:rPr>
                      <w:rFonts w:hint="default" w:ascii="Times New Roman" w:hAnsi="Times New Roman" w:eastAsia="宋体" w:cs="Times New Roman"/>
                      <w:bCs/>
                      <w:kern w:val="2"/>
                      <w:sz w:val="21"/>
                      <w:szCs w:val="21"/>
                      <w:lang w:val="en-US" w:eastAsia="zh-CN" w:bidi="ar"/>
                    </w:rPr>
                    <w:t>，严禁向沿线水体倾倒各类垃圾和污染物。</w:t>
                  </w:r>
                </w:p>
              </w:tc>
              <w:tc>
                <w:tcPr>
                  <w:tcW w:w="295" w:type="pct"/>
                  <w:noWrap w:val="0"/>
                  <w:vAlign w:val="center"/>
                </w:tcPr>
                <w:p w14:paraId="3C34A866">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69476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7A381AE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36F9E51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资源利用效率</w:t>
                  </w:r>
                </w:p>
              </w:tc>
              <w:tc>
                <w:tcPr>
                  <w:tcW w:w="2297" w:type="pct"/>
                  <w:tcBorders>
                    <w:top w:val="single" w:color="auto" w:sz="4" w:space="0"/>
                    <w:bottom w:val="single" w:color="auto" w:sz="4" w:space="0"/>
                  </w:tcBorders>
                  <w:noWrap w:val="0"/>
                  <w:vAlign w:val="center"/>
                </w:tcPr>
                <w:p w14:paraId="5E67CF3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4.16</w:t>
                  </w:r>
                  <w:r>
                    <w:rPr>
                      <w:rFonts w:hint="eastAsia"/>
                      <w:lang w:val="en-US" w:eastAsia="zh-CN"/>
                    </w:rPr>
                    <w:t>发展农业节水。推广渠道防渗、管道输水、喷灌、微灌等节水灌溉技术，完善灌溉用水计量设施。大力推进规模化高效节水灌溉，推广农作物节水抗旱技术。建立灌区测报网络，提高农业用水效率，降低农业用水比重。</w:t>
                  </w:r>
                </w:p>
              </w:tc>
              <w:tc>
                <w:tcPr>
                  <w:tcW w:w="1435" w:type="pct"/>
                  <w:noWrap w:val="0"/>
                  <w:vAlign w:val="center"/>
                </w:tcPr>
                <w:p w14:paraId="318DA30F">
                  <w:pPr>
                    <w:pStyle w:val="41"/>
                    <w:keepNext w:val="0"/>
                    <w:keepLines w:val="0"/>
                    <w:pageBreakBefore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b w:val="0"/>
                      <w:bCs/>
                      <w:color w:val="auto"/>
                      <w:sz w:val="21"/>
                      <w:szCs w:val="21"/>
                      <w:highlight w:val="none"/>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95" w:type="pct"/>
                  <w:noWrap w:val="0"/>
                  <w:vAlign w:val="center"/>
                </w:tcPr>
                <w:p w14:paraId="20932ED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bl>
          <w:p w14:paraId="0C9EFC7F">
            <w:pPr>
              <w:pStyle w:val="48"/>
              <w:bidi w:val="0"/>
              <w:ind w:left="0" w:leftChars="0" w:firstLine="0" w:firstLineChars="0"/>
              <w:jc w:val="left"/>
              <w:rPr>
                <w:rFonts w:hint="default" w:ascii="Times New Roman" w:hAnsi="Times New Roman" w:eastAsia="宋体" w:cs="宋体"/>
                <w:b/>
                <w:bCs/>
                <w:color w:val="auto"/>
                <w:highlight w:val="none"/>
                <w:lang w:val="en-US" w:eastAsia="zh-CN"/>
              </w:rPr>
            </w:pPr>
            <w:r>
              <w:rPr>
                <w:b/>
                <w:bCs/>
                <w:sz w:val="24"/>
                <w:lang w:bidi="ar"/>
              </w:rPr>
              <w:t>表1-</w:t>
            </w:r>
            <w:r>
              <w:rPr>
                <w:rFonts w:hint="eastAsia"/>
                <w:b/>
                <w:bCs/>
                <w:sz w:val="24"/>
                <w:lang w:val="en-US" w:eastAsia="zh-CN" w:bidi="ar"/>
              </w:rPr>
              <w:t>3</w:t>
            </w:r>
            <w:r>
              <w:rPr>
                <w:b/>
                <w:bCs/>
                <w:sz w:val="24"/>
                <w:lang w:bidi="ar"/>
              </w:rPr>
              <w:t xml:space="preserve">  </w:t>
            </w:r>
            <w:r>
              <w:rPr>
                <w:rFonts w:hint="eastAsia"/>
                <w:b/>
                <w:bCs/>
                <w:sz w:val="24"/>
                <w:lang w:val="en-US" w:eastAsia="zh-CN" w:bidi="ar"/>
              </w:rPr>
              <w:t xml:space="preserve"> </w:t>
            </w:r>
            <w:r>
              <w:rPr>
                <w:rFonts w:hint="eastAsia"/>
                <w:b/>
                <w:bCs/>
                <w:sz w:val="24"/>
                <w:lang w:eastAsia="zh-CN" w:bidi="ar"/>
              </w:rPr>
              <w:t>《</w:t>
            </w:r>
            <w:r>
              <w:rPr>
                <w:rFonts w:hint="eastAsia" w:ascii="Times New Roman" w:hAnsi="Times New Roman" w:eastAsia="宋体" w:cs="宋体"/>
                <w:b/>
                <w:bCs/>
                <w:color w:val="auto"/>
                <w:highlight w:val="none"/>
                <w:lang w:val="en-US" w:eastAsia="zh-CN"/>
              </w:rPr>
              <w:t>巴音郭楞蒙古自治州生态环境准入清单</w:t>
            </w:r>
            <w:r>
              <w:rPr>
                <w:rFonts w:hint="eastAsia" w:cs="宋体"/>
                <w:b/>
                <w:bCs/>
                <w:color w:val="auto"/>
                <w:highlight w:val="none"/>
                <w:lang w:val="en-US" w:eastAsia="zh-CN"/>
              </w:rPr>
              <w:t>》</w:t>
            </w:r>
            <w:r>
              <w:rPr>
                <w:rFonts w:hint="eastAsia" w:ascii="Times New Roman" w:hAnsi="Times New Roman" w:eastAsia="宋体" w:cs="宋体"/>
                <w:b/>
                <w:bCs/>
                <w:color w:val="auto"/>
                <w:highlight w:val="none"/>
                <w:lang w:val="en-US" w:eastAsia="zh-CN"/>
              </w:rPr>
              <w:t>符合性分析（管控单元）</w:t>
            </w:r>
          </w:p>
          <w:tbl>
            <w:tblPr>
              <w:tblStyle w:val="23"/>
              <w:tblW w:w="49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693"/>
              <w:gridCol w:w="4718"/>
              <w:gridCol w:w="1640"/>
              <w:gridCol w:w="438"/>
            </w:tblGrid>
            <w:tr w14:paraId="3490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47B626F1">
                  <w:pPr>
                    <w:pStyle w:val="4"/>
                    <w:bidi w:val="0"/>
                    <w:jc w:val="center"/>
                    <w:rPr>
                      <w:rFonts w:hint="default"/>
                      <w:lang w:val="en-US" w:eastAsia="zh-CN"/>
                    </w:rPr>
                  </w:pPr>
                  <w:r>
                    <w:rPr>
                      <w:rFonts w:hint="default"/>
                      <w:lang w:val="en-US" w:eastAsia="zh-CN"/>
                    </w:rPr>
                    <w:t>环境管控单元编码</w:t>
                  </w:r>
                </w:p>
              </w:tc>
              <w:tc>
                <w:tcPr>
                  <w:tcW w:w="2955" w:type="pct"/>
                  <w:noWrap w:val="0"/>
                  <w:vAlign w:val="center"/>
                </w:tcPr>
                <w:p w14:paraId="24B02D1A">
                  <w:pPr>
                    <w:pStyle w:val="4"/>
                    <w:bidi w:val="0"/>
                    <w:jc w:val="center"/>
                    <w:rPr>
                      <w:rFonts w:hint="default"/>
                      <w:lang w:val="en-US" w:eastAsia="zh-CN"/>
                    </w:rPr>
                  </w:pPr>
                  <w:r>
                    <w:rPr>
                      <w:rFonts w:hint="default"/>
                      <w:lang w:val="en-US" w:eastAsia="zh-CN"/>
                    </w:rPr>
                    <w:t>ZH65282430001</w:t>
                  </w:r>
                </w:p>
              </w:tc>
              <w:tc>
                <w:tcPr>
                  <w:tcW w:w="1027" w:type="pct"/>
                  <w:vMerge w:val="restart"/>
                  <w:noWrap w:val="0"/>
                  <w:vAlign w:val="center"/>
                </w:tcPr>
                <w:p w14:paraId="6F50DB5D">
                  <w:pPr>
                    <w:pStyle w:val="4"/>
                    <w:bidi w:val="0"/>
                    <w:jc w:val="left"/>
                    <w:rPr>
                      <w:rFonts w:hint="default"/>
                      <w:lang w:eastAsia="zh-CN"/>
                    </w:rPr>
                  </w:pPr>
                  <w:r>
                    <w:rPr>
                      <w:rFonts w:hint="default"/>
                      <w:lang w:val="en-US" w:eastAsia="zh-CN"/>
                    </w:rPr>
                    <w:t>本工程情况</w:t>
                  </w:r>
                </w:p>
              </w:tc>
              <w:tc>
                <w:tcPr>
                  <w:tcW w:w="274" w:type="pct"/>
                  <w:vMerge w:val="restart"/>
                  <w:noWrap w:val="0"/>
                  <w:vAlign w:val="center"/>
                </w:tcPr>
                <w:p w14:paraId="6E6C1432">
                  <w:pPr>
                    <w:pStyle w:val="4"/>
                    <w:bidi w:val="0"/>
                    <w:jc w:val="left"/>
                    <w:rPr>
                      <w:rFonts w:hint="default"/>
                      <w:lang w:val="en-US" w:eastAsia="zh-CN"/>
                    </w:rPr>
                  </w:pPr>
                  <w:r>
                    <w:rPr>
                      <w:rFonts w:hint="default"/>
                      <w:lang w:val="en-US" w:eastAsia="zh-CN"/>
                    </w:rPr>
                    <w:t>符合性</w:t>
                  </w:r>
                </w:p>
              </w:tc>
            </w:tr>
            <w:tr w14:paraId="5899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0F3597C1">
                  <w:pPr>
                    <w:pStyle w:val="4"/>
                    <w:bidi w:val="0"/>
                    <w:jc w:val="center"/>
                    <w:rPr>
                      <w:rFonts w:hint="default"/>
                      <w:lang w:val="en-US" w:eastAsia="zh-CN"/>
                    </w:rPr>
                  </w:pPr>
                  <w:r>
                    <w:rPr>
                      <w:rFonts w:hint="default"/>
                      <w:lang w:val="en-US" w:eastAsia="zh-CN"/>
                    </w:rPr>
                    <w:t>环境管控单元名称</w:t>
                  </w:r>
                </w:p>
              </w:tc>
              <w:tc>
                <w:tcPr>
                  <w:tcW w:w="2955" w:type="pct"/>
                  <w:noWrap w:val="0"/>
                  <w:vAlign w:val="center"/>
                </w:tcPr>
                <w:p w14:paraId="5CA560D8">
                  <w:pPr>
                    <w:pStyle w:val="4"/>
                    <w:bidi w:val="0"/>
                    <w:jc w:val="center"/>
                    <w:rPr>
                      <w:rFonts w:hint="default"/>
                      <w:lang w:val="en-US" w:eastAsia="zh-CN"/>
                    </w:rPr>
                  </w:pPr>
                  <w:r>
                    <w:rPr>
                      <w:rFonts w:hint="default"/>
                      <w:lang w:val="en-US" w:eastAsia="zh-CN"/>
                    </w:rPr>
                    <w:t>若羌县一般管控区</w:t>
                  </w:r>
                </w:p>
              </w:tc>
              <w:tc>
                <w:tcPr>
                  <w:tcW w:w="1027" w:type="pct"/>
                  <w:vMerge w:val="continue"/>
                  <w:noWrap w:val="0"/>
                  <w:vAlign w:val="center"/>
                </w:tcPr>
                <w:p w14:paraId="3BAD994D">
                  <w:pPr>
                    <w:pStyle w:val="4"/>
                    <w:bidi w:val="0"/>
                    <w:jc w:val="left"/>
                    <w:rPr>
                      <w:rFonts w:hint="default"/>
                      <w:lang w:eastAsia="zh-CN"/>
                    </w:rPr>
                  </w:pPr>
                </w:p>
              </w:tc>
              <w:tc>
                <w:tcPr>
                  <w:tcW w:w="274" w:type="pct"/>
                  <w:vMerge w:val="continue"/>
                  <w:noWrap w:val="0"/>
                  <w:vAlign w:val="center"/>
                </w:tcPr>
                <w:p w14:paraId="6CC820D5">
                  <w:pPr>
                    <w:pStyle w:val="4"/>
                    <w:bidi w:val="0"/>
                    <w:jc w:val="left"/>
                    <w:rPr>
                      <w:rFonts w:hint="default"/>
                      <w:lang w:eastAsia="zh-CN"/>
                    </w:rPr>
                  </w:pPr>
                </w:p>
              </w:tc>
            </w:tr>
            <w:tr w14:paraId="1B48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282C6E88">
                  <w:pPr>
                    <w:pStyle w:val="4"/>
                    <w:bidi w:val="0"/>
                    <w:jc w:val="center"/>
                    <w:rPr>
                      <w:rFonts w:hint="default"/>
                      <w:lang w:val="en-US" w:eastAsia="zh-CN"/>
                    </w:rPr>
                  </w:pPr>
                  <w:r>
                    <w:rPr>
                      <w:rFonts w:hint="default"/>
                    </w:rPr>
                    <w:t>环境管控单元类别</w:t>
                  </w:r>
                </w:p>
              </w:tc>
              <w:tc>
                <w:tcPr>
                  <w:tcW w:w="2955" w:type="pct"/>
                  <w:noWrap w:val="0"/>
                  <w:vAlign w:val="center"/>
                </w:tcPr>
                <w:p w14:paraId="7F8CB4EC">
                  <w:pPr>
                    <w:pStyle w:val="4"/>
                    <w:bidi w:val="0"/>
                    <w:jc w:val="center"/>
                    <w:rPr>
                      <w:rFonts w:hint="default"/>
                      <w:lang w:val="en-US" w:eastAsia="zh-CN"/>
                    </w:rPr>
                  </w:pPr>
                  <w:r>
                    <w:rPr>
                      <w:rFonts w:hint="default"/>
                      <w:lang w:val="en-US" w:eastAsia="zh-CN"/>
                    </w:rPr>
                    <w:t>一般管控单元</w:t>
                  </w:r>
                </w:p>
              </w:tc>
              <w:tc>
                <w:tcPr>
                  <w:tcW w:w="1027" w:type="pct"/>
                  <w:vMerge w:val="continue"/>
                  <w:noWrap w:val="0"/>
                  <w:vAlign w:val="center"/>
                </w:tcPr>
                <w:p w14:paraId="44FF3AFA">
                  <w:pPr>
                    <w:pStyle w:val="4"/>
                    <w:bidi w:val="0"/>
                    <w:jc w:val="left"/>
                    <w:rPr>
                      <w:rFonts w:hint="default"/>
                      <w:lang w:eastAsia="zh-CN"/>
                    </w:rPr>
                  </w:pPr>
                </w:p>
              </w:tc>
              <w:tc>
                <w:tcPr>
                  <w:tcW w:w="274" w:type="pct"/>
                  <w:vMerge w:val="continue"/>
                  <w:noWrap w:val="0"/>
                  <w:vAlign w:val="center"/>
                </w:tcPr>
                <w:p w14:paraId="2C6B1589">
                  <w:pPr>
                    <w:pStyle w:val="4"/>
                    <w:bidi w:val="0"/>
                    <w:jc w:val="left"/>
                    <w:rPr>
                      <w:rFonts w:hint="default"/>
                      <w:lang w:eastAsia="zh-CN"/>
                    </w:rPr>
                  </w:pPr>
                </w:p>
              </w:tc>
            </w:tr>
            <w:tr w14:paraId="0FE6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restart"/>
                  <w:noWrap w:val="0"/>
                  <w:vAlign w:val="center"/>
                </w:tcPr>
                <w:p w14:paraId="2880E118">
                  <w:pPr>
                    <w:pStyle w:val="4"/>
                    <w:bidi w:val="0"/>
                    <w:jc w:val="left"/>
                    <w:rPr>
                      <w:rFonts w:hint="default"/>
                    </w:rPr>
                  </w:pPr>
                  <w:r>
                    <w:rPr>
                      <w:rFonts w:hint="default"/>
                      <w:lang w:val="en-US" w:eastAsia="zh-CN"/>
                    </w:rPr>
                    <w:t>管控要求</w:t>
                  </w:r>
                </w:p>
              </w:tc>
              <w:tc>
                <w:tcPr>
                  <w:tcW w:w="434" w:type="pct"/>
                  <w:noWrap w:val="0"/>
                  <w:vAlign w:val="center"/>
                </w:tcPr>
                <w:p w14:paraId="4F8BA7FB">
                  <w:pPr>
                    <w:pStyle w:val="4"/>
                    <w:bidi w:val="0"/>
                    <w:jc w:val="left"/>
                    <w:rPr>
                      <w:rFonts w:hint="default"/>
                      <w:lang w:val="en-US" w:eastAsia="zh-CN"/>
                    </w:rPr>
                  </w:pPr>
                  <w:r>
                    <w:rPr>
                      <w:rFonts w:hint="default"/>
                      <w:lang w:val="en-US" w:eastAsia="zh-CN"/>
                    </w:rPr>
                    <w:t>空间布局约束</w:t>
                  </w:r>
                </w:p>
              </w:tc>
              <w:tc>
                <w:tcPr>
                  <w:tcW w:w="2955" w:type="pct"/>
                  <w:noWrap w:val="0"/>
                  <w:vAlign w:val="center"/>
                </w:tcPr>
                <w:p w14:paraId="0551D1A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1.建设项目用地原则上不得占用基本农田，确需占用基本农田的建设项目须符合《中华人民共和国基本农田保护条例》中相关要求，占用耕地、林地或草地的建设项目须按照国家、自治区相关补偿要求进行补偿。</w:t>
                  </w:r>
                </w:p>
                <w:p w14:paraId="52F6CC5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5F9DEFF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3.永久基本农田集中区域禁止规划新建可能造成土壤污染的建设项目。涉及有毒有害物质可能造成土壤污染的新</w:t>
                  </w:r>
                  <w:r>
                    <w:rPr>
                      <w:rFonts w:hint="eastAsia"/>
                      <w:lang w:val="en-US" w:eastAsia="zh-CN"/>
                    </w:rPr>
                    <w:t>（</w:t>
                  </w:r>
                  <w:r>
                    <w:rPr>
                      <w:rFonts w:hint="default"/>
                      <w:lang w:val="en-US" w:eastAsia="zh-CN"/>
                    </w:rPr>
                    <w:t>改、扩</w:t>
                  </w:r>
                  <w:r>
                    <w:rPr>
                      <w:rFonts w:hint="eastAsia"/>
                      <w:lang w:val="en-US" w:eastAsia="zh-CN"/>
                    </w:rPr>
                    <w:t>）</w:t>
                  </w:r>
                  <w:r>
                    <w:rPr>
                      <w:rFonts w:hint="default"/>
                      <w:lang w:val="en-US" w:eastAsia="zh-CN"/>
                    </w:rPr>
                    <w:t>建项目，提出并落实土壤和地下水污染防治要求。</w:t>
                  </w:r>
                </w:p>
                <w:p w14:paraId="6EDDE0E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4.严格执行畜禽养殖禁养区规定，根据区域用地和消纳水平，合理确定养殖规模。</w:t>
                  </w:r>
                </w:p>
                <w:p w14:paraId="31AFE2E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5.禁止向沙漠、滩涂、盐碱地、沼泽地等非法排污、倾倒有毒有害物质。</w:t>
                  </w:r>
                </w:p>
                <w:p w14:paraId="55C830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6.禁止利用渗坑、裂隙、溶洞或者采用稀释等方法处置危险废物。</w:t>
                  </w:r>
                </w:p>
                <w:p w14:paraId="7C041C9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7.金属和非金属矿山采选企业新建、改建、扩建执行《新疆维吾尔自治区重点行业环境准入条件（修订）》相关要求。</w:t>
                  </w:r>
                </w:p>
              </w:tc>
              <w:tc>
                <w:tcPr>
                  <w:tcW w:w="1027" w:type="pct"/>
                  <w:noWrap w:val="0"/>
                  <w:vAlign w:val="center"/>
                </w:tcPr>
                <w:p w14:paraId="1CC7369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本项目为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工程，不属于禁止建设类项目</w:t>
                  </w:r>
                  <w:r>
                    <w:rPr>
                      <w:rFonts w:hint="eastAsia"/>
                      <w:kern w:val="2"/>
                      <w:sz w:val="21"/>
                      <w:szCs w:val="21"/>
                      <w:lang w:eastAsia="zh-CN" w:bidi="ar"/>
                    </w:rPr>
                    <w:t>，</w:t>
                  </w: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kern w:val="2"/>
                      <w:sz w:val="21"/>
                      <w:szCs w:val="21"/>
                      <w:lang w:eastAsia="zh-CN" w:bidi="ar"/>
                    </w:rPr>
                    <w:t>不涉及占用基本农田，不涉及</w:t>
                  </w:r>
                  <w:r>
                    <w:rPr>
                      <w:rFonts w:hint="eastAsia"/>
                      <w:kern w:val="2"/>
                      <w:sz w:val="21"/>
                      <w:szCs w:val="21"/>
                      <w:lang w:val="en-US" w:eastAsia="zh-CN" w:bidi="ar"/>
                    </w:rPr>
                    <w:t>林地、草地</w:t>
                  </w:r>
                  <w:r>
                    <w:rPr>
                      <w:kern w:val="2"/>
                      <w:sz w:val="21"/>
                      <w:szCs w:val="21"/>
                      <w:lang w:bidi="ar"/>
                    </w:rPr>
                    <w:t>。</w:t>
                  </w:r>
                </w:p>
              </w:tc>
              <w:tc>
                <w:tcPr>
                  <w:tcW w:w="274" w:type="pct"/>
                  <w:noWrap w:val="0"/>
                  <w:vAlign w:val="center"/>
                </w:tcPr>
                <w:p w14:paraId="316FC3F7">
                  <w:pPr>
                    <w:pStyle w:val="4"/>
                    <w:bidi w:val="0"/>
                    <w:jc w:val="left"/>
                    <w:rPr>
                      <w:rFonts w:hint="default"/>
                      <w:lang w:val="en-US" w:eastAsia="zh-CN"/>
                    </w:rPr>
                  </w:pPr>
                  <w:r>
                    <w:rPr>
                      <w:rFonts w:hint="default"/>
                      <w:lang w:val="en-US" w:eastAsia="zh-CN"/>
                    </w:rPr>
                    <w:t>符合</w:t>
                  </w:r>
                </w:p>
              </w:tc>
            </w:tr>
            <w:tr w14:paraId="44C9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7EE776C1">
                  <w:pPr>
                    <w:pStyle w:val="4"/>
                    <w:bidi w:val="0"/>
                    <w:jc w:val="left"/>
                    <w:rPr>
                      <w:rFonts w:hint="default"/>
                      <w:lang w:val="en-US" w:eastAsia="zh-CN"/>
                    </w:rPr>
                  </w:pPr>
                </w:p>
              </w:tc>
              <w:tc>
                <w:tcPr>
                  <w:tcW w:w="434" w:type="pct"/>
                  <w:noWrap w:val="0"/>
                  <w:vAlign w:val="center"/>
                </w:tcPr>
                <w:p w14:paraId="29943B4E">
                  <w:pPr>
                    <w:pStyle w:val="4"/>
                    <w:bidi w:val="0"/>
                    <w:jc w:val="left"/>
                    <w:rPr>
                      <w:rFonts w:hint="default"/>
                      <w:lang w:val="en-US" w:eastAsia="zh-CN"/>
                    </w:rPr>
                  </w:pPr>
                  <w:r>
                    <w:rPr>
                      <w:rFonts w:hint="default"/>
                      <w:lang w:val="en-US" w:eastAsia="zh-CN"/>
                    </w:rPr>
                    <w:t>污染物排放管控</w:t>
                  </w:r>
                </w:p>
              </w:tc>
              <w:tc>
                <w:tcPr>
                  <w:tcW w:w="2955" w:type="pct"/>
                  <w:noWrap w:val="0"/>
                  <w:vAlign w:val="center"/>
                </w:tcPr>
                <w:p w14:paraId="478DA2F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强化畜禽粪污资源化利用，改善养殖场通风环境，提高畜禽粪污综合利用率，减少氨挥发排放。鼓励和支持散养密集区实行畜禽粪污分户收集、集中处理。</w:t>
                  </w:r>
                </w:p>
                <w:p w14:paraId="2CD60C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严格控制林地、草地、园地农药使用量，禁止使用高毒、高残留农药。</w:t>
                  </w:r>
                </w:p>
                <w:p w14:paraId="0DEB644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07D3453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 xml:space="preserve">对化学品生产企业、工业集聚区、尾矿库、矿山开采区、危险废物处置场、垃圾填埋场等地下水污染源及周边区域，逐步开展地下水环境状况调查评估，加强风险管控。 </w:t>
                  </w:r>
                </w:p>
                <w:p w14:paraId="3B6727C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w:t>
                  </w:r>
                  <w:r>
                    <w:rPr>
                      <w:rFonts w:hint="eastAsia"/>
                      <w:lang w:val="en-US" w:eastAsia="zh-CN"/>
                    </w:rPr>
                    <w:t>严控土壤重金属污染，加强油（气）田开发土壤污染防治，以历史遗留工业企业污染场地为重点，开展土壤污染风险管控与修复工程。</w:t>
                  </w:r>
                </w:p>
                <w:p w14:paraId="28C089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w:t>
                  </w:r>
                  <w:r>
                    <w:rPr>
                      <w:rFonts w:hint="eastAsia"/>
                      <w:lang w:val="en-US" w:eastAsia="zh-CN"/>
                    </w:rPr>
                    <w:t xml:space="preserve">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 </w:t>
                  </w:r>
                </w:p>
                <w:p w14:paraId="31E172D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w:t>
                  </w:r>
                  <w:r>
                    <w:rPr>
                      <w:rFonts w:hint="eastAsia"/>
                      <w:lang w:val="en-US" w:eastAsia="zh-CN"/>
                    </w:rPr>
                    <w:t>矿山采选污染物排放执行相应行业标准。稳步推进废水循环利用技术改造升级。采选产生废水排放有行业标准的执行行业标准，否则执行《污水综合排放标准》（</w:t>
                  </w:r>
                  <w:r>
                    <w:rPr>
                      <w:rFonts w:hint="default"/>
                      <w:lang w:val="en-US" w:eastAsia="zh-CN"/>
                    </w:rPr>
                    <w:t>GB8978</w:t>
                  </w:r>
                  <w:r>
                    <w:rPr>
                      <w:rFonts w:hint="eastAsia"/>
                      <w:lang w:val="en-US" w:eastAsia="zh-CN"/>
                    </w:rPr>
                    <w:t>）。采选活动矿石转运、破碎、筛分等粉尘产生工序，应配备抑尘、除尘设备，除尘效率不低于</w:t>
                  </w:r>
                  <w:r>
                    <w:rPr>
                      <w:rFonts w:hint="default"/>
                      <w:lang w:val="en-US" w:eastAsia="zh-CN"/>
                    </w:rPr>
                    <w:t>99%</w:t>
                  </w:r>
                  <w:r>
                    <w:rPr>
                      <w:rFonts w:hint="eastAsia"/>
                      <w:lang w:val="en-US" w:eastAsia="zh-CN"/>
                    </w:rPr>
                    <w:t>，有效控制无组织粉尘排放。采选矿各环节废气排放有行业标准的执行行业标准，否则执行《大气污染物综合排放标准》（</w:t>
                  </w:r>
                  <w:r>
                    <w:rPr>
                      <w:rFonts w:hint="default"/>
                      <w:lang w:val="en-US" w:eastAsia="zh-CN"/>
                    </w:rPr>
                    <w:t>GB16297</w:t>
                  </w:r>
                  <w:r>
                    <w:rPr>
                      <w:rFonts w:hint="eastAsia"/>
                      <w:lang w:val="en-US" w:eastAsia="zh-CN"/>
                    </w:rPr>
                    <w:t>）。一般固体废弃物应根据《一般工业固体废物贮存、处置场污染控制标准》（</w:t>
                  </w:r>
                  <w:r>
                    <w:rPr>
                      <w:rFonts w:hint="default"/>
                      <w:lang w:val="en-US" w:eastAsia="zh-CN"/>
                    </w:rPr>
                    <w:t>GB18599</w:t>
                  </w:r>
                  <w:r>
                    <w:rPr>
                      <w:rFonts w:hint="eastAsia"/>
                      <w:lang w:val="en-US" w:eastAsia="zh-CN"/>
                    </w:rPr>
                    <w:t>）进行管理，属危险废物的按危险废物相关要求依法进行管理，其贮存设施须符合《危险废物贮存污染控制标准》（</w:t>
                  </w:r>
                  <w:r>
                    <w:rPr>
                      <w:rFonts w:hint="default"/>
                      <w:lang w:val="en-US" w:eastAsia="zh-CN"/>
                    </w:rPr>
                    <w:t>GB18597</w:t>
                  </w:r>
                  <w:r>
                    <w:rPr>
                      <w:rFonts w:hint="eastAsia"/>
                      <w:lang w:val="en-US" w:eastAsia="zh-CN"/>
                    </w:rPr>
                    <w:t>）。矿山生态环境保护和恢复要达到《矿山生态环境保护与恢复治理技术规范》（</w:t>
                  </w:r>
                  <w:r>
                    <w:rPr>
                      <w:rFonts w:hint="default"/>
                      <w:lang w:val="en-US" w:eastAsia="zh-CN"/>
                    </w:rPr>
                    <w:t>HJ651</w:t>
                  </w:r>
                  <w:r>
                    <w:rPr>
                      <w:rFonts w:hint="eastAsia"/>
                      <w:lang w:val="en-US" w:eastAsia="zh-CN"/>
                    </w:rPr>
                    <w:t>）及其他有关环保法律法规的相关要求。</w:t>
                  </w:r>
                </w:p>
              </w:tc>
              <w:tc>
                <w:tcPr>
                  <w:tcW w:w="1027" w:type="pct"/>
                  <w:noWrap w:val="0"/>
                  <w:vAlign w:val="center"/>
                </w:tcPr>
                <w:p w14:paraId="289ACA6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w:t>
                  </w:r>
                  <w:r>
                    <w:rPr>
                      <w:rFonts w:hint="eastAsia"/>
                      <w:kern w:val="2"/>
                      <w:sz w:val="21"/>
                      <w:szCs w:val="21"/>
                      <w:lang w:eastAsia="zh-CN" w:bidi="ar"/>
                    </w:rPr>
                    <w:t>施工期仅产生少量废水、扬尘和建筑垃圾，均采取了相应污染防治措施，运营期无污染物排放。</w:t>
                  </w:r>
                </w:p>
              </w:tc>
              <w:tc>
                <w:tcPr>
                  <w:tcW w:w="274" w:type="pct"/>
                  <w:noWrap w:val="0"/>
                  <w:vAlign w:val="center"/>
                </w:tcPr>
                <w:p w14:paraId="1ED7F9F6">
                  <w:pPr>
                    <w:pStyle w:val="4"/>
                    <w:bidi w:val="0"/>
                    <w:jc w:val="left"/>
                    <w:rPr>
                      <w:rFonts w:hint="default"/>
                      <w:lang w:eastAsia="zh-CN"/>
                    </w:rPr>
                  </w:pPr>
                  <w:r>
                    <w:rPr>
                      <w:rFonts w:hint="default"/>
                      <w:lang w:val="en-US" w:eastAsia="zh-CN"/>
                    </w:rPr>
                    <w:t>符合</w:t>
                  </w:r>
                </w:p>
              </w:tc>
            </w:tr>
            <w:tr w14:paraId="3A4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0759F046">
                  <w:pPr>
                    <w:pStyle w:val="4"/>
                    <w:bidi w:val="0"/>
                    <w:jc w:val="left"/>
                    <w:rPr>
                      <w:rFonts w:hint="default"/>
                      <w:lang w:val="en-US" w:eastAsia="zh-CN"/>
                    </w:rPr>
                  </w:pPr>
                </w:p>
              </w:tc>
              <w:tc>
                <w:tcPr>
                  <w:tcW w:w="434" w:type="pct"/>
                  <w:noWrap w:val="0"/>
                  <w:vAlign w:val="center"/>
                </w:tcPr>
                <w:p w14:paraId="0D673EFD">
                  <w:pPr>
                    <w:pStyle w:val="4"/>
                    <w:bidi w:val="0"/>
                    <w:jc w:val="left"/>
                    <w:rPr>
                      <w:rFonts w:hint="default"/>
                      <w:lang w:val="en-US" w:eastAsia="zh-CN"/>
                    </w:rPr>
                  </w:pPr>
                  <w:r>
                    <w:rPr>
                      <w:rFonts w:hint="default"/>
                      <w:lang w:val="en-US" w:eastAsia="zh-CN"/>
                    </w:rPr>
                    <w:t>环境风险防控</w:t>
                  </w:r>
                </w:p>
              </w:tc>
              <w:tc>
                <w:tcPr>
                  <w:tcW w:w="2955" w:type="pct"/>
                  <w:noWrap w:val="0"/>
                  <w:vAlign w:val="center"/>
                </w:tcPr>
                <w:p w14:paraId="7456F3D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加强对矿山、油田等矿产资源开采影响区域内未利用地的环境监管，发现土壤污染问题的，要坚决查处，并及时督促有关单位采取有效防治措施消除或减轻污染。</w:t>
                  </w:r>
                </w:p>
                <w:p w14:paraId="323D5A48">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对排查出的危库和病库以及风险评估有严重环境安全隐患的尾矿库，要求企业完善污染治理设施、进行治理和修复。全面整治历史遗留尾矿库，完善覆膜、压土、排洪、堤坝加固等隐患治理和闭库措施。</w:t>
                  </w:r>
                </w:p>
                <w:p w14:paraId="7E72590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依法推行农用地分类管理制度，强化受污染耕地安全利用和风险管控。因地制宜制定实施安全利用方案，鼓励采取种植结构调整等措施，确保受污染耕地全部实现安全利用。</w:t>
                  </w:r>
                </w:p>
                <w:p w14:paraId="4EDFBED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027" w:type="pct"/>
                  <w:noWrap w:val="0"/>
                  <w:vAlign w:val="center"/>
                </w:tcPr>
                <w:p w14:paraId="25F430C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highlight w:val="none"/>
                      <w:lang w:val="en-US" w:eastAsia="zh-CN"/>
                    </w:rPr>
                    <w:t>本项目运营期无污染物排放，施工期无废水外排；强化水土保持措施落实，严格控制施工扰动范围，做好临时堆土、开挖面的防风固沙与拦挡、苫盖、洒水等防护，防止水土流失与风蚀沙化。</w:t>
                  </w:r>
                </w:p>
              </w:tc>
              <w:tc>
                <w:tcPr>
                  <w:tcW w:w="274" w:type="pct"/>
                  <w:noWrap w:val="0"/>
                  <w:vAlign w:val="center"/>
                </w:tcPr>
                <w:p w14:paraId="3A30A010">
                  <w:pPr>
                    <w:pStyle w:val="4"/>
                    <w:bidi w:val="0"/>
                    <w:jc w:val="left"/>
                    <w:rPr>
                      <w:rFonts w:hint="default"/>
                      <w:lang w:eastAsia="zh-CN"/>
                    </w:rPr>
                  </w:pPr>
                  <w:r>
                    <w:rPr>
                      <w:rFonts w:hint="default"/>
                      <w:lang w:val="en-US" w:eastAsia="zh-CN"/>
                    </w:rPr>
                    <w:t>符合</w:t>
                  </w:r>
                </w:p>
              </w:tc>
            </w:tr>
            <w:tr w14:paraId="34A0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38C42CA0">
                  <w:pPr>
                    <w:pStyle w:val="4"/>
                    <w:bidi w:val="0"/>
                    <w:jc w:val="left"/>
                    <w:rPr>
                      <w:rFonts w:hint="default"/>
                      <w:lang w:val="en-US" w:eastAsia="zh-CN"/>
                    </w:rPr>
                  </w:pPr>
                </w:p>
              </w:tc>
              <w:tc>
                <w:tcPr>
                  <w:tcW w:w="434" w:type="pct"/>
                  <w:noWrap w:val="0"/>
                  <w:vAlign w:val="center"/>
                </w:tcPr>
                <w:p w14:paraId="4DB5D321">
                  <w:pPr>
                    <w:pStyle w:val="4"/>
                    <w:bidi w:val="0"/>
                    <w:jc w:val="left"/>
                    <w:rPr>
                      <w:rFonts w:hint="default"/>
                      <w:lang w:val="en-US" w:eastAsia="zh-CN"/>
                    </w:rPr>
                  </w:pPr>
                  <w:r>
                    <w:rPr>
                      <w:rFonts w:hint="default"/>
                      <w:lang w:val="en-US" w:eastAsia="zh-CN"/>
                    </w:rPr>
                    <w:t>资源利用效率</w:t>
                  </w:r>
                </w:p>
              </w:tc>
              <w:tc>
                <w:tcPr>
                  <w:tcW w:w="2955" w:type="pct"/>
                  <w:noWrap w:val="0"/>
                  <w:vAlign w:val="center"/>
                </w:tcPr>
                <w:p w14:paraId="144B4AB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全面推进秸秆综合利用，鼓励秸秆资源化、饲料化、肥料化利用，推动秸秆还田与离田收集。</w:t>
                  </w:r>
                </w:p>
                <w:p w14:paraId="485F3B8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减少化肥农药使用量，增加有机肥使用量，实现化肥农药使用量负增长。</w:t>
                  </w:r>
                </w:p>
                <w:p w14:paraId="7B6F9F1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推广渠道防渗、管道输水、喷灌、微灌等节水灌溉技术，完善灌溉用水计量设施。推进规模化高效节水灌溉，推广农作物节水抗旱技术。建立灌区墒情测报网络，提高农业用水效率，降低农业用水比重。</w:t>
                  </w:r>
                </w:p>
                <w:p w14:paraId="521CA52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废石综合回用、尾矿砂利用率参考《新疆维吾尔自治区重点行业环境准入条件（修订）》等相关文件要求。</w:t>
                  </w:r>
                </w:p>
              </w:tc>
              <w:tc>
                <w:tcPr>
                  <w:tcW w:w="1027" w:type="pct"/>
                  <w:noWrap w:val="0"/>
                  <w:vAlign w:val="center"/>
                </w:tcPr>
                <w:p w14:paraId="1FEED19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74" w:type="pct"/>
                  <w:noWrap w:val="0"/>
                  <w:vAlign w:val="center"/>
                </w:tcPr>
                <w:p w14:paraId="3CFEA56D">
                  <w:pPr>
                    <w:pStyle w:val="4"/>
                    <w:bidi w:val="0"/>
                    <w:jc w:val="left"/>
                    <w:rPr>
                      <w:rFonts w:hint="default"/>
                      <w:lang w:eastAsia="zh-CN"/>
                    </w:rPr>
                  </w:pPr>
                  <w:r>
                    <w:rPr>
                      <w:rFonts w:hint="default"/>
                      <w:lang w:val="en-US" w:eastAsia="zh-CN"/>
                    </w:rPr>
                    <w:t>符合</w:t>
                  </w:r>
                </w:p>
              </w:tc>
            </w:tr>
          </w:tbl>
          <w:p w14:paraId="02D9CEAD">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rPr>
            </w:pPr>
            <w:r>
              <w:rPr>
                <w:rFonts w:hint="eastAsia" w:ascii="Times New Roman" w:hAnsi="Times New Roman"/>
                <w:b/>
                <w:kern w:val="2"/>
                <w:szCs w:val="24"/>
                <w:lang w:val="en-US" w:eastAsia="zh-CN" w:bidi="ar"/>
              </w:rPr>
              <w:t>3</w:t>
            </w:r>
            <w:r>
              <w:rPr>
                <w:rFonts w:ascii="Times New Roman" w:hAnsi="Times New Roman"/>
                <w:b/>
                <w:kern w:val="2"/>
                <w:szCs w:val="24"/>
                <w:lang w:bidi="ar"/>
              </w:rPr>
              <w:t>与《新疆维吾尔自治区环境保护条例》的符合性分析</w:t>
            </w:r>
          </w:p>
          <w:p w14:paraId="7EC90A52">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rPr>
            </w:pPr>
            <w:r>
              <w:rPr>
                <w:rFonts w:ascii="Times New Roman" w:hAnsi="Times New Roman"/>
                <w:b/>
                <w:kern w:val="2"/>
                <w:szCs w:val="24"/>
                <w:lang w:bidi="ar"/>
              </w:rPr>
              <w:t>表1-</w:t>
            </w:r>
            <w:r>
              <w:rPr>
                <w:rFonts w:hint="eastAsia" w:ascii="Times New Roman" w:hAnsi="Times New Roman"/>
                <w:b/>
                <w:kern w:val="2"/>
                <w:szCs w:val="24"/>
                <w:lang w:val="en-US" w:eastAsia="zh-CN" w:bidi="ar"/>
              </w:rPr>
              <w:t xml:space="preserve">4  </w:t>
            </w:r>
            <w:r>
              <w:rPr>
                <w:rFonts w:ascii="Times New Roman" w:hAnsi="Times New Roman"/>
                <w:b/>
                <w:kern w:val="2"/>
                <w:szCs w:val="24"/>
                <w:lang w:bidi="ar"/>
              </w:rPr>
              <w:t xml:space="preserve"> 与《新疆维吾尔自治区环境保护条例》相关内容的符合性分析</w:t>
            </w:r>
          </w:p>
          <w:tbl>
            <w:tblPr>
              <w:tblStyle w:val="23"/>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4836"/>
              <w:gridCol w:w="1882"/>
              <w:gridCol w:w="477"/>
            </w:tblGrid>
            <w:tr w14:paraId="1A0B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03" w:type="dxa"/>
                  <w:gridSpan w:val="2"/>
                  <w:tcBorders>
                    <w:tl2br w:val="nil"/>
                    <w:tr2bl w:val="nil"/>
                  </w:tcBorders>
                  <w:noWrap w:val="0"/>
                  <w:vAlign w:val="center"/>
                </w:tcPr>
                <w:p w14:paraId="7F9E3609">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相关条款要求</w:t>
                  </w:r>
                </w:p>
              </w:tc>
              <w:tc>
                <w:tcPr>
                  <w:tcW w:w="1882" w:type="dxa"/>
                  <w:tcBorders>
                    <w:tl2br w:val="nil"/>
                    <w:tr2bl w:val="nil"/>
                  </w:tcBorders>
                  <w:noWrap w:val="0"/>
                  <w:vAlign w:val="center"/>
                </w:tcPr>
                <w:p w14:paraId="41639E30">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本项目</w:t>
                  </w:r>
                </w:p>
              </w:tc>
              <w:tc>
                <w:tcPr>
                  <w:tcW w:w="477" w:type="dxa"/>
                  <w:tcBorders>
                    <w:tl2br w:val="nil"/>
                    <w:tr2bl w:val="nil"/>
                  </w:tcBorders>
                  <w:noWrap w:val="0"/>
                  <w:vAlign w:val="center"/>
                </w:tcPr>
                <w:p w14:paraId="0EEAEB2E">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符合性</w:t>
                  </w:r>
                </w:p>
              </w:tc>
            </w:tr>
            <w:tr w14:paraId="5374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59BA7D10">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第二十</w:t>
                  </w:r>
                  <w:r>
                    <w:rPr>
                      <w:rFonts w:hint="eastAsia" w:ascii="Times New Roman" w:hAnsi="Times New Roman" w:eastAsia="宋体" w:cs="Times New Roman"/>
                      <w:kern w:val="2"/>
                      <w:sz w:val="21"/>
                      <w:szCs w:val="21"/>
                      <w:lang w:val="en-US" w:eastAsia="zh-CN" w:bidi="ar-SA"/>
                    </w:rPr>
                    <w:t>一</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522BEFB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Arial" w:hAnsi="Arial" w:eastAsia="宋体" w:cs="Arial"/>
                      <w:i w:val="0"/>
                      <w:iCs w:val="0"/>
                      <w:caps w:val="0"/>
                      <w:color w:val="333333"/>
                      <w:spacing w:val="0"/>
                      <w:sz w:val="21"/>
                      <w:szCs w:val="21"/>
                      <w:shd w:val="clear" w:fill="FFFFFF"/>
                    </w:rPr>
                    <w:t>建设对</w:t>
                  </w:r>
                  <w:r>
                    <w:rPr>
                      <w:rFonts w:ascii="Times New Roman" w:hAnsi="Times New Roman" w:eastAsia="宋体" w:cs="Times New Roman"/>
                      <w:bCs/>
                      <w:sz w:val="21"/>
                      <w:szCs w:val="21"/>
                      <w:lang w:bidi="ar"/>
                    </w:rPr>
                    <w:t>环境有影响的项目，应当依法进行环境影响评价。建设单位应当在开工建设前向有审批权的环境保护主管部门报批建设项目环境影响评价报告书、报告表。</w:t>
                  </w:r>
                </w:p>
              </w:tc>
              <w:tc>
                <w:tcPr>
                  <w:tcW w:w="1882" w:type="dxa"/>
                  <w:tcBorders>
                    <w:tl2br w:val="nil"/>
                    <w:tr2bl w:val="nil"/>
                  </w:tcBorders>
                  <w:noWrap w:val="0"/>
                  <w:vAlign w:val="center"/>
                </w:tcPr>
                <w:p w14:paraId="10BF13F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w:t>
                  </w:r>
                  <w:r>
                    <w:rPr>
                      <w:rFonts w:hint="eastAsia"/>
                      <w:bCs/>
                      <w:sz w:val="21"/>
                      <w:szCs w:val="21"/>
                      <w:lang w:val="en-US" w:eastAsia="zh-CN" w:bidi="ar"/>
                    </w:rPr>
                    <w:t>依法开展生态</w:t>
                  </w:r>
                  <w:r>
                    <w:rPr>
                      <w:rFonts w:ascii="Times New Roman" w:hAnsi="Times New Roman" w:eastAsia="宋体" w:cs="Times New Roman"/>
                      <w:bCs/>
                      <w:sz w:val="21"/>
                      <w:szCs w:val="21"/>
                      <w:lang w:bidi="ar"/>
                    </w:rPr>
                    <w:t>环境影响评价</w:t>
                  </w:r>
                  <w:r>
                    <w:rPr>
                      <w:rFonts w:hint="eastAsia" w:ascii="Times New Roman" w:hAnsi="Times New Roman" w:eastAsia="宋体" w:cs="Times New Roman"/>
                      <w:bCs/>
                      <w:sz w:val="21"/>
                      <w:szCs w:val="21"/>
                      <w:lang w:val="en-US" w:eastAsia="zh-CN" w:bidi="ar"/>
                    </w:rPr>
                    <w:t>工作</w:t>
                  </w:r>
                  <w:r>
                    <w:rPr>
                      <w:bCs/>
                      <w:sz w:val="21"/>
                      <w:szCs w:val="21"/>
                      <w:lang w:bidi="ar"/>
                    </w:rPr>
                    <w:t>。</w:t>
                  </w:r>
                </w:p>
              </w:tc>
              <w:tc>
                <w:tcPr>
                  <w:tcW w:w="477" w:type="dxa"/>
                  <w:tcBorders>
                    <w:tl2br w:val="nil"/>
                    <w:tr2bl w:val="nil"/>
                  </w:tcBorders>
                  <w:noWrap w:val="0"/>
                  <w:vAlign w:val="center"/>
                </w:tcPr>
                <w:p w14:paraId="001DCDD0">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4122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50F29ABC">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w:t>
                  </w:r>
                  <w:r>
                    <w:rPr>
                      <w:rFonts w:hint="eastAsia" w:ascii="Times New Roman" w:hAnsi="Times New Roman" w:eastAsia="宋体" w:cs="Times New Roman"/>
                      <w:kern w:val="2"/>
                      <w:sz w:val="21"/>
                      <w:szCs w:val="21"/>
                      <w:lang w:val="en-US" w:eastAsia="zh-CN" w:bidi="ar-SA"/>
                    </w:rPr>
                    <w:t>二十九</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2807630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各级人民政府应当优先保护饮用水水源，加强重点流域、区域、近岸水域水污染防治和湖泊生态环境保护，严格控制缺水地区、水污染严重区域和敏感区域高耗水、高污染行业发展，改善水环境质量。</w:t>
                  </w:r>
                </w:p>
              </w:tc>
              <w:tc>
                <w:tcPr>
                  <w:tcW w:w="1882" w:type="dxa"/>
                  <w:tcBorders>
                    <w:tl2br w:val="nil"/>
                    <w:tr2bl w:val="nil"/>
                  </w:tcBorders>
                  <w:noWrap w:val="0"/>
                  <w:vAlign w:val="center"/>
                </w:tcPr>
                <w:p w14:paraId="2A9A69B6">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sz w:val="21"/>
                      <w:szCs w:val="21"/>
                      <w:lang w:bidi="ar"/>
                    </w:rPr>
                    <w:t>本项目</w:t>
                  </w:r>
                  <w:r>
                    <w:rPr>
                      <w:rFonts w:hint="eastAsia"/>
                      <w:sz w:val="21"/>
                      <w:szCs w:val="21"/>
                      <w:lang w:eastAsia="zh-CN" w:bidi="ar"/>
                    </w:rPr>
                    <w:t>属于新建防渗渠项目，可有效减少灌溉过程中的水资源渗漏浪费，提高区域农业用水效率</w:t>
                  </w:r>
                  <w:r>
                    <w:rPr>
                      <w:rFonts w:hint="eastAsia"/>
                      <w:sz w:val="21"/>
                      <w:szCs w:val="21"/>
                      <w:lang w:bidi="ar"/>
                    </w:rPr>
                    <w:t>。</w:t>
                  </w:r>
                </w:p>
              </w:tc>
              <w:tc>
                <w:tcPr>
                  <w:tcW w:w="477" w:type="dxa"/>
                  <w:tcBorders>
                    <w:tl2br w:val="nil"/>
                    <w:tr2bl w:val="nil"/>
                  </w:tcBorders>
                  <w:noWrap w:val="0"/>
                  <w:vAlign w:val="center"/>
                </w:tcPr>
                <w:p w14:paraId="1F742A40">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1191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29C38488">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第四十二条</w:t>
                  </w:r>
                </w:p>
              </w:tc>
              <w:tc>
                <w:tcPr>
                  <w:tcW w:w="4836" w:type="dxa"/>
                  <w:tcBorders>
                    <w:tl2br w:val="nil"/>
                    <w:tr2bl w:val="nil"/>
                  </w:tcBorders>
                  <w:noWrap w:val="0"/>
                  <w:vAlign w:val="center"/>
                </w:tcPr>
                <w:p w14:paraId="4049DA6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val="en-US" w:eastAsia="zh-CN" w:bidi="ar"/>
                    </w:rPr>
                    <w:t>自治区人民政府环境保护主管部门应当会同有关部门，根据国家下达的重点污染物排放总量控制指标和区域环境质量改善要求，分解落实自治区重点污染物排放总量控制指标和环境质量目标，报经自治区人民政府批准后，逐级下达执行。</w:t>
                  </w:r>
                </w:p>
                <w:p w14:paraId="07A36BE9">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eastAsia" w:ascii="Times New Roman" w:hAnsi="Times New Roman" w:eastAsia="宋体" w:cs="Times New Roman"/>
                      <w:bCs/>
                      <w:sz w:val="21"/>
                      <w:szCs w:val="21"/>
                      <w:lang w:val="en-US" w:eastAsia="zh-CN" w:bidi="ar"/>
                    </w:rPr>
                    <w:t>县级以上人民政府环境保护主管部门应当定期公布本行政区域内超过重点污染物排放总量控制指标、未完成重点污染物减排指标的单位名单。</w:t>
                  </w:r>
                </w:p>
              </w:tc>
              <w:tc>
                <w:tcPr>
                  <w:tcW w:w="1882" w:type="dxa"/>
                  <w:tcBorders>
                    <w:tl2br w:val="nil"/>
                    <w:tr2bl w:val="nil"/>
                  </w:tcBorders>
                  <w:noWrap w:val="0"/>
                  <w:vAlign w:val="center"/>
                </w:tcPr>
                <w:p w14:paraId="06F99E8E">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eastAsia="宋体"/>
                      <w:bCs/>
                      <w:sz w:val="21"/>
                      <w:szCs w:val="21"/>
                      <w:lang w:eastAsia="zh-CN"/>
                    </w:rPr>
                  </w:pPr>
                  <w:r>
                    <w:rPr>
                      <w:bCs/>
                      <w:sz w:val="21"/>
                      <w:szCs w:val="21"/>
                      <w:lang w:bidi="ar"/>
                    </w:rPr>
                    <w:t>本项目不涉及总量控制指标</w:t>
                  </w:r>
                  <w:r>
                    <w:rPr>
                      <w:rFonts w:hint="eastAsia"/>
                      <w:bCs/>
                      <w:sz w:val="21"/>
                      <w:szCs w:val="21"/>
                      <w:lang w:eastAsia="zh-CN" w:bidi="ar"/>
                    </w:rPr>
                    <w:t>。</w:t>
                  </w:r>
                </w:p>
              </w:tc>
              <w:tc>
                <w:tcPr>
                  <w:tcW w:w="477" w:type="dxa"/>
                  <w:tcBorders>
                    <w:tl2br w:val="nil"/>
                    <w:tr2bl w:val="nil"/>
                  </w:tcBorders>
                  <w:noWrap w:val="0"/>
                  <w:vAlign w:val="center"/>
                </w:tcPr>
                <w:p w14:paraId="4334114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1F3D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2A8615C9">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第四十三条</w:t>
                  </w:r>
                </w:p>
              </w:tc>
              <w:tc>
                <w:tcPr>
                  <w:tcW w:w="4836" w:type="dxa"/>
                  <w:tcBorders>
                    <w:tl2br w:val="nil"/>
                    <w:tr2bl w:val="nil"/>
                  </w:tcBorders>
                  <w:noWrap w:val="0"/>
                  <w:vAlign w:val="center"/>
                </w:tcPr>
                <w:p w14:paraId="5FFAF26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排放污染物的企业事业单位和其他生产经营者应当依法取得排污许可证。</w:t>
                  </w:r>
                </w:p>
                <w:p w14:paraId="69F3DE35">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排放污染物应当符合国家或者自治区规定的污染物排放标准和重点污染物总量控制指标。</w:t>
                  </w:r>
                </w:p>
              </w:tc>
              <w:tc>
                <w:tcPr>
                  <w:tcW w:w="1882" w:type="dxa"/>
                  <w:tcBorders>
                    <w:tl2br w:val="nil"/>
                    <w:tr2bl w:val="nil"/>
                  </w:tcBorders>
                  <w:noWrap w:val="0"/>
                  <w:vAlign w:val="center"/>
                </w:tcPr>
                <w:p w14:paraId="1F4712A6">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本项目为</w:t>
                  </w:r>
                  <w:r>
                    <w:rPr>
                      <w:rFonts w:hint="eastAsia"/>
                      <w:bCs/>
                      <w:sz w:val="21"/>
                      <w:szCs w:val="21"/>
                      <w:lang w:val="en-US" w:eastAsia="zh-CN" w:bidi="ar"/>
                    </w:rPr>
                    <w:t>防渗渠建设</w:t>
                  </w:r>
                  <w:r>
                    <w:rPr>
                      <w:bCs/>
                      <w:sz w:val="21"/>
                      <w:szCs w:val="21"/>
                      <w:lang w:bidi="ar"/>
                    </w:rPr>
                    <w:t>项目，运营期不排放污染物。</w:t>
                  </w:r>
                </w:p>
              </w:tc>
              <w:tc>
                <w:tcPr>
                  <w:tcW w:w="477" w:type="dxa"/>
                  <w:tcBorders>
                    <w:tl2br w:val="nil"/>
                    <w:tr2bl w:val="nil"/>
                  </w:tcBorders>
                  <w:noWrap w:val="0"/>
                  <w:vAlign w:val="center"/>
                </w:tcPr>
                <w:p w14:paraId="3949BCF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4823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shd w:val="clear" w:color="auto" w:fill="auto"/>
                  <w:noWrap w:val="0"/>
                  <w:vAlign w:val="center"/>
                </w:tcPr>
                <w:p w14:paraId="3EDEC03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第四十九条</w:t>
                  </w:r>
                </w:p>
              </w:tc>
              <w:tc>
                <w:tcPr>
                  <w:tcW w:w="4836" w:type="dxa"/>
                  <w:tcBorders>
                    <w:tl2br w:val="nil"/>
                    <w:tr2bl w:val="nil"/>
                  </w:tcBorders>
                  <w:shd w:val="clear" w:color="auto" w:fill="auto"/>
                  <w:noWrap w:val="0"/>
                  <w:vAlign w:val="center"/>
                </w:tcPr>
                <w:p w14:paraId="414C0DFE">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在城市居民区、医院等区域，夜间不得进行产生噪声污染的施工作业</w:t>
                  </w:r>
                  <w:r>
                    <w:rPr>
                      <w:rFonts w:hint="eastAsia" w:ascii="Times New Roman" w:hAnsi="Times New Roman" w:eastAsia="宋体" w:cs="Times New Roman"/>
                      <w:bCs/>
                      <w:sz w:val="21"/>
                      <w:szCs w:val="21"/>
                      <w:lang w:eastAsia="zh-CN" w:bidi="ar"/>
                    </w:rPr>
                    <w:t>；</w:t>
                  </w:r>
                  <w:r>
                    <w:rPr>
                      <w:rFonts w:hint="default" w:ascii="Times New Roman" w:hAnsi="Times New Roman" w:eastAsia="宋体" w:cs="Times New Roman"/>
                      <w:bCs/>
                      <w:sz w:val="21"/>
                      <w:szCs w:val="21"/>
                      <w:lang w:bidi="ar"/>
                    </w:rPr>
                    <w:t>因抢险、抢修作业等特殊需要或者生产工艺要求必须连续作业的，应当报经所在地县、市、区人民政府环境保护主管部门批准，并在施工作业产生噪声污染的范围内予以公告。</w:t>
                  </w:r>
                </w:p>
                <w:p w14:paraId="15534408">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val="en-US" w:eastAsia="zh-CN" w:bidi="ar"/>
                    </w:rPr>
                  </w:pPr>
                  <w:r>
                    <w:rPr>
                      <w:rFonts w:hint="default" w:ascii="Times New Roman" w:hAnsi="Times New Roman" w:eastAsia="宋体" w:cs="Times New Roman"/>
                      <w:bCs/>
                      <w:sz w:val="21"/>
                      <w:szCs w:val="21"/>
                      <w:lang w:bidi="ar"/>
                    </w:rPr>
                    <w:t>中考、高考期间，在居民区和考点周围不得从事产生或者可能产生噪声污染的活动。</w:t>
                  </w:r>
                </w:p>
              </w:tc>
              <w:tc>
                <w:tcPr>
                  <w:tcW w:w="1882" w:type="dxa"/>
                  <w:tcBorders>
                    <w:tl2br w:val="nil"/>
                    <w:tr2bl w:val="nil"/>
                  </w:tcBorders>
                  <w:shd w:val="clear" w:color="auto" w:fill="auto"/>
                  <w:noWrap w:val="0"/>
                  <w:vAlign w:val="center"/>
                </w:tcPr>
                <w:p w14:paraId="48C9C52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ascii="Times New Roman" w:hAnsi="Times New Roman" w:eastAsia="宋体" w:cs="Times New Roman"/>
                      <w:bCs/>
                      <w:kern w:val="2"/>
                      <w:sz w:val="21"/>
                      <w:szCs w:val="21"/>
                      <w:lang w:val="en-US" w:eastAsia="zh-CN" w:bidi="ar-SA"/>
                    </w:rPr>
                  </w:pPr>
                  <w:r>
                    <w:rPr>
                      <w:bCs/>
                      <w:sz w:val="21"/>
                      <w:szCs w:val="21"/>
                      <w:lang w:bidi="ar"/>
                    </w:rPr>
                    <w:t>本项目夜间不施工</w:t>
                  </w:r>
                  <w:r>
                    <w:rPr>
                      <w:rFonts w:hint="eastAsia"/>
                      <w:bCs/>
                      <w:sz w:val="21"/>
                      <w:szCs w:val="21"/>
                      <w:lang w:eastAsia="zh-CN" w:bidi="ar"/>
                    </w:rPr>
                    <w:t>。</w:t>
                  </w:r>
                </w:p>
              </w:tc>
              <w:tc>
                <w:tcPr>
                  <w:tcW w:w="477" w:type="dxa"/>
                  <w:tcBorders>
                    <w:tl2br w:val="nil"/>
                    <w:tr2bl w:val="nil"/>
                  </w:tcBorders>
                  <w:shd w:val="clear" w:color="auto" w:fill="auto"/>
                  <w:noWrap w:val="0"/>
                  <w:vAlign w:val="center"/>
                </w:tcPr>
                <w:p w14:paraId="3BC43B9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ascii="Times New Roman" w:hAnsi="Times New Roman" w:eastAsia="宋体" w:cs="Times New Roman"/>
                      <w:bCs/>
                      <w:kern w:val="2"/>
                      <w:sz w:val="21"/>
                      <w:szCs w:val="21"/>
                      <w:lang w:val="en-US" w:eastAsia="zh-CN" w:bidi="ar-SA"/>
                    </w:rPr>
                  </w:pPr>
                  <w:r>
                    <w:rPr>
                      <w:bCs/>
                      <w:sz w:val="21"/>
                      <w:szCs w:val="21"/>
                      <w:lang w:bidi="ar"/>
                    </w:rPr>
                    <w:t>符合</w:t>
                  </w:r>
                </w:p>
              </w:tc>
            </w:tr>
          </w:tbl>
          <w:p w14:paraId="78BF1E0E">
            <w:pPr>
              <w:pStyle w:val="49"/>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sz w:val="24"/>
                <w:lang w:val="en-US"/>
              </w:rPr>
            </w:pPr>
            <w:r>
              <w:rPr>
                <w:rFonts w:hint="eastAsia" w:ascii="Times New Roman" w:hAnsi="Times New Roman" w:cs="Times New Roman"/>
                <w:b/>
                <w:bCs/>
                <w:sz w:val="24"/>
                <w:lang w:val="en-US" w:eastAsia="zh-CN"/>
              </w:rPr>
              <w:t>4</w:t>
            </w:r>
            <w:r>
              <w:rPr>
                <w:rFonts w:hint="default" w:ascii="Times New Roman" w:hAnsi="Times New Roman" w:cs="Times New Roman"/>
                <w:b/>
                <w:bCs/>
                <w:sz w:val="24"/>
                <w:lang w:val="en-US"/>
              </w:rPr>
              <w:t>与《新疆维吾尔自治区大气污染防治条例》的符合性分析</w:t>
            </w:r>
          </w:p>
          <w:p w14:paraId="6528F0B3">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lang w:bidi="ar"/>
              </w:rPr>
            </w:pPr>
            <w:r>
              <w:rPr>
                <w:rFonts w:ascii="Times New Roman" w:hAnsi="Times New Roman"/>
                <w:b/>
                <w:kern w:val="2"/>
                <w:szCs w:val="24"/>
                <w:lang w:bidi="ar"/>
              </w:rPr>
              <w:t>表1-</w:t>
            </w:r>
            <w:r>
              <w:rPr>
                <w:rFonts w:hint="eastAsia" w:ascii="Times New Roman" w:hAnsi="Times New Roman"/>
                <w:b/>
                <w:kern w:val="2"/>
                <w:szCs w:val="24"/>
                <w:lang w:val="en-US" w:eastAsia="zh-CN" w:bidi="ar"/>
              </w:rPr>
              <w:t>5</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与《新疆维吾尔自治区大气污染防治条例》相关内容的符合性分析</w:t>
            </w:r>
          </w:p>
          <w:tbl>
            <w:tblPr>
              <w:tblStyle w:val="23"/>
              <w:tblW w:w="7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5056"/>
              <w:gridCol w:w="1664"/>
              <w:gridCol w:w="706"/>
            </w:tblGrid>
            <w:tr w14:paraId="630E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5505" w:type="dxa"/>
                  <w:gridSpan w:val="2"/>
                  <w:tcBorders>
                    <w:tl2br w:val="nil"/>
                    <w:tr2bl w:val="nil"/>
                  </w:tcBorders>
                  <w:noWrap w:val="0"/>
                  <w:vAlign w:val="center"/>
                </w:tcPr>
                <w:p w14:paraId="1DE92261">
                  <w:pPr>
                    <w:widowControl/>
                    <w:jc w:val="center"/>
                    <w:rPr>
                      <w:b/>
                      <w:sz w:val="21"/>
                      <w:szCs w:val="21"/>
                    </w:rPr>
                  </w:pPr>
                  <w:r>
                    <w:rPr>
                      <w:b/>
                      <w:kern w:val="0"/>
                      <w:sz w:val="21"/>
                      <w:szCs w:val="21"/>
                      <w:lang w:bidi="ar"/>
                    </w:rPr>
                    <w:t>相关条款要求</w:t>
                  </w:r>
                </w:p>
              </w:tc>
              <w:tc>
                <w:tcPr>
                  <w:tcW w:w="1664" w:type="dxa"/>
                  <w:tcBorders>
                    <w:tl2br w:val="nil"/>
                    <w:tr2bl w:val="nil"/>
                  </w:tcBorders>
                  <w:noWrap w:val="0"/>
                  <w:vAlign w:val="center"/>
                </w:tcPr>
                <w:p w14:paraId="3C9A8E2A">
                  <w:pPr>
                    <w:widowControl/>
                    <w:jc w:val="center"/>
                    <w:rPr>
                      <w:b/>
                      <w:sz w:val="21"/>
                      <w:szCs w:val="21"/>
                    </w:rPr>
                  </w:pPr>
                  <w:r>
                    <w:rPr>
                      <w:b/>
                      <w:kern w:val="0"/>
                      <w:sz w:val="21"/>
                      <w:szCs w:val="21"/>
                      <w:lang w:bidi="ar"/>
                    </w:rPr>
                    <w:t>本项目</w:t>
                  </w:r>
                </w:p>
              </w:tc>
              <w:tc>
                <w:tcPr>
                  <w:tcW w:w="706" w:type="dxa"/>
                  <w:tcBorders>
                    <w:tl2br w:val="nil"/>
                    <w:tr2bl w:val="nil"/>
                  </w:tcBorders>
                  <w:noWrap w:val="0"/>
                  <w:vAlign w:val="center"/>
                </w:tcPr>
                <w:p w14:paraId="15370FD4">
                  <w:pPr>
                    <w:widowControl/>
                    <w:jc w:val="center"/>
                    <w:rPr>
                      <w:b/>
                      <w:sz w:val="21"/>
                      <w:szCs w:val="21"/>
                    </w:rPr>
                  </w:pPr>
                  <w:r>
                    <w:rPr>
                      <w:b/>
                      <w:kern w:val="0"/>
                      <w:sz w:val="21"/>
                      <w:szCs w:val="21"/>
                      <w:lang w:bidi="ar"/>
                    </w:rPr>
                    <w:t>符合性</w:t>
                  </w:r>
                </w:p>
              </w:tc>
            </w:tr>
            <w:tr w14:paraId="4CE8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4E548BA9">
                  <w:pPr>
                    <w:autoSpaceDE w:val="0"/>
                    <w:autoSpaceDN w:val="0"/>
                    <w:adjustRightInd w:val="0"/>
                    <w:snapToGrid w:val="0"/>
                    <w:jc w:val="left"/>
                    <w:rPr>
                      <w:bCs/>
                      <w:sz w:val="21"/>
                      <w:szCs w:val="21"/>
                    </w:rPr>
                  </w:pPr>
                  <w:r>
                    <w:rPr>
                      <w:bCs/>
                      <w:sz w:val="21"/>
                      <w:szCs w:val="21"/>
                      <w:lang w:bidi="ar"/>
                    </w:rPr>
                    <w:t>第十三条</w:t>
                  </w:r>
                </w:p>
              </w:tc>
              <w:tc>
                <w:tcPr>
                  <w:tcW w:w="5056" w:type="dxa"/>
                  <w:tcBorders>
                    <w:tl2br w:val="nil"/>
                    <w:tr2bl w:val="nil"/>
                  </w:tcBorders>
                  <w:noWrap w:val="0"/>
                  <w:vAlign w:val="center"/>
                </w:tcPr>
                <w:p w14:paraId="5809367D">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自治区对重点大气污染物排放实行总量控制制度。</w:t>
                  </w:r>
                </w:p>
                <w:p w14:paraId="0A9538E0">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自治区人民政府按照国家规定，控制或者削减自治区的重点大气污染物排放总量。</w:t>
                  </w:r>
                </w:p>
                <w:p w14:paraId="6F572093">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自治区人民政府可以根据大气环境质量状况和大气污染防治工作需要，对国家重点大气污染物之外的其他大气污染物排放实行总量控制或者削减。</w:t>
                  </w:r>
                </w:p>
              </w:tc>
              <w:tc>
                <w:tcPr>
                  <w:tcW w:w="1664" w:type="dxa"/>
                  <w:vMerge w:val="restart"/>
                  <w:tcBorders>
                    <w:tl2br w:val="nil"/>
                    <w:tr2bl w:val="nil"/>
                  </w:tcBorders>
                  <w:noWrap w:val="0"/>
                  <w:vAlign w:val="center"/>
                </w:tcPr>
                <w:p w14:paraId="4B77DF2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本项目为</w:t>
                  </w:r>
                  <w:r>
                    <w:rPr>
                      <w:rFonts w:hint="eastAsia" w:ascii="Times New Roman" w:hAnsi="Times New Roman" w:eastAsia="宋体" w:cs="Times New Roman"/>
                      <w:bCs/>
                      <w:sz w:val="21"/>
                      <w:szCs w:val="21"/>
                      <w:lang w:val="en-US" w:eastAsia="zh-CN" w:bidi="ar"/>
                    </w:rPr>
                    <w:t>防渗渠</w:t>
                  </w:r>
                  <w:r>
                    <w:rPr>
                      <w:rFonts w:ascii="Times New Roman" w:hAnsi="Times New Roman" w:eastAsia="宋体" w:cs="Times New Roman"/>
                      <w:bCs/>
                      <w:sz w:val="21"/>
                      <w:szCs w:val="21"/>
                      <w:lang w:bidi="ar"/>
                    </w:rPr>
                    <w:t>建设项目，运营期不涉及重点大气污染物排放。</w:t>
                  </w:r>
                </w:p>
              </w:tc>
              <w:tc>
                <w:tcPr>
                  <w:tcW w:w="706" w:type="dxa"/>
                  <w:tcBorders>
                    <w:tl2br w:val="nil"/>
                    <w:tr2bl w:val="nil"/>
                  </w:tcBorders>
                  <w:noWrap w:val="0"/>
                  <w:vAlign w:val="center"/>
                </w:tcPr>
                <w:p w14:paraId="298323ED">
                  <w:pPr>
                    <w:autoSpaceDE w:val="0"/>
                    <w:autoSpaceDN w:val="0"/>
                    <w:adjustRightInd w:val="0"/>
                    <w:snapToGrid w:val="0"/>
                    <w:jc w:val="left"/>
                    <w:rPr>
                      <w:bCs/>
                      <w:sz w:val="21"/>
                      <w:szCs w:val="21"/>
                    </w:rPr>
                  </w:pPr>
                  <w:r>
                    <w:rPr>
                      <w:bCs/>
                      <w:sz w:val="21"/>
                      <w:szCs w:val="21"/>
                      <w:lang w:bidi="ar"/>
                    </w:rPr>
                    <w:t>符合</w:t>
                  </w:r>
                </w:p>
              </w:tc>
            </w:tr>
            <w:tr w14:paraId="40CD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51FB524D">
                  <w:pPr>
                    <w:autoSpaceDE w:val="0"/>
                    <w:autoSpaceDN w:val="0"/>
                    <w:adjustRightInd w:val="0"/>
                    <w:snapToGrid w:val="0"/>
                    <w:jc w:val="left"/>
                    <w:rPr>
                      <w:bCs/>
                      <w:sz w:val="21"/>
                      <w:szCs w:val="21"/>
                    </w:rPr>
                  </w:pPr>
                  <w:r>
                    <w:rPr>
                      <w:bCs/>
                      <w:sz w:val="21"/>
                      <w:szCs w:val="21"/>
                      <w:lang w:bidi="ar"/>
                    </w:rPr>
                    <w:t>第十六条</w:t>
                  </w:r>
                </w:p>
              </w:tc>
              <w:tc>
                <w:tcPr>
                  <w:tcW w:w="5056" w:type="dxa"/>
                  <w:tcBorders>
                    <w:tl2br w:val="nil"/>
                    <w:tr2bl w:val="nil"/>
                  </w:tcBorders>
                  <w:noWrap w:val="0"/>
                  <w:vAlign w:val="center"/>
                </w:tcPr>
                <w:p w14:paraId="0CCCAA32">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自治区对大气污染物实行排污许可管理制度。</w:t>
                  </w:r>
                </w:p>
                <w:p w14:paraId="21EE3EE5">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向大气排放工业废气或者排放国家规定的有毒有害大气污染物的企业事业单位、集中供热设施的燃煤热源生产运营单位，以及其他依法实行排污许可管理的单位，应当依法取得排污许可证。</w:t>
                  </w:r>
                </w:p>
                <w:p w14:paraId="63E0C078">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向大气排放污染物的排污单位，应当按照国家和自治区的规定，设置大气污染物排放口，并明确其标志。</w:t>
                  </w:r>
                </w:p>
              </w:tc>
              <w:tc>
                <w:tcPr>
                  <w:tcW w:w="1664" w:type="dxa"/>
                  <w:vMerge w:val="continue"/>
                  <w:tcBorders>
                    <w:tl2br w:val="nil"/>
                    <w:tr2bl w:val="nil"/>
                  </w:tcBorders>
                  <w:noWrap w:val="0"/>
                  <w:vAlign w:val="center"/>
                </w:tcPr>
                <w:p w14:paraId="29E11517">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p>
              </w:tc>
              <w:tc>
                <w:tcPr>
                  <w:tcW w:w="706" w:type="dxa"/>
                  <w:tcBorders>
                    <w:tl2br w:val="nil"/>
                    <w:tr2bl w:val="nil"/>
                  </w:tcBorders>
                  <w:noWrap w:val="0"/>
                  <w:vAlign w:val="center"/>
                </w:tcPr>
                <w:p w14:paraId="7B36C11C">
                  <w:pPr>
                    <w:autoSpaceDE w:val="0"/>
                    <w:autoSpaceDN w:val="0"/>
                    <w:adjustRightInd w:val="0"/>
                    <w:snapToGrid w:val="0"/>
                    <w:jc w:val="left"/>
                    <w:rPr>
                      <w:bCs/>
                      <w:sz w:val="21"/>
                      <w:szCs w:val="21"/>
                    </w:rPr>
                  </w:pPr>
                  <w:r>
                    <w:rPr>
                      <w:bCs/>
                      <w:sz w:val="21"/>
                      <w:szCs w:val="21"/>
                      <w:lang w:bidi="ar"/>
                    </w:rPr>
                    <w:t>符合</w:t>
                  </w:r>
                </w:p>
              </w:tc>
            </w:tr>
            <w:tr w14:paraId="1F3C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5937B415">
                  <w:pPr>
                    <w:autoSpaceDE w:val="0"/>
                    <w:autoSpaceDN w:val="0"/>
                    <w:adjustRightInd w:val="0"/>
                    <w:snapToGrid w:val="0"/>
                    <w:jc w:val="left"/>
                    <w:rPr>
                      <w:bCs/>
                      <w:sz w:val="21"/>
                      <w:szCs w:val="21"/>
                    </w:rPr>
                  </w:pPr>
                  <w:r>
                    <w:rPr>
                      <w:bCs/>
                      <w:sz w:val="21"/>
                      <w:szCs w:val="21"/>
                      <w:lang w:bidi="ar"/>
                    </w:rPr>
                    <w:t>第三十七条</w:t>
                  </w:r>
                </w:p>
              </w:tc>
              <w:tc>
                <w:tcPr>
                  <w:tcW w:w="5056" w:type="dxa"/>
                  <w:tcBorders>
                    <w:tl2br w:val="nil"/>
                    <w:tr2bl w:val="nil"/>
                  </w:tcBorders>
                  <w:noWrap w:val="0"/>
                  <w:vAlign w:val="center"/>
                </w:tcPr>
                <w:p w14:paraId="71E07286">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各级人民政府应当加强对建设施工、矿产资源开采、物料运输的扬尘和沙尘污染的治理，保持道路清洁、控制料堆和渣土堆放，科学合理扩大绿地、水面、湿地、地面铺装和防风固沙绿化面积，防治扬尘污染。</w:t>
                  </w:r>
                </w:p>
              </w:tc>
              <w:tc>
                <w:tcPr>
                  <w:tcW w:w="1664" w:type="dxa"/>
                  <w:tcBorders>
                    <w:tl2br w:val="nil"/>
                    <w:tr2bl w:val="nil"/>
                  </w:tcBorders>
                  <w:noWrap w:val="0"/>
                  <w:vAlign w:val="center"/>
                </w:tcPr>
                <w:p w14:paraId="1F73733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w:t>
                  </w:r>
                  <w:r>
                    <w:rPr>
                      <w:rFonts w:hint="eastAsia" w:ascii="Times New Roman" w:hAnsi="Times New Roman" w:eastAsia="宋体" w:cs="Times New Roman"/>
                      <w:bCs/>
                      <w:sz w:val="21"/>
                      <w:szCs w:val="21"/>
                      <w:lang w:bidi="ar"/>
                    </w:rPr>
                    <w:t>施工期</w:t>
                  </w:r>
                  <w:r>
                    <w:rPr>
                      <w:rFonts w:ascii="Times New Roman" w:hAnsi="Times New Roman" w:eastAsia="宋体" w:cs="Times New Roman"/>
                      <w:bCs/>
                      <w:sz w:val="21"/>
                      <w:szCs w:val="21"/>
                      <w:lang w:bidi="ar"/>
                    </w:rPr>
                    <w:t>对施工场地</w:t>
                  </w:r>
                  <w:r>
                    <w:rPr>
                      <w:rFonts w:hint="eastAsia" w:ascii="Times New Roman" w:hAnsi="Times New Roman" w:eastAsia="宋体" w:cs="Times New Roman"/>
                      <w:bCs/>
                      <w:sz w:val="21"/>
                      <w:szCs w:val="21"/>
                      <w:lang w:bidi="ar"/>
                    </w:rPr>
                    <w:t>定期</w:t>
                  </w:r>
                  <w:r>
                    <w:rPr>
                      <w:rFonts w:ascii="Times New Roman" w:hAnsi="Times New Roman" w:eastAsia="宋体" w:cs="Times New Roman"/>
                      <w:bCs/>
                      <w:sz w:val="21"/>
                      <w:szCs w:val="21"/>
                      <w:lang w:bidi="ar"/>
                    </w:rPr>
                    <w:t>洒水，减少扬尘的产生</w:t>
                  </w:r>
                  <w:r>
                    <w:rPr>
                      <w:rFonts w:hint="eastAsia" w:ascii="Times New Roman" w:hAnsi="Times New Roman" w:eastAsia="宋体" w:cs="Times New Roman"/>
                      <w:bCs/>
                      <w:sz w:val="21"/>
                      <w:szCs w:val="21"/>
                      <w:lang w:eastAsia="zh-CN" w:bidi="ar"/>
                    </w:rPr>
                    <w:t>，对</w:t>
                  </w:r>
                  <w:r>
                    <w:rPr>
                      <w:rFonts w:ascii="Times New Roman" w:hAnsi="Times New Roman" w:eastAsia="宋体" w:cs="Times New Roman"/>
                      <w:bCs/>
                      <w:sz w:val="21"/>
                      <w:szCs w:val="21"/>
                      <w:lang w:bidi="ar"/>
                    </w:rPr>
                    <w:t>建筑材料等进行苫盖、洒水</w:t>
                  </w:r>
                  <w:r>
                    <w:rPr>
                      <w:rFonts w:hint="eastAsia" w:ascii="Times New Roman" w:hAnsi="Times New Roman" w:eastAsia="宋体" w:cs="Times New Roman"/>
                      <w:bCs/>
                      <w:sz w:val="21"/>
                      <w:szCs w:val="21"/>
                      <w:lang w:val="en-US" w:eastAsia="zh-CN" w:bidi="ar"/>
                    </w:rPr>
                    <w:t>措施</w:t>
                  </w:r>
                  <w:r>
                    <w:rPr>
                      <w:rFonts w:ascii="Times New Roman" w:hAnsi="Times New Roman" w:eastAsia="宋体" w:cs="Times New Roman"/>
                      <w:bCs/>
                      <w:sz w:val="21"/>
                      <w:szCs w:val="21"/>
                      <w:lang w:bidi="ar"/>
                    </w:rPr>
                    <w:t>。</w:t>
                  </w:r>
                </w:p>
              </w:tc>
              <w:tc>
                <w:tcPr>
                  <w:tcW w:w="706" w:type="dxa"/>
                  <w:tcBorders>
                    <w:tl2br w:val="nil"/>
                    <w:tr2bl w:val="nil"/>
                  </w:tcBorders>
                  <w:noWrap w:val="0"/>
                  <w:vAlign w:val="center"/>
                </w:tcPr>
                <w:p w14:paraId="0BF04A48">
                  <w:pPr>
                    <w:autoSpaceDE w:val="0"/>
                    <w:autoSpaceDN w:val="0"/>
                    <w:adjustRightInd w:val="0"/>
                    <w:snapToGrid w:val="0"/>
                    <w:jc w:val="left"/>
                    <w:rPr>
                      <w:bCs/>
                      <w:sz w:val="21"/>
                      <w:szCs w:val="21"/>
                    </w:rPr>
                  </w:pPr>
                  <w:r>
                    <w:rPr>
                      <w:bCs/>
                      <w:sz w:val="21"/>
                      <w:szCs w:val="21"/>
                      <w:lang w:bidi="ar"/>
                    </w:rPr>
                    <w:t>符合</w:t>
                  </w:r>
                </w:p>
              </w:tc>
            </w:tr>
            <w:tr w14:paraId="782D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32FD31CD">
                  <w:pPr>
                    <w:autoSpaceDE w:val="0"/>
                    <w:autoSpaceDN w:val="0"/>
                    <w:adjustRightInd w:val="0"/>
                    <w:snapToGrid w:val="0"/>
                    <w:jc w:val="left"/>
                    <w:rPr>
                      <w:bCs/>
                      <w:sz w:val="21"/>
                      <w:szCs w:val="21"/>
                    </w:rPr>
                  </w:pPr>
                  <w:r>
                    <w:rPr>
                      <w:bCs/>
                      <w:sz w:val="21"/>
                      <w:szCs w:val="21"/>
                      <w:lang w:bidi="ar"/>
                    </w:rPr>
                    <w:t>第三十八条</w:t>
                  </w:r>
                </w:p>
              </w:tc>
              <w:tc>
                <w:tcPr>
                  <w:tcW w:w="5056" w:type="dxa"/>
                  <w:tcBorders>
                    <w:tl2br w:val="nil"/>
                    <w:tr2bl w:val="nil"/>
                  </w:tcBorders>
                  <w:noWrap w:val="0"/>
                  <w:vAlign w:val="center"/>
                </w:tcPr>
                <w:p w14:paraId="455663FE">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房屋建筑、市政基础设施建设和城市规划区内水利工程等可能产生扬尘污染活动的施工现场，施工单位应当采取下列防尘措施：</w:t>
                  </w:r>
                </w:p>
                <w:p w14:paraId="5904B90C">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（一）建设工程开工前，按照标准在施工现场周边设置围挡，并对围挡进行维护；</w:t>
                  </w:r>
                </w:p>
                <w:p w14:paraId="5A695832">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（二）在施工现场出入口公示施工现场负责人、环保监督员、扬尘污染主要控制措施、举报电话等信息；</w:t>
                  </w:r>
                </w:p>
                <w:p w14:paraId="32C54FA8">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（三）对施工现场内主要道路和物料堆放场地进行硬化，对其他裸露场地进行覆盖或者临时绿化，对土方进行集中堆放，并采取覆盖或者密闭等措施；</w:t>
                  </w:r>
                </w:p>
                <w:p w14:paraId="534100F5">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（四）施工现场出口处应当设置车辆冲洗设施，施工车辆冲洗干净后方可上路行驶；</w:t>
                  </w:r>
                </w:p>
                <w:p w14:paraId="68D4341C">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（五）道路挖掘施工过程中，及时覆盖破损路面，并采取洒水等措施防治扬尘污染；道路挖掘施工完成后应当及时修复路面；临时便道应当进行硬化处理，并定时洒水；</w:t>
                  </w:r>
                </w:p>
                <w:p w14:paraId="3EEB7A8A">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（六）及时对施工现场进行清理和平整，不得从高处向下倾倒或者抛洒各类物料和建筑垃圾。拆除建（构）筑物，应当配备防风抑尘设备，进行湿法作业。</w:t>
                  </w:r>
                </w:p>
              </w:tc>
              <w:tc>
                <w:tcPr>
                  <w:tcW w:w="1664" w:type="dxa"/>
                  <w:tcBorders>
                    <w:tl2br w:val="nil"/>
                    <w:tr2bl w:val="nil"/>
                  </w:tcBorders>
                  <w:noWrap w:val="0"/>
                  <w:vAlign w:val="center"/>
                </w:tcPr>
                <w:p w14:paraId="781A1B72">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本项目按照要求</w:t>
                  </w:r>
                  <w:r>
                    <w:rPr>
                      <w:rFonts w:hint="eastAsia" w:ascii="Times New Roman" w:hAnsi="Times New Roman" w:eastAsia="宋体" w:cs="Times New Roman"/>
                      <w:bCs/>
                      <w:sz w:val="21"/>
                      <w:szCs w:val="21"/>
                      <w:lang w:eastAsia="zh-CN" w:bidi="ar"/>
                    </w:rPr>
                    <w:t>落实上述各项防尘措施，能够有效控制施工扬尘产生，不会对区域大气环境造成明显不利影响</w:t>
                  </w:r>
                  <w:r>
                    <w:rPr>
                      <w:rFonts w:ascii="Times New Roman" w:hAnsi="Times New Roman" w:eastAsia="宋体" w:cs="Times New Roman"/>
                      <w:bCs/>
                      <w:sz w:val="21"/>
                      <w:szCs w:val="21"/>
                      <w:lang w:bidi="ar"/>
                    </w:rPr>
                    <w:t>。</w:t>
                  </w:r>
                </w:p>
              </w:tc>
              <w:tc>
                <w:tcPr>
                  <w:tcW w:w="706" w:type="dxa"/>
                  <w:tcBorders>
                    <w:tl2br w:val="nil"/>
                    <w:tr2bl w:val="nil"/>
                  </w:tcBorders>
                  <w:noWrap w:val="0"/>
                  <w:vAlign w:val="center"/>
                </w:tcPr>
                <w:p w14:paraId="4BB3E35A">
                  <w:pPr>
                    <w:autoSpaceDE w:val="0"/>
                    <w:autoSpaceDN w:val="0"/>
                    <w:adjustRightInd w:val="0"/>
                    <w:snapToGrid w:val="0"/>
                    <w:jc w:val="left"/>
                    <w:rPr>
                      <w:bCs/>
                      <w:sz w:val="21"/>
                      <w:szCs w:val="21"/>
                    </w:rPr>
                  </w:pPr>
                  <w:r>
                    <w:rPr>
                      <w:bCs/>
                      <w:sz w:val="21"/>
                      <w:szCs w:val="21"/>
                      <w:lang w:bidi="ar"/>
                    </w:rPr>
                    <w:t>符合</w:t>
                  </w:r>
                </w:p>
              </w:tc>
            </w:tr>
            <w:tr w14:paraId="7379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65EA6AA4">
                  <w:pPr>
                    <w:autoSpaceDE w:val="0"/>
                    <w:autoSpaceDN w:val="0"/>
                    <w:adjustRightInd w:val="0"/>
                    <w:snapToGrid w:val="0"/>
                    <w:jc w:val="left"/>
                    <w:rPr>
                      <w:bCs/>
                      <w:sz w:val="21"/>
                      <w:szCs w:val="21"/>
                    </w:rPr>
                  </w:pPr>
                  <w:r>
                    <w:rPr>
                      <w:bCs/>
                      <w:sz w:val="21"/>
                      <w:szCs w:val="21"/>
                      <w:lang w:bidi="ar"/>
                    </w:rPr>
                    <w:t>第三十九条</w:t>
                  </w:r>
                </w:p>
              </w:tc>
              <w:tc>
                <w:tcPr>
                  <w:tcW w:w="5056" w:type="dxa"/>
                  <w:tcBorders>
                    <w:tl2br w:val="nil"/>
                    <w:tr2bl w:val="nil"/>
                  </w:tcBorders>
                  <w:noWrap w:val="0"/>
                  <w:vAlign w:val="center"/>
                </w:tcPr>
                <w:p w14:paraId="421577C7">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运输、处置建筑垃圾，应当经工程所在地的县（市、区）人民政府确定的监督管理部门同意，按照规定的运输时间、路线和要求清运到指定的场所处理；在场地内堆存的，应当有效覆盖。</w:t>
                  </w:r>
                </w:p>
              </w:tc>
              <w:tc>
                <w:tcPr>
                  <w:tcW w:w="1664" w:type="dxa"/>
                  <w:tcBorders>
                    <w:tl2br w:val="nil"/>
                    <w:tr2bl w:val="nil"/>
                  </w:tcBorders>
                  <w:noWrap w:val="0"/>
                  <w:vAlign w:val="center"/>
                </w:tcPr>
                <w:p w14:paraId="77D4496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本项目建筑垃圾将按要求进行运输、处置。</w:t>
                  </w:r>
                </w:p>
              </w:tc>
              <w:tc>
                <w:tcPr>
                  <w:tcW w:w="706" w:type="dxa"/>
                  <w:tcBorders>
                    <w:tl2br w:val="nil"/>
                    <w:tr2bl w:val="nil"/>
                  </w:tcBorders>
                  <w:noWrap w:val="0"/>
                  <w:vAlign w:val="center"/>
                </w:tcPr>
                <w:p w14:paraId="52222EE1">
                  <w:pPr>
                    <w:autoSpaceDE w:val="0"/>
                    <w:autoSpaceDN w:val="0"/>
                    <w:adjustRightInd w:val="0"/>
                    <w:snapToGrid w:val="0"/>
                    <w:jc w:val="left"/>
                    <w:rPr>
                      <w:bCs/>
                      <w:sz w:val="21"/>
                      <w:szCs w:val="21"/>
                    </w:rPr>
                  </w:pPr>
                  <w:r>
                    <w:rPr>
                      <w:bCs/>
                      <w:sz w:val="21"/>
                      <w:szCs w:val="21"/>
                      <w:lang w:bidi="ar"/>
                    </w:rPr>
                    <w:t>符合</w:t>
                  </w:r>
                </w:p>
              </w:tc>
            </w:tr>
            <w:tr w14:paraId="251C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7A8CC51B">
                  <w:pPr>
                    <w:autoSpaceDE w:val="0"/>
                    <w:autoSpaceDN w:val="0"/>
                    <w:adjustRightInd w:val="0"/>
                    <w:snapToGrid w:val="0"/>
                    <w:jc w:val="left"/>
                    <w:rPr>
                      <w:bCs/>
                      <w:sz w:val="21"/>
                      <w:szCs w:val="21"/>
                    </w:rPr>
                  </w:pPr>
                  <w:r>
                    <w:rPr>
                      <w:bCs/>
                      <w:sz w:val="21"/>
                      <w:szCs w:val="21"/>
                      <w:lang w:bidi="ar"/>
                    </w:rPr>
                    <w:t>第四十条</w:t>
                  </w:r>
                </w:p>
              </w:tc>
              <w:tc>
                <w:tcPr>
                  <w:tcW w:w="5056" w:type="dxa"/>
                  <w:tcBorders>
                    <w:tl2br w:val="nil"/>
                    <w:tr2bl w:val="nil"/>
                  </w:tcBorders>
                  <w:noWrap w:val="0"/>
                  <w:vAlign w:val="center"/>
                </w:tcPr>
                <w:p w14:paraId="3F727E5E">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城市建成区内的施工工地，禁止现场搅拌混凝土；施工现场设置砂浆搅拌机的，应当配备降尘防尘装置。</w:t>
                  </w:r>
                </w:p>
              </w:tc>
              <w:tc>
                <w:tcPr>
                  <w:tcW w:w="1664" w:type="dxa"/>
                  <w:tcBorders>
                    <w:tl2br w:val="nil"/>
                    <w:tr2bl w:val="nil"/>
                  </w:tcBorders>
                  <w:noWrap w:val="0"/>
                  <w:vAlign w:val="center"/>
                </w:tcPr>
                <w:p w14:paraId="5ACE1137">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本项目使用混凝土</w:t>
                  </w:r>
                  <w:r>
                    <w:rPr>
                      <w:rFonts w:hint="eastAsia" w:ascii="Times New Roman" w:hAnsi="Times New Roman" w:eastAsia="宋体" w:cs="Times New Roman"/>
                      <w:bCs/>
                      <w:sz w:val="21"/>
                      <w:szCs w:val="21"/>
                      <w:lang w:val="en-US" w:eastAsia="zh-CN" w:bidi="ar"/>
                    </w:rPr>
                    <w:t>为</w:t>
                  </w:r>
                  <w:r>
                    <w:rPr>
                      <w:rFonts w:ascii="Times New Roman" w:hAnsi="Times New Roman" w:eastAsia="宋体" w:cs="Times New Roman"/>
                      <w:bCs/>
                      <w:sz w:val="21"/>
                      <w:szCs w:val="21"/>
                      <w:lang w:bidi="ar"/>
                    </w:rPr>
                    <w:t>外购商业混凝土。</w:t>
                  </w:r>
                </w:p>
              </w:tc>
              <w:tc>
                <w:tcPr>
                  <w:tcW w:w="706" w:type="dxa"/>
                  <w:tcBorders>
                    <w:tl2br w:val="nil"/>
                    <w:tr2bl w:val="nil"/>
                  </w:tcBorders>
                  <w:noWrap w:val="0"/>
                  <w:vAlign w:val="center"/>
                </w:tcPr>
                <w:p w14:paraId="32DE7A90">
                  <w:pPr>
                    <w:autoSpaceDE w:val="0"/>
                    <w:autoSpaceDN w:val="0"/>
                    <w:adjustRightInd w:val="0"/>
                    <w:snapToGrid w:val="0"/>
                    <w:jc w:val="left"/>
                    <w:rPr>
                      <w:bCs/>
                      <w:sz w:val="21"/>
                      <w:szCs w:val="21"/>
                    </w:rPr>
                  </w:pPr>
                  <w:r>
                    <w:rPr>
                      <w:bCs/>
                      <w:sz w:val="21"/>
                      <w:szCs w:val="21"/>
                      <w:lang w:bidi="ar"/>
                    </w:rPr>
                    <w:t>符合</w:t>
                  </w:r>
                </w:p>
              </w:tc>
            </w:tr>
            <w:tr w14:paraId="2869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27A21C89">
                  <w:pPr>
                    <w:autoSpaceDE w:val="0"/>
                    <w:autoSpaceDN w:val="0"/>
                    <w:adjustRightInd w:val="0"/>
                    <w:snapToGrid w:val="0"/>
                    <w:jc w:val="left"/>
                    <w:rPr>
                      <w:bCs/>
                      <w:sz w:val="21"/>
                      <w:szCs w:val="21"/>
                    </w:rPr>
                  </w:pPr>
                  <w:r>
                    <w:rPr>
                      <w:bCs/>
                      <w:sz w:val="21"/>
                      <w:szCs w:val="21"/>
                      <w:lang w:bidi="ar"/>
                    </w:rPr>
                    <w:t>第四十三条</w:t>
                  </w:r>
                </w:p>
              </w:tc>
              <w:tc>
                <w:tcPr>
                  <w:tcW w:w="5056" w:type="dxa"/>
                  <w:tcBorders>
                    <w:tl2br w:val="nil"/>
                    <w:tr2bl w:val="nil"/>
                  </w:tcBorders>
                  <w:noWrap w:val="0"/>
                  <w:vAlign w:val="center"/>
                </w:tcPr>
                <w:p w14:paraId="03BED793">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贮存易产生扬尘的煤炭、煤矸石、煤渣、煤灰、水泥、石灰、石膏、砂土等物料的堆场应当密闭；不能密闭的，贮存单位或者个人应当采取下列防尘措施：</w:t>
                  </w:r>
                </w:p>
                <w:p w14:paraId="6FFB5E61">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（一）堆场的场坪、路面应当进行硬化处理，并保持路面整洁；</w:t>
                  </w:r>
                </w:p>
                <w:p w14:paraId="40946809">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（二）堆场周边应当配备高于堆存物料的围挡、防风抑尘网等设施；</w:t>
                  </w:r>
                </w:p>
                <w:p w14:paraId="47D4AC47">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（三）按照物料类别采取相应的覆盖、喷淋和围挡等防风抑尘措施。</w:t>
                  </w:r>
                </w:p>
                <w:p w14:paraId="2632661A">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露天装卸物料应当采取密闭或者喷淋等抑尘措施；输送的物料应当在装料、卸料处配备吸尘、喷淋等防尘设施。</w:t>
                  </w:r>
                </w:p>
              </w:tc>
              <w:tc>
                <w:tcPr>
                  <w:tcW w:w="1664" w:type="dxa"/>
                  <w:tcBorders>
                    <w:tl2br w:val="nil"/>
                    <w:tr2bl w:val="nil"/>
                  </w:tcBorders>
                  <w:noWrap w:val="0"/>
                  <w:vAlign w:val="center"/>
                </w:tcPr>
                <w:p w14:paraId="40526C4B">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本项目土方</w:t>
                  </w:r>
                  <w:r>
                    <w:rPr>
                      <w:rFonts w:hint="eastAsia" w:ascii="Times New Roman" w:hAnsi="Times New Roman" w:eastAsia="宋体" w:cs="Times New Roman"/>
                      <w:bCs/>
                      <w:sz w:val="21"/>
                      <w:szCs w:val="21"/>
                      <w:lang w:val="en-US" w:eastAsia="zh-CN" w:bidi="ar"/>
                    </w:rPr>
                    <w:t>临时</w:t>
                  </w:r>
                  <w:r>
                    <w:rPr>
                      <w:rFonts w:ascii="Times New Roman" w:hAnsi="Times New Roman" w:eastAsia="宋体" w:cs="Times New Roman"/>
                      <w:bCs/>
                      <w:sz w:val="21"/>
                      <w:szCs w:val="21"/>
                      <w:lang w:bidi="ar"/>
                    </w:rPr>
                    <w:t>堆放采用覆盖措施，并定期洒水降尘。</w:t>
                  </w:r>
                </w:p>
              </w:tc>
              <w:tc>
                <w:tcPr>
                  <w:tcW w:w="706" w:type="dxa"/>
                  <w:tcBorders>
                    <w:tl2br w:val="nil"/>
                    <w:tr2bl w:val="nil"/>
                  </w:tcBorders>
                  <w:noWrap w:val="0"/>
                  <w:vAlign w:val="center"/>
                </w:tcPr>
                <w:p w14:paraId="277E3AA1">
                  <w:pPr>
                    <w:autoSpaceDE w:val="0"/>
                    <w:autoSpaceDN w:val="0"/>
                    <w:adjustRightInd w:val="0"/>
                    <w:snapToGrid w:val="0"/>
                    <w:jc w:val="left"/>
                    <w:rPr>
                      <w:bCs/>
                      <w:color w:val="auto"/>
                      <w:sz w:val="21"/>
                      <w:szCs w:val="21"/>
                    </w:rPr>
                  </w:pPr>
                  <w:r>
                    <w:rPr>
                      <w:bCs/>
                      <w:color w:val="auto"/>
                      <w:sz w:val="21"/>
                      <w:szCs w:val="21"/>
                      <w:lang w:bidi="ar"/>
                    </w:rPr>
                    <w:t>符合</w:t>
                  </w:r>
                </w:p>
              </w:tc>
            </w:tr>
          </w:tbl>
          <w:p w14:paraId="3BD7299D">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lang w:bidi="ar"/>
              </w:rPr>
            </w:pPr>
            <w:r>
              <w:rPr>
                <w:rFonts w:hint="eastAsia" w:ascii="Times New Roman" w:hAnsi="Times New Roman"/>
                <w:b/>
                <w:kern w:val="2"/>
                <w:szCs w:val="24"/>
                <w:lang w:val="en-US" w:eastAsia="zh-CN" w:bidi="ar"/>
              </w:rPr>
              <w:t>5</w:t>
            </w:r>
            <w:r>
              <w:rPr>
                <w:rFonts w:ascii="Times New Roman" w:hAnsi="Times New Roman" w:eastAsia="宋体" w:cs="Times New Roman"/>
                <w:b/>
                <w:kern w:val="2"/>
                <w:szCs w:val="24"/>
                <w:lang w:bidi="ar"/>
              </w:rPr>
              <w:t>与《新疆生态环境保护“十四五”规划》的符合</w:t>
            </w:r>
            <w:r>
              <w:rPr>
                <w:rFonts w:ascii="Times New Roman" w:hAnsi="Times New Roman"/>
                <w:b/>
                <w:kern w:val="2"/>
                <w:szCs w:val="24"/>
                <w:lang w:bidi="ar"/>
              </w:rPr>
              <w:t>性分析</w:t>
            </w:r>
          </w:p>
          <w:p w14:paraId="72AEF0E9">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hint="default" w:ascii="Times New Roman" w:hAnsi="Times New Roman" w:cs="Times New Roman"/>
                <w:sz w:val="24"/>
                <w:lang w:val="en-US"/>
              </w:rPr>
            </w:pPr>
            <w:r>
              <w:rPr>
                <w:rFonts w:ascii="Times New Roman" w:hAnsi="Times New Roman"/>
                <w:b/>
                <w:kern w:val="2"/>
                <w:szCs w:val="24"/>
                <w:lang w:bidi="ar"/>
              </w:rPr>
              <w:t>表1-</w:t>
            </w:r>
            <w:r>
              <w:rPr>
                <w:rFonts w:hint="eastAsia" w:ascii="Times New Roman" w:hAnsi="Times New Roman"/>
                <w:b/>
                <w:kern w:val="2"/>
                <w:szCs w:val="24"/>
                <w:lang w:val="en-US" w:eastAsia="zh-CN" w:bidi="ar"/>
              </w:rPr>
              <w:t>6</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w:t>
            </w:r>
            <w:r>
              <w:rPr>
                <w:rFonts w:ascii="Times New Roman" w:hAnsi="Times New Roman" w:eastAsia="宋体" w:cs="Times New Roman"/>
                <w:b/>
                <w:kern w:val="2"/>
                <w:szCs w:val="24"/>
                <w:lang w:bidi="ar"/>
              </w:rPr>
              <w:t>新疆生态环境保护“十四五”规划</w:t>
            </w:r>
            <w:r>
              <w:rPr>
                <w:rFonts w:ascii="Times New Roman" w:hAnsi="Times New Roman"/>
                <w:b/>
                <w:kern w:val="2"/>
                <w:szCs w:val="24"/>
                <w:lang w:bidi="ar"/>
              </w:rPr>
              <w:t>》相关内容的符合性分析</w:t>
            </w:r>
          </w:p>
          <w:tbl>
            <w:tblPr>
              <w:tblStyle w:val="23"/>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668"/>
              <w:gridCol w:w="3654"/>
              <w:gridCol w:w="2387"/>
              <w:gridCol w:w="491"/>
            </w:tblGrid>
            <w:tr w14:paraId="0738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991" w:type="dxa"/>
                  <w:gridSpan w:val="3"/>
                  <w:noWrap w:val="0"/>
                  <w:vAlign w:val="center"/>
                </w:tcPr>
                <w:p w14:paraId="5A4150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相关条款要求</w:t>
                  </w:r>
                </w:p>
              </w:tc>
              <w:tc>
                <w:tcPr>
                  <w:tcW w:w="2387" w:type="dxa"/>
                  <w:noWrap w:val="0"/>
                  <w:vAlign w:val="center"/>
                </w:tcPr>
                <w:p w14:paraId="190C07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本项目</w:t>
                  </w:r>
                </w:p>
              </w:tc>
              <w:tc>
                <w:tcPr>
                  <w:tcW w:w="491" w:type="dxa"/>
                  <w:noWrap w:val="0"/>
                  <w:vAlign w:val="center"/>
                </w:tcPr>
                <w:p w14:paraId="2D5BE1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符合性</w:t>
                  </w:r>
                </w:p>
              </w:tc>
            </w:tr>
            <w:tr w14:paraId="149E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2E570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生态保护方面</w:t>
                  </w:r>
                </w:p>
              </w:tc>
              <w:tc>
                <w:tcPr>
                  <w:tcW w:w="668" w:type="dxa"/>
                  <w:noWrap w:val="0"/>
                  <w:vAlign w:val="center"/>
                </w:tcPr>
                <w:p w14:paraId="68C374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ascii="Times New Roman" w:hAnsi="Times New Roman" w:eastAsia="宋体" w:cs="Times New Roman"/>
                      <w:bCs/>
                      <w:szCs w:val="21"/>
                      <w:lang w:bidi="ar"/>
                    </w:rPr>
                    <w:t>保护生态系统格局</w:t>
                  </w:r>
                </w:p>
              </w:tc>
              <w:tc>
                <w:tcPr>
                  <w:tcW w:w="3654" w:type="dxa"/>
                  <w:noWrap w:val="0"/>
                  <w:vAlign w:val="center"/>
                </w:tcPr>
                <w:p w14:paraId="4A8ABA36">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坚持绿水青山就是金山银山、冰天雪地也是金山银山的理念，坚持山水林田湖草沙系统治理，坚持人与自然和谐共生，协同推进经济高质量发展和生态环境高水平保护，突出精准治污、科学治污、依法治污，深入打好污染防治攻坚战。</w:t>
                  </w:r>
                </w:p>
              </w:tc>
              <w:tc>
                <w:tcPr>
                  <w:tcW w:w="2387" w:type="dxa"/>
                  <w:noWrap w:val="0"/>
                  <w:vAlign w:val="center"/>
                </w:tcPr>
                <w:p w14:paraId="77A628E1">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w:t>
                  </w:r>
                  <w:r>
                    <w:rPr>
                      <w:rFonts w:hint="eastAsia" w:cs="Times New Roman"/>
                      <w:bCs/>
                      <w:szCs w:val="21"/>
                      <w:lang w:val="en-US" w:eastAsia="zh-CN" w:bidi="ar"/>
                    </w:rPr>
                    <w:t>目在</w:t>
                  </w:r>
                  <w:r>
                    <w:rPr>
                      <w:rFonts w:hint="eastAsia" w:ascii="Times New Roman" w:hAnsi="Times New Roman" w:eastAsia="宋体" w:cs="Times New Roman"/>
                      <w:bCs/>
                      <w:szCs w:val="21"/>
                      <w:lang w:val="en-US" w:eastAsia="zh-CN" w:bidi="ar"/>
                    </w:rPr>
                    <w:t>施工过程中</w:t>
                  </w:r>
                  <w:r>
                    <w:rPr>
                      <w:rFonts w:hint="eastAsia" w:cs="Times New Roman"/>
                      <w:bCs/>
                      <w:szCs w:val="21"/>
                      <w:lang w:val="en-US" w:eastAsia="zh-CN" w:bidi="ar"/>
                    </w:rPr>
                    <w:t>落实了生态保护、水土保持及污染防治相关措施，施工结束后及时对施工区域进行生态修复，不会对区域生态系统格局造成明显不利影响。</w:t>
                  </w:r>
                </w:p>
              </w:tc>
              <w:tc>
                <w:tcPr>
                  <w:tcW w:w="491" w:type="dxa"/>
                  <w:noWrap w:val="0"/>
                  <w:vAlign w:val="center"/>
                </w:tcPr>
                <w:p w14:paraId="3D291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符合</w:t>
                  </w:r>
                </w:p>
              </w:tc>
            </w:tr>
            <w:tr w14:paraId="5F15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B3648D1">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0EA2552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生物多样性保护</w:t>
                  </w:r>
                </w:p>
              </w:tc>
              <w:tc>
                <w:tcPr>
                  <w:tcW w:w="3654" w:type="dxa"/>
                  <w:noWrap w:val="0"/>
                  <w:vAlign w:val="center"/>
                </w:tcPr>
                <w:p w14:paraId="67D7984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实施生物多样性保护重大工程。推进开展生物多样性调查、观测和评估工作。统筹就地保护和迁地保护，加大对国家重点保护和珍稀濒危野生动植物及其栖息地、原生境的保护修复，连通重要物种迁徙扩散廊道，构建生物多样性保护网络。实施珍稀濒危和极小种群物种抢救性保护，恢复提升重要保护物种、指示性物种野外种群数量。加强野生动植物保护监管，全面禁止非法交易野生动物。</w:t>
                  </w:r>
                </w:p>
              </w:tc>
              <w:tc>
                <w:tcPr>
                  <w:tcW w:w="2387" w:type="dxa"/>
                  <w:noWrap w:val="0"/>
                  <w:vAlign w:val="center"/>
                </w:tcPr>
                <w:p w14:paraId="7EDA37B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本项目属于防渗渠</w:t>
                  </w:r>
                  <w:r>
                    <w:rPr>
                      <w:rFonts w:hint="eastAsia" w:cs="Times New Roman"/>
                      <w:bCs/>
                      <w:szCs w:val="21"/>
                      <w:lang w:val="en-US" w:eastAsia="zh-CN" w:bidi="ar"/>
                    </w:rPr>
                    <w:t>建设</w:t>
                  </w:r>
                  <w:r>
                    <w:rPr>
                      <w:rFonts w:hint="eastAsia" w:ascii="Times New Roman" w:hAnsi="Times New Roman" w:eastAsia="宋体" w:cs="Times New Roman"/>
                      <w:bCs/>
                      <w:szCs w:val="21"/>
                      <w:lang w:val="en-US" w:eastAsia="zh-CN" w:bidi="ar"/>
                    </w:rPr>
                    <w:t>项目，</w:t>
                  </w:r>
                  <w:r>
                    <w:rPr>
                      <w:rFonts w:hint="eastAsia" w:cs="Times New Roman"/>
                      <w:bCs/>
                      <w:szCs w:val="21"/>
                      <w:lang w:val="en-US" w:eastAsia="zh-CN" w:bidi="ar"/>
                    </w:rPr>
                    <w:t>位于吾塔木村，</w:t>
                  </w:r>
                  <w:r>
                    <w:rPr>
                      <w:rFonts w:hint="eastAsia" w:ascii="Times New Roman" w:hAnsi="Times New Roman" w:eastAsia="宋体" w:cs="Times New Roman"/>
                      <w:bCs/>
                      <w:szCs w:val="21"/>
                      <w:lang w:val="en-US" w:eastAsia="zh-CN" w:bidi="ar"/>
                    </w:rPr>
                    <w:t>不存在对野生动物、迁徙通道造成破坏，不影响珍稀</w:t>
                  </w:r>
                  <w:r>
                    <w:rPr>
                      <w:rFonts w:hint="eastAsia" w:cs="Times New Roman"/>
                      <w:bCs/>
                      <w:szCs w:val="21"/>
                      <w:lang w:val="en-US" w:eastAsia="zh-CN" w:bidi="ar"/>
                    </w:rPr>
                    <w:t>濒危</w:t>
                  </w:r>
                  <w:r>
                    <w:rPr>
                      <w:rFonts w:hint="eastAsia" w:ascii="Times New Roman" w:hAnsi="Times New Roman" w:eastAsia="宋体" w:cs="Times New Roman"/>
                      <w:bCs/>
                      <w:szCs w:val="21"/>
                      <w:lang w:val="en-US" w:eastAsia="zh-CN" w:bidi="ar"/>
                    </w:rPr>
                    <w:t>物种的生存和繁衍。</w:t>
                  </w:r>
                </w:p>
              </w:tc>
              <w:tc>
                <w:tcPr>
                  <w:tcW w:w="491" w:type="dxa"/>
                  <w:noWrap w:val="0"/>
                  <w:vAlign w:val="center"/>
                </w:tcPr>
                <w:p w14:paraId="71D53485">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440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A3C7FD3">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污染防治方面</w:t>
                  </w:r>
                </w:p>
              </w:tc>
              <w:tc>
                <w:tcPr>
                  <w:tcW w:w="668" w:type="dxa"/>
                  <w:noWrap w:val="0"/>
                  <w:vAlign w:val="center"/>
                </w:tcPr>
                <w:p w14:paraId="0FB732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大气污染防治</w:t>
                  </w:r>
                </w:p>
              </w:tc>
              <w:tc>
                <w:tcPr>
                  <w:tcW w:w="3654" w:type="dxa"/>
                  <w:noWrap w:val="0"/>
                  <w:vAlign w:val="center"/>
                </w:tcPr>
                <w:p w14:paraId="1DD69CE3">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以改善大气环境质量为核心，坚持源头防治、综合施策，持续推进大气污染防治攻坚行动，严格落实大气污染物排放总量控制制度，推进重点领域多污染物协同治理，统筹分区控制与区域协同控制，强化科学施策、精准治污，进一步降低PM</w:t>
                  </w:r>
                  <w:r>
                    <w:rPr>
                      <w:rFonts w:hint="eastAsia" w:ascii="Times New Roman" w:hAnsi="Times New Roman" w:eastAsia="宋体" w:cs="Times New Roman"/>
                      <w:bCs/>
                      <w:szCs w:val="21"/>
                      <w:vertAlign w:val="subscript"/>
                      <w:lang w:bidi="ar"/>
                    </w:rPr>
                    <w:t>2.5</w:t>
                  </w:r>
                  <w:r>
                    <w:rPr>
                      <w:rFonts w:hint="eastAsia" w:ascii="Times New Roman" w:hAnsi="Times New Roman" w:eastAsia="宋体" w:cs="Times New Roman"/>
                      <w:bCs/>
                      <w:szCs w:val="21"/>
                      <w:lang w:bidi="ar"/>
                    </w:rPr>
                    <w:t>浓度，提升优良天数比例，减少重污染天气。</w:t>
                  </w:r>
                </w:p>
              </w:tc>
              <w:tc>
                <w:tcPr>
                  <w:tcW w:w="2387" w:type="dxa"/>
                  <w:noWrap w:val="0"/>
                  <w:vAlign w:val="center"/>
                </w:tcPr>
                <w:p w14:paraId="36D58AF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本项目在施工过程中能够</w:t>
                  </w:r>
                  <w:r>
                    <w:rPr>
                      <w:rFonts w:hint="default" w:ascii="Times New Roman" w:hAnsi="Times New Roman" w:eastAsia="宋体" w:cs="Times New Roman"/>
                      <w:bCs/>
                      <w:szCs w:val="21"/>
                      <w:lang w:val="en-US" w:eastAsia="zh-CN" w:bidi="ar"/>
                    </w:rPr>
                    <w:t>采取有效措施防治扬尘污染，如对施工场地、道路定期洒水降尘，土石方临时</w:t>
                  </w:r>
                  <w:r>
                    <w:rPr>
                      <w:rFonts w:hint="eastAsia" w:cs="Times New Roman"/>
                      <w:bCs/>
                      <w:szCs w:val="21"/>
                      <w:lang w:val="en-US" w:eastAsia="zh-CN" w:bidi="ar"/>
                    </w:rPr>
                    <w:t>堆存进行</w:t>
                  </w:r>
                  <w:r>
                    <w:rPr>
                      <w:rFonts w:hint="default" w:ascii="Times New Roman" w:hAnsi="Times New Roman" w:eastAsia="宋体" w:cs="Times New Roman"/>
                      <w:bCs/>
                      <w:szCs w:val="21"/>
                      <w:lang w:val="en-US" w:eastAsia="zh-CN" w:bidi="ar"/>
                    </w:rPr>
                    <w:t>覆盖，运输车辆加盖篷布等，确保施工</w:t>
                  </w:r>
                  <w:r>
                    <w:rPr>
                      <w:rFonts w:hint="eastAsia" w:cs="Times New Roman"/>
                      <w:bCs/>
                      <w:szCs w:val="21"/>
                      <w:lang w:val="en-US" w:eastAsia="zh-CN" w:bidi="ar"/>
                    </w:rPr>
                    <w:t>期间</w:t>
                  </w:r>
                  <w:r>
                    <w:rPr>
                      <w:rFonts w:hint="default" w:ascii="Times New Roman" w:hAnsi="Times New Roman" w:eastAsia="宋体" w:cs="Times New Roman"/>
                      <w:bCs/>
                      <w:szCs w:val="21"/>
                      <w:lang w:val="en-US" w:eastAsia="zh-CN" w:bidi="ar"/>
                    </w:rPr>
                    <w:t>粉尘满足《大气污染物综合排放标准》相关要求</w:t>
                  </w:r>
                  <w:r>
                    <w:rPr>
                      <w:rFonts w:hint="eastAsia" w:cs="Times New Roman"/>
                      <w:bCs/>
                      <w:szCs w:val="21"/>
                      <w:lang w:val="en-US" w:eastAsia="zh-CN" w:bidi="ar"/>
                    </w:rPr>
                    <w:t>。</w:t>
                  </w:r>
                </w:p>
              </w:tc>
              <w:tc>
                <w:tcPr>
                  <w:tcW w:w="491" w:type="dxa"/>
                  <w:noWrap w:val="0"/>
                  <w:vAlign w:val="center"/>
                </w:tcPr>
                <w:p w14:paraId="63EAB4D0">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308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946439D">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5F5207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水污染防治</w:t>
                  </w:r>
                </w:p>
              </w:tc>
              <w:tc>
                <w:tcPr>
                  <w:tcW w:w="3654" w:type="dxa"/>
                  <w:noWrap w:val="0"/>
                  <w:vAlign w:val="center"/>
                </w:tcPr>
                <w:p w14:paraId="36BC8811">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落实最严格的水资源管理制度，科学确定水资源承载能力，严格实行区域用水总量和强度控制，强化节水约束性指标管理。强化地下水超采治理。</w:t>
                  </w:r>
                </w:p>
              </w:tc>
              <w:tc>
                <w:tcPr>
                  <w:tcW w:w="2387" w:type="dxa"/>
                  <w:noWrap w:val="0"/>
                  <w:vAlign w:val="center"/>
                </w:tcPr>
                <w:p w14:paraId="193D84D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eastAsia" w:ascii="Times New Roman" w:hAnsi="Times New Roman" w:cs="Times New Roman"/>
                      <w:bCs/>
                      <w:kern w:val="2"/>
                      <w:sz w:val="21"/>
                      <w:szCs w:val="21"/>
                      <w:lang w:val="en-US" w:eastAsia="zh-CN" w:bidi="ar"/>
                    </w:rPr>
                    <w:t>项目</w:t>
                  </w:r>
                  <w:r>
                    <w:rPr>
                      <w:rFonts w:hint="eastAsia" w:ascii="Times New Roman" w:hAnsi="Times New Roman" w:eastAsia="宋体" w:cs="Times New Roman"/>
                      <w:bCs/>
                      <w:kern w:val="2"/>
                      <w:sz w:val="21"/>
                      <w:szCs w:val="21"/>
                      <w:lang w:val="en-US" w:eastAsia="zh-CN" w:bidi="ar"/>
                    </w:rPr>
                    <w:t>严格管控</w:t>
                  </w:r>
                  <w:r>
                    <w:rPr>
                      <w:rFonts w:hint="default" w:ascii="Times New Roman" w:hAnsi="Times New Roman" w:eastAsia="宋体" w:cs="Times New Roman"/>
                      <w:bCs/>
                      <w:kern w:val="2"/>
                      <w:sz w:val="21"/>
                      <w:szCs w:val="21"/>
                      <w:lang w:val="en-US" w:eastAsia="zh-CN" w:bidi="ar"/>
                    </w:rPr>
                    <w:t>防止施工废水等对周边水体造成污染，施工机械</w:t>
                  </w:r>
                  <w:r>
                    <w:rPr>
                      <w:rFonts w:hint="eastAsia" w:ascii="Times New Roman" w:hAnsi="Times New Roman" w:cs="Times New Roman"/>
                      <w:bCs/>
                      <w:kern w:val="2"/>
                      <w:sz w:val="21"/>
                      <w:szCs w:val="21"/>
                      <w:lang w:val="en-US" w:eastAsia="zh-CN" w:bidi="ar"/>
                    </w:rPr>
                    <w:t>定期</w:t>
                  </w:r>
                  <w:r>
                    <w:rPr>
                      <w:rFonts w:hint="default" w:ascii="Times New Roman" w:hAnsi="Times New Roman" w:eastAsia="宋体" w:cs="Times New Roman"/>
                      <w:bCs/>
                      <w:kern w:val="2"/>
                      <w:sz w:val="21"/>
                      <w:szCs w:val="21"/>
                      <w:lang w:val="en-US" w:eastAsia="zh-CN" w:bidi="ar"/>
                    </w:rPr>
                    <w:t>维护保养，杜绝燃油、机油等的跑、冒、滴、漏，严禁向沿线水体倾倒各类垃圾和污染物。同时，确保防渗渠的建设质量，</w:t>
                  </w:r>
                  <w:r>
                    <w:rPr>
                      <w:rFonts w:hint="eastAsia" w:ascii="Times New Roman" w:hAnsi="Times New Roman" w:cs="Times New Roman"/>
                      <w:bCs/>
                      <w:kern w:val="2"/>
                      <w:sz w:val="21"/>
                      <w:szCs w:val="21"/>
                      <w:lang w:val="en-US" w:eastAsia="zh-CN" w:bidi="ar"/>
                    </w:rPr>
                    <w:t>提高灌溉水资源利用率。</w:t>
                  </w:r>
                </w:p>
              </w:tc>
              <w:tc>
                <w:tcPr>
                  <w:tcW w:w="491" w:type="dxa"/>
                  <w:noWrap w:val="0"/>
                  <w:vAlign w:val="center"/>
                </w:tcPr>
                <w:p w14:paraId="762C05A4">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C30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0FFC068">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5F76C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噪声污染防治</w:t>
                  </w:r>
                </w:p>
              </w:tc>
              <w:tc>
                <w:tcPr>
                  <w:tcW w:w="3654" w:type="dxa"/>
                  <w:noWrap w:val="0"/>
                  <w:vAlign w:val="center"/>
                </w:tcPr>
                <w:p w14:paraId="58027FF1">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加强环境噪声污染防控。加强噪声污染源监管，继续强化和深入推进交通运输噪声、建筑施工噪声、社会生活噪声、工业企业、机场周边噪声污染防治，推进工业企业噪声纳入排污许可管理。优化重点区域声环境质量监测点位，加强城市环境噪声、道路交通噪声、功能区噪声例行监测与评价，推动功能区声环境质量自动监测，强化声环境功能区管理，适时调整完善声环境功能区。继续强化噪声信访处置，畅通噪声污染投诉渠道，完善生态环境与相关部门的噪声污染投诉信息共享处理机制。</w:t>
                  </w:r>
                </w:p>
              </w:tc>
              <w:tc>
                <w:tcPr>
                  <w:tcW w:w="2387" w:type="dxa"/>
                  <w:noWrap w:val="0"/>
                  <w:vAlign w:val="center"/>
                </w:tcPr>
                <w:p w14:paraId="1B6FD076">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本项目在</w:t>
                  </w:r>
                  <w:r>
                    <w:rPr>
                      <w:rFonts w:hint="default" w:ascii="Times New Roman" w:hAnsi="Times New Roman" w:eastAsia="宋体" w:cs="Times New Roman"/>
                      <w:bCs/>
                      <w:kern w:val="2"/>
                      <w:sz w:val="21"/>
                      <w:szCs w:val="21"/>
                      <w:lang w:val="en-US" w:eastAsia="zh-CN" w:bidi="ar"/>
                    </w:rPr>
                    <w:t>施工中，合理安排施工作业时间，避免在居民休息时间进行高噪声作业，选用低噪声设备，并采取有效的减振、降噪措施，确保施工噪声满足《建筑施工噪声排放标准》要求</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5A8B7F9">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4F5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400E7C4">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BAE26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固体废物污染防治</w:t>
                  </w:r>
                </w:p>
              </w:tc>
              <w:tc>
                <w:tcPr>
                  <w:tcW w:w="3654" w:type="dxa"/>
                  <w:noWrap w:val="0"/>
                  <w:vAlign w:val="center"/>
                </w:tcPr>
                <w:p w14:paraId="377422E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hint="eastAsia" w:ascii="Times New Roman" w:hAnsi="Times New Roman" w:eastAsia="宋体" w:cs="Times New Roman"/>
                      <w:bCs/>
                      <w:sz w:val="21"/>
                      <w:szCs w:val="21"/>
                      <w:highlight w:val="none"/>
                      <w:lang w:val="en-US" w:eastAsia="zh-CN" w:bidi="ar"/>
                    </w:rPr>
                    <w:t>推进固体废物源头减量和资源化利用。加强固体废物源头减量、资源化利用和无害化处置，最大限度减少填埋量。</w:t>
                  </w:r>
                </w:p>
              </w:tc>
              <w:tc>
                <w:tcPr>
                  <w:tcW w:w="2387" w:type="dxa"/>
                  <w:noWrap w:val="0"/>
                  <w:vAlign w:val="center"/>
                </w:tcPr>
                <w:p w14:paraId="701F12F8">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ascii="Times New Roman" w:hAnsi="Times New Roman"/>
                      <w:bCs/>
                      <w:kern w:val="2"/>
                      <w:sz w:val="21"/>
                      <w:szCs w:val="21"/>
                      <w:highlight w:val="none"/>
                      <w:lang w:bidi="ar"/>
                    </w:rPr>
                    <w:t>本项目</w:t>
                  </w:r>
                  <w:r>
                    <w:rPr>
                      <w:rFonts w:hint="eastAsia"/>
                      <w:bCs/>
                      <w:kern w:val="2"/>
                      <w:sz w:val="21"/>
                      <w:szCs w:val="21"/>
                      <w:highlight w:val="none"/>
                      <w:lang w:eastAsia="zh-CN" w:bidi="ar"/>
                    </w:rPr>
                    <w:t>施工过程中产生的各类固体废物均得到合理分类处置，不会对周边环境造成不利影响</w:t>
                  </w:r>
                  <w:r>
                    <w:rPr>
                      <w:rFonts w:ascii="Times New Roman" w:hAnsi="Times New Roman"/>
                      <w:bCs/>
                      <w:kern w:val="2"/>
                      <w:sz w:val="21"/>
                      <w:szCs w:val="21"/>
                      <w:highlight w:val="none"/>
                      <w:lang w:bidi="ar"/>
                    </w:rPr>
                    <w:t>。</w:t>
                  </w:r>
                </w:p>
              </w:tc>
              <w:tc>
                <w:tcPr>
                  <w:tcW w:w="491" w:type="dxa"/>
                  <w:noWrap w:val="0"/>
                  <w:vAlign w:val="center"/>
                </w:tcPr>
                <w:p w14:paraId="00AC0CD7">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98D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24084D2">
                  <w:pPr>
                    <w:pStyle w:val="4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资源利用方面</w:t>
                  </w:r>
                </w:p>
              </w:tc>
              <w:tc>
                <w:tcPr>
                  <w:tcW w:w="668" w:type="dxa"/>
                  <w:noWrap w:val="0"/>
                  <w:vAlign w:val="center"/>
                </w:tcPr>
                <w:p w14:paraId="14610DC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水资源节约</w:t>
                  </w:r>
                </w:p>
              </w:tc>
              <w:tc>
                <w:tcPr>
                  <w:tcW w:w="3654" w:type="dxa"/>
                  <w:noWrap w:val="0"/>
                  <w:vAlign w:val="center"/>
                </w:tcPr>
                <w:p w14:paraId="5BBD6F77">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以水生态环境质量为核心，统筹水资源利用、水生态保护和水环境治理</w:t>
                  </w:r>
                  <w:r>
                    <w:rPr>
                      <w:rFonts w:hint="eastAsia" w:ascii="Times New Roman" w:hAnsi="Times New Roman" w:cs="Times New Roman"/>
                      <w:bCs/>
                      <w:kern w:val="2"/>
                      <w:sz w:val="21"/>
                      <w:szCs w:val="21"/>
                      <w:lang w:val="en-US" w:eastAsia="zh-CN" w:bidi="ar"/>
                    </w:rPr>
                    <w:t>，对</w:t>
                  </w:r>
                  <w:r>
                    <w:rPr>
                      <w:rFonts w:hint="eastAsia" w:ascii="Times New Roman" w:hAnsi="Times New Roman" w:eastAsia="宋体" w:cs="Times New Roman"/>
                      <w:bCs/>
                      <w:kern w:val="2"/>
                      <w:sz w:val="21"/>
                      <w:szCs w:val="21"/>
                      <w:lang w:val="en-US" w:eastAsia="zh-CN" w:bidi="ar"/>
                    </w:rPr>
                    <w:t>污染减排和生态扩容两手发力，保好水、治差水，持续推进水污染防治攻坚行动，严格落实水污染物排放总量控制制度，确保水资源、水生态、水环境统筹推进格局初步形成。</w:t>
                  </w:r>
                </w:p>
              </w:tc>
              <w:tc>
                <w:tcPr>
                  <w:tcW w:w="2387" w:type="dxa"/>
                  <w:noWrap w:val="0"/>
                  <w:vAlign w:val="center"/>
                </w:tcPr>
                <w:p w14:paraId="7333061B">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default" w:ascii="Times New Roman" w:hAnsi="Times New Roman" w:eastAsia="宋体" w:cs="Times New Roman"/>
                      <w:bCs/>
                      <w:kern w:val="2"/>
                      <w:sz w:val="21"/>
                      <w:szCs w:val="21"/>
                      <w:lang w:val="en-US" w:eastAsia="zh-CN" w:bidi="ar"/>
                    </w:rPr>
                    <w:t>项目的</w:t>
                  </w:r>
                  <w:r>
                    <w:rPr>
                      <w:rFonts w:hint="eastAsia" w:ascii="Times New Roman" w:hAnsi="Times New Roman" w:cs="Times New Roman"/>
                      <w:bCs/>
                      <w:kern w:val="2"/>
                      <w:sz w:val="21"/>
                      <w:szCs w:val="21"/>
                      <w:lang w:val="en-US" w:eastAsia="zh-CN" w:bidi="ar"/>
                    </w:rPr>
                    <w:t>实施</w:t>
                  </w:r>
                  <w:r>
                    <w:rPr>
                      <w:rFonts w:hint="default" w:ascii="Times New Roman" w:hAnsi="Times New Roman" w:eastAsia="宋体" w:cs="Times New Roman"/>
                      <w:bCs/>
                      <w:kern w:val="2"/>
                      <w:sz w:val="21"/>
                      <w:szCs w:val="21"/>
                      <w:lang w:val="en-US" w:eastAsia="zh-CN" w:bidi="ar"/>
                    </w:rPr>
                    <w:t>有助于提高水资源利用效率，减少水资源浪费，通过建设防渗渠，降低渠道输水过程中的渗漏损失，实现水资源的合理有效利用</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DB59F21">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bl>
          <w:p w14:paraId="2A0933FE">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eastAsia" w:ascii="Times New Roman" w:hAnsi="Times New Roman"/>
                <w:b/>
                <w:kern w:val="2"/>
                <w:szCs w:val="24"/>
                <w:lang w:val="en-US" w:eastAsia="zh-CN" w:bidi="ar"/>
              </w:rPr>
            </w:pPr>
            <w:r>
              <w:rPr>
                <w:rFonts w:hint="eastAsia" w:ascii="Times New Roman" w:hAnsi="Times New Roman"/>
                <w:b/>
                <w:kern w:val="2"/>
                <w:szCs w:val="24"/>
                <w:lang w:val="en-US" w:eastAsia="zh-CN" w:bidi="ar"/>
              </w:rPr>
              <w:t>6《“十四五”重大农业节水供水工程实施方案》符合性分析</w:t>
            </w:r>
          </w:p>
          <w:p w14:paraId="7608675A">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default" w:ascii="Times New Roman" w:hAnsi="Times New Roman"/>
                <w:b w:val="0"/>
                <w:bCs/>
                <w:kern w:val="2"/>
                <w:szCs w:val="24"/>
                <w:lang w:val="en-US" w:eastAsia="zh-CN" w:bidi="ar"/>
              </w:rPr>
              <w:t>《“十四五”重大农业节水供水工程实施方案》</w:t>
            </w:r>
            <w:r>
              <w:rPr>
                <w:rFonts w:hint="eastAsia" w:ascii="Times New Roman" w:hAnsi="Times New Roman"/>
                <w:b w:val="0"/>
                <w:bCs/>
                <w:kern w:val="2"/>
                <w:szCs w:val="24"/>
                <w:lang w:val="en-US" w:eastAsia="zh-CN" w:bidi="ar"/>
              </w:rPr>
              <w:t>中</w:t>
            </w:r>
            <w:r>
              <w:rPr>
                <w:rFonts w:hint="default" w:ascii="Times New Roman" w:hAnsi="Times New Roman"/>
                <w:b w:val="0"/>
                <w:bCs/>
                <w:kern w:val="2"/>
                <w:szCs w:val="24"/>
                <w:lang w:val="en-US" w:eastAsia="zh-CN" w:bidi="ar"/>
              </w:rPr>
              <w:t>明确在“十四五”期间优先推进实施纳入国务院确定的150项重大水利工程建设范围的30处新建大型灌区，优选124处已建大型灌区实施续建配套和现代化改造，中央预算内投资将予以积极支持，同时要求地方统筹加大财政支持力度，创新投融资体制机制，多渠道筹集资金，确保建设资金及时足额到位。</w:t>
            </w:r>
          </w:p>
          <w:p w14:paraId="1F0BB7F1">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eastAsia" w:ascii="Times New Roman" w:hAnsi="Times New Roman"/>
                <w:b w:val="0"/>
                <w:bCs/>
                <w:kern w:val="2"/>
                <w:szCs w:val="24"/>
                <w:lang w:val="en-US" w:eastAsia="zh-CN" w:bidi="ar"/>
              </w:rPr>
              <w:t>本项目</w:t>
            </w:r>
            <w:r>
              <w:rPr>
                <w:rFonts w:hint="default" w:ascii="Times New Roman" w:hAnsi="Times New Roman"/>
                <w:b w:val="0"/>
                <w:bCs/>
                <w:kern w:val="2"/>
                <w:szCs w:val="24"/>
                <w:lang w:val="en-US" w:eastAsia="zh-CN" w:bidi="ar"/>
              </w:rPr>
              <w:t>防渗渠</w:t>
            </w:r>
            <w:r>
              <w:rPr>
                <w:rFonts w:hint="eastAsia" w:ascii="Times New Roman" w:hAnsi="Times New Roman"/>
                <w:b w:val="0"/>
                <w:bCs/>
                <w:kern w:val="2"/>
                <w:szCs w:val="24"/>
                <w:lang w:val="en-US" w:eastAsia="zh-CN" w:bidi="ar"/>
              </w:rPr>
              <w:t>建设</w:t>
            </w:r>
            <w:r>
              <w:rPr>
                <w:rFonts w:hint="default" w:ascii="Times New Roman" w:hAnsi="Times New Roman"/>
                <w:b w:val="0"/>
                <w:bCs/>
                <w:kern w:val="2"/>
                <w:szCs w:val="24"/>
                <w:lang w:val="en-US" w:eastAsia="zh-CN" w:bidi="ar"/>
              </w:rPr>
              <w:t>项目具有良好的符合性</w:t>
            </w:r>
            <w:r>
              <w:rPr>
                <w:rFonts w:hint="eastAsia" w:ascii="Times New Roman" w:hAnsi="Times New Roman"/>
                <w:b w:val="0"/>
                <w:bCs/>
                <w:kern w:val="2"/>
                <w:szCs w:val="24"/>
                <w:lang w:val="en-US" w:eastAsia="zh-CN" w:bidi="ar"/>
              </w:rPr>
              <w:t>，符合方案中提高灌区灌溉保证率、提升农业节水效率、完善农田灌溉设施体系的发展方向，能够有效减少灌溉过程中的水资源渗漏损失，助力农业节水目标的实现。</w:t>
            </w:r>
          </w:p>
          <w:p w14:paraId="79A12F47">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eastAsia="宋体" w:cs="Times New Roman"/>
                <w:b/>
                <w:kern w:val="2"/>
                <w:szCs w:val="24"/>
                <w:lang w:val="en-US" w:eastAsia="zh-CN" w:bidi="ar"/>
              </w:rPr>
            </w:pPr>
            <w:r>
              <w:rPr>
                <w:rFonts w:hint="eastAsia" w:ascii="Times New Roman" w:hAnsi="Times New Roman" w:eastAsia="宋体" w:cs="Times New Roman"/>
                <w:b/>
                <w:kern w:val="2"/>
                <w:szCs w:val="24"/>
                <w:lang w:val="en-US" w:eastAsia="zh-CN" w:bidi="ar"/>
              </w:rPr>
              <w:t>7</w:t>
            </w:r>
            <w:r>
              <w:rPr>
                <w:rFonts w:hint="default" w:ascii="Times New Roman" w:hAnsi="Times New Roman" w:eastAsia="宋体" w:cs="Times New Roman"/>
                <w:b/>
                <w:kern w:val="2"/>
                <w:szCs w:val="24"/>
                <w:lang w:val="en-US" w:eastAsia="zh-CN" w:bidi="ar"/>
              </w:rPr>
              <w:t>与《水利建设项目（灌区工程）环境影响评价文件审批原则（试行）》的符合性分析</w:t>
            </w:r>
          </w:p>
          <w:p w14:paraId="49EFBEC8">
            <w:pPr>
              <w:pStyle w:val="3"/>
              <w:pageBreakBefore w:val="0"/>
              <w:widowControl w:val="0"/>
              <w:kinsoku/>
              <w:wordWrap/>
              <w:overflowPunct/>
              <w:topLinePunct w:val="0"/>
              <w:autoSpaceDN/>
              <w:bidi w:val="0"/>
              <w:adjustRightInd/>
              <w:snapToGrid/>
              <w:spacing w:line="520" w:lineRule="exact"/>
              <w:jc w:val="center"/>
              <w:textAlignment w:val="auto"/>
              <w:rPr>
                <w:rFonts w:hint="default" w:ascii="Times New Roman" w:hAnsi="Times New Roman" w:eastAsia="宋体" w:cs="Times New Roman"/>
                <w:b/>
                <w:bCs w:val="0"/>
                <w:kern w:val="2"/>
                <w:sz w:val="24"/>
                <w:szCs w:val="24"/>
                <w:lang w:val="en-US" w:eastAsia="zh-CN" w:bidi="ar"/>
              </w:rPr>
            </w:pPr>
            <w:r>
              <w:rPr>
                <w:rFonts w:hint="default" w:ascii="Times New Roman" w:hAnsi="Times New Roman" w:eastAsia="宋体" w:cs="Times New Roman"/>
                <w:b/>
                <w:bCs w:val="0"/>
                <w:kern w:val="2"/>
                <w:sz w:val="24"/>
                <w:szCs w:val="24"/>
                <w:lang w:val="en-US" w:eastAsia="zh-CN" w:bidi="ar"/>
              </w:rPr>
              <w:t>表1-</w:t>
            </w:r>
            <w:r>
              <w:rPr>
                <w:rFonts w:hint="eastAsia" w:ascii="Times New Roman" w:hAnsi="Times New Roman" w:eastAsia="宋体" w:cs="Times New Roman"/>
                <w:b/>
                <w:bCs w:val="0"/>
                <w:kern w:val="2"/>
                <w:sz w:val="24"/>
                <w:szCs w:val="24"/>
                <w:lang w:val="en-US" w:eastAsia="zh-CN" w:bidi="ar"/>
              </w:rPr>
              <w:t>7</w:t>
            </w:r>
            <w:r>
              <w:rPr>
                <w:rFonts w:hint="default" w:ascii="Times New Roman" w:hAnsi="Times New Roman" w:eastAsia="宋体" w:cs="Times New Roman"/>
                <w:b/>
                <w:bCs w:val="0"/>
                <w:kern w:val="2"/>
                <w:sz w:val="24"/>
                <w:szCs w:val="24"/>
                <w:lang w:val="en-US" w:eastAsia="zh-CN" w:bidi="ar"/>
              </w:rPr>
              <w:t xml:space="preserve">  与《水利建设项目（灌区工程）环境影响评价文件审批原则（试行）》符合性分析</w:t>
            </w:r>
          </w:p>
          <w:tbl>
            <w:tblPr>
              <w:tblStyle w:val="2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0"/>
              <w:gridCol w:w="2839"/>
              <w:gridCol w:w="709"/>
            </w:tblGrid>
            <w:tr w14:paraId="7101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727F51C3">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要求</w:t>
                  </w:r>
                </w:p>
              </w:tc>
              <w:tc>
                <w:tcPr>
                  <w:tcW w:w="1801" w:type="pct"/>
                  <w:noWrap w:val="0"/>
                  <w:vAlign w:val="center"/>
                </w:tcPr>
                <w:p w14:paraId="13051429">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本项目情况</w:t>
                  </w:r>
                </w:p>
              </w:tc>
              <w:tc>
                <w:tcPr>
                  <w:tcW w:w="450" w:type="pct"/>
                  <w:noWrap w:val="0"/>
                  <w:vAlign w:val="center"/>
                </w:tcPr>
                <w:p w14:paraId="5586A02F">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w:t>
                  </w:r>
                </w:p>
              </w:tc>
            </w:tr>
            <w:tr w14:paraId="4A2F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80E63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条 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w:t>
                  </w:r>
                </w:p>
                <w:p w14:paraId="4125594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项目水资源开发利用符合以水定产、以水定地原则，未超出流域区域水资源利用上限，灌溉定额、灌溉用水保证率、灌溉水有效利用系数满足流域区域用水效率控制要求。</w:t>
                  </w:r>
                </w:p>
              </w:tc>
              <w:tc>
                <w:tcPr>
                  <w:tcW w:w="1801" w:type="pct"/>
                  <w:noWrap w:val="0"/>
                  <w:vAlign w:val="center"/>
                </w:tcPr>
                <w:p w14:paraId="1A80FD79">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本项目符合新疆瓦石峡河流域综合规划中对灌区的节水要求</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本工程不新增取水，建成后</w:t>
                  </w:r>
                  <w:r>
                    <w:rPr>
                      <w:rFonts w:hint="default" w:ascii="Times New Roman" w:hAnsi="Times New Roman" w:eastAsia="宋体" w:cs="Times New Roman"/>
                      <w:bCs/>
                      <w:kern w:val="2"/>
                      <w:sz w:val="21"/>
                      <w:szCs w:val="21"/>
                      <w:lang w:val="en-US" w:eastAsia="zh-CN" w:bidi="ar"/>
                    </w:rPr>
                    <w:t>有助于提高水资源利用效率，降低渠道输水过程中的渗漏损失</w:t>
                  </w:r>
                  <w:r>
                    <w:rPr>
                      <w:rFonts w:hint="eastAsia" w:ascii="宋体" w:hAnsi="宋体" w:eastAsia="宋体" w:cs="宋体"/>
                      <w:color w:val="auto"/>
                      <w:sz w:val="21"/>
                      <w:szCs w:val="21"/>
                      <w:highlight w:val="none"/>
                    </w:rPr>
                    <w:t>。</w:t>
                  </w:r>
                </w:p>
              </w:tc>
              <w:tc>
                <w:tcPr>
                  <w:tcW w:w="450" w:type="pct"/>
                  <w:noWrap w:val="0"/>
                  <w:vAlign w:val="center"/>
                </w:tcPr>
                <w:p w14:paraId="523A3865">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5FB8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747" w:type="pct"/>
                  <w:noWrap w:val="0"/>
                  <w:vAlign w:val="center"/>
                </w:tcPr>
                <w:p w14:paraId="428E1CA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 项目选址选线、取（蓄）水工程淹没、施工布置等不占用自然保护区、风景名胜区、世界文化和自然遗产地以及其他生态保护红线中法律法规禁止占用的区域，并与饮用水水源保护区、重要湿地等环境敏感区的保护要求相协调。</w:t>
                  </w:r>
                </w:p>
              </w:tc>
              <w:tc>
                <w:tcPr>
                  <w:tcW w:w="1801" w:type="pct"/>
                  <w:noWrap w:val="0"/>
                  <w:vAlign w:val="center"/>
                </w:tcPr>
                <w:p w14:paraId="2A049CE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本项目占地范围及施工布置不占用自然保护区、风景名胜区、世界文化和自然遗产地以及其他生态保护红线中法律法规禁止占用的区域</w:t>
                  </w:r>
                  <w:r>
                    <w:rPr>
                      <w:rFonts w:hint="eastAsia" w:ascii="宋体" w:hAnsi="宋体" w:eastAsia="宋体" w:cs="宋体"/>
                      <w:color w:val="auto"/>
                      <w:sz w:val="21"/>
                      <w:szCs w:val="21"/>
                      <w:highlight w:val="none"/>
                      <w:lang w:eastAsia="zh-CN"/>
                    </w:rPr>
                    <w:t>。</w:t>
                  </w:r>
                </w:p>
              </w:tc>
              <w:tc>
                <w:tcPr>
                  <w:tcW w:w="450" w:type="pct"/>
                  <w:noWrap w:val="0"/>
                  <w:vAlign w:val="center"/>
                </w:tcPr>
                <w:p w14:paraId="17484AF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637F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7" w:type="pct"/>
                  <w:noWrap w:val="0"/>
                  <w:vAlign w:val="center"/>
                </w:tcPr>
                <w:p w14:paraId="18DB8AC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项目施工组织方案具有环境合理性，对主体工程区、料场、弃土（渣）场、施工道路等施工区域提出了水土流失防治、生态修复等措施。根据环境保护相关标准和要求，提出了施工期废（污）水、施工机械车辆尾气、扬尘、噪声、固体废物等防治措施。</w:t>
                  </w:r>
                </w:p>
              </w:tc>
              <w:tc>
                <w:tcPr>
                  <w:tcW w:w="1801" w:type="pct"/>
                  <w:noWrap w:val="0"/>
                  <w:vAlign w:val="center"/>
                </w:tcPr>
                <w:p w14:paraId="0AE73F3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本项目施工组织方案较为合理，本项目已</w:t>
                  </w:r>
                  <w:r>
                    <w:rPr>
                      <w:rFonts w:hint="eastAsia" w:ascii="宋体" w:hAnsi="宋体" w:eastAsia="宋体" w:cs="宋体"/>
                      <w:color w:val="auto"/>
                      <w:sz w:val="21"/>
                      <w:szCs w:val="21"/>
                      <w:highlight w:val="none"/>
                      <w:lang w:eastAsia="zh-CN"/>
                    </w:rPr>
                    <w:t>提出有</w:t>
                  </w:r>
                  <w:r>
                    <w:rPr>
                      <w:rFonts w:hint="eastAsia" w:ascii="宋体" w:hAnsi="宋体" w:eastAsia="宋体" w:cs="宋体"/>
                      <w:color w:val="auto"/>
                      <w:sz w:val="21"/>
                      <w:szCs w:val="21"/>
                      <w:highlight w:val="none"/>
                    </w:rPr>
                    <w:t>相应的环保措施，在实施过程中对环境产生的影响是生态破坏、废水、噪声、粉尘的产生，在采取相应的控制措施后各种影响都在可接受的范围内。</w:t>
                  </w:r>
                </w:p>
              </w:tc>
              <w:tc>
                <w:tcPr>
                  <w:tcW w:w="450" w:type="pct"/>
                  <w:noWrap w:val="0"/>
                  <w:vAlign w:val="center"/>
                </w:tcPr>
                <w:p w14:paraId="25798F8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7EE1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68C09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第十一条 改、扩建或依托现有工程的项目，在全面梳理与项目有关的现有工程环境问题的基础上，提出了与项目相适应的“以新带老”措施。</w:t>
                  </w:r>
                </w:p>
              </w:tc>
              <w:tc>
                <w:tcPr>
                  <w:tcW w:w="1801" w:type="pct"/>
                  <w:noWrap w:val="0"/>
                  <w:vAlign w:val="center"/>
                </w:tcPr>
                <w:p w14:paraId="0CBBE910">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为防渗建设项目，依托</w:t>
                  </w:r>
                  <w:r>
                    <w:rPr>
                      <w:rFonts w:hint="eastAsia" w:ascii="宋体" w:hAnsi="宋体" w:eastAsia="宋体" w:cs="宋体"/>
                      <w:color w:val="auto"/>
                      <w:sz w:val="21"/>
                      <w:szCs w:val="21"/>
                      <w:highlight w:val="none"/>
                    </w:rPr>
                    <w:t>现有土质渠道进行</w:t>
                  </w:r>
                  <w:r>
                    <w:rPr>
                      <w:rFonts w:hint="eastAsia" w:ascii="宋体" w:hAnsi="宋体" w:cs="宋体"/>
                      <w:color w:val="auto"/>
                      <w:sz w:val="21"/>
                      <w:szCs w:val="21"/>
                      <w:highlight w:val="none"/>
                      <w:lang w:val="en-US" w:eastAsia="zh-CN"/>
                    </w:rPr>
                    <w:t>建设</w:t>
                  </w:r>
                  <w:r>
                    <w:rPr>
                      <w:rFonts w:hint="eastAsia" w:ascii="宋体" w:hAnsi="宋体" w:eastAsia="宋体" w:cs="宋体"/>
                      <w:color w:val="auto"/>
                      <w:sz w:val="21"/>
                      <w:szCs w:val="21"/>
                      <w:highlight w:val="none"/>
                    </w:rPr>
                    <w:t>，</w:t>
                  </w:r>
                  <w:r>
                    <w:rPr>
                      <w:rFonts w:hint="eastAsia"/>
                      <w:lang w:val="en-US" w:eastAsia="zh-CN"/>
                    </w:rPr>
                    <w:t>能有效</w:t>
                  </w:r>
                  <w:r>
                    <w:rPr>
                      <w:rFonts w:hint="eastAsia" w:ascii="宋体" w:hAnsi="宋体" w:eastAsia="宋体" w:cs="宋体"/>
                      <w:color w:val="auto"/>
                      <w:sz w:val="21"/>
                      <w:szCs w:val="21"/>
                      <w:highlight w:val="none"/>
                    </w:rPr>
                    <w:t>改善现状灌区水土流失现象，提高渠道水利用系数，且各渠道均沿原</w:t>
                  </w:r>
                  <w:r>
                    <w:rPr>
                      <w:rFonts w:hint="eastAsia" w:ascii="宋体" w:hAnsi="宋体" w:cs="宋体"/>
                      <w:color w:val="auto"/>
                      <w:sz w:val="21"/>
                      <w:szCs w:val="21"/>
                      <w:highlight w:val="none"/>
                      <w:lang w:val="en-US" w:eastAsia="zh-CN"/>
                    </w:rPr>
                    <w:t>有土</w:t>
                  </w:r>
                  <w:r>
                    <w:rPr>
                      <w:rFonts w:hint="eastAsia" w:ascii="宋体" w:hAnsi="宋体" w:eastAsia="宋体" w:cs="宋体"/>
                      <w:color w:val="auto"/>
                      <w:sz w:val="21"/>
                      <w:szCs w:val="21"/>
                      <w:highlight w:val="none"/>
                    </w:rPr>
                    <w:t>渠进行建设，不破坏渠道周边环境。</w:t>
                  </w:r>
                </w:p>
              </w:tc>
              <w:tc>
                <w:tcPr>
                  <w:tcW w:w="450" w:type="pct"/>
                  <w:noWrap w:val="0"/>
                  <w:vAlign w:val="center"/>
                </w:tcPr>
                <w:p w14:paraId="4E404C56">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bl>
          <w:p w14:paraId="580455BB">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b/>
                <w:bCs w:val="0"/>
                <w:kern w:val="2"/>
                <w:szCs w:val="24"/>
                <w:lang w:val="en-US" w:eastAsia="zh-CN" w:bidi="ar"/>
              </w:rPr>
            </w:pPr>
            <w:r>
              <w:rPr>
                <w:rFonts w:hint="eastAsia" w:ascii="Times New Roman" w:hAnsi="Times New Roman"/>
                <w:b/>
                <w:bCs w:val="0"/>
                <w:kern w:val="2"/>
                <w:szCs w:val="24"/>
                <w:lang w:val="en-US" w:eastAsia="zh-CN" w:bidi="ar"/>
              </w:rPr>
              <w:t>8与《中华人民共和国生态环境法典》符合性分析</w:t>
            </w:r>
          </w:p>
          <w:p w14:paraId="3F4C9B01">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宋体" w:hAnsi="宋体" w:eastAsia="宋体" w:cs="宋体"/>
                <w:sz w:val="24"/>
                <w:szCs w:val="24"/>
              </w:rPr>
            </w:pPr>
            <w:r>
              <w:rPr>
                <w:rFonts w:ascii="宋体" w:hAnsi="宋体" w:eastAsia="宋体" w:cs="宋体"/>
                <w:sz w:val="24"/>
                <w:szCs w:val="24"/>
              </w:rPr>
              <w:t>依据《</w:t>
            </w:r>
            <w:r>
              <w:rPr>
                <w:rFonts w:hint="eastAsia" w:ascii="宋体" w:hAnsi="宋体" w:eastAsia="宋体" w:cs="宋体"/>
                <w:sz w:val="24"/>
                <w:szCs w:val="24"/>
                <w:lang w:val="en-US" w:eastAsia="zh-CN"/>
              </w:rPr>
              <w:t>中华人民共和国生态环境法典</w:t>
            </w:r>
            <w:r>
              <w:rPr>
                <w:rFonts w:ascii="宋体" w:hAnsi="宋体" w:eastAsia="宋体" w:cs="宋体"/>
                <w:sz w:val="24"/>
                <w:szCs w:val="24"/>
              </w:rPr>
              <w:t>》</w:t>
            </w:r>
            <w:r>
              <w:rPr>
                <w:rFonts w:hint="default" w:ascii="宋体" w:hAnsi="宋体" w:eastAsia="宋体" w:cs="宋体"/>
                <w:sz w:val="24"/>
                <w:szCs w:val="24"/>
              </w:rPr>
              <w:t>第七百九十三条</w:t>
            </w:r>
            <w:r>
              <w:rPr>
                <w:rFonts w:ascii="宋体" w:hAnsi="宋体" w:eastAsia="宋体" w:cs="宋体"/>
                <w:sz w:val="24"/>
                <w:szCs w:val="24"/>
              </w:rPr>
              <w:t>，</w:t>
            </w:r>
            <w:r>
              <w:rPr>
                <w:rFonts w:hint="default" w:ascii="宋体" w:hAnsi="宋体" w:eastAsia="宋体" w:cs="宋体"/>
                <w:sz w:val="24"/>
                <w:szCs w:val="24"/>
              </w:rPr>
              <w:t>国家大力推行节约用水措施，推广节约用水新技术、新工艺，发展节水型工业、农业和服务业，推进生活节水，加强生活废水循环利用</w:t>
            </w:r>
            <w:r>
              <w:rPr>
                <w:rFonts w:ascii="宋体" w:hAnsi="宋体" w:eastAsia="宋体" w:cs="宋体"/>
                <w:sz w:val="24"/>
                <w:szCs w:val="24"/>
              </w:rPr>
              <w:t>。</w:t>
            </w:r>
            <w:r>
              <w:rPr>
                <w:rFonts w:hint="default" w:ascii="宋体" w:hAnsi="宋体" w:eastAsia="宋体" w:cs="宋体"/>
                <w:sz w:val="24"/>
                <w:szCs w:val="24"/>
              </w:rPr>
              <w:t>县级以上人民政府及其有关部门应当推行节水灌溉方式和节水技术，提高农业用水效率，加强灌区建设和改造，发展节水型农业。</w:t>
            </w:r>
          </w:p>
          <w:p w14:paraId="285482D8">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b/>
                <w:sz w:val="24"/>
                <w:lang w:bidi="ar"/>
              </w:rPr>
            </w:pPr>
            <w:r>
              <w:rPr>
                <w:rFonts w:ascii="宋体" w:hAnsi="宋体" w:eastAsia="宋体" w:cs="宋体"/>
                <w:sz w:val="24"/>
                <w:szCs w:val="24"/>
              </w:rPr>
              <w:t>本工程</w:t>
            </w:r>
            <w:r>
              <w:rPr>
                <w:rFonts w:hint="eastAsia" w:ascii="宋体" w:hAnsi="宋体" w:eastAsia="宋体" w:cs="宋体"/>
                <w:sz w:val="24"/>
                <w:szCs w:val="24"/>
                <w:lang w:val="en-US" w:eastAsia="zh-CN"/>
              </w:rPr>
              <w:t>依托</w:t>
            </w:r>
            <w:r>
              <w:rPr>
                <w:rFonts w:ascii="宋体" w:hAnsi="宋体" w:eastAsia="宋体" w:cs="宋体"/>
                <w:sz w:val="24"/>
                <w:szCs w:val="24"/>
              </w:rPr>
              <w:t>现有灌区</w:t>
            </w:r>
            <w:r>
              <w:rPr>
                <w:rFonts w:hint="eastAsia" w:ascii="宋体" w:hAnsi="宋体" w:eastAsia="宋体" w:cs="宋体"/>
                <w:sz w:val="24"/>
                <w:szCs w:val="24"/>
                <w:lang w:val="en-US" w:eastAsia="zh-CN"/>
              </w:rPr>
              <w:t>土渠建设防渗渠道</w:t>
            </w:r>
            <w:r>
              <w:rPr>
                <w:rFonts w:ascii="宋体" w:hAnsi="宋体" w:eastAsia="宋体" w:cs="宋体"/>
                <w:sz w:val="24"/>
                <w:szCs w:val="24"/>
              </w:rPr>
              <w:t>，水源取自</w:t>
            </w:r>
            <w:r>
              <w:rPr>
                <w:rFonts w:hint="eastAsia" w:ascii="宋体" w:hAnsi="宋体" w:eastAsia="宋体" w:cs="宋体"/>
                <w:sz w:val="24"/>
                <w:szCs w:val="24"/>
                <w:lang w:val="en-US" w:eastAsia="zh-CN"/>
              </w:rPr>
              <w:t>已</w:t>
            </w:r>
            <w:r>
              <w:rPr>
                <w:rFonts w:ascii="宋体" w:hAnsi="宋体" w:eastAsia="宋体" w:cs="宋体"/>
                <w:sz w:val="24"/>
                <w:szCs w:val="24"/>
              </w:rPr>
              <w:t>有斗渠，不新增取水量、不新增河道取水口，不突破区域用水总量指标，符合水资源总量管控要求。项目落实法典</w:t>
            </w:r>
            <w:r>
              <w:rPr>
                <w:rStyle w:val="25"/>
                <w:rFonts w:ascii="宋体" w:hAnsi="宋体" w:eastAsia="宋体" w:cs="宋体"/>
                <w:b w:val="0"/>
                <w:bCs/>
                <w:sz w:val="24"/>
                <w:szCs w:val="24"/>
              </w:rPr>
              <w:t>节水优先</w:t>
            </w:r>
            <w:r>
              <w:rPr>
                <w:rFonts w:ascii="宋体" w:hAnsi="宋体" w:eastAsia="宋体" w:cs="宋体"/>
                <w:sz w:val="24"/>
                <w:szCs w:val="24"/>
              </w:rPr>
              <w:t>方针，通过土渠改造为防渗渠，减少输水渗漏损失，提升农业灌溉水利用效率，</w:t>
            </w:r>
            <w:r>
              <w:rPr>
                <w:rFonts w:hint="eastAsia" w:ascii="宋体" w:hAnsi="宋体" w:eastAsia="宋体" w:cs="宋体"/>
                <w:sz w:val="24"/>
                <w:szCs w:val="24"/>
                <w:lang w:val="en-US" w:eastAsia="zh-CN"/>
              </w:rPr>
              <w:t>符合</w:t>
            </w:r>
            <w:r>
              <w:rPr>
                <w:rFonts w:hint="eastAsia" w:ascii="Times New Roman" w:hAnsi="Times New Roman"/>
                <w:b w:val="0"/>
                <w:bCs/>
                <w:kern w:val="2"/>
                <w:szCs w:val="24"/>
                <w:lang w:val="en-US" w:eastAsia="zh-CN" w:bidi="ar"/>
              </w:rPr>
              <w:t>《中华人民共和国生态环境法典》对</w:t>
            </w:r>
            <w:r>
              <w:rPr>
                <w:rFonts w:ascii="宋体" w:hAnsi="宋体" w:eastAsia="宋体" w:cs="宋体"/>
                <w:sz w:val="24"/>
                <w:szCs w:val="24"/>
              </w:rPr>
              <w:t>水资源节约利用的管理要求。</w:t>
            </w:r>
          </w:p>
        </w:tc>
      </w:tr>
    </w:tbl>
    <w:p w14:paraId="2C11B353">
      <w:pPr>
        <w:spacing w:line="360" w:lineRule="auto"/>
        <w:outlineLvl w:val="0"/>
        <w:rPr>
          <w:rFonts w:eastAsia="黑体"/>
          <w:sz w:val="30"/>
        </w:rPr>
        <w:sectPr>
          <w:footerReference r:id="rId5" w:type="default"/>
          <w:pgSz w:w="11906" w:h="16838"/>
          <w:pgMar w:top="1701" w:right="1531" w:bottom="1701" w:left="1531" w:header="851" w:footer="1077" w:gutter="0"/>
          <w:pgNumType w:start="1"/>
          <w:cols w:space="720" w:num="1"/>
          <w:docGrid w:linePitch="312" w:charSpace="0"/>
        </w:sectPr>
      </w:pPr>
    </w:p>
    <w:p w14:paraId="38579B17">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二、建设内容</w:t>
      </w:r>
    </w:p>
    <w:tbl>
      <w:tblPr>
        <w:tblStyle w:val="2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3B846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5A432D54">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地理位置</w:t>
            </w:r>
          </w:p>
        </w:tc>
        <w:tc>
          <w:tcPr>
            <w:tcW w:w="8380" w:type="dxa"/>
            <w:noWrap w:val="0"/>
            <w:vAlign w:val="center"/>
          </w:tcPr>
          <w:p w14:paraId="6C93EB5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snapToGrid w:val="0"/>
                <w:kern w:val="0"/>
                <w:sz w:val="24"/>
                <w:szCs w:val="24"/>
                <w:highlight w:val="none"/>
                <w:lang w:val="en-US" w:eastAsia="zh-CN"/>
              </w:rPr>
            </w:pPr>
            <w:r>
              <w:rPr>
                <w:rFonts w:hint="default" w:ascii="Times New Roman" w:hAnsi="Times New Roman" w:cs="Times New Roman"/>
                <w:snapToGrid w:val="0"/>
                <w:kern w:val="0"/>
                <w:sz w:val="24"/>
                <w:szCs w:val="24"/>
                <w:lang w:val="en-US" w:eastAsia="zh-CN"/>
              </w:rPr>
              <w:t>本项目</w:t>
            </w:r>
            <w:r>
              <w:rPr>
                <w:rFonts w:hint="default" w:ascii="Times New Roman" w:hAnsi="Times New Roman" w:cs="Times New Roman"/>
                <w:snapToGrid w:val="0"/>
                <w:kern w:val="0"/>
                <w:sz w:val="24"/>
                <w:szCs w:val="24"/>
              </w:rPr>
              <w:t>位于新疆</w:t>
            </w:r>
            <w:r>
              <w:rPr>
                <w:rFonts w:hint="default" w:ascii="Times New Roman" w:hAnsi="Times New Roman" w:cs="Times New Roman"/>
                <w:snapToGrid w:val="0"/>
                <w:kern w:val="0"/>
                <w:sz w:val="24"/>
                <w:szCs w:val="24"/>
                <w:lang w:val="en-US" w:eastAsia="zh-CN"/>
              </w:rPr>
              <w:t>维吾尔自治区巴音郭楞蒙古自治州</w:t>
            </w:r>
            <w:r>
              <w:rPr>
                <w:rFonts w:hint="default" w:ascii="Times New Roman" w:hAnsi="Times New Roman" w:cs="Times New Roman"/>
                <w:snapToGrid w:val="0"/>
                <w:kern w:val="0"/>
                <w:sz w:val="24"/>
                <w:szCs w:val="24"/>
              </w:rPr>
              <w:t>若羌县</w:t>
            </w:r>
            <w:r>
              <w:rPr>
                <w:rFonts w:hint="default" w:ascii="Times New Roman" w:hAnsi="Times New Roman" w:cs="Times New Roman"/>
                <w:snapToGrid w:val="0"/>
                <w:kern w:val="0"/>
                <w:sz w:val="24"/>
                <w:szCs w:val="24"/>
                <w:lang w:val="en-US" w:eastAsia="zh-CN"/>
              </w:rPr>
              <w:t>瓦石峡镇</w:t>
            </w:r>
            <w:r>
              <w:rPr>
                <w:rFonts w:hint="default" w:ascii="Times New Roman" w:hAnsi="Times New Roman" w:cs="Times New Roman"/>
                <w:snapToGrid w:val="0"/>
                <w:kern w:val="0"/>
                <w:sz w:val="24"/>
                <w:szCs w:val="24"/>
              </w:rPr>
              <w:t>吾塔木</w:t>
            </w:r>
            <w:r>
              <w:rPr>
                <w:rFonts w:hint="default" w:ascii="Times New Roman" w:hAnsi="Times New Roman" w:cs="Times New Roman"/>
                <w:snapToGrid w:val="0"/>
                <w:kern w:val="0"/>
                <w:sz w:val="24"/>
                <w:szCs w:val="24"/>
                <w:lang w:val="en-US" w:eastAsia="zh-CN"/>
              </w:rPr>
              <w:t>村</w:t>
            </w:r>
            <w:r>
              <w:rPr>
                <w:rFonts w:hint="default" w:ascii="Times New Roman" w:hAnsi="Times New Roman" w:cs="Times New Roman"/>
                <w:snapToGrid w:val="0"/>
                <w:kern w:val="0"/>
                <w:sz w:val="24"/>
                <w:szCs w:val="24"/>
                <w:lang w:eastAsia="zh-CN"/>
              </w:rPr>
              <w:t>，</w:t>
            </w:r>
            <w:r>
              <w:rPr>
                <w:rFonts w:hint="default" w:ascii="Times New Roman" w:hAnsi="Times New Roman" w:cs="Times New Roman"/>
                <w:snapToGrid w:val="0"/>
                <w:kern w:val="0"/>
                <w:sz w:val="24"/>
                <w:szCs w:val="24"/>
                <w:lang w:val="en-US" w:eastAsia="zh-CN"/>
              </w:rPr>
              <w:t>项目</w:t>
            </w:r>
            <w:r>
              <w:rPr>
                <w:rFonts w:hint="default" w:ascii="Times New Roman" w:hAnsi="Times New Roman" w:cs="Times New Roman"/>
                <w:snapToGrid w:val="0"/>
                <w:kern w:val="0"/>
                <w:sz w:val="24"/>
                <w:szCs w:val="24"/>
                <w:highlight w:val="none"/>
                <w:lang w:val="en-US" w:eastAsia="zh-CN"/>
              </w:rPr>
              <w:t>从斗渠引水，修建防渗渠共计21条，总长7.35km。渠道线路坐标见表2-1。项目平面布置图见图2。</w:t>
            </w:r>
          </w:p>
          <w:p w14:paraId="00DE2563">
            <w:pPr>
              <w:pStyle w:val="3"/>
              <w:pageBreakBefore w:val="0"/>
              <w:widowControl w:val="0"/>
              <w:kinsoku/>
              <w:wordWrap/>
              <w:overflowPunct/>
              <w:topLinePunct w:val="0"/>
              <w:autoSpaceDE/>
              <w:autoSpaceDN/>
              <w:bidi w:val="0"/>
              <w:adjustRightInd w:val="0"/>
              <w:snapToGrid w:val="0"/>
              <w:spacing w:beforeLines="0" w:afterLines="0" w:line="480" w:lineRule="exact"/>
              <w:jc w:val="center"/>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表2-1   工程起止点坐标</w:t>
            </w:r>
          </w:p>
          <w:tbl>
            <w:tblPr>
              <w:tblStyle w:val="23"/>
              <w:tblW w:w="8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2571"/>
              <w:gridCol w:w="867"/>
              <w:gridCol w:w="2090"/>
              <w:gridCol w:w="2221"/>
            </w:tblGrid>
            <w:tr w14:paraId="104B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F2DE31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1567" w:type="pct"/>
                  <w:noWrap w:val="0"/>
                  <w:vAlign w:val="center"/>
                </w:tcPr>
                <w:p w14:paraId="77F400F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渠道名称</w:t>
                  </w:r>
                </w:p>
              </w:tc>
              <w:tc>
                <w:tcPr>
                  <w:tcW w:w="528" w:type="pct"/>
                  <w:noWrap w:val="0"/>
                  <w:vAlign w:val="center"/>
                </w:tcPr>
                <w:p w14:paraId="0CEA664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渠道长度（</w:t>
                  </w:r>
                  <w:r>
                    <w:rPr>
                      <w:rFonts w:hint="eastAsia" w:cs="Times New Roman"/>
                      <w:lang w:val="en-US" w:eastAsia="zh-CN"/>
                    </w:rPr>
                    <w:t>k</w:t>
                  </w:r>
                  <w:r>
                    <w:rPr>
                      <w:rFonts w:hint="default" w:ascii="Times New Roman" w:hAnsi="Times New Roman" w:cs="Times New Roman"/>
                      <w:lang w:val="en-US" w:eastAsia="zh-CN"/>
                    </w:rPr>
                    <w:t>m）</w:t>
                  </w:r>
                </w:p>
              </w:tc>
              <w:tc>
                <w:tcPr>
                  <w:tcW w:w="1273" w:type="pct"/>
                  <w:noWrap w:val="0"/>
                  <w:vAlign w:val="center"/>
                </w:tcPr>
                <w:p w14:paraId="5C4D089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起点坐标</w:t>
                  </w:r>
                </w:p>
              </w:tc>
              <w:tc>
                <w:tcPr>
                  <w:tcW w:w="1353" w:type="pct"/>
                  <w:noWrap w:val="0"/>
                  <w:vAlign w:val="center"/>
                </w:tcPr>
                <w:p w14:paraId="64E7B20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终点坐标</w:t>
                  </w:r>
                </w:p>
              </w:tc>
            </w:tr>
            <w:tr w14:paraId="7161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73C6B4C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1567" w:type="pct"/>
                  <w:noWrap w:val="0"/>
                  <w:vAlign w:val="center"/>
                </w:tcPr>
                <w:p w14:paraId="5E73D57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吾塔木5号条田1斗渠</w:t>
                  </w:r>
                </w:p>
              </w:tc>
              <w:tc>
                <w:tcPr>
                  <w:tcW w:w="528" w:type="pct"/>
                  <w:noWrap w:val="0"/>
                  <w:vAlign w:val="center"/>
                </w:tcPr>
                <w:p w14:paraId="451A17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eastAsia" w:cs="Times New Roman"/>
                      <w:lang w:val="en-US" w:eastAsia="zh-CN"/>
                    </w:rPr>
                    <w:t>0.30</w:t>
                  </w:r>
                </w:p>
              </w:tc>
              <w:tc>
                <w:tcPr>
                  <w:tcW w:w="1273" w:type="pct"/>
                  <w:noWrap w:val="0"/>
                  <w:vAlign w:val="center"/>
                </w:tcPr>
                <w:p w14:paraId="6FA0BEFC">
                  <w:pPr>
                    <w:pStyle w:val="4"/>
                    <w:bidi w:val="0"/>
                    <w:rPr>
                      <w:rFonts w:hint="default" w:ascii="Times New Roman" w:hAnsi="Times New Roman" w:cs="Times New Roman"/>
                      <w:highlight w:val="none"/>
                      <w:lang w:val="en-US" w:eastAsia="zh-CN"/>
                    </w:rPr>
                  </w:pPr>
                </w:p>
              </w:tc>
              <w:tc>
                <w:tcPr>
                  <w:tcW w:w="1353" w:type="pct"/>
                  <w:noWrap w:val="0"/>
                  <w:vAlign w:val="center"/>
                </w:tcPr>
                <w:p w14:paraId="3B9B2E28">
                  <w:pPr>
                    <w:pStyle w:val="4"/>
                    <w:bidi w:val="0"/>
                    <w:rPr>
                      <w:rFonts w:hint="default" w:ascii="Times New Roman" w:hAnsi="Times New Roman" w:cs="Times New Roman"/>
                      <w:highlight w:val="none"/>
                      <w:lang w:val="en-US" w:eastAsia="zh-CN"/>
                    </w:rPr>
                  </w:pPr>
                </w:p>
              </w:tc>
            </w:tr>
            <w:tr w14:paraId="2836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76" w:type="pct"/>
                  <w:noWrap w:val="0"/>
                  <w:vAlign w:val="center"/>
                </w:tcPr>
                <w:p w14:paraId="1381773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1567" w:type="pct"/>
                  <w:noWrap w:val="0"/>
                  <w:vAlign w:val="center"/>
                </w:tcPr>
                <w:p w14:paraId="4B501F7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吾塔木5号条田2斗渠</w:t>
                  </w:r>
                </w:p>
              </w:tc>
              <w:tc>
                <w:tcPr>
                  <w:tcW w:w="528" w:type="pct"/>
                  <w:noWrap w:val="0"/>
                  <w:vAlign w:val="center"/>
                </w:tcPr>
                <w:p w14:paraId="183AF1C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eastAsia" w:cs="Times New Roman"/>
                      <w:lang w:val="en-US" w:eastAsia="zh-CN"/>
                    </w:rPr>
                    <w:t>0.25</w:t>
                  </w:r>
                </w:p>
              </w:tc>
              <w:tc>
                <w:tcPr>
                  <w:tcW w:w="1273" w:type="pct"/>
                  <w:noWrap w:val="0"/>
                  <w:vAlign w:val="center"/>
                </w:tcPr>
                <w:p w14:paraId="5E54C1FF">
                  <w:pPr>
                    <w:pStyle w:val="4"/>
                    <w:bidi w:val="0"/>
                    <w:rPr>
                      <w:rFonts w:hint="default" w:ascii="Times New Roman" w:hAnsi="Times New Roman" w:cs="Times New Roman"/>
                      <w:highlight w:val="none"/>
                      <w:lang w:val="en-US" w:eastAsia="zh-CN"/>
                    </w:rPr>
                  </w:pPr>
                </w:p>
              </w:tc>
              <w:tc>
                <w:tcPr>
                  <w:tcW w:w="1353" w:type="pct"/>
                  <w:noWrap w:val="0"/>
                  <w:vAlign w:val="center"/>
                </w:tcPr>
                <w:p w14:paraId="5CB24454">
                  <w:pPr>
                    <w:pStyle w:val="4"/>
                    <w:bidi w:val="0"/>
                    <w:rPr>
                      <w:rFonts w:hint="default" w:ascii="Times New Roman" w:hAnsi="Times New Roman" w:cs="Times New Roman"/>
                      <w:highlight w:val="none"/>
                      <w:lang w:val="en-US" w:eastAsia="zh-CN"/>
                    </w:rPr>
                  </w:pPr>
                </w:p>
              </w:tc>
            </w:tr>
            <w:tr w14:paraId="4898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FEE36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1567" w:type="pct"/>
                  <w:noWrap w:val="0"/>
                  <w:vAlign w:val="center"/>
                </w:tcPr>
                <w:p w14:paraId="08B3AB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吾塔木5号条田3斗渠</w:t>
                  </w:r>
                </w:p>
              </w:tc>
              <w:tc>
                <w:tcPr>
                  <w:tcW w:w="528" w:type="pct"/>
                  <w:noWrap w:val="0"/>
                  <w:vAlign w:val="center"/>
                </w:tcPr>
                <w:p w14:paraId="51C20D6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eastAsia" w:cs="Times New Roman"/>
                      <w:lang w:val="en-US" w:eastAsia="zh-CN"/>
                    </w:rPr>
                    <w:t>0.20</w:t>
                  </w:r>
                </w:p>
              </w:tc>
              <w:tc>
                <w:tcPr>
                  <w:tcW w:w="1273" w:type="pct"/>
                  <w:noWrap w:val="0"/>
                  <w:vAlign w:val="center"/>
                </w:tcPr>
                <w:p w14:paraId="409F4029">
                  <w:pPr>
                    <w:pStyle w:val="4"/>
                    <w:bidi w:val="0"/>
                    <w:rPr>
                      <w:rFonts w:hint="default" w:ascii="Times New Roman" w:hAnsi="Times New Roman" w:cs="Times New Roman"/>
                      <w:highlight w:val="none"/>
                      <w:lang w:val="en-US" w:eastAsia="zh-CN"/>
                    </w:rPr>
                  </w:pPr>
                </w:p>
              </w:tc>
              <w:tc>
                <w:tcPr>
                  <w:tcW w:w="1353" w:type="pct"/>
                  <w:noWrap w:val="0"/>
                  <w:vAlign w:val="center"/>
                </w:tcPr>
                <w:p w14:paraId="004241E0">
                  <w:pPr>
                    <w:pStyle w:val="4"/>
                    <w:bidi w:val="0"/>
                    <w:rPr>
                      <w:rFonts w:hint="default" w:ascii="Times New Roman" w:hAnsi="Times New Roman" w:cs="Times New Roman"/>
                      <w:highlight w:val="none"/>
                      <w:lang w:val="en-US" w:eastAsia="zh-CN"/>
                    </w:rPr>
                  </w:pPr>
                </w:p>
              </w:tc>
            </w:tr>
            <w:tr w14:paraId="1593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B03D69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1567" w:type="pct"/>
                  <w:noWrap w:val="0"/>
                  <w:vAlign w:val="center"/>
                </w:tcPr>
                <w:p w14:paraId="18DBD1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吾塔木5号条田最后斗渠</w:t>
                  </w:r>
                </w:p>
              </w:tc>
              <w:tc>
                <w:tcPr>
                  <w:tcW w:w="528" w:type="pct"/>
                  <w:noWrap w:val="0"/>
                  <w:vAlign w:val="center"/>
                </w:tcPr>
                <w:p w14:paraId="0E80ED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eastAsia" w:cs="Times New Roman"/>
                      <w:lang w:val="en-US" w:eastAsia="zh-CN"/>
                    </w:rPr>
                    <w:t>0.10</w:t>
                  </w:r>
                </w:p>
              </w:tc>
              <w:tc>
                <w:tcPr>
                  <w:tcW w:w="1273" w:type="pct"/>
                  <w:noWrap w:val="0"/>
                  <w:vAlign w:val="center"/>
                </w:tcPr>
                <w:p w14:paraId="4A0A5C3D">
                  <w:pPr>
                    <w:pStyle w:val="4"/>
                    <w:bidi w:val="0"/>
                    <w:rPr>
                      <w:rFonts w:hint="default" w:ascii="Times New Roman" w:hAnsi="Times New Roman" w:cs="Times New Roman"/>
                      <w:highlight w:val="none"/>
                      <w:lang w:val="en-US" w:eastAsia="zh-CN"/>
                    </w:rPr>
                  </w:pPr>
                </w:p>
              </w:tc>
              <w:tc>
                <w:tcPr>
                  <w:tcW w:w="1353" w:type="pct"/>
                  <w:noWrap w:val="0"/>
                  <w:vAlign w:val="center"/>
                </w:tcPr>
                <w:p w14:paraId="1706652E">
                  <w:pPr>
                    <w:pStyle w:val="4"/>
                    <w:bidi w:val="0"/>
                    <w:rPr>
                      <w:rFonts w:hint="default" w:ascii="Times New Roman" w:hAnsi="Times New Roman" w:cs="Times New Roman"/>
                      <w:highlight w:val="none"/>
                      <w:lang w:val="en-US" w:eastAsia="zh-CN"/>
                    </w:rPr>
                  </w:pPr>
                </w:p>
              </w:tc>
            </w:tr>
            <w:tr w14:paraId="3CFC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76" w:type="pct"/>
                  <w:noWrap w:val="0"/>
                  <w:vAlign w:val="center"/>
                </w:tcPr>
                <w:p w14:paraId="506FE36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1567" w:type="pct"/>
                  <w:noWrap w:val="0"/>
                  <w:vAlign w:val="center"/>
                </w:tcPr>
                <w:p w14:paraId="788CD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吾塔木5号条田东1斗渠</w:t>
                  </w:r>
                </w:p>
              </w:tc>
              <w:tc>
                <w:tcPr>
                  <w:tcW w:w="528" w:type="pct"/>
                  <w:noWrap w:val="0"/>
                  <w:vAlign w:val="center"/>
                </w:tcPr>
                <w:p w14:paraId="7BC2D0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0.33</w:t>
                  </w:r>
                </w:p>
              </w:tc>
              <w:tc>
                <w:tcPr>
                  <w:tcW w:w="1273" w:type="pct"/>
                  <w:noWrap w:val="0"/>
                  <w:vAlign w:val="center"/>
                </w:tcPr>
                <w:p w14:paraId="4C535191">
                  <w:pPr>
                    <w:pStyle w:val="4"/>
                    <w:bidi w:val="0"/>
                    <w:rPr>
                      <w:rFonts w:hint="default" w:ascii="Times New Roman" w:hAnsi="Times New Roman" w:cs="Times New Roman"/>
                      <w:highlight w:val="none"/>
                      <w:lang w:val="en-US" w:eastAsia="zh-CN"/>
                    </w:rPr>
                  </w:pPr>
                </w:p>
              </w:tc>
              <w:tc>
                <w:tcPr>
                  <w:tcW w:w="1353" w:type="pct"/>
                  <w:noWrap w:val="0"/>
                  <w:vAlign w:val="center"/>
                </w:tcPr>
                <w:p w14:paraId="03317DF9">
                  <w:pPr>
                    <w:pStyle w:val="4"/>
                    <w:bidi w:val="0"/>
                    <w:rPr>
                      <w:rFonts w:hint="default" w:ascii="Times New Roman" w:hAnsi="Times New Roman" w:cs="Times New Roman"/>
                      <w:highlight w:val="none"/>
                      <w:lang w:val="en-US" w:eastAsia="zh-CN"/>
                    </w:rPr>
                  </w:pPr>
                </w:p>
              </w:tc>
            </w:tr>
            <w:tr w14:paraId="486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0381AF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1567" w:type="pct"/>
                  <w:noWrap w:val="0"/>
                  <w:vAlign w:val="center"/>
                </w:tcPr>
                <w:p w14:paraId="50BEC56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吾塔木5号条田东2斗渠</w:t>
                  </w:r>
                </w:p>
              </w:tc>
              <w:tc>
                <w:tcPr>
                  <w:tcW w:w="528" w:type="pct"/>
                  <w:noWrap w:val="0"/>
                  <w:vAlign w:val="center"/>
                </w:tcPr>
                <w:p w14:paraId="478EE0F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0.24</w:t>
                  </w:r>
                </w:p>
              </w:tc>
              <w:tc>
                <w:tcPr>
                  <w:tcW w:w="1273" w:type="pct"/>
                  <w:noWrap w:val="0"/>
                  <w:vAlign w:val="center"/>
                </w:tcPr>
                <w:p w14:paraId="35CB3E78">
                  <w:pPr>
                    <w:pStyle w:val="4"/>
                    <w:bidi w:val="0"/>
                    <w:rPr>
                      <w:rFonts w:hint="default" w:ascii="Times New Roman" w:hAnsi="Times New Roman" w:cs="Times New Roman"/>
                      <w:highlight w:val="none"/>
                      <w:lang w:val="en-US" w:eastAsia="zh-CN"/>
                    </w:rPr>
                  </w:pPr>
                </w:p>
              </w:tc>
              <w:tc>
                <w:tcPr>
                  <w:tcW w:w="1353" w:type="pct"/>
                  <w:noWrap w:val="0"/>
                  <w:vAlign w:val="center"/>
                </w:tcPr>
                <w:p w14:paraId="3261E0EA">
                  <w:pPr>
                    <w:pStyle w:val="4"/>
                    <w:bidi w:val="0"/>
                    <w:rPr>
                      <w:rFonts w:hint="default" w:ascii="Times New Roman" w:hAnsi="Times New Roman" w:cs="Times New Roman"/>
                      <w:highlight w:val="none"/>
                      <w:lang w:val="en-US" w:eastAsia="zh-CN"/>
                    </w:rPr>
                  </w:pPr>
                </w:p>
              </w:tc>
            </w:tr>
            <w:tr w14:paraId="32EB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0188A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1567" w:type="pct"/>
                  <w:noWrap w:val="0"/>
                  <w:vAlign w:val="center"/>
                </w:tcPr>
                <w:p w14:paraId="3445F48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琼艾格勒7号条田1斗渠</w:t>
                  </w:r>
                </w:p>
              </w:tc>
              <w:tc>
                <w:tcPr>
                  <w:tcW w:w="528" w:type="pct"/>
                  <w:noWrap w:val="0"/>
                  <w:vAlign w:val="center"/>
                </w:tcPr>
                <w:p w14:paraId="73C804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0.52</w:t>
                  </w:r>
                </w:p>
              </w:tc>
              <w:tc>
                <w:tcPr>
                  <w:tcW w:w="1273" w:type="pct"/>
                  <w:noWrap w:val="0"/>
                  <w:vAlign w:val="center"/>
                </w:tcPr>
                <w:p w14:paraId="4067C85F">
                  <w:pPr>
                    <w:pStyle w:val="4"/>
                    <w:bidi w:val="0"/>
                    <w:rPr>
                      <w:rFonts w:hint="default" w:ascii="Times New Roman" w:hAnsi="Times New Roman" w:cs="Times New Roman"/>
                      <w:highlight w:val="none"/>
                      <w:lang w:val="en-US" w:eastAsia="zh-CN"/>
                    </w:rPr>
                  </w:pPr>
                </w:p>
              </w:tc>
              <w:tc>
                <w:tcPr>
                  <w:tcW w:w="1353" w:type="pct"/>
                  <w:noWrap w:val="0"/>
                  <w:vAlign w:val="center"/>
                </w:tcPr>
                <w:p w14:paraId="55B5E70B">
                  <w:pPr>
                    <w:pStyle w:val="4"/>
                    <w:bidi w:val="0"/>
                    <w:rPr>
                      <w:rFonts w:hint="default" w:ascii="Times New Roman" w:hAnsi="Times New Roman" w:cs="Times New Roman"/>
                      <w:highlight w:val="none"/>
                      <w:lang w:val="en-US" w:eastAsia="zh-CN"/>
                    </w:rPr>
                  </w:pPr>
                </w:p>
              </w:tc>
            </w:tr>
            <w:tr w14:paraId="5FF4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AE58B1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1567" w:type="pct"/>
                  <w:noWrap w:val="0"/>
                  <w:vAlign w:val="center"/>
                </w:tcPr>
                <w:p w14:paraId="29CF85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琼艾格勒7号条田2斗渠</w:t>
                  </w:r>
                </w:p>
              </w:tc>
              <w:tc>
                <w:tcPr>
                  <w:tcW w:w="528" w:type="pct"/>
                  <w:noWrap w:val="0"/>
                  <w:vAlign w:val="center"/>
                </w:tcPr>
                <w:p w14:paraId="715B92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0.52</w:t>
                  </w:r>
                </w:p>
              </w:tc>
              <w:tc>
                <w:tcPr>
                  <w:tcW w:w="1273" w:type="pct"/>
                  <w:noWrap w:val="0"/>
                  <w:vAlign w:val="center"/>
                </w:tcPr>
                <w:p w14:paraId="1058AB57">
                  <w:pPr>
                    <w:pStyle w:val="4"/>
                    <w:bidi w:val="0"/>
                    <w:rPr>
                      <w:rFonts w:hint="default" w:ascii="Times New Roman" w:hAnsi="Times New Roman" w:cs="Times New Roman"/>
                      <w:highlight w:val="none"/>
                      <w:lang w:val="en-US" w:eastAsia="zh-CN"/>
                    </w:rPr>
                  </w:pPr>
                </w:p>
              </w:tc>
              <w:tc>
                <w:tcPr>
                  <w:tcW w:w="1353" w:type="pct"/>
                  <w:noWrap w:val="0"/>
                  <w:vAlign w:val="center"/>
                </w:tcPr>
                <w:p w14:paraId="20DDA9D1">
                  <w:pPr>
                    <w:pStyle w:val="4"/>
                    <w:bidi w:val="0"/>
                    <w:rPr>
                      <w:rFonts w:hint="default" w:ascii="Times New Roman" w:hAnsi="Times New Roman" w:cs="Times New Roman"/>
                      <w:highlight w:val="none"/>
                      <w:lang w:val="en-US" w:eastAsia="zh-CN"/>
                    </w:rPr>
                  </w:pPr>
                </w:p>
              </w:tc>
            </w:tr>
            <w:tr w14:paraId="34C9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D76469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9</w:t>
                  </w:r>
                </w:p>
              </w:tc>
              <w:tc>
                <w:tcPr>
                  <w:tcW w:w="1567" w:type="pct"/>
                  <w:noWrap w:val="0"/>
                  <w:vAlign w:val="center"/>
                </w:tcPr>
                <w:p w14:paraId="46B6289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胡木丹4号条田1斗渠</w:t>
                  </w:r>
                </w:p>
              </w:tc>
              <w:tc>
                <w:tcPr>
                  <w:tcW w:w="528" w:type="pct"/>
                  <w:noWrap w:val="0"/>
                  <w:vAlign w:val="center"/>
                </w:tcPr>
                <w:p w14:paraId="7AA5012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0.34</w:t>
                  </w:r>
                </w:p>
              </w:tc>
              <w:tc>
                <w:tcPr>
                  <w:tcW w:w="1273" w:type="pct"/>
                  <w:noWrap w:val="0"/>
                  <w:vAlign w:val="center"/>
                </w:tcPr>
                <w:p w14:paraId="2DD4A1B4">
                  <w:pPr>
                    <w:pStyle w:val="4"/>
                    <w:bidi w:val="0"/>
                    <w:rPr>
                      <w:rFonts w:hint="default" w:ascii="Times New Roman" w:hAnsi="Times New Roman" w:cs="Times New Roman"/>
                      <w:highlight w:val="none"/>
                      <w:lang w:val="en-US" w:eastAsia="zh-CN"/>
                    </w:rPr>
                  </w:pPr>
                </w:p>
              </w:tc>
              <w:tc>
                <w:tcPr>
                  <w:tcW w:w="1353" w:type="pct"/>
                  <w:noWrap w:val="0"/>
                  <w:vAlign w:val="center"/>
                </w:tcPr>
                <w:p w14:paraId="57E5F77F">
                  <w:pPr>
                    <w:pStyle w:val="4"/>
                    <w:bidi w:val="0"/>
                    <w:rPr>
                      <w:rFonts w:hint="default" w:ascii="Times New Roman" w:hAnsi="Times New Roman" w:cs="Times New Roman"/>
                      <w:highlight w:val="none"/>
                      <w:lang w:val="en-US" w:eastAsia="zh-CN"/>
                    </w:rPr>
                  </w:pPr>
                </w:p>
              </w:tc>
            </w:tr>
            <w:tr w14:paraId="6978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2EBF71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1567" w:type="pct"/>
                  <w:noWrap w:val="0"/>
                  <w:vAlign w:val="center"/>
                </w:tcPr>
                <w:p w14:paraId="74B602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胡木丹4号条田2斗渠</w:t>
                  </w:r>
                </w:p>
              </w:tc>
              <w:tc>
                <w:tcPr>
                  <w:tcW w:w="528" w:type="pct"/>
                  <w:noWrap w:val="0"/>
                  <w:vAlign w:val="center"/>
                </w:tcPr>
                <w:p w14:paraId="77102E6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0.26</w:t>
                  </w:r>
                </w:p>
              </w:tc>
              <w:tc>
                <w:tcPr>
                  <w:tcW w:w="1273" w:type="pct"/>
                  <w:noWrap w:val="0"/>
                  <w:vAlign w:val="center"/>
                </w:tcPr>
                <w:p w14:paraId="5F02C745">
                  <w:pPr>
                    <w:pStyle w:val="4"/>
                    <w:bidi w:val="0"/>
                    <w:rPr>
                      <w:rFonts w:hint="default" w:ascii="Times New Roman" w:hAnsi="Times New Roman" w:cs="Times New Roman"/>
                      <w:highlight w:val="none"/>
                      <w:lang w:val="en-US" w:eastAsia="zh-CN"/>
                    </w:rPr>
                  </w:pPr>
                </w:p>
              </w:tc>
              <w:tc>
                <w:tcPr>
                  <w:tcW w:w="1353" w:type="pct"/>
                  <w:noWrap w:val="0"/>
                  <w:vAlign w:val="center"/>
                </w:tcPr>
                <w:p w14:paraId="41B22095">
                  <w:pPr>
                    <w:pStyle w:val="4"/>
                    <w:bidi w:val="0"/>
                    <w:rPr>
                      <w:rFonts w:hint="default" w:ascii="Times New Roman" w:hAnsi="Times New Roman" w:cs="Times New Roman"/>
                      <w:highlight w:val="none"/>
                      <w:lang w:val="en-US" w:eastAsia="zh-CN"/>
                    </w:rPr>
                  </w:pPr>
                </w:p>
              </w:tc>
            </w:tr>
            <w:tr w14:paraId="68BF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755677B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11</w:t>
                  </w:r>
                </w:p>
              </w:tc>
              <w:tc>
                <w:tcPr>
                  <w:tcW w:w="1567" w:type="pct"/>
                  <w:noWrap w:val="0"/>
                  <w:vAlign w:val="center"/>
                </w:tcPr>
                <w:p w14:paraId="61CCC6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胡木丹4号条田3斗渠</w:t>
                  </w:r>
                </w:p>
              </w:tc>
              <w:tc>
                <w:tcPr>
                  <w:tcW w:w="528" w:type="pct"/>
                  <w:noWrap w:val="0"/>
                  <w:vAlign w:val="center"/>
                </w:tcPr>
                <w:p w14:paraId="249D5A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0.14</w:t>
                  </w:r>
                </w:p>
              </w:tc>
              <w:tc>
                <w:tcPr>
                  <w:tcW w:w="1273" w:type="pct"/>
                  <w:noWrap w:val="0"/>
                  <w:vAlign w:val="center"/>
                </w:tcPr>
                <w:p w14:paraId="0A5AFAC1">
                  <w:pPr>
                    <w:pStyle w:val="4"/>
                    <w:bidi w:val="0"/>
                    <w:rPr>
                      <w:rFonts w:hint="default" w:ascii="Times New Roman" w:hAnsi="Times New Roman" w:cs="Times New Roman"/>
                      <w:highlight w:val="none"/>
                      <w:lang w:val="en-US" w:eastAsia="zh-CN"/>
                    </w:rPr>
                  </w:pPr>
                </w:p>
              </w:tc>
              <w:tc>
                <w:tcPr>
                  <w:tcW w:w="1353" w:type="pct"/>
                  <w:noWrap w:val="0"/>
                  <w:vAlign w:val="center"/>
                </w:tcPr>
                <w:p w14:paraId="26F9A67F">
                  <w:pPr>
                    <w:pStyle w:val="4"/>
                    <w:bidi w:val="0"/>
                    <w:rPr>
                      <w:rFonts w:hint="default" w:ascii="Times New Roman" w:hAnsi="Times New Roman" w:cs="Times New Roman"/>
                      <w:highlight w:val="none"/>
                      <w:lang w:val="en-US" w:eastAsia="zh-CN"/>
                    </w:rPr>
                  </w:pPr>
                </w:p>
              </w:tc>
            </w:tr>
            <w:tr w14:paraId="022D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AEE465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12</w:t>
                  </w:r>
                </w:p>
              </w:tc>
              <w:tc>
                <w:tcPr>
                  <w:tcW w:w="1567" w:type="pct"/>
                  <w:noWrap w:val="0"/>
                  <w:vAlign w:val="center"/>
                </w:tcPr>
                <w:p w14:paraId="4BFC55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胡木丹4号条田西1斗渠</w:t>
                  </w:r>
                </w:p>
              </w:tc>
              <w:tc>
                <w:tcPr>
                  <w:tcW w:w="528" w:type="pct"/>
                  <w:noWrap w:val="0"/>
                  <w:vAlign w:val="center"/>
                </w:tcPr>
                <w:p w14:paraId="2F82C64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0.43</w:t>
                  </w:r>
                </w:p>
              </w:tc>
              <w:tc>
                <w:tcPr>
                  <w:tcW w:w="1273" w:type="pct"/>
                  <w:noWrap w:val="0"/>
                  <w:vAlign w:val="center"/>
                </w:tcPr>
                <w:p w14:paraId="0E9770AF">
                  <w:pPr>
                    <w:pStyle w:val="4"/>
                    <w:bidi w:val="0"/>
                    <w:rPr>
                      <w:rFonts w:hint="default" w:ascii="Times New Roman" w:hAnsi="Times New Roman" w:cs="Times New Roman"/>
                      <w:highlight w:val="none"/>
                      <w:lang w:val="en-US" w:eastAsia="zh-CN"/>
                    </w:rPr>
                  </w:pPr>
                </w:p>
              </w:tc>
              <w:tc>
                <w:tcPr>
                  <w:tcW w:w="1353" w:type="pct"/>
                  <w:noWrap w:val="0"/>
                  <w:vAlign w:val="center"/>
                </w:tcPr>
                <w:p w14:paraId="02918B04">
                  <w:pPr>
                    <w:pStyle w:val="4"/>
                    <w:bidi w:val="0"/>
                    <w:rPr>
                      <w:rFonts w:hint="default" w:ascii="Times New Roman" w:hAnsi="Times New Roman" w:cs="Times New Roman"/>
                      <w:highlight w:val="none"/>
                      <w:lang w:val="en-US" w:eastAsia="zh-CN"/>
                    </w:rPr>
                  </w:pPr>
                </w:p>
              </w:tc>
            </w:tr>
            <w:tr w14:paraId="1FB6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56F1BF1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13</w:t>
                  </w:r>
                </w:p>
              </w:tc>
              <w:tc>
                <w:tcPr>
                  <w:tcW w:w="1567" w:type="pct"/>
                  <w:noWrap w:val="0"/>
                  <w:vAlign w:val="center"/>
                </w:tcPr>
                <w:p w14:paraId="3715BCF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胡木丹4号条田西2斗渠</w:t>
                  </w:r>
                </w:p>
              </w:tc>
              <w:tc>
                <w:tcPr>
                  <w:tcW w:w="528" w:type="pct"/>
                  <w:noWrap w:val="0"/>
                  <w:vAlign w:val="center"/>
                </w:tcPr>
                <w:p w14:paraId="36F283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0.40</w:t>
                  </w:r>
                </w:p>
              </w:tc>
              <w:tc>
                <w:tcPr>
                  <w:tcW w:w="1273" w:type="pct"/>
                  <w:noWrap w:val="0"/>
                  <w:vAlign w:val="center"/>
                </w:tcPr>
                <w:p w14:paraId="4C8EAC40">
                  <w:pPr>
                    <w:pStyle w:val="4"/>
                    <w:bidi w:val="0"/>
                    <w:rPr>
                      <w:rFonts w:hint="default" w:ascii="Times New Roman" w:hAnsi="Times New Roman" w:cs="Times New Roman"/>
                      <w:highlight w:val="none"/>
                      <w:lang w:val="en-US" w:eastAsia="zh-CN"/>
                    </w:rPr>
                  </w:pPr>
                </w:p>
              </w:tc>
              <w:tc>
                <w:tcPr>
                  <w:tcW w:w="1353" w:type="pct"/>
                  <w:noWrap w:val="0"/>
                  <w:vAlign w:val="center"/>
                </w:tcPr>
                <w:p w14:paraId="6FED7443">
                  <w:pPr>
                    <w:pStyle w:val="4"/>
                    <w:bidi w:val="0"/>
                    <w:rPr>
                      <w:rFonts w:hint="default" w:ascii="Times New Roman" w:hAnsi="Times New Roman" w:cs="Times New Roman"/>
                      <w:highlight w:val="none"/>
                      <w:lang w:val="en-US" w:eastAsia="zh-CN"/>
                    </w:rPr>
                  </w:pPr>
                </w:p>
              </w:tc>
            </w:tr>
            <w:tr w14:paraId="1E3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4A1155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14</w:t>
                  </w:r>
                </w:p>
              </w:tc>
              <w:tc>
                <w:tcPr>
                  <w:tcW w:w="1567" w:type="pct"/>
                  <w:noWrap w:val="0"/>
                  <w:vAlign w:val="center"/>
                </w:tcPr>
                <w:p w14:paraId="16EF6B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胡木丹4号条田西3斗渠</w:t>
                  </w:r>
                </w:p>
              </w:tc>
              <w:tc>
                <w:tcPr>
                  <w:tcW w:w="528" w:type="pct"/>
                  <w:noWrap w:val="0"/>
                  <w:vAlign w:val="center"/>
                </w:tcPr>
                <w:p w14:paraId="0B6FE70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0.35</w:t>
                  </w:r>
                </w:p>
              </w:tc>
              <w:tc>
                <w:tcPr>
                  <w:tcW w:w="1273" w:type="pct"/>
                  <w:noWrap w:val="0"/>
                  <w:vAlign w:val="center"/>
                </w:tcPr>
                <w:p w14:paraId="124D8077">
                  <w:pPr>
                    <w:pStyle w:val="4"/>
                    <w:bidi w:val="0"/>
                    <w:rPr>
                      <w:rFonts w:hint="default" w:ascii="Times New Roman" w:hAnsi="Times New Roman" w:cs="Times New Roman"/>
                      <w:highlight w:val="none"/>
                      <w:lang w:val="en-US" w:eastAsia="zh-CN"/>
                    </w:rPr>
                  </w:pPr>
                </w:p>
              </w:tc>
              <w:tc>
                <w:tcPr>
                  <w:tcW w:w="1353" w:type="pct"/>
                  <w:noWrap w:val="0"/>
                  <w:vAlign w:val="center"/>
                </w:tcPr>
                <w:p w14:paraId="12AF068C">
                  <w:pPr>
                    <w:pStyle w:val="4"/>
                    <w:bidi w:val="0"/>
                    <w:rPr>
                      <w:rFonts w:hint="default" w:ascii="Times New Roman" w:hAnsi="Times New Roman" w:cs="Times New Roman"/>
                      <w:highlight w:val="none"/>
                      <w:lang w:val="en-US" w:eastAsia="zh-CN"/>
                    </w:rPr>
                  </w:pPr>
                </w:p>
              </w:tc>
            </w:tr>
            <w:tr w14:paraId="5924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6482C6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1567" w:type="pct"/>
                  <w:noWrap w:val="0"/>
                  <w:vAlign w:val="center"/>
                </w:tcPr>
                <w:p w14:paraId="3F19C6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胡木丹3号条田1斗渠</w:t>
                  </w:r>
                </w:p>
              </w:tc>
              <w:tc>
                <w:tcPr>
                  <w:tcW w:w="528" w:type="pct"/>
                  <w:noWrap w:val="0"/>
                  <w:vAlign w:val="center"/>
                </w:tcPr>
                <w:p w14:paraId="3B6C946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0.42</w:t>
                  </w:r>
                </w:p>
              </w:tc>
              <w:tc>
                <w:tcPr>
                  <w:tcW w:w="1273" w:type="pct"/>
                  <w:noWrap w:val="0"/>
                  <w:vAlign w:val="center"/>
                </w:tcPr>
                <w:p w14:paraId="5542FDAC">
                  <w:pPr>
                    <w:pStyle w:val="4"/>
                    <w:bidi w:val="0"/>
                    <w:rPr>
                      <w:rFonts w:hint="default" w:ascii="Times New Roman" w:hAnsi="Times New Roman" w:cs="Times New Roman"/>
                      <w:highlight w:val="none"/>
                      <w:lang w:val="en-US" w:eastAsia="zh-CN"/>
                    </w:rPr>
                  </w:pPr>
                </w:p>
              </w:tc>
              <w:tc>
                <w:tcPr>
                  <w:tcW w:w="1353" w:type="pct"/>
                  <w:noWrap w:val="0"/>
                  <w:vAlign w:val="center"/>
                </w:tcPr>
                <w:p w14:paraId="217DCBF2">
                  <w:pPr>
                    <w:pStyle w:val="4"/>
                    <w:bidi w:val="0"/>
                    <w:rPr>
                      <w:rFonts w:hint="default" w:ascii="Times New Roman" w:hAnsi="Times New Roman" w:cs="Times New Roman"/>
                      <w:highlight w:val="none"/>
                      <w:lang w:val="en-US" w:eastAsia="zh-CN"/>
                    </w:rPr>
                  </w:pPr>
                </w:p>
              </w:tc>
            </w:tr>
            <w:tr w14:paraId="7F8D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76" w:type="pct"/>
                  <w:noWrap w:val="0"/>
                  <w:vAlign w:val="center"/>
                </w:tcPr>
                <w:p w14:paraId="11AFC19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16</w:t>
                  </w:r>
                </w:p>
              </w:tc>
              <w:tc>
                <w:tcPr>
                  <w:tcW w:w="1567" w:type="pct"/>
                  <w:noWrap w:val="0"/>
                  <w:vAlign w:val="center"/>
                </w:tcPr>
                <w:p w14:paraId="57A6AA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胡木丹3号条田1-1斗渠</w:t>
                  </w:r>
                </w:p>
              </w:tc>
              <w:tc>
                <w:tcPr>
                  <w:tcW w:w="528" w:type="pct"/>
                  <w:noWrap w:val="0"/>
                  <w:vAlign w:val="center"/>
                </w:tcPr>
                <w:p w14:paraId="217B00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0.19</w:t>
                  </w:r>
                </w:p>
              </w:tc>
              <w:tc>
                <w:tcPr>
                  <w:tcW w:w="1273" w:type="pct"/>
                  <w:noWrap w:val="0"/>
                  <w:vAlign w:val="center"/>
                </w:tcPr>
                <w:p w14:paraId="0C95534F">
                  <w:pPr>
                    <w:pStyle w:val="4"/>
                    <w:bidi w:val="0"/>
                    <w:rPr>
                      <w:rFonts w:hint="default" w:ascii="Times New Roman" w:hAnsi="Times New Roman" w:cs="Times New Roman"/>
                      <w:highlight w:val="none"/>
                      <w:lang w:val="en-US" w:eastAsia="zh-CN"/>
                    </w:rPr>
                  </w:pPr>
                </w:p>
              </w:tc>
              <w:tc>
                <w:tcPr>
                  <w:tcW w:w="1353" w:type="pct"/>
                  <w:noWrap w:val="0"/>
                  <w:vAlign w:val="center"/>
                </w:tcPr>
                <w:p w14:paraId="0C3B161C">
                  <w:pPr>
                    <w:pStyle w:val="4"/>
                    <w:bidi w:val="0"/>
                    <w:rPr>
                      <w:rFonts w:hint="default" w:ascii="Times New Roman" w:hAnsi="Times New Roman" w:cs="Times New Roman"/>
                      <w:highlight w:val="none"/>
                      <w:lang w:val="en-US" w:eastAsia="zh-CN"/>
                    </w:rPr>
                  </w:pPr>
                </w:p>
              </w:tc>
            </w:tr>
            <w:tr w14:paraId="0F8F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2F5FDA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17</w:t>
                  </w:r>
                </w:p>
              </w:tc>
              <w:tc>
                <w:tcPr>
                  <w:tcW w:w="1567" w:type="pct"/>
                  <w:noWrap w:val="0"/>
                  <w:vAlign w:val="center"/>
                </w:tcPr>
                <w:p w14:paraId="4AF88D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胡木丹3号条田2斗渠</w:t>
                  </w:r>
                </w:p>
              </w:tc>
              <w:tc>
                <w:tcPr>
                  <w:tcW w:w="528" w:type="pct"/>
                  <w:noWrap w:val="0"/>
                  <w:vAlign w:val="center"/>
                </w:tcPr>
                <w:p w14:paraId="488F7E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0.47</w:t>
                  </w:r>
                </w:p>
              </w:tc>
              <w:tc>
                <w:tcPr>
                  <w:tcW w:w="1273" w:type="pct"/>
                  <w:noWrap w:val="0"/>
                  <w:vAlign w:val="center"/>
                </w:tcPr>
                <w:p w14:paraId="4F9CB774">
                  <w:pPr>
                    <w:pStyle w:val="4"/>
                    <w:bidi w:val="0"/>
                    <w:rPr>
                      <w:rFonts w:hint="default" w:ascii="Times New Roman" w:hAnsi="Times New Roman" w:cs="Times New Roman"/>
                      <w:highlight w:val="none"/>
                      <w:lang w:val="en-US" w:eastAsia="zh-CN"/>
                    </w:rPr>
                  </w:pPr>
                </w:p>
              </w:tc>
              <w:tc>
                <w:tcPr>
                  <w:tcW w:w="1353" w:type="pct"/>
                  <w:noWrap w:val="0"/>
                  <w:vAlign w:val="center"/>
                </w:tcPr>
                <w:p w14:paraId="7BE3415F">
                  <w:pPr>
                    <w:pStyle w:val="4"/>
                    <w:bidi w:val="0"/>
                    <w:rPr>
                      <w:rFonts w:hint="default" w:ascii="Times New Roman" w:hAnsi="Times New Roman" w:cs="Times New Roman"/>
                      <w:highlight w:val="none"/>
                      <w:lang w:val="en-US" w:eastAsia="zh-CN"/>
                    </w:rPr>
                  </w:pPr>
                </w:p>
              </w:tc>
            </w:tr>
            <w:tr w14:paraId="0E0B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47BB4D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18</w:t>
                  </w:r>
                </w:p>
              </w:tc>
              <w:tc>
                <w:tcPr>
                  <w:tcW w:w="1567" w:type="pct"/>
                  <w:noWrap w:val="0"/>
                  <w:vAlign w:val="center"/>
                </w:tcPr>
                <w:p w14:paraId="30433F5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胡木丹3号条田3斗渠</w:t>
                  </w:r>
                </w:p>
              </w:tc>
              <w:tc>
                <w:tcPr>
                  <w:tcW w:w="528" w:type="pct"/>
                  <w:noWrap w:val="0"/>
                  <w:vAlign w:val="center"/>
                </w:tcPr>
                <w:p w14:paraId="2682AB0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0.46</w:t>
                  </w:r>
                </w:p>
              </w:tc>
              <w:tc>
                <w:tcPr>
                  <w:tcW w:w="1273" w:type="pct"/>
                  <w:noWrap w:val="0"/>
                  <w:vAlign w:val="center"/>
                </w:tcPr>
                <w:p w14:paraId="50C0E751">
                  <w:pPr>
                    <w:pStyle w:val="4"/>
                    <w:bidi w:val="0"/>
                    <w:rPr>
                      <w:rFonts w:hint="default" w:ascii="Times New Roman" w:hAnsi="Times New Roman" w:cs="Times New Roman"/>
                      <w:highlight w:val="none"/>
                      <w:lang w:val="en-US" w:eastAsia="zh-CN"/>
                    </w:rPr>
                  </w:pPr>
                </w:p>
              </w:tc>
              <w:tc>
                <w:tcPr>
                  <w:tcW w:w="1353" w:type="pct"/>
                  <w:noWrap w:val="0"/>
                  <w:vAlign w:val="center"/>
                </w:tcPr>
                <w:p w14:paraId="4C5CB33D">
                  <w:pPr>
                    <w:pStyle w:val="4"/>
                    <w:bidi w:val="0"/>
                    <w:rPr>
                      <w:rFonts w:hint="default" w:ascii="Times New Roman" w:hAnsi="Times New Roman" w:cs="Times New Roman"/>
                      <w:highlight w:val="none"/>
                      <w:lang w:val="en-US" w:eastAsia="zh-CN"/>
                    </w:rPr>
                  </w:pPr>
                </w:p>
              </w:tc>
            </w:tr>
            <w:tr w14:paraId="415E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C43989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19</w:t>
                  </w:r>
                </w:p>
              </w:tc>
              <w:tc>
                <w:tcPr>
                  <w:tcW w:w="1567" w:type="pct"/>
                  <w:noWrap w:val="0"/>
                  <w:vAlign w:val="center"/>
                </w:tcPr>
                <w:p w14:paraId="3C1D1CF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胡木丹3号条田4斗渠</w:t>
                  </w:r>
                </w:p>
              </w:tc>
              <w:tc>
                <w:tcPr>
                  <w:tcW w:w="528" w:type="pct"/>
                  <w:noWrap w:val="0"/>
                  <w:vAlign w:val="center"/>
                </w:tcPr>
                <w:p w14:paraId="459A508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0.48</w:t>
                  </w:r>
                </w:p>
              </w:tc>
              <w:tc>
                <w:tcPr>
                  <w:tcW w:w="1273" w:type="pct"/>
                  <w:noWrap w:val="0"/>
                  <w:vAlign w:val="center"/>
                </w:tcPr>
                <w:p w14:paraId="1BCACB5C">
                  <w:pPr>
                    <w:pStyle w:val="4"/>
                    <w:bidi w:val="0"/>
                    <w:rPr>
                      <w:rFonts w:hint="default" w:ascii="Times New Roman" w:hAnsi="Times New Roman" w:cs="Times New Roman"/>
                      <w:highlight w:val="none"/>
                      <w:lang w:val="en-US" w:eastAsia="zh-CN"/>
                    </w:rPr>
                  </w:pPr>
                </w:p>
              </w:tc>
              <w:tc>
                <w:tcPr>
                  <w:tcW w:w="1353" w:type="pct"/>
                  <w:noWrap w:val="0"/>
                  <w:vAlign w:val="center"/>
                </w:tcPr>
                <w:p w14:paraId="3CD2B26E">
                  <w:pPr>
                    <w:pStyle w:val="4"/>
                    <w:bidi w:val="0"/>
                    <w:spacing w:line="240" w:lineRule="auto"/>
                    <w:rPr>
                      <w:rFonts w:hint="default" w:ascii="Times New Roman" w:hAnsi="Times New Roman" w:cs="Times New Roman"/>
                      <w:highlight w:val="none"/>
                      <w:lang w:val="en-US" w:eastAsia="zh-CN"/>
                    </w:rPr>
                  </w:pPr>
                </w:p>
              </w:tc>
            </w:tr>
            <w:tr w14:paraId="63C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FC1DD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567" w:type="pct"/>
                  <w:noWrap w:val="0"/>
                  <w:vAlign w:val="center"/>
                </w:tcPr>
                <w:p w14:paraId="5E7210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胡木丹3号条田5斗渠</w:t>
                  </w:r>
                </w:p>
              </w:tc>
              <w:tc>
                <w:tcPr>
                  <w:tcW w:w="528" w:type="pct"/>
                  <w:noWrap w:val="0"/>
                  <w:vAlign w:val="center"/>
                </w:tcPr>
                <w:p w14:paraId="581FC24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0.48</w:t>
                  </w:r>
                </w:p>
              </w:tc>
              <w:tc>
                <w:tcPr>
                  <w:tcW w:w="1273" w:type="pct"/>
                  <w:noWrap w:val="0"/>
                  <w:vAlign w:val="center"/>
                </w:tcPr>
                <w:p w14:paraId="4BC11173">
                  <w:pPr>
                    <w:pStyle w:val="4"/>
                    <w:bidi w:val="0"/>
                    <w:rPr>
                      <w:rFonts w:hint="default" w:ascii="Times New Roman" w:hAnsi="Times New Roman" w:cs="Times New Roman"/>
                      <w:highlight w:val="none"/>
                      <w:lang w:val="en-US" w:eastAsia="zh-CN"/>
                    </w:rPr>
                  </w:pPr>
                </w:p>
              </w:tc>
              <w:tc>
                <w:tcPr>
                  <w:tcW w:w="1353" w:type="pct"/>
                  <w:noWrap w:val="0"/>
                  <w:vAlign w:val="center"/>
                </w:tcPr>
                <w:p w14:paraId="12899CDC">
                  <w:pPr>
                    <w:pStyle w:val="4"/>
                    <w:bidi w:val="0"/>
                    <w:rPr>
                      <w:rFonts w:hint="default" w:ascii="Times New Roman" w:hAnsi="Times New Roman" w:cs="Times New Roman"/>
                      <w:highlight w:val="none"/>
                      <w:lang w:val="en-US" w:eastAsia="zh-CN"/>
                    </w:rPr>
                  </w:pPr>
                </w:p>
              </w:tc>
            </w:tr>
            <w:tr w14:paraId="3FFB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3E4854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21</w:t>
                  </w:r>
                </w:p>
              </w:tc>
              <w:tc>
                <w:tcPr>
                  <w:tcW w:w="1567" w:type="pct"/>
                  <w:noWrap w:val="0"/>
                  <w:vAlign w:val="center"/>
                </w:tcPr>
                <w:p w14:paraId="5F42E2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胡木丹3号条田6斗渠</w:t>
                  </w:r>
                </w:p>
              </w:tc>
              <w:tc>
                <w:tcPr>
                  <w:tcW w:w="528" w:type="pct"/>
                  <w:noWrap w:val="0"/>
                  <w:vAlign w:val="center"/>
                </w:tcPr>
                <w:p w14:paraId="246BCC5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eastAsia" w:cs="Times New Roman"/>
                      <w:highlight w:val="none"/>
                      <w:lang w:val="en-US" w:eastAsia="zh-CN"/>
                    </w:rPr>
                    <w:t>0.49</w:t>
                  </w:r>
                </w:p>
              </w:tc>
              <w:tc>
                <w:tcPr>
                  <w:tcW w:w="1273" w:type="pct"/>
                  <w:noWrap w:val="0"/>
                  <w:vAlign w:val="center"/>
                </w:tcPr>
                <w:p w14:paraId="24047616">
                  <w:pPr>
                    <w:pStyle w:val="4"/>
                    <w:bidi w:val="0"/>
                    <w:rPr>
                      <w:rFonts w:hint="default" w:ascii="Times New Roman" w:hAnsi="Times New Roman" w:cs="Times New Roman"/>
                      <w:highlight w:val="none"/>
                      <w:lang w:val="en-US" w:eastAsia="zh-CN"/>
                    </w:rPr>
                  </w:pPr>
                </w:p>
              </w:tc>
              <w:tc>
                <w:tcPr>
                  <w:tcW w:w="1353" w:type="pct"/>
                  <w:noWrap w:val="0"/>
                  <w:vAlign w:val="center"/>
                </w:tcPr>
                <w:p w14:paraId="084A00D5">
                  <w:pPr>
                    <w:pStyle w:val="4"/>
                    <w:bidi w:val="0"/>
                    <w:rPr>
                      <w:rFonts w:hint="default" w:ascii="Times New Roman" w:hAnsi="Times New Roman" w:cs="Times New Roman"/>
                      <w:highlight w:val="none"/>
                      <w:lang w:val="en-US" w:eastAsia="zh-CN"/>
                    </w:rPr>
                  </w:pPr>
                </w:p>
              </w:tc>
            </w:tr>
            <w:tr w14:paraId="3C06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3" w:type="pct"/>
                  <w:gridSpan w:val="2"/>
                  <w:noWrap w:val="0"/>
                  <w:vAlign w:val="center"/>
                </w:tcPr>
                <w:p w14:paraId="0AD126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eastAsia" w:cs="Times New Roman"/>
                      <w:lang w:val="en-US" w:eastAsia="zh-CN"/>
                    </w:rPr>
                    <w:t>合计</w:t>
                  </w:r>
                </w:p>
              </w:tc>
              <w:tc>
                <w:tcPr>
                  <w:tcW w:w="528" w:type="pct"/>
                  <w:noWrap w:val="0"/>
                  <w:vAlign w:val="center"/>
                </w:tcPr>
                <w:p w14:paraId="4F6F908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highlight w:val="none"/>
                      <w:lang w:val="en-US" w:eastAsia="zh-CN"/>
                    </w:rPr>
                  </w:pPr>
                  <w:r>
                    <w:rPr>
                      <w:rFonts w:hint="eastAsia" w:cs="Times New Roman"/>
                      <w:highlight w:val="none"/>
                      <w:lang w:val="en-US" w:eastAsia="zh-CN"/>
                    </w:rPr>
                    <w:t>7.35</w:t>
                  </w:r>
                </w:p>
              </w:tc>
              <w:tc>
                <w:tcPr>
                  <w:tcW w:w="1273" w:type="pct"/>
                  <w:noWrap w:val="0"/>
                  <w:vAlign w:val="center"/>
                </w:tcPr>
                <w:p w14:paraId="7F99744E">
                  <w:pPr>
                    <w:pStyle w:val="4"/>
                    <w:bidi w:val="0"/>
                    <w:rPr>
                      <w:rFonts w:hint="default" w:cs="Times New Roman"/>
                      <w:highlight w:val="none"/>
                      <w:lang w:val="en-US" w:eastAsia="zh-CN"/>
                    </w:rPr>
                  </w:pPr>
                  <w:r>
                    <w:rPr>
                      <w:rFonts w:hint="eastAsia" w:cs="Times New Roman"/>
                      <w:highlight w:val="none"/>
                      <w:lang w:val="en-US" w:eastAsia="zh-CN"/>
                    </w:rPr>
                    <w:t>/</w:t>
                  </w:r>
                </w:p>
              </w:tc>
              <w:tc>
                <w:tcPr>
                  <w:tcW w:w="1353" w:type="pct"/>
                  <w:noWrap w:val="0"/>
                  <w:vAlign w:val="center"/>
                </w:tcPr>
                <w:p w14:paraId="405C218E">
                  <w:pPr>
                    <w:pStyle w:val="4"/>
                    <w:bidi w:val="0"/>
                    <w:rPr>
                      <w:rFonts w:hint="default" w:cs="Times New Roman"/>
                      <w:highlight w:val="none"/>
                      <w:lang w:val="en-US" w:eastAsia="zh-CN"/>
                    </w:rPr>
                  </w:pPr>
                  <w:r>
                    <w:rPr>
                      <w:rFonts w:hint="eastAsia" w:cs="Times New Roman"/>
                      <w:highlight w:val="none"/>
                      <w:lang w:val="en-US" w:eastAsia="zh-CN"/>
                    </w:rPr>
                    <w:t>/</w:t>
                  </w:r>
                </w:p>
              </w:tc>
            </w:tr>
          </w:tbl>
          <w:p w14:paraId="60581E5B">
            <w:pPr>
              <w:adjustRightInd w:val="0"/>
              <w:snapToGrid w:val="0"/>
              <w:jc w:val="center"/>
              <w:rPr>
                <w:rFonts w:hint="default" w:ascii="Times New Roman" w:hAnsi="Times New Roman" w:cs="Times New Roman"/>
                <w:kern w:val="0"/>
                <w:szCs w:val="21"/>
              </w:rPr>
            </w:pPr>
          </w:p>
        </w:tc>
      </w:tr>
      <w:tr w14:paraId="2174E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6E9221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项目组成及规模</w:t>
            </w:r>
          </w:p>
        </w:tc>
        <w:tc>
          <w:tcPr>
            <w:tcW w:w="8380" w:type="dxa"/>
            <w:noWrap w:val="0"/>
            <w:vAlign w:val="center"/>
          </w:tcPr>
          <w:p w14:paraId="296167C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1项目由来</w:t>
            </w:r>
          </w:p>
          <w:p w14:paraId="66828E2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本次项目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若羌县吾塔木村现有土渠进行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总长度7.35km，控制灌溉面积0.23万亩，现状渠道为土渠。经过多年使用，渠道变形严重，局部段淤堵，水流不畅，局部段冲毁，部分灌溉渠道未进行防渗，由于灌区渠道上分水口较多，引用水管理粗放，灌区普遍存在灌溉用水浪费现象。渠道现有主要构筑物为桥涵及闸门，由于灌区渠道上分水口较多，且闸门损坏严重，灌溉期无法准确控制分水量，普遍存在用水浪费的现象，部分分水口处没有配套分水构筑物。</w:t>
            </w:r>
          </w:p>
          <w:p w14:paraId="681B5FD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实施后可减少杂草滋生、淤积和坍塌风险，维护成本降低50%以上；通过减少渠道渗漏损失，显著提高水资源利用效率；渗漏减少抑制地下水补给，避免盐分向地表聚集，改善土壤环境；防渗后灌溉效率提升，保障农作物稳定灌溉需求。</w:t>
            </w:r>
          </w:p>
          <w:p w14:paraId="6933033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按照《中华人民共和国生态环境法典》和《建设项目环境影响评价分类管理名录（2021）》等有关法律法规规定，项目属《名录》所列“五十一、水利-125灌区工程（不含水源工程的）-其他（不含高标准农田、滴灌等节水改造工程）”，本项目应编制环境影响报告表。受建设单位委托，新疆领畅环保科技有限公司承担了本项目的环境影响评价工作。接受委托后，环评单位在现场踏勘和资料收集的基础上，编制完成了《2026年若羌县瓦石峡镇吾塔木村防渗渠建设项目（一期）生态环境影响报告表》，审批后作为生态环境主管部门和</w:t>
            </w:r>
            <w:r>
              <w:rPr>
                <w:rFonts w:hint="eastAsia" w:cs="Times New Roman"/>
                <w:snapToGrid w:val="0"/>
                <w:kern w:val="0"/>
                <w:sz w:val="24"/>
                <w:szCs w:val="24"/>
                <w:lang w:val="en-US" w:eastAsia="zh-CN"/>
              </w:rPr>
              <w:t>建设单位</w:t>
            </w:r>
            <w:r>
              <w:rPr>
                <w:rFonts w:hint="default" w:ascii="Times New Roman" w:hAnsi="Times New Roman" w:eastAsia="宋体" w:cs="Times New Roman"/>
                <w:snapToGrid w:val="0"/>
                <w:kern w:val="0"/>
                <w:sz w:val="24"/>
                <w:szCs w:val="24"/>
                <w:lang w:val="en-US" w:eastAsia="zh-CN"/>
              </w:rPr>
              <w:t>进行环境管理的依据。</w:t>
            </w:r>
          </w:p>
          <w:p w14:paraId="59CCE3E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2</w:t>
            </w:r>
            <w:r>
              <w:rPr>
                <w:rFonts w:hint="eastAsia" w:cs="Times New Roman"/>
                <w:b/>
                <w:bCs/>
                <w:snapToGrid w:val="0"/>
                <w:kern w:val="0"/>
                <w:sz w:val="24"/>
                <w:szCs w:val="24"/>
                <w:lang w:val="en-US" w:eastAsia="zh-CN"/>
              </w:rPr>
              <w:t>水力</w:t>
            </w:r>
            <w:r>
              <w:rPr>
                <w:rFonts w:hint="default" w:ascii="Times New Roman" w:hAnsi="Times New Roman" w:eastAsia="宋体" w:cs="Times New Roman"/>
                <w:b/>
                <w:bCs/>
                <w:snapToGrid w:val="0"/>
                <w:kern w:val="0"/>
                <w:sz w:val="24"/>
                <w:szCs w:val="24"/>
                <w:lang w:val="en-US" w:eastAsia="zh-CN"/>
              </w:rPr>
              <w:t>联系</w:t>
            </w:r>
            <w:bookmarkStart w:id="7" w:name="_GoBack"/>
            <w:bookmarkEnd w:id="7"/>
          </w:p>
          <w:p w14:paraId="17E2CA7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项目区灌溉水源主要为</w:t>
            </w:r>
            <w:r>
              <w:rPr>
                <w:rFonts w:hint="eastAsia" w:cs="Times New Roman"/>
                <w:snapToGrid w:val="0"/>
                <w:kern w:val="0"/>
                <w:sz w:val="24"/>
                <w:szCs w:val="24"/>
                <w:lang w:val="en-US" w:eastAsia="zh-CN"/>
              </w:rPr>
              <w:t>瓦石峡河</w:t>
            </w:r>
            <w:r>
              <w:rPr>
                <w:rFonts w:hint="default" w:ascii="Times New Roman" w:hAnsi="Times New Roman" w:eastAsia="宋体" w:cs="Times New Roman"/>
                <w:snapToGrid w:val="0"/>
                <w:kern w:val="0"/>
                <w:sz w:val="24"/>
                <w:szCs w:val="24"/>
                <w:lang w:val="en-US" w:eastAsia="zh-CN"/>
              </w:rPr>
              <w:t>地表水，水质符合《地表水环境质量标准》（GB3838-2002）Ⅲ类标准，可满足农业灌溉需求。</w:t>
            </w:r>
          </w:p>
          <w:p w14:paraId="5A3EBFF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若羌县吾塔木村现有土渠进行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，灌溉用水引自现有斗渠，不直接从河流引水，</w:t>
            </w:r>
            <w:r>
              <w:rPr>
                <w:rFonts w:hint="default" w:ascii="Times New Roman" w:hAnsi="Times New Roman" w:eastAsia="宋体" w:cs="Times New Roman"/>
                <w:snapToGrid w:val="0"/>
                <w:kern w:val="0"/>
                <w:sz w:val="24"/>
                <w:szCs w:val="24"/>
                <w:highlight w:val="none"/>
                <w:lang w:val="en-US" w:eastAsia="zh-CN" w:bidi="ar-SA"/>
              </w:rPr>
              <w:t>不新增引水规模和取水量</w:t>
            </w:r>
            <w:r>
              <w:rPr>
                <w:rFonts w:hint="default" w:ascii="Times New Roman" w:hAnsi="Times New Roman" w:cs="Times New Roman"/>
                <w:snapToGrid w:val="0"/>
                <w:kern w:val="0"/>
                <w:sz w:val="24"/>
                <w:szCs w:val="24"/>
                <w:highlight w:val="none"/>
                <w:lang w:val="en-US" w:eastAsia="zh-CN" w:bidi="ar-SA"/>
              </w:rPr>
              <w:t>。</w:t>
            </w:r>
          </w:p>
          <w:p w14:paraId="619E318E">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3建设规模</w:t>
            </w:r>
          </w:p>
          <w:p w14:paraId="3C401AE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本工程修建防渗渠21条，渠道</w:t>
            </w:r>
            <w:r>
              <w:rPr>
                <w:rFonts w:hint="eastAsia" w:cs="Times New Roman"/>
                <w:snapToGrid w:val="0"/>
                <w:kern w:val="0"/>
                <w:sz w:val="24"/>
                <w:szCs w:val="24"/>
                <w:lang w:val="en-US" w:eastAsia="zh-CN"/>
              </w:rPr>
              <w:t>总</w:t>
            </w:r>
            <w:r>
              <w:rPr>
                <w:rFonts w:hint="default" w:ascii="Times New Roman" w:hAnsi="Times New Roman" w:eastAsia="宋体" w:cs="Times New Roman"/>
                <w:snapToGrid w:val="0"/>
                <w:kern w:val="0"/>
                <w:sz w:val="24"/>
                <w:szCs w:val="24"/>
                <w:lang w:val="en-US" w:eastAsia="zh-CN"/>
              </w:rPr>
              <w:t>长7.35km，配套渠系建筑物256座，其中节制引水闸11座，节制双分水闸99座，节制单分水闸77座、双分水闸15座，单分水闸30座、节制闸2座、涵桥22座。项目主要建设内容见表2-</w:t>
            </w:r>
            <w:r>
              <w:rPr>
                <w:rFonts w:hint="eastAsia"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w:t>
            </w:r>
          </w:p>
          <w:p w14:paraId="38B56CBA">
            <w:pPr>
              <w:keepNext w:val="0"/>
              <w:keepLines w:val="0"/>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项目主要建设内容一览表</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318"/>
              <w:gridCol w:w="5975"/>
              <w:gridCol w:w="426"/>
            </w:tblGrid>
            <w:tr w14:paraId="63913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tcBorders>
                    <w:tl2br w:val="nil"/>
                    <w:tr2bl w:val="nil"/>
                  </w:tcBorders>
                  <w:noWrap w:val="0"/>
                  <w:vAlign w:val="center"/>
                </w:tcPr>
                <w:p w14:paraId="52AD3B36">
                  <w:pPr>
                    <w:pStyle w:val="4"/>
                    <w:bidi w:val="0"/>
                    <w:rPr>
                      <w:rFonts w:hint="default" w:ascii="Times New Roman" w:hAnsi="Times New Roman" w:cs="Times New Roman"/>
                    </w:rPr>
                  </w:pPr>
                  <w:r>
                    <w:rPr>
                      <w:rFonts w:hint="default" w:ascii="Times New Roman" w:hAnsi="Times New Roman" w:cs="Times New Roman"/>
                    </w:rPr>
                    <w:t>类别</w:t>
                  </w:r>
                </w:p>
              </w:tc>
              <w:tc>
                <w:tcPr>
                  <w:tcW w:w="809" w:type="pct"/>
                  <w:tcBorders>
                    <w:tl2br w:val="nil"/>
                    <w:tr2bl w:val="nil"/>
                  </w:tcBorders>
                  <w:noWrap w:val="0"/>
                  <w:vAlign w:val="center"/>
                </w:tcPr>
                <w:p w14:paraId="440F3DC9">
                  <w:pPr>
                    <w:pStyle w:val="4"/>
                    <w:bidi w:val="0"/>
                    <w:rPr>
                      <w:rFonts w:hint="default" w:ascii="Times New Roman" w:hAnsi="Times New Roman" w:cs="Times New Roman"/>
                    </w:rPr>
                  </w:pPr>
                  <w:r>
                    <w:rPr>
                      <w:rFonts w:hint="default" w:ascii="Times New Roman" w:hAnsi="Times New Roman" w:cs="Times New Roman"/>
                    </w:rPr>
                    <w:t>项目名称</w:t>
                  </w:r>
                </w:p>
              </w:tc>
              <w:tc>
                <w:tcPr>
                  <w:tcW w:w="3668" w:type="pct"/>
                  <w:tcBorders>
                    <w:tl2br w:val="nil"/>
                    <w:tr2bl w:val="nil"/>
                  </w:tcBorders>
                  <w:noWrap w:val="0"/>
                  <w:vAlign w:val="center"/>
                </w:tcPr>
                <w:p w14:paraId="072E1DA5">
                  <w:pPr>
                    <w:pStyle w:val="4"/>
                    <w:bidi w:val="0"/>
                    <w:rPr>
                      <w:rFonts w:hint="default" w:ascii="Times New Roman" w:hAnsi="Times New Roman" w:cs="Times New Roman"/>
                    </w:rPr>
                  </w:pPr>
                  <w:r>
                    <w:rPr>
                      <w:rFonts w:hint="default" w:ascii="Times New Roman" w:hAnsi="Times New Roman" w:cs="Times New Roman"/>
                    </w:rPr>
                    <w:t>建设内容</w:t>
                  </w:r>
                </w:p>
              </w:tc>
              <w:tc>
                <w:tcPr>
                  <w:tcW w:w="261" w:type="pct"/>
                  <w:tcBorders>
                    <w:tl2br w:val="nil"/>
                    <w:tr2bl w:val="nil"/>
                  </w:tcBorders>
                  <w:noWrap w:val="0"/>
                  <w:vAlign w:val="center"/>
                </w:tcPr>
                <w:p w14:paraId="03380368">
                  <w:pPr>
                    <w:pStyle w:val="4"/>
                    <w:bidi w:val="0"/>
                    <w:rPr>
                      <w:rFonts w:hint="default" w:ascii="Times New Roman" w:hAnsi="Times New Roman" w:cs="Times New Roman"/>
                    </w:rPr>
                  </w:pPr>
                  <w:r>
                    <w:rPr>
                      <w:rFonts w:hint="default" w:ascii="Times New Roman" w:hAnsi="Times New Roman" w:cs="Times New Roman"/>
                    </w:rPr>
                    <w:t>备注</w:t>
                  </w:r>
                </w:p>
              </w:tc>
            </w:tr>
            <w:tr w14:paraId="7E4E5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2777B793">
                  <w:pPr>
                    <w:pStyle w:val="4"/>
                    <w:bidi w:val="0"/>
                    <w:rPr>
                      <w:rFonts w:hint="default" w:ascii="Times New Roman" w:hAnsi="Times New Roman" w:cs="Times New Roman"/>
                    </w:rPr>
                  </w:pPr>
                  <w:r>
                    <w:rPr>
                      <w:rFonts w:hint="default" w:ascii="Times New Roman" w:hAnsi="Times New Roman" w:cs="Times New Roman"/>
                    </w:rPr>
                    <w:t>主体工程</w:t>
                  </w:r>
                </w:p>
              </w:tc>
              <w:tc>
                <w:tcPr>
                  <w:tcW w:w="809" w:type="pct"/>
                  <w:tcBorders>
                    <w:tl2br w:val="nil"/>
                    <w:tr2bl w:val="nil"/>
                  </w:tcBorders>
                  <w:noWrap w:val="0"/>
                  <w:vAlign w:val="center"/>
                </w:tcPr>
                <w:p w14:paraId="2BF30F0B">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防渗渠道</w:t>
                  </w:r>
                </w:p>
              </w:tc>
              <w:tc>
                <w:tcPr>
                  <w:tcW w:w="3668" w:type="pct"/>
                  <w:tcBorders>
                    <w:tl2br w:val="nil"/>
                    <w:tr2bl w:val="nil"/>
                  </w:tcBorders>
                  <w:noWrap w:val="0"/>
                  <w:vAlign w:val="center"/>
                </w:tcPr>
                <w:p w14:paraId="7FB2BF01">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修建防渗斗渠21条，渠道长7.35km，所有U型防渗渠道沿现状原有土渠上修建</w:t>
                  </w:r>
                </w:p>
              </w:tc>
              <w:tc>
                <w:tcPr>
                  <w:tcW w:w="261" w:type="pct"/>
                  <w:vMerge w:val="restart"/>
                  <w:tcBorders>
                    <w:tl2br w:val="nil"/>
                    <w:tr2bl w:val="nil"/>
                  </w:tcBorders>
                  <w:noWrap w:val="0"/>
                  <w:vAlign w:val="center"/>
                </w:tcPr>
                <w:p w14:paraId="54CC1737">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新建</w:t>
                  </w:r>
                </w:p>
              </w:tc>
            </w:tr>
            <w:tr w14:paraId="5AAFD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4C284D0">
                  <w:pPr>
                    <w:pStyle w:val="4"/>
                    <w:bidi w:val="0"/>
                    <w:rPr>
                      <w:rFonts w:hint="default" w:ascii="Times New Roman" w:hAnsi="Times New Roman" w:cs="Times New Roman"/>
                    </w:rPr>
                  </w:pPr>
                </w:p>
              </w:tc>
              <w:tc>
                <w:tcPr>
                  <w:tcW w:w="809" w:type="pct"/>
                  <w:tcBorders>
                    <w:tl2br w:val="nil"/>
                    <w:tr2bl w:val="nil"/>
                  </w:tcBorders>
                  <w:noWrap w:val="0"/>
                  <w:vAlign w:val="center"/>
                </w:tcPr>
                <w:p w14:paraId="42469FAF">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渠系建筑物</w:t>
                  </w:r>
                </w:p>
              </w:tc>
              <w:tc>
                <w:tcPr>
                  <w:tcW w:w="3668" w:type="pct"/>
                  <w:tcBorders>
                    <w:tl2br w:val="nil"/>
                    <w:tr2bl w:val="nil"/>
                  </w:tcBorders>
                  <w:noWrap w:val="0"/>
                  <w:vAlign w:val="center"/>
                </w:tcPr>
                <w:p w14:paraId="2D8DA421">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配套渠系建筑物256座，其中节制引水闸11座，节制双分水闸99座，节制单分水闸77座、双分水闸15座，单分水闸30座、节制闸2座、涵桥22座</w:t>
                  </w:r>
                </w:p>
              </w:tc>
              <w:tc>
                <w:tcPr>
                  <w:tcW w:w="261" w:type="pct"/>
                  <w:vMerge w:val="continue"/>
                  <w:tcBorders>
                    <w:tl2br w:val="nil"/>
                    <w:tr2bl w:val="nil"/>
                  </w:tcBorders>
                  <w:noWrap w:val="0"/>
                  <w:vAlign w:val="center"/>
                </w:tcPr>
                <w:p w14:paraId="285AEF38">
                  <w:pPr>
                    <w:pStyle w:val="4"/>
                    <w:bidi w:val="0"/>
                    <w:rPr>
                      <w:rFonts w:hint="default" w:ascii="Times New Roman" w:hAnsi="Times New Roman" w:cs="Times New Roman"/>
                      <w:lang w:val="en-US" w:eastAsia="zh-CN"/>
                    </w:rPr>
                  </w:pPr>
                </w:p>
              </w:tc>
            </w:tr>
            <w:tr w14:paraId="7C6F6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restart"/>
                  <w:tcBorders>
                    <w:tl2br w:val="nil"/>
                    <w:tr2bl w:val="nil"/>
                  </w:tcBorders>
                  <w:noWrap w:val="0"/>
                  <w:vAlign w:val="center"/>
                </w:tcPr>
                <w:p w14:paraId="67A019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临时工程</w:t>
                  </w:r>
                </w:p>
              </w:tc>
              <w:tc>
                <w:tcPr>
                  <w:tcW w:w="809" w:type="pct"/>
                  <w:tcBorders>
                    <w:tl2br w:val="nil"/>
                    <w:tr2bl w:val="nil"/>
                  </w:tcBorders>
                  <w:noWrap w:val="0"/>
                  <w:vAlign w:val="center"/>
                </w:tcPr>
                <w:p w14:paraId="0DDFEA1E">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heme="minorAscii" w:hAnsiTheme="minorAscii"/>
                      <w:snapToGrid w:val="0"/>
                      <w:sz w:val="21"/>
                      <w:szCs w:val="21"/>
                    </w:rPr>
                    <w:t>临时生产、材料堆放布置</w:t>
                  </w:r>
                </w:p>
              </w:tc>
              <w:tc>
                <w:tcPr>
                  <w:tcW w:w="3668" w:type="pct"/>
                  <w:tcBorders>
                    <w:tl2br w:val="nil"/>
                    <w:tr2bl w:val="nil"/>
                  </w:tcBorders>
                  <w:noWrap w:val="0"/>
                  <w:vAlign w:val="center"/>
                </w:tcPr>
                <w:p w14:paraId="388405EC">
                  <w:pPr>
                    <w:pStyle w:val="20"/>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lang w:val="en-US" w:eastAsia="zh-CN"/>
                    </w:rPr>
                    <w:t>本项目不布设独立临时生产区、场外材料堆放场，砂石、混凝土等建材均从县域合规拌合站、料场外购成品，直接运输至作业面即时施工，不在项目外单独设置材料堆放场地。</w:t>
                  </w:r>
                </w:p>
              </w:tc>
              <w:tc>
                <w:tcPr>
                  <w:tcW w:w="261" w:type="pct"/>
                  <w:tcBorders>
                    <w:tl2br w:val="nil"/>
                    <w:tr2bl w:val="nil"/>
                  </w:tcBorders>
                  <w:noWrap w:val="0"/>
                  <w:vAlign w:val="center"/>
                </w:tcPr>
                <w:p w14:paraId="44F0A20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4ABEB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42588E77">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734F1E29">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imes New Roman" w:hAnsi="Times New Roman" w:cs="Times New Roman"/>
                      <w:highlight w:val="none"/>
                      <w:lang w:val="en-US" w:eastAsia="zh-CN"/>
                    </w:rPr>
                    <w:t>临时堆</w:t>
                  </w:r>
                  <w:r>
                    <w:rPr>
                      <w:rFonts w:hint="eastAsia" w:ascii="Times New Roman" w:hAnsi="Times New Roman" w:cs="Times New Roman"/>
                      <w:highlight w:val="none"/>
                      <w:lang w:val="en-US" w:eastAsia="zh-CN"/>
                    </w:rPr>
                    <w:t>土</w:t>
                  </w:r>
                  <w:r>
                    <w:rPr>
                      <w:rFonts w:hint="default" w:ascii="Times New Roman" w:hAnsi="Times New Roman" w:cs="Times New Roman"/>
                      <w:highlight w:val="none"/>
                      <w:lang w:val="en-US" w:eastAsia="zh-CN"/>
                    </w:rPr>
                    <w:t>区</w:t>
                  </w:r>
                </w:p>
              </w:tc>
              <w:tc>
                <w:tcPr>
                  <w:tcW w:w="3668" w:type="pct"/>
                  <w:tcBorders>
                    <w:tl2br w:val="nil"/>
                    <w:tr2bl w:val="nil"/>
                  </w:tcBorders>
                  <w:noWrap w:val="0"/>
                  <w:vAlign w:val="center"/>
                </w:tcPr>
                <w:p w14:paraId="56434D3A">
                  <w:pPr>
                    <w:pStyle w:val="20"/>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rPr>
                    <w:t>本项目渠道开挖产生的土方仅在工程永久占地作业带范围内临时堆存</w:t>
                  </w:r>
                  <w:r>
                    <w:rPr>
                      <w:rFonts w:hint="default" w:ascii="Times New Roman" w:hAnsi="Times New Roman" w:cs="Times New Roman"/>
                      <w:snapToGrid w:val="0"/>
                      <w:sz w:val="21"/>
                      <w:szCs w:val="21"/>
                      <w:lang w:eastAsia="zh-CN"/>
                    </w:rPr>
                    <w:t>，</w:t>
                  </w:r>
                  <w:r>
                    <w:rPr>
                      <w:rFonts w:hint="default" w:ascii="Times New Roman" w:hAnsi="Times New Roman" w:cs="Times New Roman"/>
                      <w:snapToGrid w:val="0"/>
                      <w:sz w:val="21"/>
                      <w:szCs w:val="21"/>
                    </w:rPr>
                    <w:t>沿线堆放至渠道施工作业带</w:t>
                  </w:r>
                  <w:r>
                    <w:rPr>
                      <w:rFonts w:hint="default" w:ascii="Times New Roman" w:hAnsi="Times New Roman" w:cs="Times New Roman"/>
                      <w:snapToGrid w:val="0"/>
                      <w:sz w:val="21"/>
                      <w:szCs w:val="21"/>
                      <w:lang w:val="en-US" w:eastAsia="zh-CN"/>
                    </w:rPr>
                    <w:t>两</w:t>
                  </w:r>
                  <w:r>
                    <w:rPr>
                      <w:rFonts w:hint="default" w:ascii="Times New Roman" w:hAnsi="Times New Roman" w:cs="Times New Roman"/>
                      <w:snapToGrid w:val="0"/>
                      <w:sz w:val="21"/>
                      <w:szCs w:val="21"/>
                    </w:rPr>
                    <w:t>侧，方便后期回填利用。</w:t>
                  </w:r>
                </w:p>
              </w:tc>
              <w:tc>
                <w:tcPr>
                  <w:tcW w:w="261" w:type="pct"/>
                  <w:tcBorders>
                    <w:tl2br w:val="nil"/>
                    <w:tr2bl w:val="nil"/>
                  </w:tcBorders>
                  <w:noWrap w:val="0"/>
                  <w:vAlign w:val="center"/>
                </w:tcPr>
                <w:p w14:paraId="67BB625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08436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00175693">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363E97C6">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临时道路</w:t>
                  </w:r>
                </w:p>
              </w:tc>
              <w:tc>
                <w:tcPr>
                  <w:tcW w:w="3668" w:type="pct"/>
                  <w:tcBorders>
                    <w:tl2br w:val="nil"/>
                    <w:tr2bl w:val="nil"/>
                  </w:tcBorders>
                  <w:noWrap w:val="0"/>
                  <w:vAlign w:val="center"/>
                </w:tcPr>
                <w:p w14:paraId="7A54D182">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工程沿线有乡间柏油路及乡村道路，工程施工时可作为施工临时道路。</w:t>
                  </w:r>
                </w:p>
              </w:tc>
              <w:tc>
                <w:tcPr>
                  <w:tcW w:w="261" w:type="pct"/>
                  <w:tcBorders>
                    <w:tl2br w:val="nil"/>
                    <w:tr2bl w:val="nil"/>
                  </w:tcBorders>
                  <w:noWrap w:val="0"/>
                  <w:vAlign w:val="center"/>
                </w:tcPr>
                <w:p w14:paraId="1E4BA4F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60824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260" w:type="pct"/>
                  <w:vMerge w:val="restart"/>
                  <w:tcBorders>
                    <w:tl2br w:val="nil"/>
                    <w:tr2bl w:val="nil"/>
                  </w:tcBorders>
                  <w:noWrap w:val="0"/>
                  <w:vAlign w:val="center"/>
                </w:tcPr>
                <w:p w14:paraId="0DCCD1DA">
                  <w:pPr>
                    <w:pStyle w:val="4"/>
                    <w:bidi w:val="0"/>
                    <w:rPr>
                      <w:rFonts w:hint="default" w:ascii="Times New Roman" w:hAnsi="Times New Roman" w:cs="Times New Roman"/>
                    </w:rPr>
                  </w:pPr>
                  <w:r>
                    <w:rPr>
                      <w:rFonts w:hint="default" w:ascii="Times New Roman" w:hAnsi="Times New Roman" w:cs="Times New Roman"/>
                    </w:rPr>
                    <w:t>公用工程</w:t>
                  </w:r>
                </w:p>
              </w:tc>
              <w:tc>
                <w:tcPr>
                  <w:tcW w:w="809" w:type="pct"/>
                  <w:tcBorders>
                    <w:tl2br w:val="nil"/>
                    <w:tr2bl w:val="nil"/>
                  </w:tcBorders>
                  <w:noWrap w:val="0"/>
                  <w:vAlign w:val="center"/>
                </w:tcPr>
                <w:p w14:paraId="5EBB60B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rPr>
                    <w:t>供</w:t>
                  </w:r>
                  <w:r>
                    <w:rPr>
                      <w:rFonts w:hint="default" w:ascii="Times New Roman" w:hAnsi="Times New Roman" w:cs="Times New Roman"/>
                      <w:highlight w:val="none"/>
                      <w:lang w:val="en-US" w:eastAsia="zh-CN"/>
                    </w:rPr>
                    <w:t>水</w:t>
                  </w:r>
                </w:p>
              </w:tc>
              <w:tc>
                <w:tcPr>
                  <w:tcW w:w="3668" w:type="pct"/>
                  <w:tcBorders>
                    <w:tl2br w:val="nil"/>
                    <w:tr2bl w:val="nil"/>
                  </w:tcBorders>
                  <w:noWrap w:val="0"/>
                  <w:vAlign w:val="center"/>
                </w:tcPr>
                <w:p w14:paraId="1B562B5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施工用水从附近村庄拉运。</w:t>
                  </w:r>
                </w:p>
              </w:tc>
              <w:tc>
                <w:tcPr>
                  <w:tcW w:w="261" w:type="pct"/>
                  <w:tcBorders>
                    <w:tl2br w:val="nil"/>
                    <w:tr2bl w:val="nil"/>
                  </w:tcBorders>
                  <w:noWrap w:val="0"/>
                  <w:vAlign w:val="center"/>
                </w:tcPr>
                <w:p w14:paraId="20A54401">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0237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0" w:type="pct"/>
                  <w:vMerge w:val="continue"/>
                  <w:tcBorders>
                    <w:tl2br w:val="nil"/>
                    <w:tr2bl w:val="nil"/>
                  </w:tcBorders>
                  <w:noWrap w:val="0"/>
                  <w:vAlign w:val="center"/>
                </w:tcPr>
                <w:p w14:paraId="5B664524">
                  <w:pPr>
                    <w:pStyle w:val="4"/>
                    <w:bidi w:val="0"/>
                    <w:rPr>
                      <w:rFonts w:hint="default" w:ascii="Times New Roman" w:hAnsi="Times New Roman" w:cs="Times New Roman"/>
                    </w:rPr>
                  </w:pPr>
                </w:p>
              </w:tc>
              <w:tc>
                <w:tcPr>
                  <w:tcW w:w="809" w:type="pct"/>
                  <w:tcBorders>
                    <w:tl2br w:val="nil"/>
                    <w:tr2bl w:val="nil"/>
                  </w:tcBorders>
                  <w:noWrap w:val="0"/>
                  <w:vAlign w:val="center"/>
                </w:tcPr>
                <w:p w14:paraId="0E1B62B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排水</w:t>
                  </w:r>
                </w:p>
              </w:tc>
              <w:tc>
                <w:tcPr>
                  <w:tcW w:w="3668" w:type="pct"/>
                  <w:tcBorders>
                    <w:tl2br w:val="nil"/>
                    <w:tr2bl w:val="nil"/>
                  </w:tcBorders>
                  <w:noWrap w:val="0"/>
                  <w:vAlign w:val="center"/>
                </w:tcPr>
                <w:p w14:paraId="2D1F6D3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317503C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5252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8D3D613">
                  <w:pPr>
                    <w:pStyle w:val="4"/>
                    <w:bidi w:val="0"/>
                    <w:rPr>
                      <w:rFonts w:hint="default" w:ascii="Times New Roman" w:hAnsi="Times New Roman" w:cs="Times New Roman"/>
                    </w:rPr>
                  </w:pPr>
                </w:p>
              </w:tc>
              <w:tc>
                <w:tcPr>
                  <w:tcW w:w="809" w:type="pct"/>
                  <w:tcBorders>
                    <w:tl2br w:val="nil"/>
                    <w:tr2bl w:val="nil"/>
                  </w:tcBorders>
                  <w:noWrap w:val="0"/>
                  <w:vAlign w:val="center"/>
                </w:tcPr>
                <w:p w14:paraId="35012641">
                  <w:pPr>
                    <w:pStyle w:val="4"/>
                    <w:bidi w:val="0"/>
                    <w:ind w:firstLine="0" w:firstLineChars="0"/>
                    <w:rPr>
                      <w:rFonts w:hint="default" w:ascii="Times New Roman" w:hAnsi="Times New Roman" w:cs="Times New Roman"/>
                    </w:rPr>
                  </w:pPr>
                  <w:r>
                    <w:rPr>
                      <w:rFonts w:hint="default" w:ascii="Times New Roman" w:hAnsi="Times New Roman" w:cs="Times New Roman"/>
                    </w:rPr>
                    <w:t>供电</w:t>
                  </w:r>
                </w:p>
              </w:tc>
              <w:tc>
                <w:tcPr>
                  <w:tcW w:w="3668" w:type="pct"/>
                  <w:tcBorders>
                    <w:tl2br w:val="nil"/>
                    <w:tr2bl w:val="nil"/>
                  </w:tcBorders>
                  <w:noWrap w:val="0"/>
                  <w:vAlign w:val="center"/>
                </w:tcPr>
                <w:p w14:paraId="6EDE1D40">
                  <w:pPr>
                    <w:pStyle w:val="4"/>
                    <w:bidi w:val="0"/>
                    <w:ind w:firstLine="0" w:firstLineChars="0"/>
                    <w:rPr>
                      <w:rFonts w:hint="default" w:ascii="Times New Roman" w:hAnsi="Times New Roman" w:cs="Times New Roman"/>
                      <w:lang w:val="en-US" w:eastAsia="zh-CN"/>
                    </w:rPr>
                  </w:pPr>
                  <w:r>
                    <w:rPr>
                      <w:rFonts w:hint="default" w:asciiTheme="minorAscii" w:hAnsiTheme="minorAscii"/>
                      <w:snapToGrid w:val="0"/>
                      <w:sz w:val="21"/>
                      <w:szCs w:val="21"/>
                    </w:rPr>
                    <w:t>依托农村电网供电，自备柴油发电机作为备用电源</w:t>
                  </w:r>
                  <w:r>
                    <w:rPr>
                      <w:rFonts w:hint="eastAsia" w:asciiTheme="minorAscii" w:hAnsiTheme="minorAscii"/>
                      <w:snapToGrid w:val="0"/>
                      <w:sz w:val="21"/>
                      <w:szCs w:val="21"/>
                      <w:lang w:eastAsia="zh-CN"/>
                    </w:rPr>
                    <w:t>。</w:t>
                  </w:r>
                </w:p>
              </w:tc>
              <w:tc>
                <w:tcPr>
                  <w:tcW w:w="261" w:type="pct"/>
                  <w:tcBorders>
                    <w:tl2br w:val="nil"/>
                    <w:tr2bl w:val="nil"/>
                  </w:tcBorders>
                  <w:noWrap w:val="0"/>
                  <w:vAlign w:val="center"/>
                </w:tcPr>
                <w:p w14:paraId="1FDDBFD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D793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03C57CE7">
                  <w:pPr>
                    <w:pStyle w:val="4"/>
                    <w:bidi w:val="0"/>
                    <w:rPr>
                      <w:rFonts w:hint="default" w:ascii="Times New Roman" w:hAnsi="Times New Roman" w:cs="Times New Roman"/>
                    </w:rPr>
                  </w:pPr>
                </w:p>
              </w:tc>
              <w:tc>
                <w:tcPr>
                  <w:tcW w:w="809" w:type="pct"/>
                  <w:tcBorders>
                    <w:tl2br w:val="nil"/>
                    <w:tr2bl w:val="nil"/>
                  </w:tcBorders>
                  <w:noWrap w:val="0"/>
                  <w:vAlign w:val="center"/>
                </w:tcPr>
                <w:p w14:paraId="1D4DF132">
                  <w:pPr>
                    <w:pStyle w:val="4"/>
                    <w:bidi w:val="0"/>
                    <w:ind w:firstLine="0" w:firstLineChars="0"/>
                    <w:rPr>
                      <w:rFonts w:hint="default" w:ascii="Times New Roman" w:hAnsi="Times New Roman" w:cs="Times New Roman"/>
                    </w:rPr>
                  </w:pPr>
                  <w:r>
                    <w:rPr>
                      <w:rFonts w:hint="default" w:ascii="Times New Roman" w:hAnsi="Times New Roman" w:cs="Times New Roman"/>
                    </w:rPr>
                    <w:t>供热</w:t>
                  </w:r>
                </w:p>
              </w:tc>
              <w:tc>
                <w:tcPr>
                  <w:tcW w:w="3668" w:type="pct"/>
                  <w:tcBorders>
                    <w:tl2br w:val="nil"/>
                    <w:tr2bl w:val="nil"/>
                  </w:tcBorders>
                  <w:noWrap w:val="0"/>
                  <w:vAlign w:val="center"/>
                </w:tcPr>
                <w:p w14:paraId="4EE15DF8">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本项目无需供热。</w:t>
                  </w:r>
                </w:p>
              </w:tc>
              <w:tc>
                <w:tcPr>
                  <w:tcW w:w="261" w:type="pct"/>
                  <w:tcBorders>
                    <w:tl2br w:val="nil"/>
                    <w:tr2bl w:val="nil"/>
                  </w:tcBorders>
                  <w:noWrap w:val="0"/>
                  <w:vAlign w:val="center"/>
                </w:tcPr>
                <w:p w14:paraId="1603EC8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B33E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0C5DE528">
                  <w:pPr>
                    <w:pStyle w:val="4"/>
                    <w:bidi w:val="0"/>
                    <w:rPr>
                      <w:rFonts w:hint="default" w:ascii="Times New Roman" w:hAnsi="Times New Roman" w:cs="Times New Roman"/>
                    </w:rPr>
                  </w:pPr>
                  <w:r>
                    <w:rPr>
                      <w:rFonts w:hint="default" w:ascii="Times New Roman" w:hAnsi="Times New Roman" w:cs="Times New Roman"/>
                    </w:rPr>
                    <w:t>环保工程</w:t>
                  </w:r>
                </w:p>
              </w:tc>
              <w:tc>
                <w:tcPr>
                  <w:tcW w:w="809" w:type="pct"/>
                  <w:tcBorders>
                    <w:tl2br w:val="nil"/>
                    <w:tr2bl w:val="nil"/>
                  </w:tcBorders>
                  <w:noWrap w:val="0"/>
                  <w:vAlign w:val="center"/>
                </w:tcPr>
                <w:p w14:paraId="7F6F58EE">
                  <w:pPr>
                    <w:pStyle w:val="4"/>
                    <w:bidi w:val="0"/>
                    <w:rPr>
                      <w:rFonts w:hint="default" w:ascii="Times New Roman" w:hAnsi="Times New Roman" w:cs="Times New Roman"/>
                    </w:rPr>
                  </w:pPr>
                  <w:r>
                    <w:rPr>
                      <w:rFonts w:hint="default" w:ascii="Times New Roman" w:hAnsi="Times New Roman" w:cs="Times New Roman"/>
                    </w:rPr>
                    <w:t>废气治理</w:t>
                  </w:r>
                </w:p>
              </w:tc>
              <w:tc>
                <w:tcPr>
                  <w:tcW w:w="3668" w:type="pct"/>
                  <w:tcBorders>
                    <w:tl2br w:val="nil"/>
                    <w:tr2bl w:val="nil"/>
                  </w:tcBorders>
                  <w:noWrap w:val="0"/>
                  <w:vAlign w:val="center"/>
                </w:tcPr>
                <w:p w14:paraId="3E60472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施工道路洒水抑尘</w:t>
                  </w:r>
                  <w:r>
                    <w:rPr>
                      <w:rFonts w:hint="default" w:ascii="Times New Roman" w:hAnsi="Times New Roman" w:cs="Times New Roman"/>
                      <w:lang w:eastAsia="zh-CN"/>
                    </w:rPr>
                    <w:t>；</w:t>
                  </w:r>
                  <w:r>
                    <w:rPr>
                      <w:rFonts w:hint="default" w:ascii="Times New Roman" w:hAnsi="Times New Roman" w:cs="Times New Roman"/>
                      <w:lang w:val="en-US" w:eastAsia="zh-CN"/>
                    </w:rPr>
                    <w:t>物料由料场运输至施工区临时堆放，单次堆存时间不超过2天，设置防尘网覆盖，定期洒水；运输车辆用篷布苫盖，减少施工扬尘；基础开挖的土方堆放于渠道两侧边坡，定期洒水</w:t>
                  </w:r>
                  <w:r>
                    <w:rPr>
                      <w:rFonts w:hint="eastAsia" w:cs="Times New Roman"/>
                      <w:lang w:val="en-US" w:eastAsia="zh-CN"/>
                    </w:rPr>
                    <w:t>，</w:t>
                  </w:r>
                  <w:r>
                    <w:rPr>
                      <w:rFonts w:hint="default" w:ascii="Times New Roman" w:hAnsi="Times New Roman" w:cs="Times New Roman"/>
                      <w:lang w:val="en-US" w:eastAsia="zh-CN"/>
                    </w:rPr>
                    <w:t>单次堆存时间不超过2天。</w:t>
                  </w:r>
                </w:p>
              </w:tc>
              <w:tc>
                <w:tcPr>
                  <w:tcW w:w="261" w:type="pct"/>
                  <w:tcBorders>
                    <w:tl2br w:val="nil"/>
                    <w:tr2bl w:val="nil"/>
                  </w:tcBorders>
                  <w:noWrap w:val="0"/>
                  <w:vAlign w:val="center"/>
                </w:tcPr>
                <w:p w14:paraId="41C2F13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0CA42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2431BC79">
                  <w:pPr>
                    <w:pStyle w:val="4"/>
                    <w:bidi w:val="0"/>
                    <w:rPr>
                      <w:rFonts w:hint="default" w:ascii="Times New Roman" w:hAnsi="Times New Roman" w:cs="Times New Roman"/>
                    </w:rPr>
                  </w:pPr>
                </w:p>
              </w:tc>
              <w:tc>
                <w:tcPr>
                  <w:tcW w:w="809" w:type="pct"/>
                  <w:tcBorders>
                    <w:tl2br w:val="nil"/>
                    <w:tr2bl w:val="nil"/>
                  </w:tcBorders>
                  <w:noWrap w:val="0"/>
                  <w:vAlign w:val="center"/>
                </w:tcPr>
                <w:p w14:paraId="215ADCF3">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废水治理</w:t>
                  </w:r>
                </w:p>
              </w:tc>
              <w:tc>
                <w:tcPr>
                  <w:tcW w:w="3668" w:type="pct"/>
                  <w:tcBorders>
                    <w:tl2br w:val="nil"/>
                    <w:tr2bl w:val="nil"/>
                  </w:tcBorders>
                  <w:noWrap w:val="0"/>
                  <w:vAlign w:val="center"/>
                </w:tcPr>
                <w:p w14:paraId="58D23A2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0DFF4BB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2D1A1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901AC32">
                  <w:pPr>
                    <w:pStyle w:val="4"/>
                    <w:bidi w:val="0"/>
                    <w:rPr>
                      <w:rFonts w:hint="default" w:ascii="Times New Roman" w:hAnsi="Times New Roman" w:cs="Times New Roman"/>
                    </w:rPr>
                  </w:pPr>
                </w:p>
              </w:tc>
              <w:tc>
                <w:tcPr>
                  <w:tcW w:w="809" w:type="pct"/>
                  <w:tcBorders>
                    <w:tl2br w:val="nil"/>
                    <w:tr2bl w:val="nil"/>
                  </w:tcBorders>
                  <w:noWrap w:val="0"/>
                  <w:vAlign w:val="center"/>
                </w:tcPr>
                <w:p w14:paraId="19BC3E50">
                  <w:pPr>
                    <w:pStyle w:val="4"/>
                    <w:bidi w:val="0"/>
                    <w:rPr>
                      <w:rFonts w:hint="default" w:ascii="Times New Roman" w:hAnsi="Times New Roman" w:cs="Times New Roman"/>
                    </w:rPr>
                  </w:pPr>
                  <w:r>
                    <w:rPr>
                      <w:rFonts w:hint="default" w:ascii="Times New Roman" w:hAnsi="Times New Roman" w:cs="Times New Roman"/>
                    </w:rPr>
                    <w:t>噪声治理</w:t>
                  </w:r>
                </w:p>
              </w:tc>
              <w:tc>
                <w:tcPr>
                  <w:tcW w:w="3668" w:type="pct"/>
                  <w:tcBorders>
                    <w:tl2br w:val="nil"/>
                    <w:tr2bl w:val="nil"/>
                  </w:tcBorders>
                  <w:noWrap w:val="0"/>
                  <w:vAlign w:val="center"/>
                </w:tcPr>
                <w:p w14:paraId="7C36A08C">
                  <w:pPr>
                    <w:pStyle w:val="4"/>
                    <w:bidi w:val="0"/>
                    <w:rPr>
                      <w:rFonts w:hint="default" w:ascii="Times New Roman" w:hAnsi="Times New Roman" w:cs="Times New Roman"/>
                      <w:lang w:eastAsia="zh-CN"/>
                    </w:rPr>
                  </w:pPr>
                  <w:r>
                    <w:rPr>
                      <w:rFonts w:hint="default" w:ascii="Times New Roman" w:hAnsi="Times New Roman" w:cs="Times New Roman"/>
                    </w:rPr>
                    <w:t>合理安排施工时间，施工设备合理布局，加强施工管理，避免高噪声设备同时运行</w:t>
                  </w:r>
                  <w:r>
                    <w:rPr>
                      <w:rFonts w:hint="default" w:ascii="Times New Roman" w:hAnsi="Times New Roman" w:cs="Times New Roman"/>
                      <w:lang w:eastAsia="zh-CN"/>
                    </w:rPr>
                    <w:t>、</w:t>
                  </w:r>
                  <w:r>
                    <w:rPr>
                      <w:rFonts w:hint="default" w:ascii="Times New Roman" w:hAnsi="Times New Roman" w:cs="Times New Roman"/>
                    </w:rPr>
                    <w:t>基础减振等</w:t>
                  </w:r>
                  <w:r>
                    <w:rPr>
                      <w:rFonts w:hint="default" w:ascii="Times New Roman" w:hAnsi="Times New Roman" w:cs="Times New Roman"/>
                      <w:lang w:eastAsia="zh-CN"/>
                    </w:rPr>
                    <w:t>。</w:t>
                  </w:r>
                </w:p>
              </w:tc>
              <w:tc>
                <w:tcPr>
                  <w:tcW w:w="261" w:type="pct"/>
                  <w:tcBorders>
                    <w:tl2br w:val="nil"/>
                    <w:tr2bl w:val="nil"/>
                  </w:tcBorders>
                  <w:noWrap w:val="0"/>
                  <w:vAlign w:val="center"/>
                </w:tcPr>
                <w:p w14:paraId="7944374D">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4E1CB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31DD0D62">
                  <w:pPr>
                    <w:pStyle w:val="4"/>
                    <w:bidi w:val="0"/>
                    <w:rPr>
                      <w:rFonts w:hint="default" w:ascii="Times New Roman" w:hAnsi="Times New Roman" w:cs="Times New Roman"/>
                    </w:rPr>
                  </w:pPr>
                </w:p>
              </w:tc>
              <w:tc>
                <w:tcPr>
                  <w:tcW w:w="809" w:type="pct"/>
                  <w:tcBorders>
                    <w:tl2br w:val="nil"/>
                    <w:tr2bl w:val="nil"/>
                  </w:tcBorders>
                  <w:noWrap w:val="0"/>
                  <w:vAlign w:val="center"/>
                </w:tcPr>
                <w:p w14:paraId="2C2A0474">
                  <w:pPr>
                    <w:pStyle w:val="4"/>
                    <w:bidi w:val="0"/>
                    <w:rPr>
                      <w:rFonts w:hint="default" w:ascii="Times New Roman" w:hAnsi="Times New Roman" w:cs="Times New Roman"/>
                    </w:rPr>
                  </w:pPr>
                  <w:r>
                    <w:rPr>
                      <w:rFonts w:hint="default" w:ascii="Times New Roman" w:hAnsi="Times New Roman" w:cs="Times New Roman"/>
                    </w:rPr>
                    <w:t>固废治理</w:t>
                  </w:r>
                </w:p>
              </w:tc>
              <w:tc>
                <w:tcPr>
                  <w:tcW w:w="3668" w:type="pct"/>
                  <w:tcBorders>
                    <w:tl2br w:val="nil"/>
                    <w:tr2bl w:val="nil"/>
                  </w:tcBorders>
                  <w:noWrap w:val="0"/>
                  <w:vAlign w:val="center"/>
                </w:tcPr>
                <w:p w14:paraId="2E7C519A">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（1）弃土：用于填筑渠堤、沿渠道摊平压实；</w:t>
                  </w:r>
                </w:p>
                <w:p w14:paraId="1BA6F162">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（2）建筑垃圾：废钢筋、废铁皮、废包装等收集外售，拆除的原有渠道构筑物废混凝土、沉淀池底泥、混凝土废渣等建筑垃圾清运至当地市政环卫主管部门指定地点填埋处置。</w:t>
                  </w:r>
                </w:p>
                <w:p w14:paraId="64D99BF2">
                  <w:pPr>
                    <w:pStyle w:val="4"/>
                    <w:bidi w:val="0"/>
                    <w:jc w:val="both"/>
                    <w:rPr>
                      <w:rFonts w:hint="default" w:ascii="Times New Roman" w:hAnsi="Times New Roman" w:cs="Times New Roman"/>
                      <w:lang w:val="en-US" w:eastAsia="zh-CN"/>
                    </w:rPr>
                  </w:pPr>
                  <w:r>
                    <w:rPr>
                      <w:rFonts w:hint="default" w:ascii="Times New Roman" w:hAnsi="Times New Roman" w:cs="Times New Roman"/>
                      <w:highlight w:val="none"/>
                      <w:lang w:val="en-US" w:eastAsia="zh-CN"/>
                    </w:rPr>
                    <w:t>（3）生活垃圾：施工人员均来自附近乡镇，不在项目内设置生活区</w:t>
                  </w:r>
                  <w:r>
                    <w:rPr>
                      <w:rFonts w:hint="eastAsia" w:cs="Times New Roman"/>
                      <w:highlight w:val="none"/>
                      <w:lang w:val="en-US" w:eastAsia="zh-CN"/>
                    </w:rPr>
                    <w:t>，项目区无生活垃圾产生</w:t>
                  </w:r>
                  <w:r>
                    <w:rPr>
                      <w:rFonts w:hint="default" w:ascii="Times New Roman" w:hAnsi="Times New Roman" w:cs="Times New Roman"/>
                      <w:highlight w:val="none"/>
                      <w:lang w:val="en-US" w:eastAsia="zh-CN"/>
                    </w:rPr>
                    <w:t>。</w:t>
                  </w:r>
                </w:p>
              </w:tc>
              <w:tc>
                <w:tcPr>
                  <w:tcW w:w="261" w:type="pct"/>
                  <w:tcBorders>
                    <w:tl2br w:val="nil"/>
                    <w:tr2bl w:val="nil"/>
                  </w:tcBorders>
                  <w:noWrap w:val="0"/>
                  <w:vAlign w:val="center"/>
                </w:tcPr>
                <w:p w14:paraId="400A5800">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1BBB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F2F2796">
                  <w:pPr>
                    <w:pStyle w:val="4"/>
                    <w:bidi w:val="0"/>
                    <w:rPr>
                      <w:rFonts w:hint="default" w:ascii="Times New Roman" w:hAnsi="Times New Roman" w:cs="Times New Roman"/>
                    </w:rPr>
                  </w:pPr>
                </w:p>
              </w:tc>
              <w:tc>
                <w:tcPr>
                  <w:tcW w:w="809" w:type="pct"/>
                  <w:tcBorders>
                    <w:tl2br w:val="nil"/>
                    <w:tr2bl w:val="nil"/>
                  </w:tcBorders>
                  <w:noWrap w:val="0"/>
                  <w:vAlign w:val="center"/>
                </w:tcPr>
                <w:p w14:paraId="2920BFF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生态治理</w:t>
                  </w:r>
                </w:p>
              </w:tc>
              <w:tc>
                <w:tcPr>
                  <w:tcW w:w="3668" w:type="pct"/>
                  <w:tcBorders>
                    <w:tl2br w:val="nil"/>
                    <w:tr2bl w:val="nil"/>
                  </w:tcBorders>
                  <w:noWrap w:val="0"/>
                  <w:vAlign w:val="center"/>
                </w:tcPr>
                <w:p w14:paraId="0B1F571A">
                  <w:pPr>
                    <w:pStyle w:val="4"/>
                    <w:bidi w:val="0"/>
                    <w:rPr>
                      <w:rFonts w:hint="default" w:ascii="Times New Roman" w:hAnsi="Times New Roman" w:cs="Times New Roman"/>
                      <w:lang w:val="en-US"/>
                    </w:rPr>
                  </w:pPr>
                  <w:r>
                    <w:rPr>
                      <w:rFonts w:hint="default" w:ascii="Times New Roman" w:hAnsi="Times New Roman" w:cs="Times New Roman"/>
                      <w:lang w:val="en-US" w:eastAsia="zh-CN"/>
                    </w:rPr>
                    <w:t>自然恢复地表植被。</w:t>
                  </w:r>
                </w:p>
              </w:tc>
              <w:tc>
                <w:tcPr>
                  <w:tcW w:w="261" w:type="pct"/>
                  <w:tcBorders>
                    <w:tl2br w:val="nil"/>
                    <w:tr2bl w:val="nil"/>
                  </w:tcBorders>
                  <w:noWrap w:val="0"/>
                  <w:vAlign w:val="center"/>
                </w:tcPr>
                <w:p w14:paraId="6482FB9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bl>
          <w:p w14:paraId="094D05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项目施工期间，临时设备使用情况见下表。</w:t>
            </w:r>
          </w:p>
          <w:p w14:paraId="322EA1AF">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 xml:space="preserve">  主要设备一览表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357"/>
              <w:gridCol w:w="1358"/>
              <w:gridCol w:w="1358"/>
              <w:gridCol w:w="1358"/>
              <w:gridCol w:w="1363"/>
            </w:tblGrid>
            <w:tr w14:paraId="6582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550802C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832" w:type="pct"/>
                  <w:noWrap w:val="0"/>
                  <w:vAlign w:val="center"/>
                </w:tcPr>
                <w:p w14:paraId="089DC2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设备名称</w:t>
                  </w:r>
                </w:p>
              </w:tc>
              <w:tc>
                <w:tcPr>
                  <w:tcW w:w="833" w:type="pct"/>
                  <w:noWrap w:val="0"/>
                  <w:vAlign w:val="center"/>
                </w:tcPr>
                <w:p w14:paraId="04FF71F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型号规格</w:t>
                  </w:r>
                </w:p>
              </w:tc>
              <w:tc>
                <w:tcPr>
                  <w:tcW w:w="833" w:type="pct"/>
                  <w:noWrap w:val="0"/>
                  <w:vAlign w:val="center"/>
                </w:tcPr>
                <w:p w14:paraId="7241C65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单位</w:t>
                  </w:r>
                </w:p>
              </w:tc>
              <w:tc>
                <w:tcPr>
                  <w:tcW w:w="833" w:type="pct"/>
                  <w:noWrap w:val="0"/>
                  <w:vAlign w:val="center"/>
                </w:tcPr>
                <w:p w14:paraId="46D353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数量</w:t>
                  </w:r>
                </w:p>
              </w:tc>
              <w:tc>
                <w:tcPr>
                  <w:tcW w:w="836" w:type="pct"/>
                  <w:noWrap w:val="0"/>
                  <w:vAlign w:val="center"/>
                </w:tcPr>
                <w:p w14:paraId="47B2C28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备注</w:t>
                  </w:r>
                </w:p>
              </w:tc>
            </w:tr>
            <w:tr w14:paraId="349D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77AC633">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832" w:type="pct"/>
                  <w:noWrap w:val="0"/>
                  <w:vAlign w:val="center"/>
                </w:tcPr>
                <w:p w14:paraId="248FF1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发电机</w:t>
                  </w:r>
                </w:p>
              </w:tc>
              <w:tc>
                <w:tcPr>
                  <w:tcW w:w="833" w:type="pct"/>
                  <w:noWrap w:val="0"/>
                  <w:vAlign w:val="center"/>
                </w:tcPr>
                <w:p w14:paraId="4B43DA33">
                  <w:pPr>
                    <w:pStyle w:val="4"/>
                    <w:bidi w:val="0"/>
                    <w:rPr>
                      <w:rFonts w:hint="default" w:ascii="Times New Roman" w:hAnsi="Times New Roman" w:cs="Times New Roman"/>
                      <w:lang w:val="en-US" w:eastAsia="zh-CN"/>
                    </w:rPr>
                  </w:pPr>
                  <w:r>
                    <w:rPr>
                      <w:rFonts w:hint="eastAsia" w:cs="Times New Roman"/>
                      <w:lang w:val="en-US" w:eastAsia="zh-CN"/>
                    </w:rPr>
                    <w:t>5</w:t>
                  </w:r>
                  <w:r>
                    <w:rPr>
                      <w:rFonts w:hint="default" w:ascii="Times New Roman" w:hAnsi="Times New Roman" w:cs="Times New Roman"/>
                      <w:lang w:val="en-US" w:eastAsia="zh-CN"/>
                    </w:rPr>
                    <w:t>0kW</w:t>
                  </w:r>
                </w:p>
              </w:tc>
              <w:tc>
                <w:tcPr>
                  <w:tcW w:w="833" w:type="pct"/>
                  <w:noWrap w:val="0"/>
                  <w:vAlign w:val="center"/>
                </w:tcPr>
                <w:p w14:paraId="15E24A0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6CF61CE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6" w:type="pct"/>
                  <w:vMerge w:val="restart"/>
                  <w:noWrap w:val="0"/>
                  <w:vAlign w:val="center"/>
                </w:tcPr>
                <w:p w14:paraId="2A3D1A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临时设备</w:t>
                  </w:r>
                </w:p>
              </w:tc>
            </w:tr>
            <w:tr w14:paraId="442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9E9FB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2" w:type="pct"/>
                  <w:noWrap w:val="0"/>
                  <w:vAlign w:val="center"/>
                </w:tcPr>
                <w:p w14:paraId="51BB61C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推土机</w:t>
                  </w:r>
                </w:p>
              </w:tc>
              <w:tc>
                <w:tcPr>
                  <w:tcW w:w="833" w:type="pct"/>
                  <w:noWrap w:val="0"/>
                  <w:vAlign w:val="center"/>
                </w:tcPr>
                <w:p w14:paraId="6B72FA8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4044515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17E163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586BA971">
                  <w:pPr>
                    <w:pStyle w:val="4"/>
                    <w:bidi w:val="0"/>
                    <w:rPr>
                      <w:rFonts w:hint="default" w:ascii="Times New Roman" w:hAnsi="Times New Roman" w:cs="Times New Roman"/>
                      <w:lang w:val="en-US" w:eastAsia="zh-CN"/>
                    </w:rPr>
                  </w:pPr>
                </w:p>
              </w:tc>
            </w:tr>
            <w:tr w14:paraId="518B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1C2CEE2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2" w:type="pct"/>
                  <w:noWrap w:val="0"/>
                  <w:vAlign w:val="center"/>
                </w:tcPr>
                <w:p w14:paraId="017C86C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挖掘机</w:t>
                  </w:r>
                </w:p>
              </w:tc>
              <w:tc>
                <w:tcPr>
                  <w:tcW w:w="833" w:type="pct"/>
                  <w:noWrap w:val="0"/>
                  <w:vAlign w:val="center"/>
                </w:tcPr>
                <w:p w14:paraId="188268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EBBDD2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3EF3F3D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1C27F38">
                  <w:pPr>
                    <w:pStyle w:val="4"/>
                    <w:bidi w:val="0"/>
                    <w:rPr>
                      <w:rFonts w:hint="default" w:ascii="Times New Roman" w:hAnsi="Times New Roman" w:cs="Times New Roman"/>
                      <w:lang w:val="en-US" w:eastAsia="zh-CN"/>
                    </w:rPr>
                  </w:pPr>
                </w:p>
              </w:tc>
            </w:tr>
            <w:tr w14:paraId="3ED5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FC53C5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2" w:type="pct"/>
                  <w:noWrap w:val="0"/>
                  <w:vAlign w:val="center"/>
                </w:tcPr>
                <w:p w14:paraId="4A6AEC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轮胎碾</w:t>
                  </w:r>
                </w:p>
              </w:tc>
              <w:tc>
                <w:tcPr>
                  <w:tcW w:w="833" w:type="pct"/>
                  <w:noWrap w:val="0"/>
                  <w:vAlign w:val="center"/>
                </w:tcPr>
                <w:p w14:paraId="6E1F548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7F650C5E">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98EB4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8CB4B73">
                  <w:pPr>
                    <w:pStyle w:val="4"/>
                    <w:bidi w:val="0"/>
                    <w:rPr>
                      <w:rFonts w:hint="default" w:ascii="Times New Roman" w:hAnsi="Times New Roman" w:cs="Times New Roman"/>
                      <w:lang w:val="en-US" w:eastAsia="zh-CN"/>
                    </w:rPr>
                  </w:pPr>
                </w:p>
              </w:tc>
            </w:tr>
            <w:tr w14:paraId="26FD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74E94F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2" w:type="pct"/>
                  <w:noWrap w:val="0"/>
                  <w:vAlign w:val="center"/>
                </w:tcPr>
                <w:p w14:paraId="492E2E7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自卸汽车</w:t>
                  </w:r>
                </w:p>
              </w:tc>
              <w:tc>
                <w:tcPr>
                  <w:tcW w:w="833" w:type="pct"/>
                  <w:noWrap w:val="0"/>
                  <w:vAlign w:val="center"/>
                </w:tcPr>
                <w:p w14:paraId="375EA09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D1BD2A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7BF511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283968D3">
                  <w:pPr>
                    <w:pStyle w:val="4"/>
                    <w:bidi w:val="0"/>
                    <w:rPr>
                      <w:rFonts w:hint="default" w:ascii="Times New Roman" w:hAnsi="Times New Roman" w:cs="Times New Roman"/>
                      <w:lang w:val="en-US" w:eastAsia="zh-CN"/>
                    </w:rPr>
                  </w:pPr>
                </w:p>
              </w:tc>
            </w:tr>
            <w:tr w14:paraId="6DD8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AAEA99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832" w:type="pct"/>
                  <w:noWrap w:val="0"/>
                  <w:vAlign w:val="center"/>
                </w:tcPr>
                <w:p w14:paraId="4DCC80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平板振动器</w:t>
                  </w:r>
                </w:p>
              </w:tc>
              <w:tc>
                <w:tcPr>
                  <w:tcW w:w="833" w:type="pct"/>
                  <w:noWrap w:val="0"/>
                  <w:vAlign w:val="center"/>
                </w:tcPr>
                <w:p w14:paraId="0925797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6B2D55B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F771AB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6" w:type="pct"/>
                  <w:vMerge w:val="continue"/>
                  <w:noWrap w:val="0"/>
                  <w:vAlign w:val="center"/>
                </w:tcPr>
                <w:p w14:paraId="73455B05">
                  <w:pPr>
                    <w:pStyle w:val="4"/>
                    <w:bidi w:val="0"/>
                    <w:rPr>
                      <w:rFonts w:hint="default" w:ascii="Times New Roman" w:hAnsi="Times New Roman" w:cs="Times New Roman"/>
                      <w:lang w:val="en-US" w:eastAsia="zh-CN"/>
                    </w:rPr>
                  </w:pPr>
                </w:p>
              </w:tc>
            </w:tr>
          </w:tbl>
          <w:p w14:paraId="70A46A6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4主要原辅材料及燃料</w:t>
            </w:r>
          </w:p>
          <w:p w14:paraId="4358D7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项目主要原辅料及能源、资源用量见下表。</w:t>
            </w:r>
          </w:p>
          <w:p w14:paraId="69F2BE1D">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4</w:t>
            </w:r>
            <w:r>
              <w:rPr>
                <w:rFonts w:hint="default" w:ascii="Times New Roman" w:hAnsi="Times New Roman" w:eastAsia="宋体" w:cs="Times New Roman"/>
                <w:b/>
                <w:bCs/>
                <w:snapToGrid w:val="0"/>
                <w:kern w:val="0"/>
                <w:sz w:val="24"/>
                <w:szCs w:val="24"/>
                <w:lang w:val="en-US" w:eastAsia="zh-CN"/>
              </w:rPr>
              <w:t xml:space="preserve">  能源消耗及原辅材料消耗情况表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613"/>
              <w:gridCol w:w="1091"/>
              <w:gridCol w:w="1241"/>
              <w:gridCol w:w="3198"/>
            </w:tblGrid>
            <w:tr w14:paraId="69DE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783E28E">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序号</w:t>
                  </w:r>
                </w:p>
              </w:tc>
              <w:tc>
                <w:tcPr>
                  <w:tcW w:w="1613" w:type="dxa"/>
                  <w:noWrap w:val="0"/>
                  <w:vAlign w:val="center"/>
                </w:tcPr>
                <w:p w14:paraId="30317C9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原料名称</w:t>
                  </w:r>
                </w:p>
              </w:tc>
              <w:tc>
                <w:tcPr>
                  <w:tcW w:w="1091" w:type="dxa"/>
                  <w:noWrap w:val="0"/>
                  <w:vAlign w:val="center"/>
                </w:tcPr>
                <w:p w14:paraId="4C6F6A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单位</w:t>
                  </w:r>
                </w:p>
              </w:tc>
              <w:tc>
                <w:tcPr>
                  <w:tcW w:w="1241" w:type="dxa"/>
                  <w:noWrap w:val="0"/>
                  <w:vAlign w:val="center"/>
                </w:tcPr>
                <w:p w14:paraId="2563CE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3198" w:type="dxa"/>
                  <w:noWrap w:val="0"/>
                  <w:vAlign w:val="center"/>
                </w:tcPr>
                <w:p w14:paraId="7F18F30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备注</w:t>
                  </w:r>
                </w:p>
              </w:tc>
            </w:tr>
            <w:tr w14:paraId="173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011" w:type="dxa"/>
                  <w:noWrap w:val="0"/>
                  <w:vAlign w:val="center"/>
                </w:tcPr>
                <w:p w14:paraId="2CC92BA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w:t>
                  </w:r>
                </w:p>
              </w:tc>
              <w:tc>
                <w:tcPr>
                  <w:tcW w:w="1613" w:type="dxa"/>
                  <w:noWrap w:val="0"/>
                  <w:vAlign w:val="center"/>
                </w:tcPr>
                <w:p w14:paraId="2C34F3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柴油</w:t>
                  </w:r>
                </w:p>
              </w:tc>
              <w:tc>
                <w:tcPr>
                  <w:tcW w:w="1091" w:type="dxa"/>
                  <w:noWrap w:val="0"/>
                  <w:vAlign w:val="center"/>
                </w:tcPr>
                <w:p w14:paraId="20CF66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noWrap w:val="0"/>
                  <w:vAlign w:val="center"/>
                </w:tcPr>
                <w:p w14:paraId="43C549D5">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60</w:t>
                  </w:r>
                </w:p>
              </w:tc>
              <w:tc>
                <w:tcPr>
                  <w:tcW w:w="3198" w:type="dxa"/>
                  <w:noWrap w:val="0"/>
                  <w:vAlign w:val="center"/>
                </w:tcPr>
                <w:p w14:paraId="2EE19C15">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外购成品，不在</w:t>
                  </w:r>
                  <w:r>
                    <w:rPr>
                      <w:rFonts w:hint="eastAsia" w:ascii="Times New Roman" w:hAnsi="Times New Roman" w:cs="Times New Roman"/>
                      <w:highlight w:val="none"/>
                      <w:lang w:val="en-US" w:eastAsia="zh-CN"/>
                    </w:rPr>
                    <w:t>施工现场</w:t>
                  </w:r>
                  <w:r>
                    <w:rPr>
                      <w:rFonts w:hint="default" w:ascii="Times New Roman" w:hAnsi="Times New Roman" w:cs="Times New Roman"/>
                      <w:highlight w:val="none"/>
                      <w:lang w:val="en-US" w:eastAsia="zh-CN"/>
                    </w:rPr>
                    <w:t>储存</w:t>
                  </w:r>
                </w:p>
              </w:tc>
            </w:tr>
            <w:tr w14:paraId="7B9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7480F2E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w:t>
                  </w:r>
                </w:p>
              </w:tc>
              <w:tc>
                <w:tcPr>
                  <w:tcW w:w="1613" w:type="dxa"/>
                  <w:noWrap w:val="0"/>
                  <w:vAlign w:val="center"/>
                </w:tcPr>
                <w:p w14:paraId="02E99E9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b w:val="0"/>
                      <w:bCs w:val="0"/>
                      <w:color w:val="auto"/>
                      <w:sz w:val="21"/>
                      <w:szCs w:val="21"/>
                      <w:highlight w:val="none"/>
                      <w:vertAlign w:val="baseline"/>
                      <w:lang w:val="en-US" w:eastAsia="zh-CN"/>
                    </w:rPr>
                    <w:t>混凝土</w:t>
                  </w:r>
                </w:p>
              </w:tc>
              <w:tc>
                <w:tcPr>
                  <w:tcW w:w="1091" w:type="dxa"/>
                  <w:noWrap w:val="0"/>
                  <w:vAlign w:val="center"/>
                </w:tcPr>
                <w:p w14:paraId="5511788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m³</w:t>
                  </w:r>
                </w:p>
              </w:tc>
              <w:tc>
                <w:tcPr>
                  <w:tcW w:w="1241" w:type="dxa"/>
                  <w:noWrap w:val="0"/>
                  <w:vAlign w:val="center"/>
                </w:tcPr>
                <w:p w14:paraId="4BEDA24C">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eastAsia" w:cs="Times New Roman"/>
                      <w:b w:val="0"/>
                      <w:bCs w:val="0"/>
                      <w:color w:val="auto"/>
                      <w:sz w:val="21"/>
                      <w:szCs w:val="21"/>
                      <w:highlight w:val="none"/>
                      <w:vertAlign w:val="baseline"/>
                      <w:lang w:val="en-US" w:eastAsia="zh-CN"/>
                    </w:rPr>
                    <w:t>650</w:t>
                  </w:r>
                </w:p>
              </w:tc>
              <w:tc>
                <w:tcPr>
                  <w:tcW w:w="3198" w:type="dxa"/>
                  <w:noWrap w:val="0"/>
                  <w:vAlign w:val="center"/>
                </w:tcPr>
                <w:p w14:paraId="6D7731D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当地购买成品，混凝土车辆直接运送至施工场地</w:t>
                  </w:r>
                </w:p>
              </w:tc>
            </w:tr>
            <w:tr w14:paraId="13A3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11" w:type="dxa"/>
                  <w:noWrap w:val="0"/>
                  <w:vAlign w:val="center"/>
                </w:tcPr>
                <w:p w14:paraId="2D89A19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w:t>
                  </w:r>
                </w:p>
              </w:tc>
              <w:tc>
                <w:tcPr>
                  <w:tcW w:w="1613" w:type="dxa"/>
                  <w:noWrap w:val="0"/>
                  <w:vAlign w:val="center"/>
                </w:tcPr>
                <w:p w14:paraId="4CC49C80">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预制砼U型渠</w:t>
                  </w:r>
                </w:p>
              </w:tc>
              <w:tc>
                <w:tcPr>
                  <w:tcW w:w="1091" w:type="dxa"/>
                  <w:noWrap w:val="0"/>
                  <w:vAlign w:val="center"/>
                </w:tcPr>
                <w:p w14:paraId="478F337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3E211120">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750</w:t>
                  </w:r>
                </w:p>
              </w:tc>
              <w:tc>
                <w:tcPr>
                  <w:tcW w:w="3198" w:type="dxa"/>
                  <w:noWrap w:val="0"/>
                  <w:vAlign w:val="center"/>
                </w:tcPr>
                <w:p w14:paraId="55CA95A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34F8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144769F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w:t>
                  </w:r>
                </w:p>
              </w:tc>
              <w:tc>
                <w:tcPr>
                  <w:tcW w:w="1613" w:type="dxa"/>
                  <w:noWrap w:val="0"/>
                  <w:vAlign w:val="center"/>
                </w:tcPr>
                <w:p w14:paraId="7BF3F54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砂砾石垫层</w:t>
                  </w:r>
                </w:p>
              </w:tc>
              <w:tc>
                <w:tcPr>
                  <w:tcW w:w="1091" w:type="dxa"/>
                  <w:noWrap w:val="0"/>
                  <w:vAlign w:val="center"/>
                </w:tcPr>
                <w:p w14:paraId="41B7CD8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0184C98F">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8988</w:t>
                  </w:r>
                </w:p>
              </w:tc>
              <w:tc>
                <w:tcPr>
                  <w:tcW w:w="3198" w:type="dxa"/>
                  <w:noWrap w:val="0"/>
                  <w:vAlign w:val="center"/>
                </w:tcPr>
                <w:p w14:paraId="07C75C2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当地购买成品，自卸汽车拉运至施工场地</w:t>
                  </w:r>
                </w:p>
              </w:tc>
            </w:tr>
            <w:tr w14:paraId="7D4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11" w:type="dxa"/>
                  <w:noWrap w:val="0"/>
                  <w:vAlign w:val="center"/>
                </w:tcPr>
                <w:p w14:paraId="53ABD3E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w:t>
                  </w:r>
                </w:p>
              </w:tc>
              <w:tc>
                <w:tcPr>
                  <w:tcW w:w="1613" w:type="dxa"/>
                  <w:noWrap w:val="0"/>
                  <w:vAlign w:val="center"/>
                </w:tcPr>
                <w:p w14:paraId="443EC971">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闸门</w:t>
                  </w:r>
                </w:p>
              </w:tc>
              <w:tc>
                <w:tcPr>
                  <w:tcW w:w="1091" w:type="dxa"/>
                  <w:noWrap w:val="0"/>
                  <w:vAlign w:val="center"/>
                </w:tcPr>
                <w:p w14:paraId="27E763B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套</w:t>
                  </w:r>
                </w:p>
              </w:tc>
              <w:tc>
                <w:tcPr>
                  <w:tcW w:w="1241" w:type="dxa"/>
                  <w:noWrap w:val="0"/>
                  <w:vAlign w:val="center"/>
                </w:tcPr>
                <w:p w14:paraId="615DB3E4">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234</w:t>
                  </w:r>
                </w:p>
              </w:tc>
              <w:tc>
                <w:tcPr>
                  <w:tcW w:w="3198" w:type="dxa"/>
                  <w:noWrap w:val="0"/>
                  <w:vAlign w:val="center"/>
                </w:tcPr>
                <w:p w14:paraId="46F0585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外购成品，施工区组装</w:t>
                  </w:r>
                </w:p>
              </w:tc>
            </w:tr>
            <w:tr w14:paraId="2C11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ABC24A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6</w:t>
                  </w:r>
                </w:p>
              </w:tc>
              <w:tc>
                <w:tcPr>
                  <w:tcW w:w="1613" w:type="dxa"/>
                  <w:noWrap w:val="0"/>
                  <w:vAlign w:val="center"/>
                </w:tcPr>
                <w:p w14:paraId="0E5F2A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钢筋</w:t>
                  </w:r>
                </w:p>
              </w:tc>
              <w:tc>
                <w:tcPr>
                  <w:tcW w:w="1091" w:type="dxa"/>
                  <w:noWrap w:val="0"/>
                  <w:vAlign w:val="center"/>
                </w:tcPr>
                <w:p w14:paraId="2E5AA60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noWrap w:val="0"/>
                  <w:vAlign w:val="center"/>
                </w:tcPr>
                <w:p w14:paraId="7D5E7DF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1.7</w:t>
                  </w:r>
                </w:p>
              </w:tc>
              <w:tc>
                <w:tcPr>
                  <w:tcW w:w="3198" w:type="dxa"/>
                  <w:noWrap w:val="0"/>
                  <w:vAlign w:val="center"/>
                </w:tcPr>
                <w:p w14:paraId="5179737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7D0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212CA6C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7</w:t>
                  </w:r>
                </w:p>
              </w:tc>
              <w:tc>
                <w:tcPr>
                  <w:tcW w:w="1613" w:type="dxa"/>
                  <w:noWrap w:val="0"/>
                  <w:vAlign w:val="center"/>
                </w:tcPr>
                <w:p w14:paraId="0B73729D">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聚氨酯</w:t>
                  </w:r>
                </w:p>
              </w:tc>
              <w:tc>
                <w:tcPr>
                  <w:tcW w:w="1091" w:type="dxa"/>
                  <w:noWrap w:val="0"/>
                  <w:vAlign w:val="center"/>
                </w:tcPr>
                <w:p w14:paraId="45A0582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5EEEB6D4">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7.05</w:t>
                  </w:r>
                </w:p>
              </w:tc>
              <w:tc>
                <w:tcPr>
                  <w:tcW w:w="3198" w:type="dxa"/>
                  <w:noWrap w:val="0"/>
                  <w:vAlign w:val="center"/>
                </w:tcPr>
                <w:p w14:paraId="74DB2B3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1D44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49D6C0A9">
                  <w:pPr>
                    <w:pStyle w:val="4"/>
                    <w:bidi w:val="0"/>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8</w:t>
                  </w:r>
                </w:p>
              </w:tc>
              <w:tc>
                <w:tcPr>
                  <w:tcW w:w="1613" w:type="dxa"/>
                  <w:noWrap w:val="0"/>
                  <w:vAlign w:val="center"/>
                </w:tcPr>
                <w:p w14:paraId="08D7DCA9">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水</w:t>
                  </w:r>
                </w:p>
              </w:tc>
              <w:tc>
                <w:tcPr>
                  <w:tcW w:w="1091" w:type="dxa"/>
                  <w:noWrap w:val="0"/>
                  <w:vAlign w:val="center"/>
                </w:tcPr>
                <w:p w14:paraId="3D4F6BA6">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7620FB53">
                  <w:pPr>
                    <w:pStyle w:val="4"/>
                    <w:bidi w:val="0"/>
                    <w:rPr>
                      <w:rFonts w:hint="default" w:ascii="Times New Roman" w:hAnsi="Times New Roman" w:cs="Times New Roman"/>
                      <w:highlight w:val="yellow"/>
                      <w:lang w:val="en-US" w:eastAsia="zh-CN"/>
                    </w:rPr>
                  </w:pPr>
                  <w:r>
                    <w:rPr>
                      <w:rFonts w:hint="eastAsia" w:cs="Times New Roman"/>
                      <w:highlight w:val="none"/>
                      <w:lang w:val="en-US" w:eastAsia="zh-CN"/>
                    </w:rPr>
                    <w:t>2</w:t>
                  </w:r>
                  <w:r>
                    <w:rPr>
                      <w:rFonts w:hint="eastAsia" w:ascii="Times New Roman" w:hAnsi="Times New Roman" w:cs="Times New Roman"/>
                      <w:highlight w:val="none"/>
                      <w:lang w:val="en-US" w:eastAsia="zh-CN"/>
                    </w:rPr>
                    <w:t>24</w:t>
                  </w:r>
                </w:p>
              </w:tc>
              <w:tc>
                <w:tcPr>
                  <w:tcW w:w="3198" w:type="dxa"/>
                  <w:noWrap w:val="0"/>
                  <w:vAlign w:val="center"/>
                </w:tcPr>
                <w:p w14:paraId="6E9CE2D3">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拉运</w:t>
                  </w:r>
                </w:p>
              </w:tc>
            </w:tr>
          </w:tbl>
          <w:p w14:paraId="31E2A463">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5工程设计方案</w:t>
            </w:r>
          </w:p>
          <w:p w14:paraId="0887D5AA">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5.1工程等级和标准</w:t>
            </w:r>
          </w:p>
          <w:p w14:paraId="5E1603B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依据《水利水电工程等级划分及洪水标准》（SL252</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2017）及《渠道防渗衬砌工程技术标准》（GB/T50600-2020）表3.1.6防渗衬砌渠道工程级别划分标准，本工程设计流量Q</w:t>
            </w:r>
            <w:r>
              <w:rPr>
                <w:rFonts w:hint="default" w:ascii="Times New Roman" w:hAnsi="Times New Roman" w:eastAsia="宋体" w:cs="Times New Roman"/>
                <w:snapToGrid w:val="0"/>
                <w:kern w:val="0"/>
                <w:sz w:val="24"/>
                <w:szCs w:val="24"/>
                <w:vertAlign w:val="subscript"/>
                <w:lang w:val="en-US" w:eastAsia="zh-CN"/>
              </w:rPr>
              <w:t>设</w:t>
            </w:r>
            <w:r>
              <w:rPr>
                <w:rFonts w:hint="default" w:ascii="Times New Roman" w:hAnsi="Times New Roman" w:eastAsia="宋体" w:cs="Times New Roman"/>
                <w:snapToGrid w:val="0"/>
                <w:kern w:val="0"/>
                <w:sz w:val="24"/>
                <w:szCs w:val="24"/>
                <w:lang w:val="en-US" w:eastAsia="zh-CN"/>
              </w:rPr>
              <w:t>&lt;5m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/s，工程规模为V等小（2）型，工程级别为5级，主要建筑物级别为5级，次要建筑物为5级。</w:t>
            </w:r>
          </w:p>
          <w:p w14:paraId="6F7161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依据《渠道防渗衬砌工程技术标准》（GB/T50600-2020）表4.2.1渠道衬砌混凝土最低强度和耐久性等级表，确定本工程中砼强度等级为C30、抗冻等级为F200、抗渗等级为W6。</w:t>
            </w:r>
          </w:p>
          <w:p w14:paraId="41E64AD1">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5.2渠道工程设计</w:t>
            </w:r>
          </w:p>
          <w:p w14:paraId="5F5339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（1）总体布置</w:t>
            </w:r>
          </w:p>
          <w:p w14:paraId="22BF002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本项目为若羌县瓦石峡镇吾塔木村防渗渠</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工程，修建防渗渠道21条，渠道长7.35km。渠道现状均为土渠，渠线基本沿用老渠线，结合灌区实际情况，根据现有条田形状和灌水方向，选择沿田间道路南北向布置渠道。</w:t>
            </w:r>
          </w:p>
          <w:p w14:paraId="6AABBBC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（2）渠道横断面设计</w:t>
            </w:r>
          </w:p>
          <w:p w14:paraId="4C57E34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采用半</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U</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型全断面预制60mm厚C30砼板防渗形式。</w:t>
            </w:r>
          </w:p>
          <w:p w14:paraId="2B6F94E1">
            <w:pPr>
              <w:pStyle w:val="11"/>
              <w:ind w:left="0" w:leftChars="0" w:firstLine="0" w:firstLineChars="0"/>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180965" cy="3127375"/>
                  <wp:effectExtent l="0" t="0" r="635"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180965" cy="3127375"/>
                          </a:xfrm>
                          <a:prstGeom prst="rect">
                            <a:avLst/>
                          </a:prstGeom>
                          <a:noFill/>
                          <a:ln>
                            <a:noFill/>
                          </a:ln>
                        </pic:spPr>
                      </pic:pic>
                    </a:graphicData>
                  </a:graphic>
                </wp:inline>
              </w:drawing>
            </w:r>
          </w:p>
          <w:p w14:paraId="2994CEB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）抗冻设计</w:t>
            </w:r>
          </w:p>
          <w:p w14:paraId="02B56B8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为6cm厚C30预制砼U型渠道加砂垫层换填渠基冻胀土方案，预制砼板填砂砾石垫层取40cm。</w:t>
            </w:r>
          </w:p>
          <w:p w14:paraId="426434C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4</w:t>
            </w:r>
            <w:r>
              <w:rPr>
                <w:rFonts w:hint="default" w:ascii="Times New Roman" w:hAnsi="Times New Roman" w:eastAsia="宋体" w:cs="Times New Roman"/>
                <w:snapToGrid w:val="0"/>
                <w:kern w:val="0"/>
                <w:sz w:val="24"/>
                <w:szCs w:val="24"/>
                <w:lang w:val="en-US" w:eastAsia="zh-CN"/>
              </w:rPr>
              <w:t>）分缝设计</w:t>
            </w:r>
          </w:p>
          <w:p w14:paraId="248924FB">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根据混凝土结构伸缩、沉陷等技术要求。U型预制渠道每节设伸缩缝，上部2cm厚聚氨酯密封胶闭缝，下部采用高压闭孔塑料板嵌缝，高压闭孔板密度120kg/m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，聚氨酯密度为大于等于1.4g/cm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342C7B7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5</w:t>
            </w:r>
            <w:r>
              <w:rPr>
                <w:rFonts w:hint="default" w:ascii="Times New Roman" w:hAnsi="Times New Roman" w:eastAsia="宋体" w:cs="Times New Roman"/>
                <w:snapToGrid w:val="0"/>
                <w:kern w:val="0"/>
                <w:sz w:val="24"/>
                <w:szCs w:val="24"/>
                <w:lang w:val="en-US" w:eastAsia="zh-CN"/>
              </w:rPr>
              <w:t>）边坡系数</w:t>
            </w:r>
          </w:p>
          <w:p w14:paraId="5939B8E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根据当地的地质条件，用于回填渠堤的土质稳定性较好，依据</w:t>
            </w:r>
            <w:r>
              <w:rPr>
                <w:rFonts w:hint="eastAsia" w:cs="Times New Roman"/>
                <w:snapToGrid w:val="0"/>
                <w:kern w:val="0"/>
                <w:sz w:val="24"/>
                <w:szCs w:val="24"/>
                <w:lang w:val="en-US" w:eastAsia="zh-CN"/>
              </w:rPr>
              <w:t>《</w:t>
            </w:r>
            <w:r>
              <w:rPr>
                <w:rFonts w:ascii="Arial" w:hAnsi="Arial" w:eastAsia="宋体"/>
                <w:b w:val="0"/>
                <w:color w:val="000000"/>
                <w:sz w:val="24"/>
              </w:rPr>
              <w:t>渠道防渗衬砌工程技术标准</w:t>
            </w:r>
            <w:r>
              <w:rPr>
                <w:rFonts w:hint="default" w:ascii="Times New Roman" w:hAnsi="Times New Roman" w:eastAsia="宋体" w:cs="Times New Roman"/>
                <w:snapToGrid w:val="0"/>
                <w:kern w:val="0"/>
                <w:sz w:val="24"/>
                <w:szCs w:val="24"/>
                <w:lang w:val="en-US" w:eastAsia="zh-CN"/>
              </w:rPr>
              <w:t>》（GB/T50600-2020）有关规定，结合各渠段地质勘察结果，本次设</w:t>
            </w:r>
            <w:r>
              <w:rPr>
                <w:rFonts w:hint="eastAsia" w:cs="Times New Roman"/>
                <w:snapToGrid w:val="0"/>
                <w:kern w:val="0"/>
                <w:sz w:val="24"/>
                <w:szCs w:val="24"/>
                <w:lang w:val="en-US" w:eastAsia="zh-CN"/>
              </w:rPr>
              <w:t>计</w:t>
            </w:r>
            <w:r>
              <w:rPr>
                <w:rFonts w:hint="default" w:ascii="Times New Roman" w:hAnsi="Times New Roman" w:eastAsia="宋体" w:cs="Times New Roman"/>
                <w:snapToGrid w:val="0"/>
                <w:kern w:val="0"/>
                <w:sz w:val="24"/>
                <w:szCs w:val="24"/>
                <w:lang w:val="en-US" w:eastAsia="zh-CN"/>
              </w:rPr>
              <w:t>外边坡为1:1.5，U型渠道内边坡系数接近1:0。</w:t>
            </w:r>
          </w:p>
          <w:p w14:paraId="728D8A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6</w:t>
            </w:r>
            <w:r>
              <w:rPr>
                <w:rFonts w:hint="default" w:ascii="Times New Roman" w:hAnsi="Times New Roman" w:eastAsia="宋体" w:cs="Times New Roman"/>
                <w:snapToGrid w:val="0"/>
                <w:kern w:val="0"/>
                <w:sz w:val="24"/>
                <w:szCs w:val="24"/>
                <w:lang w:val="en-US" w:eastAsia="zh-CN"/>
              </w:rPr>
              <w:t>）渠道回填土压实指标设计</w:t>
            </w:r>
          </w:p>
          <w:p w14:paraId="6AF380E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对于粘性土压实度不小于0.90，无粘性土相对紧密度不小于0.70。</w:t>
            </w:r>
          </w:p>
          <w:p w14:paraId="21E8E3C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5.3渠系建筑物设计</w:t>
            </w:r>
          </w:p>
          <w:p w14:paraId="09F632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（1）渠道水闸</w:t>
            </w:r>
          </w:p>
          <w:p w14:paraId="2788AF3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布设节制引水闸11座，节制双分水闸99座，节制单分水闸77座、双分水闸15座，单分水闸30座、节制闸2座。水闸设计为单孔“一字闸”，水闸过流量同斗、农渠。采用现浇C30砼浇筑，深度为0.6m~0.8m，厚度为0.3~0.4m</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闸口宽、高随位置而变化，闸门设计为钢闸门，启闭梁采用槽钢，启闭机型号根据闸门尺寸确定0.5t~1.0t左右。</w:t>
            </w:r>
          </w:p>
          <w:p w14:paraId="5DD11C8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（2）涵桥</w:t>
            </w:r>
          </w:p>
          <w:p w14:paraId="0F9C035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配套涵桥22座，涵桥主要布置在斗渠、田间道路、机耕道路与斗排、农排相交处，涵管采用直径为0.6m，壁厚为6cm的预制钢筋混凝土涵管，涵洞均采用预制混凝土涵管+填</w:t>
            </w:r>
            <w:r>
              <w:rPr>
                <w:rFonts w:hint="eastAsia" w:cs="Times New Roman"/>
                <w:snapToGrid w:val="0"/>
                <w:kern w:val="0"/>
                <w:sz w:val="24"/>
                <w:szCs w:val="24"/>
                <w:lang w:val="en-US" w:eastAsia="zh-CN"/>
              </w:rPr>
              <w:t>土</w:t>
            </w:r>
            <w:r>
              <w:rPr>
                <w:rFonts w:hint="default" w:ascii="Times New Roman" w:hAnsi="Times New Roman" w:eastAsia="宋体" w:cs="Times New Roman"/>
                <w:snapToGrid w:val="0"/>
                <w:kern w:val="0"/>
                <w:sz w:val="24"/>
                <w:szCs w:val="24"/>
                <w:lang w:val="en-US" w:eastAsia="zh-CN"/>
              </w:rPr>
              <w:t>结构，填土高度为0.5m，边坡为1:1.5。</w:t>
            </w:r>
          </w:p>
          <w:p w14:paraId="68608A5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6公用工程</w:t>
            </w:r>
          </w:p>
          <w:p w14:paraId="4B500B87">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6.1</w:t>
            </w:r>
            <w:r>
              <w:rPr>
                <w:rFonts w:hint="default" w:ascii="Times New Roman" w:hAnsi="Times New Roman" w:eastAsia="宋体" w:cs="Times New Roman"/>
                <w:b/>
                <w:bCs/>
                <w:snapToGrid w:val="0"/>
                <w:kern w:val="0"/>
                <w:sz w:val="24"/>
                <w:szCs w:val="24"/>
                <w:lang w:val="en-US" w:eastAsia="zh-CN"/>
              </w:rPr>
              <w:t>供水</w:t>
            </w:r>
          </w:p>
          <w:p w14:paraId="0749BFA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项目施工人员均来自附近乡镇，不在项目内设置生活区，本项目无生活用水。</w:t>
            </w:r>
          </w:p>
          <w:p w14:paraId="56A290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本项目预制U型渠、闸基等混凝土构件采用人工洒水保湿养护，养护用水、设备冲洗用水合计约</w:t>
            </w:r>
            <w:r>
              <w:rPr>
                <w:rFonts w:hint="eastAsia" w:ascii="Times New Roman" w:hAnsi="Times New Roman" w:eastAsia="宋体"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00m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4ED63F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项目对进出场车辆会进行冲洗，每辆车冲洗用水40L计算，平均每天冲洗车辆10辆，施工期车辆冲洗用水量约</w:t>
            </w:r>
            <w:r>
              <w:rPr>
                <w:rFonts w:hint="eastAsia" w:ascii="Times New Roman" w:hAnsi="Times New Roman" w:eastAsia="宋体" w:cs="Times New Roman"/>
                <w:snapToGrid w:val="0"/>
                <w:kern w:val="0"/>
                <w:sz w:val="24"/>
                <w:szCs w:val="24"/>
                <w:lang w:val="en-US" w:eastAsia="zh-CN"/>
              </w:rPr>
              <w:t>24</w:t>
            </w:r>
            <w:r>
              <w:rPr>
                <w:rFonts w:hint="default" w:ascii="Times New Roman" w:hAnsi="Times New Roman" w:eastAsia="宋体" w:cs="Times New Roman"/>
                <w:snapToGrid w:val="0"/>
                <w:kern w:val="0"/>
                <w:sz w:val="24"/>
                <w:szCs w:val="24"/>
                <w:lang w:val="en-US" w:eastAsia="zh-CN"/>
              </w:rPr>
              <w:t>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78E72F6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6.2排水</w:t>
            </w:r>
          </w:p>
          <w:p w14:paraId="1679CE3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生产废水设置临时沉淀池收集，沉淀后用于洒水抑尘；生活区租用民房，施工生活污水依托民房现有设施解决。</w:t>
            </w:r>
          </w:p>
          <w:p w14:paraId="3DC105D5">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6.3</w:t>
            </w:r>
            <w:r>
              <w:rPr>
                <w:rFonts w:hint="default" w:ascii="Times New Roman" w:hAnsi="Times New Roman" w:eastAsia="宋体" w:cs="Times New Roman"/>
                <w:b/>
                <w:bCs/>
                <w:snapToGrid w:val="0"/>
                <w:kern w:val="0"/>
                <w:sz w:val="24"/>
                <w:szCs w:val="24"/>
                <w:lang w:val="en-US" w:eastAsia="zh-CN"/>
              </w:rPr>
              <w:t>供电</w:t>
            </w:r>
          </w:p>
          <w:p w14:paraId="1893307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本项目施工较为分散，为确保施工用电，项目正常情况下依托农村电网供电，自备柴油发电机作为备用电源。</w:t>
            </w:r>
          </w:p>
          <w:p w14:paraId="632D7A66">
            <w:pPr>
              <w:adjustRightInd w:val="0"/>
              <w:snapToGrid w:val="0"/>
              <w:jc w:val="center"/>
              <w:rPr>
                <w:rFonts w:hint="default" w:ascii="Times New Roman" w:hAnsi="Times New Roman" w:cs="Times New Roman"/>
                <w:kern w:val="0"/>
                <w:szCs w:val="21"/>
              </w:rPr>
            </w:pPr>
          </w:p>
        </w:tc>
      </w:tr>
      <w:tr w14:paraId="07573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710" w:type="dxa"/>
            <w:noWrap w:val="0"/>
            <w:vAlign w:val="center"/>
          </w:tcPr>
          <w:p w14:paraId="3915FF96">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总平面及现场布置</w:t>
            </w:r>
          </w:p>
        </w:tc>
        <w:tc>
          <w:tcPr>
            <w:tcW w:w="8380" w:type="dxa"/>
            <w:noWrap w:val="0"/>
            <w:vAlign w:val="center"/>
          </w:tcPr>
          <w:p w14:paraId="66AC6904">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1工程平面布置</w:t>
            </w:r>
          </w:p>
          <w:p w14:paraId="4E8491A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本项目属于防渗渠节水</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项目，其中节水改造渠道21条，</w:t>
            </w:r>
            <w:r>
              <w:rPr>
                <w:rFonts w:hint="eastAsia" w:cs="Times New Roman"/>
                <w:snapToGrid w:val="0"/>
                <w:kern w:val="0"/>
                <w:sz w:val="24"/>
                <w:szCs w:val="24"/>
                <w:lang w:val="en-US" w:eastAsia="zh-CN"/>
              </w:rPr>
              <w:t>配套</w:t>
            </w:r>
            <w:r>
              <w:rPr>
                <w:rFonts w:hint="default" w:ascii="Times New Roman" w:hAnsi="Times New Roman" w:eastAsia="宋体" w:cs="Times New Roman"/>
                <w:snapToGrid w:val="0"/>
                <w:kern w:val="0"/>
                <w:sz w:val="24"/>
                <w:szCs w:val="24"/>
                <w:lang w:val="en-US" w:eastAsia="zh-CN"/>
              </w:rPr>
              <w:t>渠系构筑物256座。新建U型防渗渠道沿原有灌溉渠系走向布设，沿用的原有农田沟渠用地，不占用永久基本农田。</w:t>
            </w:r>
            <w:r>
              <w:rPr>
                <w:rFonts w:hint="eastAsia" w:ascii="Times New Roman" w:hAnsi="Times New Roman" w:eastAsia="宋体" w:cs="Times New Roman"/>
                <w:snapToGrid w:val="0"/>
                <w:kern w:val="0"/>
                <w:sz w:val="24"/>
                <w:szCs w:val="24"/>
                <w:lang w:val="en-US" w:eastAsia="zh-CN"/>
              </w:rPr>
              <w:t>适配现有农田耕作布局，充分依托现有地形条件减少土石方开挖量，整体线路顺直，输水效率最优，工程总平面布置与区域现有农田灌溉体系、道路布局相互衔接，无交叉干扰。</w:t>
            </w:r>
            <w:r>
              <w:rPr>
                <w:rFonts w:hint="default" w:ascii="Times New Roman" w:hAnsi="Times New Roman" w:eastAsia="宋体" w:cs="Times New Roman"/>
                <w:snapToGrid w:val="0"/>
                <w:kern w:val="0"/>
                <w:sz w:val="24"/>
                <w:szCs w:val="24"/>
                <w:lang w:val="en-US" w:eastAsia="zh-CN"/>
              </w:rPr>
              <w:t>本</w:t>
            </w:r>
            <w:r>
              <w:rPr>
                <w:rFonts w:hint="eastAsia" w:ascii="Times New Roman" w:hAnsi="Times New Roman" w:eastAsia="宋体" w:cs="Times New Roman"/>
                <w:snapToGrid w:val="0"/>
                <w:kern w:val="0"/>
                <w:sz w:val="24"/>
                <w:szCs w:val="24"/>
                <w:lang w:val="en-US" w:eastAsia="zh-CN"/>
              </w:rPr>
              <w:t>项目施工总平面布置</w:t>
            </w:r>
            <w:r>
              <w:rPr>
                <w:rFonts w:hint="default" w:ascii="Times New Roman" w:hAnsi="Times New Roman" w:eastAsia="宋体" w:cs="Times New Roman"/>
                <w:snapToGrid w:val="0"/>
                <w:kern w:val="0"/>
                <w:sz w:val="24"/>
                <w:szCs w:val="24"/>
                <w:lang w:val="en-US" w:eastAsia="zh-CN"/>
              </w:rPr>
              <w:t>见图</w:t>
            </w:r>
            <w:r>
              <w:rPr>
                <w:rFonts w:hint="eastAsia" w:ascii="Times New Roman" w:hAnsi="Times New Roman" w:eastAsia="宋体" w:cs="Times New Roman"/>
                <w:snapToGrid w:val="0"/>
                <w:kern w:val="0"/>
                <w:sz w:val="24"/>
                <w:szCs w:val="24"/>
                <w:lang w:val="en-US" w:eastAsia="zh-CN"/>
              </w:rPr>
              <w:t>2。</w:t>
            </w:r>
          </w:p>
          <w:p w14:paraId="30156615">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2施工现场平面布置</w:t>
            </w:r>
          </w:p>
          <w:p w14:paraId="48775C3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施工人员均从吾塔木村就近调配，不新建独立施工临时生活区，办公、休息依托村委、村内闲置既有房屋解决，不设置场外生活区临时用地。</w:t>
            </w:r>
          </w:p>
          <w:p w14:paraId="4BA97AC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2.1临时生产、材料堆放布置</w:t>
            </w:r>
          </w:p>
          <w:p w14:paraId="3BFE8D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本项目为线性农田水利</w:t>
            </w:r>
            <w:r>
              <w:rPr>
                <w:rFonts w:hint="eastAsia" w:ascii="Times New Roman" w:hAnsi="Times New Roman" w:eastAsia="宋体" w:cs="Times New Roman"/>
                <w:color w:val="auto"/>
                <w:sz w:val="24"/>
                <w:szCs w:val="24"/>
                <w:highlight w:val="none"/>
                <w:lang w:val="en-US" w:eastAsia="zh-CN"/>
              </w:rPr>
              <w:t>建设</w:t>
            </w:r>
            <w:r>
              <w:rPr>
                <w:rFonts w:hint="eastAsia" w:ascii="Times New Roman" w:hAnsi="Times New Roman" w:eastAsia="宋体" w:cs="Times New Roman"/>
                <w:color w:val="auto"/>
                <w:sz w:val="24"/>
                <w:szCs w:val="24"/>
                <w:highlight w:val="none"/>
                <w:lang w:eastAsia="zh-CN"/>
              </w:rPr>
              <w:t>工程，砂石、混凝土等全部建材从县域合规料场、拌合站外购，直接拉运至作业面即时摊铺施工，</w:t>
            </w:r>
            <w:r>
              <w:rPr>
                <w:rFonts w:hint="eastAsia" w:ascii="Times New Roman" w:hAnsi="Times New Roman" w:eastAsia="宋体" w:cs="Times New Roman"/>
                <w:color w:val="auto"/>
                <w:sz w:val="24"/>
                <w:szCs w:val="24"/>
                <w:highlight w:val="none"/>
                <w:lang w:val="en-US" w:eastAsia="zh-CN"/>
              </w:rPr>
              <w:t>项目区</w:t>
            </w:r>
            <w:r>
              <w:rPr>
                <w:rFonts w:hint="eastAsia" w:ascii="Times New Roman" w:hAnsi="Times New Roman" w:eastAsia="宋体" w:cs="Times New Roman"/>
                <w:color w:val="auto"/>
                <w:sz w:val="24"/>
                <w:szCs w:val="24"/>
                <w:highlight w:val="none"/>
                <w:lang w:eastAsia="zh-CN"/>
              </w:rPr>
              <w:t>外不布设独立拌合站、材料堆场，无场外新增生产</w:t>
            </w:r>
            <w:r>
              <w:rPr>
                <w:rFonts w:hint="eastAsia" w:ascii="Times New Roman" w:hAnsi="Times New Roman" w:eastAsia="宋体" w:cs="Times New Roman"/>
                <w:color w:val="auto"/>
                <w:sz w:val="24"/>
                <w:szCs w:val="24"/>
                <w:highlight w:val="none"/>
                <w:lang w:val="en-US" w:eastAsia="zh-CN"/>
              </w:rPr>
              <w:t>区</w:t>
            </w:r>
            <w:r>
              <w:rPr>
                <w:rFonts w:hint="eastAsia" w:ascii="Times New Roman" w:hAnsi="Times New Roman" w:eastAsia="宋体" w:cs="Times New Roman"/>
                <w:color w:val="auto"/>
                <w:sz w:val="24"/>
                <w:szCs w:val="24"/>
                <w:highlight w:val="none"/>
                <w:lang w:eastAsia="zh-CN"/>
              </w:rPr>
              <w:t>临时用地。</w:t>
            </w:r>
          </w:p>
          <w:p w14:paraId="4F3B843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2.2</w:t>
            </w:r>
            <w:r>
              <w:rPr>
                <w:rFonts w:hint="eastAsia" w:ascii="Times New Roman" w:hAnsi="Times New Roman" w:eastAsia="宋体" w:cs="Times New Roman"/>
                <w:b/>
                <w:bCs/>
                <w:color w:val="auto"/>
                <w:sz w:val="24"/>
                <w:szCs w:val="24"/>
                <w:highlight w:val="none"/>
              </w:rPr>
              <w:t>开挖土方临时堆置布置</w:t>
            </w:r>
          </w:p>
          <w:p w14:paraId="5F93CE3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渠道清基开挖土方仅在工程永久占地作业带范围内临时堆存，沿渠、道路两侧作业带内侧有序堆放，堆土控制高度≤2m，全覆盖防尘苫布；堆土范围全程不突破项目永久占地边界，不额外占用</w:t>
            </w:r>
            <w:r>
              <w:rPr>
                <w:rFonts w:hint="eastAsia" w:ascii="Times New Roman" w:hAnsi="Times New Roman" w:eastAsia="宋体" w:cs="Times New Roman"/>
                <w:color w:val="auto"/>
                <w:sz w:val="24"/>
                <w:szCs w:val="24"/>
                <w:highlight w:val="none"/>
                <w:lang w:val="en-US" w:eastAsia="zh-CN"/>
              </w:rPr>
              <w:t>土地</w:t>
            </w:r>
            <w:r>
              <w:rPr>
                <w:rFonts w:hint="eastAsia" w:ascii="Times New Roman" w:hAnsi="Times New Roman" w:eastAsia="宋体" w:cs="Times New Roman"/>
                <w:color w:val="auto"/>
                <w:sz w:val="24"/>
                <w:szCs w:val="24"/>
                <w:highlight w:val="none"/>
              </w:rPr>
              <w:t>，无场外新增临时用地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待后续施工回填利用后，多余土方用于沿渠道边铺平，不留存弃土</w:t>
            </w:r>
            <w:r>
              <w:rPr>
                <w:rFonts w:hint="eastAsia" w:ascii="Times New Roman" w:hAnsi="Times New Roman" w:eastAsia="宋体" w:cs="Times New Roman"/>
                <w:color w:val="auto"/>
                <w:sz w:val="24"/>
                <w:szCs w:val="24"/>
                <w:highlight w:val="none"/>
                <w:lang w:eastAsia="zh-CN"/>
              </w:rPr>
              <w:t>，全程不设场外弃土场。</w:t>
            </w:r>
          </w:p>
          <w:p w14:paraId="38F853B1">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项目占地</w:t>
            </w:r>
          </w:p>
          <w:p w14:paraId="2C57B85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本项目为</w:t>
            </w:r>
            <w:r>
              <w:rPr>
                <w:rFonts w:hint="eastAsia"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lang w:val="en-US" w:eastAsia="zh-CN"/>
              </w:rPr>
              <w:t>工程，</w:t>
            </w:r>
            <w:r>
              <w:rPr>
                <w:rFonts w:hint="eastAsia" w:ascii="Times New Roman" w:hAnsi="Times New Roman" w:eastAsia="宋体" w:cs="Times New Roman"/>
                <w:color w:val="auto"/>
                <w:sz w:val="24"/>
                <w:szCs w:val="24"/>
                <w:highlight w:val="none"/>
              </w:rPr>
              <w:t>本项目办公生活依托既有建筑，建材直供作业面不外设料场，土方堆存全部控制在工程永久占地红线内，无场外新增临时用地。本项目不涉及房屋拆迁安置工程</w:t>
            </w:r>
            <w:r>
              <w:rPr>
                <w:rFonts w:hint="eastAsia" w:ascii="Times New Roman" w:hAnsi="Times New Roman" w:eastAsia="宋体" w:cs="Times New Roman"/>
                <w:color w:val="auto"/>
                <w:sz w:val="24"/>
                <w:szCs w:val="24"/>
                <w:highlight w:val="none"/>
                <w:lang w:val="en-US" w:eastAsia="zh-CN"/>
              </w:rPr>
              <w:t>，项目工程占地</w:t>
            </w:r>
            <w:r>
              <w:rPr>
                <w:rFonts w:hint="eastAsia" w:ascii="Times New Roman" w:hAnsi="Times New Roman" w:eastAsia="宋体" w:cs="Times New Roman"/>
                <w:color w:val="auto"/>
                <w:sz w:val="24"/>
                <w:szCs w:val="24"/>
                <w:highlight w:val="none"/>
              </w:rPr>
              <w:t>面积统计见下表</w:t>
            </w:r>
            <w:r>
              <w:rPr>
                <w:rFonts w:hint="eastAsia" w:ascii="Times New Roman" w:hAnsi="Times New Roman" w:eastAsia="宋体" w:cs="Times New Roman"/>
                <w:color w:val="auto"/>
                <w:sz w:val="24"/>
                <w:szCs w:val="24"/>
                <w:highlight w:val="none"/>
                <w:lang w:eastAsia="zh-CN"/>
              </w:rPr>
              <w:t>。</w:t>
            </w:r>
          </w:p>
          <w:p w14:paraId="68CB9DA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表2-5  工程占地情况一览表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652"/>
              <w:gridCol w:w="2586"/>
              <w:gridCol w:w="1671"/>
            </w:tblGrid>
            <w:tr w14:paraId="052F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5" w:type="pct"/>
                  <w:noWrap w:val="0"/>
                  <w:vAlign w:val="center"/>
                </w:tcPr>
                <w:p w14:paraId="099565C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工程内容</w:t>
                  </w:r>
                </w:p>
              </w:tc>
              <w:tc>
                <w:tcPr>
                  <w:tcW w:w="1013" w:type="pct"/>
                  <w:noWrap w:val="0"/>
                  <w:vAlign w:val="center"/>
                </w:tcPr>
                <w:p w14:paraId="6437C61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占地性质</w:t>
                  </w:r>
                </w:p>
              </w:tc>
              <w:tc>
                <w:tcPr>
                  <w:tcW w:w="1586" w:type="pct"/>
                  <w:noWrap w:val="0"/>
                  <w:vAlign w:val="center"/>
                </w:tcPr>
                <w:p w14:paraId="4F578364">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占地面积（</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w:t>
                  </w:r>
                </w:p>
              </w:tc>
              <w:tc>
                <w:tcPr>
                  <w:tcW w:w="1025" w:type="pct"/>
                  <w:noWrap w:val="0"/>
                  <w:vAlign w:val="center"/>
                </w:tcPr>
                <w:p w14:paraId="199C4671">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占地类型</w:t>
                  </w:r>
                </w:p>
              </w:tc>
            </w:tr>
            <w:tr w14:paraId="308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75" w:type="pct"/>
                  <w:noWrap w:val="0"/>
                  <w:vAlign w:val="center"/>
                </w:tcPr>
                <w:p w14:paraId="6900B146">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防渗渠、配套构筑物</w:t>
                  </w:r>
                </w:p>
              </w:tc>
              <w:tc>
                <w:tcPr>
                  <w:tcW w:w="1013" w:type="pct"/>
                  <w:noWrap w:val="0"/>
                  <w:vAlign w:val="center"/>
                </w:tcPr>
                <w:p w14:paraId="3EB334B8">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永久占地</w:t>
                  </w:r>
                </w:p>
              </w:tc>
              <w:tc>
                <w:tcPr>
                  <w:tcW w:w="1586" w:type="pct"/>
                  <w:noWrap w:val="0"/>
                  <w:vAlign w:val="center"/>
                </w:tcPr>
                <w:p w14:paraId="582BAD0E">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20215</w:t>
                  </w:r>
                </w:p>
              </w:tc>
              <w:tc>
                <w:tcPr>
                  <w:tcW w:w="1025" w:type="pct"/>
                  <w:noWrap w:val="0"/>
                  <w:vAlign w:val="center"/>
                </w:tcPr>
                <w:p w14:paraId="33C8E6AE">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耕地</w:t>
                  </w:r>
                </w:p>
              </w:tc>
            </w:tr>
          </w:tbl>
          <w:p w14:paraId="1DBFA09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土石方平衡</w:t>
            </w:r>
          </w:p>
          <w:p w14:paraId="447ED7C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根据合理利用物料、减少料场开采和弃渣占地的原则，本工程渠道及建筑物工程总挖方量共计</w:t>
            </w:r>
            <w:r>
              <w:rPr>
                <w:rFonts w:hint="default" w:ascii="Times New Roman" w:hAnsi="Times New Roman" w:eastAsia="宋体" w:cs="Times New Roman"/>
                <w:color w:val="auto"/>
                <w:sz w:val="24"/>
                <w:szCs w:val="24"/>
                <w:highlight w:val="none"/>
                <w:lang w:val="en-US" w:eastAsia="zh-CN"/>
              </w:rPr>
              <w:t>11144.4</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，总借方量共计</w:t>
            </w:r>
            <w:r>
              <w:rPr>
                <w:rFonts w:hint="default" w:ascii="Times New Roman" w:hAnsi="Times New Roman" w:eastAsia="宋体" w:cs="Times New Roman"/>
                <w:color w:val="auto"/>
                <w:sz w:val="24"/>
                <w:szCs w:val="24"/>
                <w:highlight w:val="none"/>
                <w:lang w:val="en-US" w:eastAsia="zh-CN"/>
              </w:rPr>
              <w:t>4600.5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，总填方量共计</w:t>
            </w:r>
            <w:r>
              <w:rPr>
                <w:rFonts w:hint="default" w:ascii="Times New Roman" w:hAnsi="Times New Roman" w:eastAsia="宋体" w:cs="Times New Roman"/>
                <w:color w:val="auto"/>
                <w:sz w:val="24"/>
                <w:szCs w:val="24"/>
                <w:highlight w:val="none"/>
                <w:lang w:val="en-US" w:eastAsia="zh-CN"/>
              </w:rPr>
              <w:t>13049.71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总余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方量</w:t>
            </w:r>
            <w:r>
              <w:rPr>
                <w:rFonts w:hint="default" w:ascii="Times New Roman" w:hAnsi="Times New Roman" w:eastAsia="宋体" w:cs="Times New Roman"/>
                <w:color w:val="auto"/>
                <w:sz w:val="24"/>
                <w:szCs w:val="24"/>
                <w:highlight w:val="none"/>
                <w:lang w:val="en-US" w:eastAsia="zh-CN"/>
              </w:rPr>
              <w:t>2695.2</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。综上所述，本项目土石方平衡见下表所示。</w:t>
            </w:r>
          </w:p>
          <w:p w14:paraId="5FDFB2ED">
            <w:pPr>
              <w:pStyle w:val="3"/>
              <w:bidi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土石方平衡表</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p>
          <w:tbl>
            <w:tblPr>
              <w:tblStyle w:val="23"/>
              <w:tblW w:w="8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472"/>
              <w:gridCol w:w="1661"/>
              <w:gridCol w:w="1697"/>
              <w:gridCol w:w="1917"/>
            </w:tblGrid>
            <w:tr w14:paraId="35E5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563154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工程</w:t>
                  </w:r>
                </w:p>
              </w:tc>
              <w:tc>
                <w:tcPr>
                  <w:tcW w:w="913" w:type="pct"/>
                  <w:noWrap w:val="0"/>
                  <w:vAlign w:val="center"/>
                </w:tcPr>
                <w:p w14:paraId="569599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挖方</w:t>
                  </w:r>
                </w:p>
              </w:tc>
              <w:tc>
                <w:tcPr>
                  <w:tcW w:w="1030" w:type="pct"/>
                  <w:noWrap w:val="0"/>
                  <w:vAlign w:val="center"/>
                </w:tcPr>
                <w:p w14:paraId="5CD6B5A5">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借方</w:t>
                  </w:r>
                </w:p>
              </w:tc>
              <w:tc>
                <w:tcPr>
                  <w:tcW w:w="1052" w:type="pct"/>
                  <w:noWrap w:val="0"/>
                  <w:vAlign w:val="center"/>
                </w:tcPr>
                <w:p w14:paraId="0015F1A6">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填方</w:t>
                  </w:r>
                </w:p>
              </w:tc>
              <w:tc>
                <w:tcPr>
                  <w:tcW w:w="1188" w:type="pct"/>
                  <w:noWrap w:val="0"/>
                  <w:vAlign w:val="center"/>
                </w:tcPr>
                <w:p w14:paraId="4AF4982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弃方</w:t>
                  </w:r>
                </w:p>
              </w:tc>
            </w:tr>
            <w:tr w14:paraId="52B8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85A0FC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1472" w:type="dxa"/>
                  <w:noWrap w:val="0"/>
                  <w:vAlign w:val="center"/>
                </w:tcPr>
                <w:p w14:paraId="56CC55A2">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11144.4</w:t>
                  </w:r>
                  <w:r>
                    <w:rPr>
                      <w:rFonts w:hint="eastAsia" w:cs="Times New Roman"/>
                      <w:highlight w:val="none"/>
                      <w:lang w:val="en-US" w:eastAsia="zh-CN"/>
                    </w:rPr>
                    <w:t>9</w:t>
                  </w:r>
                </w:p>
              </w:tc>
              <w:tc>
                <w:tcPr>
                  <w:tcW w:w="1661" w:type="dxa"/>
                  <w:noWrap w:val="0"/>
                  <w:vAlign w:val="center"/>
                </w:tcPr>
                <w:p w14:paraId="60B05E7A">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4600.5</w:t>
                  </w:r>
                </w:p>
              </w:tc>
              <w:tc>
                <w:tcPr>
                  <w:tcW w:w="1697" w:type="dxa"/>
                  <w:noWrap w:val="0"/>
                  <w:vAlign w:val="center"/>
                </w:tcPr>
                <w:p w14:paraId="1A40E1A1">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13049.71</w:t>
                  </w:r>
                </w:p>
              </w:tc>
              <w:tc>
                <w:tcPr>
                  <w:tcW w:w="1917" w:type="dxa"/>
                  <w:noWrap w:val="0"/>
                  <w:vAlign w:val="center"/>
                </w:tcPr>
                <w:p w14:paraId="5C2CA7F9">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2695.2</w:t>
                  </w:r>
                  <w:r>
                    <w:rPr>
                      <w:rFonts w:hint="eastAsia" w:cs="Times New Roman"/>
                      <w:highlight w:val="none"/>
                      <w:lang w:val="en-US" w:eastAsia="zh-CN"/>
                    </w:rPr>
                    <w:t>8</w:t>
                  </w:r>
                </w:p>
              </w:tc>
            </w:tr>
            <w:tr w14:paraId="4179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3" w:type="pct"/>
                  <w:noWrap w:val="0"/>
                  <w:vAlign w:val="center"/>
                </w:tcPr>
                <w:p w14:paraId="18D93CC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去向</w:t>
                  </w:r>
                </w:p>
              </w:tc>
              <w:tc>
                <w:tcPr>
                  <w:tcW w:w="1472" w:type="dxa"/>
                  <w:noWrap w:val="0"/>
                  <w:vAlign w:val="center"/>
                </w:tcPr>
                <w:p w14:paraId="455874FB">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661" w:type="dxa"/>
                  <w:noWrap w:val="0"/>
                  <w:vAlign w:val="center"/>
                </w:tcPr>
                <w:p w14:paraId="0B740823">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料场外购</w:t>
                  </w:r>
                </w:p>
              </w:tc>
              <w:tc>
                <w:tcPr>
                  <w:tcW w:w="1697" w:type="dxa"/>
                  <w:noWrap w:val="0"/>
                  <w:vAlign w:val="center"/>
                </w:tcPr>
                <w:p w14:paraId="16E0ACF5">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渠道土方回填</w:t>
                  </w:r>
                </w:p>
              </w:tc>
              <w:tc>
                <w:tcPr>
                  <w:tcW w:w="1917" w:type="dxa"/>
                  <w:noWrap w:val="0"/>
                  <w:vAlign w:val="center"/>
                </w:tcPr>
                <w:p w14:paraId="51900D11">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沿渠道边铺平</w:t>
                  </w:r>
                </w:p>
              </w:tc>
            </w:tr>
          </w:tbl>
          <w:p w14:paraId="57D4C00D">
            <w:pPr>
              <w:adjustRightInd w:val="0"/>
              <w:snapToGrid w:val="0"/>
              <w:rPr>
                <w:rFonts w:hint="default" w:ascii="Times New Roman" w:hAnsi="Times New Roman" w:cs="Times New Roman"/>
                <w:kern w:val="0"/>
                <w:szCs w:val="21"/>
              </w:rPr>
            </w:pPr>
          </w:p>
          <w:p w14:paraId="0301F343">
            <w:pPr>
              <w:adjustRightInd w:val="0"/>
              <w:snapToGrid w:val="0"/>
              <w:rPr>
                <w:rFonts w:hint="default" w:ascii="Times New Roman" w:hAnsi="Times New Roman" w:cs="Times New Roman"/>
                <w:kern w:val="0"/>
                <w:szCs w:val="21"/>
              </w:rPr>
            </w:pPr>
          </w:p>
        </w:tc>
      </w:tr>
      <w:tr w14:paraId="3CC05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01965BAD">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施工方案</w:t>
            </w:r>
          </w:p>
        </w:tc>
        <w:tc>
          <w:tcPr>
            <w:tcW w:w="8380" w:type="dxa"/>
            <w:noWrap w:val="0"/>
            <w:vAlign w:val="center"/>
          </w:tcPr>
          <w:p w14:paraId="687E5AD9">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lang w:eastAsia="zh-CN"/>
              </w:rPr>
            </w:pPr>
            <w:r>
              <w:rPr>
                <w:rFonts w:hint="default" w:ascii="Times New Roman" w:hAnsi="Times New Roman" w:cs="Times New Roman"/>
                <w:snapToGrid w:val="0"/>
                <w:szCs w:val="24"/>
                <w:lang w:val="en-US" w:eastAsia="zh-CN"/>
              </w:rPr>
              <w:t>本项目沿原有老渠线布设，施工作业与农业灌溉输水存在一定冲突，需科学规划施工工期。</w:t>
            </w:r>
            <w:r>
              <w:rPr>
                <w:rFonts w:hint="eastAsia" w:ascii="Times New Roman" w:hAnsi="Times New Roman" w:cs="Times New Roman"/>
                <w:snapToGrid w:val="0"/>
                <w:szCs w:val="24"/>
                <w:lang w:val="en-US" w:eastAsia="zh-CN"/>
              </w:rPr>
              <w:t>施工过程中</w:t>
            </w:r>
            <w:r>
              <w:rPr>
                <w:rFonts w:hint="default" w:ascii="Times New Roman" w:hAnsi="Times New Roman" w:eastAsia="宋体" w:cs="Times New Roman"/>
                <w:color w:val="auto"/>
                <w:sz w:val="24"/>
                <w:szCs w:val="24"/>
                <w:highlight w:val="none"/>
              </w:rPr>
              <w:t>施工渠段关闭上游闸门断流施工，上下游渠段保持正常输水。</w:t>
            </w:r>
            <w:r>
              <w:rPr>
                <w:rFonts w:hint="default" w:ascii="Times New Roman" w:hAnsi="Times New Roman" w:cs="Times New Roman"/>
                <w:snapToGrid w:val="0"/>
                <w:szCs w:val="24"/>
                <w:lang w:val="en-US" w:eastAsia="zh-CN"/>
              </w:rPr>
              <w:t>同时错开农业灌溉高峰期，将主体土方、衬砌施工集中安排至冬春非灌溉时段，灌溉供水期仅开展局部小段修缮作业，并提前报备停水计划、严控单次封闭渠段长度，从工期时序两方面化解施工、灌溉用水矛盾。</w:t>
            </w:r>
          </w:p>
          <w:p w14:paraId="3DE8F206">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cs="Times New Roman"/>
                <w:b/>
                <w:bCs/>
                <w:snapToGrid w:val="0"/>
                <w:szCs w:val="24"/>
              </w:rPr>
            </w:pPr>
            <w:r>
              <w:rPr>
                <w:rFonts w:hint="default" w:ascii="Times New Roman" w:hAnsi="Times New Roman" w:cs="Times New Roman"/>
                <w:b/>
                <w:bCs/>
                <w:snapToGrid w:val="0"/>
                <w:szCs w:val="24"/>
                <w:lang w:eastAsia="zh-CN"/>
              </w:rPr>
              <w:t>1</w:t>
            </w:r>
            <w:r>
              <w:rPr>
                <w:rFonts w:hint="default" w:ascii="Times New Roman" w:hAnsi="Times New Roman" w:cs="Times New Roman"/>
                <w:b/>
                <w:bCs/>
                <w:snapToGrid w:val="0"/>
                <w:szCs w:val="24"/>
              </w:rPr>
              <w:t>施工</w:t>
            </w:r>
            <w:r>
              <w:rPr>
                <w:rFonts w:hint="default" w:ascii="Times New Roman" w:hAnsi="Times New Roman" w:cs="Times New Roman"/>
                <w:b/>
                <w:bCs/>
                <w:snapToGrid w:val="0"/>
                <w:szCs w:val="24"/>
                <w:lang w:val="en-US" w:eastAsia="zh-CN"/>
              </w:rPr>
              <w:t>工艺流程</w:t>
            </w:r>
          </w:p>
          <w:p w14:paraId="1C07E300">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2" w:firstLineChars="200"/>
              <w:jc w:val="both"/>
              <w:textAlignment w:val="auto"/>
              <w:outlineLvl w:val="0"/>
              <w:rPr>
                <w:rFonts w:hint="default" w:ascii="Times New Roman" w:hAnsi="Times New Roman" w:eastAsia="宋体" w:cs="Times New Roman"/>
                <w:b/>
                <w:bCs/>
                <w:snapToGrid w:val="0"/>
                <w:szCs w:val="24"/>
                <w:lang w:val="en-US" w:eastAsia="zh-CN"/>
              </w:rPr>
            </w:pPr>
            <w:r>
              <w:rPr>
                <w:rFonts w:hint="default" w:ascii="Times New Roman" w:hAnsi="Times New Roman" w:cs="Times New Roman"/>
                <w:b/>
                <w:bCs/>
                <w:snapToGrid w:val="0"/>
                <w:szCs w:val="24"/>
                <w:lang w:val="en-US" w:eastAsia="zh-CN"/>
              </w:rPr>
              <w:t>1.1防渗渠工艺流程</w:t>
            </w:r>
          </w:p>
          <w:p w14:paraId="3176A3C2">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color w:val="auto"/>
                <w:sz w:val="24"/>
                <w:szCs w:val="24"/>
                <w:highlight w:val="none"/>
                <w:lang w:val="en-US" w:eastAsia="zh-CN"/>
              </w:rPr>
              <w:t>防渗渠施工</w:t>
            </w:r>
            <w:r>
              <w:rPr>
                <w:rFonts w:hint="default" w:ascii="Times New Roman" w:hAnsi="Times New Roman" w:eastAsia="宋体" w:cs="Times New Roman"/>
                <w:color w:val="auto"/>
                <w:sz w:val="24"/>
                <w:szCs w:val="24"/>
                <w:highlight w:val="none"/>
              </w:rPr>
              <w:t>流程及产污环节如下图所示</w:t>
            </w:r>
            <w:r>
              <w:rPr>
                <w:rFonts w:hint="default" w:ascii="Times New Roman" w:hAnsi="Times New Roman" w:eastAsia="宋体" w:cs="Times New Roman"/>
                <w:color w:val="auto"/>
                <w:sz w:val="24"/>
                <w:szCs w:val="24"/>
                <w:highlight w:val="none"/>
                <w:lang w:eastAsia="zh-CN"/>
              </w:rPr>
              <w:t>：</w:t>
            </w:r>
          </w:p>
          <w:p w14:paraId="79187EB9">
            <w:pPr>
              <w:pStyle w:val="20"/>
              <w:spacing w:before="0" w:beforeAutospacing="0" w:after="0" w:afterAutospacing="0" w:line="360" w:lineRule="auto"/>
              <w:jc w:val="both"/>
              <w:outlineLvl w:val="0"/>
              <w:rPr>
                <w:rFonts w:hint="default" w:ascii="Times New Roman" w:hAnsi="Times New Roman" w:eastAsia="宋体" w:cs="Times New Roman"/>
                <w:snapToGrid w:val="0"/>
                <w:szCs w:val="24"/>
                <w:lang w:eastAsia="zh-CN"/>
              </w:rPr>
            </w:pPr>
            <w:r>
              <w:rPr>
                <w:rFonts w:hint="eastAsia" w:ascii="Times New Roman" w:hAnsi="Times New Roman" w:eastAsia="宋体" w:cs="Times New Roman"/>
                <w:b/>
                <w:bCs w:val="0"/>
                <w:color w:val="auto"/>
                <w:sz w:val="24"/>
                <w:szCs w:val="24"/>
                <w:lang w:val="en-US" w:eastAsia="zh-CN"/>
              </w:rPr>
              <w:drawing>
                <wp:inline distT="0" distB="0" distL="114300" distR="114300">
                  <wp:extent cx="5102860" cy="2217420"/>
                  <wp:effectExtent l="0" t="0" r="0" b="0"/>
                  <wp:docPr id="4" name="E657119C-6982-421D-8BA7-E74DEB70A7D9-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657119C-6982-421D-8BA7-E74DEB70A7D9-1" descr="wps"/>
                          <pic:cNvPicPr>
                            <a:picLocks noChangeAspect="1"/>
                          </pic:cNvPicPr>
                        </pic:nvPicPr>
                        <pic:blipFill>
                          <a:blip r:embed="rId8"/>
                          <a:stretch>
                            <a:fillRect/>
                          </a:stretch>
                        </pic:blipFill>
                        <pic:spPr>
                          <a:xfrm>
                            <a:off x="0" y="0"/>
                            <a:ext cx="5102860" cy="2217420"/>
                          </a:xfrm>
                          <a:prstGeom prst="rect">
                            <a:avLst/>
                          </a:prstGeom>
                        </pic:spPr>
                      </pic:pic>
                    </a:graphicData>
                  </a:graphic>
                </wp:inline>
              </w:drawing>
            </w:r>
          </w:p>
          <w:p w14:paraId="1226039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center"/>
              <w:textAlignment w:val="auto"/>
              <w:outlineLvl w:val="0"/>
              <w:rPr>
                <w:rFonts w:hint="default" w:ascii="Times New Roman" w:hAnsi="Times New Roman" w:cs="Times New Roman"/>
                <w:snapToGrid w:val="0"/>
                <w:szCs w:val="24"/>
              </w:rPr>
            </w:pPr>
            <w:r>
              <w:rPr>
                <w:rFonts w:hint="default" w:ascii="Times New Roman" w:hAnsi="Times New Roman" w:eastAsia="宋体" w:cs="Times New Roman"/>
                <w:b/>
                <w:bCs/>
                <w:color w:val="auto"/>
                <w:sz w:val="24"/>
                <w:szCs w:val="24"/>
                <w:highlight w:val="none"/>
                <w:lang w:val="en-US" w:eastAsia="zh-CN"/>
              </w:rPr>
              <w:t>图</w:t>
            </w:r>
            <w:r>
              <w:rPr>
                <w:rFonts w:hint="default" w:ascii="Times New Roman" w:hAnsi="Times New Roman" w:cs="Times New Roman"/>
                <w:b/>
                <w:bCs/>
                <w:color w:val="auto"/>
                <w:sz w:val="24"/>
                <w:szCs w:val="24"/>
                <w:highlight w:val="none"/>
                <w:lang w:val="en-US" w:eastAsia="zh-CN"/>
              </w:rPr>
              <w:t xml:space="preserve">1-1  </w:t>
            </w:r>
            <w:r>
              <w:rPr>
                <w:rFonts w:hint="default" w:ascii="Times New Roman" w:hAnsi="Times New Roman" w:eastAsia="宋体" w:cs="Times New Roman"/>
                <w:b/>
                <w:bCs/>
                <w:color w:val="auto"/>
                <w:sz w:val="24"/>
                <w:szCs w:val="24"/>
                <w:highlight w:val="none"/>
                <w:lang w:val="en-US" w:eastAsia="zh-CN"/>
              </w:rPr>
              <w:t xml:space="preserve"> 施工工艺流程图</w:t>
            </w:r>
          </w:p>
          <w:p w14:paraId="40F4A835">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val="en-US" w:eastAsia="zh-CN"/>
              </w:rPr>
              <w:t>防渗渠施工工艺流程简述</w:t>
            </w:r>
            <w:r>
              <w:rPr>
                <w:rFonts w:hint="default" w:ascii="Times New Roman" w:hAnsi="Times New Roman" w:cs="Times New Roman"/>
                <w:snapToGrid w:val="0"/>
                <w:szCs w:val="24"/>
              </w:rPr>
              <w:t>：</w:t>
            </w:r>
          </w:p>
          <w:p w14:paraId="5ADC9BCD">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1</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施工放线</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测量定位放出渠道中心线、开挖边线、渠系建筑物轮廓线。</w:t>
            </w:r>
          </w:p>
          <w:p w14:paraId="4B4CCD1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2</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渠道清理</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人工配合机械清除渠床厚腐殖土、杂草、植物根系、淤泥等杂质，清理废料集中堆存，产生固体废弃物。</w:t>
            </w:r>
          </w:p>
          <w:p w14:paraId="1D7571D8">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3</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渠道开挖</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挖掘机开挖渠道沟槽，开挖土方沿作业带两侧临时堆放；施工过</w:t>
            </w:r>
            <w:r>
              <w:rPr>
                <w:rFonts w:hint="default" w:ascii="Times New Roman" w:hAnsi="Times New Roman" w:cs="Times New Roman"/>
                <w:snapToGrid w:val="0"/>
                <w:szCs w:val="24"/>
                <w:lang w:eastAsia="zh-CN"/>
              </w:rPr>
              <w:t>程中</w:t>
            </w:r>
            <w:r>
              <w:rPr>
                <w:rFonts w:hint="default" w:ascii="Times New Roman" w:hAnsi="Times New Roman" w:cs="Times New Roman"/>
                <w:snapToGrid w:val="0"/>
                <w:szCs w:val="24"/>
              </w:rPr>
              <w:t>土方翻动、车辆运输产生扬尘，机械作业噪声，弃土废渣形成固废。</w:t>
            </w:r>
          </w:p>
          <w:p w14:paraId="7C6AA81E">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4</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w:t>
            </w:r>
            <w:r>
              <w:rPr>
                <w:rFonts w:hint="default" w:ascii="Times New Roman" w:hAnsi="Times New Roman" w:cs="Times New Roman"/>
                <w:snapToGrid w:val="0"/>
                <w:szCs w:val="24"/>
                <w:lang w:val="en-US" w:eastAsia="zh-CN"/>
              </w:rPr>
              <w:t>基底平整</w:t>
            </w:r>
            <w:r>
              <w:rPr>
                <w:rFonts w:hint="default" w:ascii="Times New Roman" w:hAnsi="Times New Roman" w:cs="Times New Roman"/>
                <w:snapToGrid w:val="0"/>
                <w:szCs w:val="24"/>
              </w:rPr>
              <w:t>及砂砾石垫层分层回填压实</w:t>
            </w:r>
            <w:r>
              <w:rPr>
                <w:rFonts w:hint="default" w:ascii="Times New Roman" w:hAnsi="Times New Roman" w:cs="Times New Roman"/>
                <w:snapToGrid w:val="0"/>
                <w:szCs w:val="24"/>
                <w:lang w:eastAsia="zh-CN"/>
              </w:rPr>
              <w:t>：按照设计要求对整平后的基底铺设砂砾石垫层，分层摊铺后使用碾压机械逐层压实</w:t>
            </w:r>
            <w:r>
              <w:rPr>
                <w:rFonts w:hint="default" w:ascii="Times New Roman" w:hAnsi="Times New Roman" w:cs="Times New Roman"/>
                <w:snapToGrid w:val="0"/>
                <w:szCs w:val="24"/>
              </w:rPr>
              <w:t>；摊铺、碾压作业产生扬尘、机械噪声。</w:t>
            </w:r>
          </w:p>
          <w:p w14:paraId="3EB0652A">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5</w:t>
            </w:r>
            <w:r>
              <w:rPr>
                <w:rFonts w:hint="default" w:ascii="Times New Roman" w:hAnsi="Times New Roman" w:cs="Times New Roman"/>
                <w:snapToGrid w:val="0"/>
                <w:szCs w:val="24"/>
                <w:lang w:eastAsia="zh-CN"/>
              </w:rPr>
              <w:t>）渠系配套建筑物现浇施工：渠系节制闸、分水闸等配套建筑物采用</w:t>
            </w:r>
            <w:r>
              <w:rPr>
                <w:rFonts w:hint="eastAsia"/>
                <w:lang w:val="en-US" w:eastAsia="zh-CN"/>
              </w:rPr>
              <w:t>商品混凝土，</w:t>
            </w:r>
            <w:r>
              <w:rPr>
                <w:rFonts w:hint="default" w:ascii="Times New Roman" w:hAnsi="Times New Roman" w:cs="Times New Roman"/>
                <w:snapToGrid w:val="0"/>
                <w:szCs w:val="24"/>
                <w:lang w:eastAsia="zh-CN"/>
              </w:rPr>
              <w:t>现场现浇施工，先开展基坑开挖支护、人工清底并布设集水井持续疏排基坑渗水，验槽后浇筑砂砾或素砼垫层；随后在作业面完成闸体、翼墙钢筋绑扎，同步预埋止水钢板、闸门锚固件并对金属搭接件</w:t>
            </w:r>
            <w:r>
              <w:rPr>
                <w:rFonts w:hint="eastAsia" w:ascii="Times New Roman" w:hAnsi="Times New Roman" w:cs="Times New Roman"/>
                <w:snapToGrid w:val="0"/>
                <w:szCs w:val="24"/>
                <w:lang w:val="en-US" w:eastAsia="zh-CN"/>
              </w:rPr>
              <w:t>进行组装</w:t>
            </w:r>
            <w:r>
              <w:rPr>
                <w:rFonts w:hint="default" w:ascii="Times New Roman" w:hAnsi="Times New Roman" w:cs="Times New Roman"/>
                <w:snapToGrid w:val="0"/>
                <w:szCs w:val="24"/>
                <w:lang w:eastAsia="zh-CN"/>
              </w:rPr>
              <w:t>，搭设钢模板并涂刷隔离剂；商品砼分层入仓振捣浇筑闸底板、闸墩及消力池结构，初凝后覆盖保湿养护，达标后拆除模板，最后对基坑两侧分层回填碾压、修整砼外观；</w:t>
            </w:r>
            <w:r>
              <w:rPr>
                <w:rFonts w:hint="default" w:ascii="Times New Roman" w:hAnsi="Times New Roman" w:cs="Times New Roman"/>
                <w:snapToGrid w:val="0"/>
                <w:szCs w:val="24"/>
                <w:lang w:val="en-US" w:eastAsia="zh-CN"/>
              </w:rPr>
              <w:t>养护会</w:t>
            </w:r>
            <w:r>
              <w:rPr>
                <w:rFonts w:hint="default" w:ascii="Times New Roman" w:hAnsi="Times New Roman" w:cs="Times New Roman"/>
                <w:snapToGrid w:val="0"/>
                <w:szCs w:val="24"/>
                <w:lang w:eastAsia="zh-CN"/>
              </w:rPr>
              <w:t>产生砼养护废水，钢筋焊接产生</w:t>
            </w:r>
            <w:r>
              <w:rPr>
                <w:rFonts w:hint="default" w:ascii="Times New Roman" w:hAnsi="Times New Roman" w:cs="Times New Roman"/>
                <w:snapToGrid w:val="0"/>
                <w:szCs w:val="24"/>
                <w:lang w:val="en-US" w:eastAsia="zh-CN"/>
              </w:rPr>
              <w:t>焊接</w:t>
            </w:r>
            <w:r>
              <w:rPr>
                <w:rFonts w:hint="default" w:ascii="Times New Roman" w:hAnsi="Times New Roman" w:cs="Times New Roman"/>
                <w:snapToGrid w:val="0"/>
                <w:szCs w:val="24"/>
                <w:lang w:eastAsia="zh-CN"/>
              </w:rPr>
              <w:t>烟尘，同时产生</w:t>
            </w:r>
            <w:r>
              <w:rPr>
                <w:rFonts w:hint="default" w:ascii="Times New Roman" w:hAnsi="Times New Roman" w:cs="Times New Roman"/>
                <w:snapToGrid w:val="0"/>
                <w:szCs w:val="24"/>
                <w:lang w:val="en-US" w:eastAsia="zh-CN"/>
              </w:rPr>
              <w:t>废钢筋、废混凝土</w:t>
            </w:r>
            <w:r>
              <w:rPr>
                <w:rFonts w:hint="default" w:ascii="Times New Roman" w:hAnsi="Times New Roman" w:cs="Times New Roman"/>
                <w:snapToGrid w:val="0"/>
                <w:szCs w:val="24"/>
                <w:lang w:eastAsia="zh-CN"/>
              </w:rPr>
              <w:t>等固体废物</w:t>
            </w:r>
            <w:r>
              <w:rPr>
                <w:rFonts w:hint="default" w:ascii="Times New Roman" w:hAnsi="Times New Roman" w:cs="Times New Roman"/>
                <w:snapToGrid w:val="0"/>
                <w:szCs w:val="24"/>
              </w:rPr>
              <w:t>。</w:t>
            </w:r>
          </w:p>
          <w:p w14:paraId="33A7F0F3">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6</w:t>
            </w:r>
            <w:r>
              <w:rPr>
                <w:rFonts w:hint="default" w:ascii="Times New Roman" w:hAnsi="Times New Roman" w:cs="Times New Roman"/>
                <w:snapToGrid w:val="0"/>
                <w:szCs w:val="24"/>
                <w:lang w:eastAsia="zh-CN"/>
              </w:rPr>
              <w:t>）预制U型槽吊装、拼接：预制U型槽由场外预制场运输至施工段后，采用吊车将构件吊装至已完工的砂砾垫层基础上，人工配合对位调平、缝隙对齐，完成U型槽逐块拼接就位；该工序施工产生吊车作业噪声</w:t>
            </w:r>
            <w:r>
              <w:rPr>
                <w:rFonts w:hint="default" w:ascii="Times New Roman" w:hAnsi="Times New Roman" w:cs="Times New Roman"/>
                <w:snapToGrid w:val="0"/>
                <w:szCs w:val="24"/>
              </w:rPr>
              <w:t>。</w:t>
            </w:r>
          </w:p>
          <w:p w14:paraId="191134E2">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7</w:t>
            </w:r>
            <w:r>
              <w:rPr>
                <w:rFonts w:hint="default" w:ascii="Times New Roman" w:hAnsi="Times New Roman" w:cs="Times New Roman"/>
                <w:snapToGrid w:val="0"/>
                <w:szCs w:val="24"/>
                <w:lang w:eastAsia="zh-CN"/>
              </w:rPr>
              <w:t>）预制板板间伸缩缝、密封胶嵌缝施工：</w:t>
            </w:r>
            <w:r>
              <w:rPr>
                <w:rFonts w:hint="default" w:ascii="Times New Roman" w:hAnsi="Times New Roman" w:cs="Times New Roman"/>
                <w:snapToGrid w:val="0"/>
                <w:szCs w:val="24"/>
                <w:lang w:val="en-US" w:eastAsia="zh-CN"/>
              </w:rPr>
              <w:t>预制</w:t>
            </w:r>
            <w:r>
              <w:rPr>
                <w:rFonts w:hint="default" w:ascii="Times New Roman" w:hAnsi="Times New Roman" w:cs="Times New Roman"/>
                <w:snapToGrid w:val="0"/>
                <w:szCs w:val="24"/>
                <w:lang w:eastAsia="zh-CN"/>
              </w:rPr>
              <w:t>U型槽</w:t>
            </w:r>
            <w:r>
              <w:rPr>
                <w:rFonts w:hint="default" w:ascii="Times New Roman" w:hAnsi="Times New Roman" w:cs="Times New Roman"/>
                <w:snapToGrid w:val="0"/>
                <w:szCs w:val="24"/>
                <w:lang w:val="en-US" w:eastAsia="zh-CN"/>
              </w:rPr>
              <w:t>拼接完成后随即</w:t>
            </w:r>
            <w:r>
              <w:rPr>
                <w:rFonts w:hint="default" w:ascii="Times New Roman" w:hAnsi="Times New Roman" w:cs="Times New Roman"/>
                <w:snapToGrid w:val="0"/>
                <w:szCs w:val="24"/>
                <w:lang w:eastAsia="zh-CN"/>
              </w:rPr>
              <w:t>清理板缝杂物，填充止水材料并灌注密封胶完成伸缩缝嵌缝处理；</w:t>
            </w:r>
            <w:r>
              <w:rPr>
                <w:rFonts w:hint="default" w:ascii="Times New Roman" w:hAnsi="Times New Roman" w:eastAsia="宋体" w:cs="Times New Roman"/>
                <w:sz w:val="24"/>
                <w:szCs w:val="24"/>
              </w:rPr>
              <w:t>该工序施工产生填缝废气</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废弃废聚氨酯密封胶及包装物等固废</w:t>
            </w:r>
            <w:r>
              <w:rPr>
                <w:rFonts w:hint="default" w:ascii="Times New Roman" w:hAnsi="Times New Roman" w:eastAsia="宋体" w:cs="Times New Roman"/>
                <w:sz w:val="24"/>
                <w:szCs w:val="24"/>
                <w:lang w:eastAsia="zh-CN"/>
              </w:rPr>
              <w:t>。</w:t>
            </w:r>
          </w:p>
          <w:p w14:paraId="6D60230C">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8</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闸门金属结构安装</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外购成品钢闸门、螺杆启闭机现场吊装、组装调试；吊装机具运行产生噪声。</w:t>
            </w:r>
          </w:p>
          <w:p w14:paraId="27368D46">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9</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清除施工垃圾</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全线清理废弃建材、包装、残土、杂物等施工垃圾，统一收集处置，主要污</w:t>
            </w:r>
            <w:r>
              <w:rPr>
                <w:rFonts w:hint="default" w:ascii="Times New Roman" w:hAnsi="Times New Roman" w:eastAsia="宋体" w:cs="Times New Roman"/>
                <w:snapToGrid w:val="0"/>
                <w:szCs w:val="24"/>
                <w:lang w:eastAsia="zh-CN"/>
              </w:rPr>
              <w:t>染物为固体废弃物。</w:t>
            </w:r>
          </w:p>
          <w:p w14:paraId="500CBB6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eastAsia="zh-CN"/>
              </w:rPr>
              <w:t>（</w:t>
            </w:r>
            <w:r>
              <w:rPr>
                <w:rFonts w:hint="default" w:ascii="Times New Roman" w:hAnsi="Times New Roman" w:eastAsia="宋体" w:cs="Times New Roman"/>
                <w:snapToGrid w:val="0"/>
                <w:szCs w:val="24"/>
                <w:lang w:val="en-US" w:eastAsia="zh-CN"/>
              </w:rPr>
              <w:t>10</w:t>
            </w:r>
            <w:r>
              <w:rPr>
                <w:rFonts w:hint="default" w:ascii="Times New Roman" w:hAnsi="Times New Roman" w:eastAsia="宋体" w:cs="Times New Roman"/>
                <w:snapToGrid w:val="0"/>
                <w:szCs w:val="24"/>
                <w:lang w:eastAsia="zh-CN"/>
              </w:rPr>
              <w:t>）竣工验收：全线外观、尺寸、密实度、防渗性能核验，无施工污染排放。</w:t>
            </w:r>
          </w:p>
          <w:p w14:paraId="334AF06A">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eastAsia="宋体" w:cs="Times New Roman"/>
                <w:b/>
                <w:bCs/>
                <w:snapToGrid w:val="0"/>
                <w:szCs w:val="24"/>
                <w:lang w:eastAsia="zh-CN"/>
              </w:rPr>
            </w:pPr>
            <w:r>
              <w:rPr>
                <w:rFonts w:hint="default" w:ascii="Times New Roman" w:hAnsi="Times New Roman" w:eastAsia="宋体" w:cs="Times New Roman"/>
                <w:b/>
                <w:bCs/>
                <w:snapToGrid w:val="0"/>
                <w:szCs w:val="24"/>
                <w:lang w:val="en-US" w:eastAsia="zh-CN"/>
              </w:rPr>
              <w:t>2</w:t>
            </w:r>
            <w:r>
              <w:rPr>
                <w:rFonts w:hint="default" w:ascii="Times New Roman" w:hAnsi="Times New Roman" w:eastAsia="宋体" w:cs="Times New Roman"/>
                <w:b/>
                <w:bCs/>
                <w:snapToGrid w:val="0"/>
                <w:szCs w:val="24"/>
                <w:lang w:eastAsia="zh-CN"/>
              </w:rPr>
              <w:t>施工时序及建设周期</w:t>
            </w:r>
          </w:p>
          <w:p w14:paraId="69CE3324">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val="en-US" w:eastAsia="zh-CN"/>
              </w:rPr>
              <w:t>本项目于2026年</w:t>
            </w:r>
            <w:r>
              <w:rPr>
                <w:rFonts w:hint="eastAsia" w:ascii="Times New Roman" w:hAnsi="Times New Roman" w:eastAsia="宋体" w:cs="Times New Roman"/>
                <w:snapToGrid w:val="0"/>
                <w:szCs w:val="24"/>
                <w:lang w:val="en-US" w:eastAsia="zh-CN"/>
              </w:rPr>
              <w:t>10</w:t>
            </w:r>
            <w:r>
              <w:rPr>
                <w:rFonts w:hint="default" w:ascii="Times New Roman" w:hAnsi="Times New Roman" w:eastAsia="宋体" w:cs="Times New Roman"/>
                <w:snapToGrid w:val="0"/>
                <w:szCs w:val="24"/>
                <w:lang w:val="en-US" w:eastAsia="zh-CN"/>
              </w:rPr>
              <w:t>月开工，并于2026年1</w:t>
            </w:r>
            <w:r>
              <w:rPr>
                <w:rFonts w:hint="eastAsia" w:ascii="Times New Roman" w:hAnsi="Times New Roman" w:eastAsia="宋体" w:cs="Times New Roman"/>
                <w:snapToGrid w:val="0"/>
                <w:szCs w:val="24"/>
                <w:lang w:val="en-US" w:eastAsia="zh-CN"/>
              </w:rPr>
              <w:t>1</w:t>
            </w:r>
            <w:r>
              <w:rPr>
                <w:rFonts w:hint="default" w:ascii="Times New Roman" w:hAnsi="Times New Roman" w:eastAsia="宋体" w:cs="Times New Roman"/>
                <w:snapToGrid w:val="0"/>
                <w:szCs w:val="24"/>
                <w:lang w:val="en-US" w:eastAsia="zh-CN"/>
              </w:rPr>
              <w:t>月建设完毕，总工期</w:t>
            </w:r>
            <w:r>
              <w:rPr>
                <w:rFonts w:hint="eastAsia" w:ascii="Times New Roman" w:hAnsi="Times New Roman" w:eastAsia="宋体" w:cs="Times New Roman"/>
                <w:snapToGrid w:val="0"/>
                <w:szCs w:val="24"/>
                <w:lang w:val="en-US" w:eastAsia="zh-CN"/>
              </w:rPr>
              <w:t>2</w:t>
            </w:r>
            <w:r>
              <w:rPr>
                <w:rFonts w:hint="default" w:ascii="Times New Roman" w:hAnsi="Times New Roman" w:eastAsia="宋体" w:cs="Times New Roman"/>
                <w:snapToGrid w:val="0"/>
                <w:szCs w:val="24"/>
                <w:lang w:val="en-US" w:eastAsia="zh-CN"/>
              </w:rPr>
              <w:t>个月</w:t>
            </w:r>
            <w:r>
              <w:rPr>
                <w:rFonts w:hint="default" w:ascii="Times New Roman" w:hAnsi="Times New Roman" w:eastAsia="宋体" w:cs="Times New Roman"/>
                <w:snapToGrid w:val="0"/>
                <w:szCs w:val="24"/>
                <w:lang w:eastAsia="zh-CN"/>
              </w:rPr>
              <w:t>。</w:t>
            </w:r>
          </w:p>
          <w:p w14:paraId="26EA5B08">
            <w:pPr>
              <w:adjustRightInd w:val="0"/>
              <w:snapToGrid w:val="0"/>
              <w:rPr>
                <w:rFonts w:hint="default" w:ascii="Times New Roman" w:hAnsi="Times New Roman" w:cs="Times New Roman"/>
                <w:kern w:val="0"/>
                <w:szCs w:val="21"/>
              </w:rPr>
            </w:pPr>
          </w:p>
        </w:tc>
      </w:tr>
      <w:tr w14:paraId="42759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10" w:type="dxa"/>
            <w:noWrap w:val="0"/>
            <w:vAlign w:val="center"/>
          </w:tcPr>
          <w:p w14:paraId="16B31A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其他</w:t>
            </w:r>
          </w:p>
        </w:tc>
        <w:tc>
          <w:tcPr>
            <w:tcW w:w="8380" w:type="dxa"/>
            <w:noWrap w:val="0"/>
            <w:vAlign w:val="center"/>
          </w:tcPr>
          <w:p w14:paraId="389D82DB">
            <w:pPr>
              <w:adjustRightInd w:val="0"/>
              <w:snapToGrid w:val="0"/>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b w:val="0"/>
                <w:bCs w:val="0"/>
                <w:color w:val="auto"/>
                <w:kern w:val="0"/>
                <w:sz w:val="24"/>
                <w:szCs w:val="24"/>
                <w:highlight w:val="none"/>
                <w:lang w:val="en-US" w:eastAsia="zh-CN" w:bidi="ar-SA"/>
              </w:rPr>
              <w:t>无</w:t>
            </w:r>
          </w:p>
        </w:tc>
      </w:tr>
    </w:tbl>
    <w:p w14:paraId="483D4D7B">
      <w:pPr>
        <w:pStyle w:val="20"/>
        <w:jc w:val="center"/>
        <w:outlineLvl w:val="0"/>
        <w:rPr>
          <w:rFonts w:ascii="黑体" w:hAnsi="黑体" w:eastAsia="黑体"/>
          <w:snapToGrid w:val="0"/>
          <w:sz w:val="30"/>
          <w:szCs w:val="30"/>
        </w:rPr>
      </w:pPr>
      <w:r>
        <w:rPr>
          <w:rFonts w:eastAsia="仿宋_GB2312"/>
          <w:b/>
          <w:bCs/>
        </w:rPr>
        <w:br w:type="page"/>
      </w:r>
      <w:r>
        <w:rPr>
          <w:rFonts w:hint="eastAsia" w:ascii="黑体" w:hAnsi="黑体" w:eastAsia="黑体"/>
          <w:snapToGrid w:val="0"/>
          <w:sz w:val="30"/>
          <w:szCs w:val="30"/>
        </w:rPr>
        <w:t>三、生态环境现状、保护目标及评价标准</w:t>
      </w:r>
    </w:p>
    <w:tbl>
      <w:tblPr>
        <w:tblStyle w:val="22"/>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53"/>
      </w:tblGrid>
      <w:tr w14:paraId="05E97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904" w:type="dxa"/>
            <w:noWrap w:val="0"/>
            <w:vAlign w:val="center"/>
          </w:tcPr>
          <w:p w14:paraId="775D1F53">
            <w:pPr>
              <w:adjustRightInd w:val="0"/>
              <w:snapToGrid w:val="0"/>
              <w:jc w:val="center"/>
              <w:rPr>
                <w:rFonts w:ascii="宋体" w:hAnsi="宋体" w:cs="宋体"/>
                <w:kern w:val="0"/>
                <w:szCs w:val="21"/>
              </w:rPr>
            </w:pPr>
            <w:r>
              <w:rPr>
                <w:rFonts w:hint="eastAsia" w:ascii="宋体" w:hAnsi="宋体" w:cs="宋体"/>
                <w:kern w:val="0"/>
                <w:szCs w:val="21"/>
              </w:rPr>
              <w:t>生态环境现状</w:t>
            </w:r>
          </w:p>
        </w:tc>
        <w:tc>
          <w:tcPr>
            <w:tcW w:w="8253" w:type="dxa"/>
            <w:noWrap w:val="0"/>
            <w:vAlign w:val="center"/>
          </w:tcPr>
          <w:p w14:paraId="475703F6">
            <w:pPr>
              <w:keepNext w:val="0"/>
              <w:keepLines w:val="0"/>
              <w:pageBreakBefore w:val="0"/>
              <w:widowControl/>
              <w:kinsoku/>
              <w:wordWrap/>
              <w:overflowPunct/>
              <w:topLinePunct w:val="0"/>
              <w:autoSpaceDE/>
              <w:autoSpaceDN/>
              <w:bidi w:val="0"/>
              <w:adjustRightInd/>
              <w:snapToGrid/>
              <w:spacing w:before="0" w:line="480" w:lineRule="exact"/>
              <w:jc w:val="left"/>
              <w:textAlignment w:val="auto"/>
              <w:rPr>
                <w:rFonts w:hint="eastAsia" w:ascii="Times New Roman" w:hAnsi="Times New Roman" w:eastAsia="宋体" w:cs="Times New Roman"/>
                <w:b/>
                <w:bCs w:val="0"/>
                <w:color w:val="auto"/>
                <w:kern w:val="2"/>
                <w:sz w:val="24"/>
                <w:szCs w:val="24"/>
                <w:lang w:val="en-US" w:eastAsia="zh-CN" w:bidi="ar-SA"/>
              </w:rPr>
            </w:pPr>
            <w:bookmarkStart w:id="3" w:name="_Toc467057572"/>
            <w:bookmarkStart w:id="4" w:name="_Toc29722416"/>
            <w:r>
              <w:rPr>
                <w:rFonts w:hint="eastAsia" w:ascii="Times New Roman" w:hAnsi="Times New Roman" w:eastAsia="宋体" w:cs="Times New Roman"/>
                <w:b/>
                <w:bCs w:val="0"/>
                <w:color w:val="auto"/>
                <w:kern w:val="2"/>
                <w:sz w:val="24"/>
                <w:szCs w:val="24"/>
                <w:lang w:val="en-US" w:eastAsia="zh-CN" w:bidi="ar-SA"/>
              </w:rPr>
              <w:t>1</w:t>
            </w:r>
            <w:bookmarkEnd w:id="3"/>
            <w:bookmarkEnd w:id="4"/>
            <w:bookmarkStart w:id="5" w:name="_Toc29722417"/>
            <w:r>
              <w:rPr>
                <w:rFonts w:hint="eastAsia" w:ascii="Times New Roman" w:hAnsi="Times New Roman" w:eastAsia="宋体" w:cs="Times New Roman"/>
                <w:b/>
                <w:bCs w:val="0"/>
                <w:color w:val="auto"/>
                <w:kern w:val="2"/>
                <w:sz w:val="24"/>
                <w:szCs w:val="24"/>
                <w:lang w:val="en-US" w:eastAsia="zh-CN" w:bidi="ar-SA"/>
              </w:rPr>
              <w:t>生态环境</w:t>
            </w:r>
            <w:bookmarkEnd w:id="5"/>
          </w:p>
          <w:p w14:paraId="3ECCEAB8">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kern w:val="2"/>
                <w:sz w:val="24"/>
                <w:szCs w:val="24"/>
                <w:lang w:val="en-US" w:eastAsia="zh-CN" w:bidi="ar-SA"/>
              </w:rPr>
            </w:pPr>
            <w:r>
              <w:rPr>
                <w:rFonts w:hint="eastAsia"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1主体</w:t>
            </w:r>
            <w:r>
              <w:rPr>
                <w:rFonts w:hint="eastAsia" w:ascii="Times New Roman" w:hAnsi="Times New Roman" w:cs="Times New Roman"/>
                <w:b/>
                <w:bCs w:val="0"/>
                <w:color w:val="auto"/>
                <w:kern w:val="2"/>
                <w:sz w:val="24"/>
                <w:szCs w:val="24"/>
                <w:lang w:val="en-US" w:eastAsia="zh-CN" w:bidi="ar-SA"/>
              </w:rPr>
              <w:t>功能区划</w:t>
            </w:r>
          </w:p>
          <w:p w14:paraId="45469A15">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left"/>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根据《新疆维吾尔自治区主体功能区规划》，新疆维吾尔自治区国土空间按主体功能区按开发方式，分为重点开发区域、限制开发区域和禁止开发区域三类。</w:t>
            </w:r>
          </w:p>
          <w:p w14:paraId="6EE93645">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本项目位于</w:t>
            </w:r>
            <w:r>
              <w:rPr>
                <w:rFonts w:hint="eastAsia" w:cs="Times New Roman"/>
                <w:b w:val="0"/>
                <w:bCs/>
                <w:color w:val="auto"/>
                <w:kern w:val="2"/>
                <w:sz w:val="24"/>
                <w:szCs w:val="24"/>
                <w:lang w:val="en-US" w:eastAsia="zh-CN" w:bidi="ar-SA"/>
              </w:rPr>
              <w:t>巴州若羌县吾塔木村</w:t>
            </w:r>
            <w:r>
              <w:rPr>
                <w:rFonts w:hint="eastAsia" w:ascii="Times New Roman" w:hAnsi="Times New Roman" w:eastAsia="宋体" w:cs="Times New Roman"/>
                <w:b w:val="0"/>
                <w:bCs/>
                <w:color w:val="auto"/>
                <w:kern w:val="2"/>
                <w:sz w:val="24"/>
                <w:szCs w:val="24"/>
                <w:lang w:val="en-US" w:eastAsia="zh-CN" w:bidi="ar-SA"/>
              </w:rPr>
              <w:t>，对照《新疆维吾尔自治区主体功能区规划》的划分，其所在位置属于《新疆维吾尔自治区主体功能区规划》中划定的</w:t>
            </w:r>
            <w:r>
              <w:rPr>
                <w:rFonts w:hint="eastAsia" w:cs="Times New Roman"/>
                <w:b w:val="0"/>
                <w:bCs/>
                <w:color w:val="auto"/>
                <w:kern w:val="2"/>
                <w:sz w:val="24"/>
                <w:szCs w:val="24"/>
                <w:lang w:val="en-US" w:eastAsia="zh-CN" w:bidi="ar-SA"/>
              </w:rPr>
              <w:t>国家级重点生态功能区</w:t>
            </w:r>
            <w:r>
              <w:rPr>
                <w:rFonts w:hint="eastAsia" w:ascii="Times New Roman" w:hAnsi="Times New Roman" w:eastAsia="宋体" w:cs="Times New Roman"/>
                <w:b w:val="0"/>
                <w:bCs/>
                <w:color w:val="auto"/>
                <w:kern w:val="2"/>
                <w:sz w:val="24"/>
                <w:szCs w:val="24"/>
                <w:lang w:val="en-US" w:eastAsia="zh-CN" w:bidi="ar-SA"/>
              </w:rPr>
              <w:t>。其主要特征见表3-1</w:t>
            </w:r>
            <w:r>
              <w:rPr>
                <w:rFonts w:hint="eastAsia" w:cs="Times New Roman"/>
                <w:b w:val="0"/>
                <w:bCs/>
                <w:color w:val="auto"/>
                <w:kern w:val="2"/>
                <w:sz w:val="24"/>
                <w:szCs w:val="24"/>
                <w:lang w:val="en-US" w:eastAsia="zh-CN" w:bidi="ar-SA"/>
              </w:rPr>
              <w:t>。</w:t>
            </w:r>
          </w:p>
          <w:p w14:paraId="0D1473FF">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eastAsia"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表3-1   本项目所属</w:t>
            </w:r>
            <w:r>
              <w:rPr>
                <w:rFonts w:hint="eastAsia" w:cs="Times New Roman"/>
                <w:b/>
                <w:bCs w:val="0"/>
                <w:color w:val="auto"/>
                <w:kern w:val="2"/>
                <w:sz w:val="24"/>
                <w:szCs w:val="24"/>
                <w:lang w:val="en-US" w:eastAsia="zh-CN" w:bidi="ar-SA"/>
              </w:rPr>
              <w:t>国家级</w:t>
            </w:r>
            <w:r>
              <w:rPr>
                <w:rFonts w:hint="eastAsia" w:ascii="Times New Roman" w:hAnsi="Times New Roman" w:eastAsia="宋体" w:cs="Times New Roman"/>
                <w:b/>
                <w:bCs w:val="0"/>
                <w:color w:val="auto"/>
                <w:kern w:val="2"/>
                <w:sz w:val="24"/>
                <w:szCs w:val="24"/>
                <w:lang w:val="en-US" w:eastAsia="zh-CN" w:bidi="ar-SA"/>
              </w:rPr>
              <w:t>重点生态功能区的类型和发展方向</w:t>
            </w:r>
          </w:p>
          <w:tbl>
            <w:tblPr>
              <w:tblStyle w:val="22"/>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8"/>
              <w:gridCol w:w="6101"/>
            </w:tblGrid>
            <w:tr w14:paraId="31C4E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196" w:type="pct"/>
                  <w:tcBorders>
                    <w:tl2br w:val="nil"/>
                    <w:tr2bl w:val="nil"/>
                  </w:tcBorders>
                  <w:noWrap w:val="0"/>
                  <w:vAlign w:val="center"/>
                </w:tcPr>
                <w:p w14:paraId="0C2D29B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重点生态功能区</w:t>
                  </w:r>
                </w:p>
              </w:tc>
              <w:tc>
                <w:tcPr>
                  <w:tcW w:w="3803" w:type="pct"/>
                  <w:tcBorders>
                    <w:tl2br w:val="nil"/>
                    <w:tr2bl w:val="nil"/>
                  </w:tcBorders>
                  <w:noWrap w:val="0"/>
                  <w:vAlign w:val="center"/>
                </w:tcPr>
                <w:p w14:paraId="79CE99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阿尔金草原荒漠化防治生态功能区</w:t>
                  </w:r>
                </w:p>
              </w:tc>
            </w:tr>
            <w:tr w14:paraId="0259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0E046F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类型</w:t>
                  </w:r>
                </w:p>
              </w:tc>
              <w:tc>
                <w:tcPr>
                  <w:tcW w:w="3803" w:type="pct"/>
                  <w:tcBorders>
                    <w:tl2br w:val="nil"/>
                    <w:tr2bl w:val="nil"/>
                  </w:tcBorders>
                  <w:noWrap w:val="0"/>
                  <w:vAlign w:val="center"/>
                </w:tcPr>
                <w:p w14:paraId="279E918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防风固沙型</w:t>
                  </w:r>
                </w:p>
              </w:tc>
            </w:tr>
            <w:tr w14:paraId="1100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178961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综合评价</w:t>
                  </w:r>
                </w:p>
              </w:tc>
              <w:tc>
                <w:tcPr>
                  <w:tcW w:w="3803" w:type="pct"/>
                  <w:tcBorders>
                    <w:tl2br w:val="nil"/>
                    <w:tr2bl w:val="nil"/>
                  </w:tcBorders>
                  <w:noWrap w:val="0"/>
                  <w:vAlign w:val="center"/>
                </w:tcPr>
                <w:p w14:paraId="3842A4E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气候极为干旱，地表植被稀少，保存着完整的高原自然生态系统，拥有许多极为珍贵的特有物种</w:t>
                  </w:r>
                  <w:r>
                    <w:rPr>
                      <w:rFonts w:hint="eastAsia" w:cs="Times New Roman"/>
                      <w:color w:val="auto"/>
                      <w:sz w:val="21"/>
                      <w:szCs w:val="21"/>
                      <w:lang w:eastAsia="zh-CN"/>
                    </w:rPr>
                    <w:t>，对</w:t>
                  </w:r>
                  <w:r>
                    <w:rPr>
                      <w:rFonts w:hint="eastAsia" w:ascii="Times New Roman" w:hAnsi="Times New Roman" w:cs="Times New Roman"/>
                      <w:color w:val="auto"/>
                      <w:sz w:val="21"/>
                      <w:szCs w:val="21"/>
                    </w:rPr>
                    <w:t>土地沙漠化敏感程度极高。目前鼠害肆虐，土地荒漠化加剧，珍稀动植物的生存受到威胁。</w:t>
                  </w:r>
                </w:p>
              </w:tc>
            </w:tr>
            <w:tr w14:paraId="614A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4BFE35E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发展方向</w:t>
                  </w:r>
                </w:p>
              </w:tc>
              <w:tc>
                <w:tcPr>
                  <w:tcW w:w="3803" w:type="pct"/>
                  <w:tcBorders>
                    <w:tl2br w:val="nil"/>
                    <w:tr2bl w:val="nil"/>
                  </w:tcBorders>
                  <w:noWrap w:val="0"/>
                  <w:vAlign w:val="center"/>
                </w:tcPr>
                <w:p w14:paraId="10457FE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控制放牧和旅游区范围，防范盗猎，减少人类活动干扰。</w:t>
                  </w:r>
                </w:p>
              </w:tc>
            </w:tr>
          </w:tbl>
          <w:p w14:paraId="41789B96">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本项目不在</w:t>
            </w:r>
            <w:r>
              <w:rPr>
                <w:rFonts w:hint="eastAsia" w:cs="Times New Roman"/>
                <w:b w:val="0"/>
                <w:bCs/>
                <w:color w:val="auto"/>
                <w:kern w:val="2"/>
                <w:sz w:val="24"/>
                <w:szCs w:val="24"/>
                <w:lang w:val="en-US" w:eastAsia="zh-CN" w:bidi="ar-SA"/>
              </w:rPr>
              <w:t>生态保护红线</w:t>
            </w:r>
            <w:r>
              <w:rPr>
                <w:rFonts w:hint="eastAsia" w:ascii="Times New Roman" w:hAnsi="Times New Roman" w:eastAsia="宋体" w:cs="Times New Roman"/>
                <w:b w:val="0"/>
                <w:bCs/>
                <w:color w:val="auto"/>
                <w:kern w:val="2"/>
                <w:sz w:val="24"/>
                <w:szCs w:val="24"/>
                <w:lang w:val="en-US" w:eastAsia="zh-CN" w:bidi="ar-SA"/>
              </w:rPr>
              <w:t>区内，本项目</w:t>
            </w:r>
            <w:r>
              <w:rPr>
                <w:rFonts w:hint="eastAsia" w:cs="Times New Roman"/>
                <w:b w:val="0"/>
                <w:bCs/>
                <w:color w:val="auto"/>
                <w:kern w:val="2"/>
                <w:sz w:val="24"/>
                <w:szCs w:val="24"/>
                <w:lang w:val="en-US" w:eastAsia="zh-CN" w:bidi="ar-SA"/>
              </w:rPr>
              <w:t>属于农田灌溉基础设施建设项目，不改变原有土地利用性质，仅在原有农田灌溉渠系基础上新建防渗渠道，符合该区域主体功能区发展定位</w:t>
            </w:r>
            <w:r>
              <w:rPr>
                <w:rFonts w:hint="eastAsia" w:ascii="Times New Roman" w:hAnsi="Times New Roman" w:eastAsia="宋体" w:cs="Times New Roman"/>
                <w:b w:val="0"/>
                <w:bCs/>
                <w:color w:val="auto"/>
                <w:kern w:val="2"/>
                <w:sz w:val="24"/>
                <w:szCs w:val="24"/>
                <w:lang w:val="en-US" w:eastAsia="zh-CN" w:bidi="ar-SA"/>
              </w:rPr>
              <w:t>。</w:t>
            </w:r>
          </w:p>
          <w:p w14:paraId="4ADD390B">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sz w:val="24"/>
                <w:szCs w:val="24"/>
                <w:lang w:val="en-US"/>
              </w:rPr>
            </w:pPr>
            <w:r>
              <w:rPr>
                <w:rFonts w:hint="default"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2</w:t>
            </w:r>
            <w:r>
              <w:rPr>
                <w:rFonts w:hint="default" w:ascii="Times New Roman" w:hAnsi="Times New Roman" w:cs="Times New Roman"/>
                <w:b/>
                <w:bCs w:val="0"/>
                <w:color w:val="auto"/>
                <w:sz w:val="24"/>
                <w:szCs w:val="24"/>
              </w:rPr>
              <w:t>生态功能区划</w:t>
            </w:r>
          </w:p>
          <w:p w14:paraId="4C312272">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both"/>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根据《新疆生态功能区划》，</w:t>
            </w:r>
            <w:r>
              <w:rPr>
                <w:rFonts w:hint="eastAsia" w:ascii="Times New Roman" w:hAnsi="Times New Roman" w:eastAsia="宋体" w:cs="Times New Roman"/>
                <w:b w:val="0"/>
                <w:bCs/>
                <w:color w:val="auto"/>
                <w:kern w:val="2"/>
                <w:sz w:val="24"/>
                <w:szCs w:val="24"/>
                <w:lang w:val="en-US" w:eastAsia="zh-CN" w:bidi="ar-SA"/>
              </w:rPr>
              <w:t>本项目</w:t>
            </w:r>
            <w:r>
              <w:rPr>
                <w:rFonts w:hint="default" w:ascii="Times New Roman" w:hAnsi="Times New Roman" w:eastAsia="宋体" w:cs="Times New Roman"/>
                <w:b w:val="0"/>
                <w:bCs/>
                <w:color w:val="auto"/>
                <w:kern w:val="2"/>
                <w:sz w:val="24"/>
                <w:szCs w:val="24"/>
                <w:lang w:val="en-US" w:eastAsia="zh-CN" w:bidi="ar-SA"/>
              </w:rPr>
              <w:t>所在区域位于Ⅳ</w:t>
            </w:r>
            <w:r>
              <w:rPr>
                <w:rFonts w:hint="eastAsia" w:cs="Times New Roman"/>
                <w:b w:val="0"/>
                <w:bCs/>
                <w:color w:val="auto"/>
                <w:kern w:val="2"/>
                <w:sz w:val="24"/>
                <w:szCs w:val="24"/>
                <w:lang w:val="en-US" w:eastAsia="zh-CN" w:bidi="ar-SA"/>
              </w:rPr>
              <w:t>塔里木盆地暖温荒漠及绿洲农业生态区</w:t>
            </w:r>
            <w:r>
              <w:rPr>
                <w:rFonts w:hint="default" w:ascii="Times New Roman" w:hAnsi="Times New Roman" w:eastAsia="宋体" w:cs="Times New Roman"/>
                <w:b w:val="0"/>
                <w:bCs/>
                <w:color w:val="auto"/>
                <w:kern w:val="2"/>
                <w:sz w:val="24"/>
                <w:szCs w:val="24"/>
                <w:lang w:val="en-US" w:eastAsia="zh-CN" w:bidi="ar-SA"/>
              </w:rPr>
              <w:t>——Ⅳ</w:t>
            </w:r>
            <w:r>
              <w:rPr>
                <w:rFonts w:hint="eastAsia" w:cs="Times New Roman"/>
                <w:b w:val="0"/>
                <w:bCs/>
                <w:color w:val="auto"/>
                <w:kern w:val="2"/>
                <w:sz w:val="24"/>
                <w:szCs w:val="24"/>
                <w:lang w:val="en-US" w:eastAsia="zh-CN" w:bidi="ar-SA"/>
              </w:rPr>
              <w:t>2塔里木盆地南部和东部沙漠、戈壁及绿洲农业生态亚区</w:t>
            </w:r>
            <w:r>
              <w:rPr>
                <w:rFonts w:hint="default" w:ascii="Times New Roman" w:hAnsi="Times New Roman" w:eastAsia="宋体" w:cs="Times New Roman"/>
                <w:b w:val="0"/>
                <w:bCs/>
                <w:color w:val="auto"/>
                <w:kern w:val="2"/>
                <w:sz w:val="24"/>
                <w:szCs w:val="24"/>
                <w:lang w:val="en-US" w:eastAsia="zh-CN" w:bidi="ar-SA"/>
              </w:rPr>
              <w:t>——</w:t>
            </w:r>
            <w:r>
              <w:rPr>
                <w:rFonts w:hint="eastAsia" w:cs="Times New Roman"/>
                <w:b w:val="0"/>
                <w:bCs/>
                <w:color w:val="auto"/>
                <w:kern w:val="2"/>
                <w:sz w:val="24"/>
                <w:szCs w:val="24"/>
                <w:lang w:val="en-US" w:eastAsia="zh-CN" w:bidi="ar-SA"/>
              </w:rPr>
              <w:t>64阿尔金山北麓山前平原沙漠化敏感生态功能区</w:t>
            </w:r>
            <w:r>
              <w:rPr>
                <w:rFonts w:hint="default" w:ascii="Times New Roman" w:hAnsi="Times New Roman" w:eastAsia="宋体" w:cs="Times New Roman"/>
                <w:b w:val="0"/>
                <w:bCs/>
                <w:color w:val="auto"/>
                <w:kern w:val="2"/>
                <w:sz w:val="24"/>
                <w:szCs w:val="24"/>
                <w:lang w:val="en-US" w:eastAsia="zh-CN" w:bidi="ar-SA"/>
              </w:rPr>
              <w:t>。主要生态服务功能、生态敏感因子、主要生态问题和主要保护目标见表3-</w:t>
            </w:r>
            <w:r>
              <w:rPr>
                <w:rFonts w:hint="eastAsia" w:ascii="Times New Roman" w:hAnsi="Times New Roman" w:eastAsia="宋体" w:cs="Times New Roman"/>
                <w:b w:val="0"/>
                <w:bCs/>
                <w:color w:val="auto"/>
                <w:kern w:val="2"/>
                <w:sz w:val="24"/>
                <w:szCs w:val="24"/>
                <w:lang w:val="en-US" w:eastAsia="zh-CN" w:bidi="ar-SA"/>
              </w:rPr>
              <w:t>2</w:t>
            </w:r>
            <w:r>
              <w:rPr>
                <w:rFonts w:hint="eastAsia" w:cs="Times New Roman"/>
                <w:b w:val="0"/>
                <w:bCs/>
                <w:color w:val="auto"/>
                <w:kern w:val="2"/>
                <w:sz w:val="24"/>
                <w:szCs w:val="24"/>
                <w:lang w:val="en-US" w:eastAsia="zh-CN" w:bidi="ar-SA"/>
              </w:rPr>
              <w:t>，新疆生</w:t>
            </w:r>
            <w:r>
              <w:rPr>
                <w:rFonts w:hint="eastAsia" w:cs="Times New Roman"/>
                <w:b w:val="0"/>
                <w:bCs/>
                <w:color w:val="auto"/>
                <w:kern w:val="2"/>
                <w:sz w:val="24"/>
                <w:szCs w:val="24"/>
                <w:highlight w:val="none"/>
                <w:lang w:val="en-US" w:eastAsia="zh-CN" w:bidi="ar-SA"/>
              </w:rPr>
              <w:t>态功能区划图见图5</w:t>
            </w:r>
            <w:r>
              <w:rPr>
                <w:rFonts w:hint="default" w:ascii="Times New Roman" w:hAnsi="Times New Roman" w:eastAsia="宋体" w:cs="Times New Roman"/>
                <w:b w:val="0"/>
                <w:bCs/>
                <w:color w:val="auto"/>
                <w:kern w:val="2"/>
                <w:sz w:val="24"/>
                <w:szCs w:val="24"/>
                <w:highlight w:val="none"/>
                <w:lang w:val="en-US" w:eastAsia="zh-CN" w:bidi="ar-SA"/>
              </w:rPr>
              <w:t>。</w:t>
            </w:r>
          </w:p>
          <w:p w14:paraId="5A33E503">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default" w:ascii="Times New Roman" w:hAnsi="Times New Roman" w:eastAsia="宋体" w:cs="Times New Roman"/>
                <w:b/>
                <w:bCs w:val="0"/>
                <w:color w:val="auto"/>
                <w:kern w:val="2"/>
                <w:sz w:val="24"/>
                <w:szCs w:val="24"/>
                <w:lang w:val="zh-CN" w:eastAsia="zh-CN" w:bidi="ar-SA"/>
              </w:rPr>
            </w:pPr>
            <w:r>
              <w:rPr>
                <w:rFonts w:hint="default" w:ascii="Times New Roman" w:hAnsi="Times New Roman" w:eastAsia="宋体" w:cs="Times New Roman"/>
                <w:b/>
                <w:bCs w:val="0"/>
                <w:color w:val="auto"/>
                <w:kern w:val="2"/>
                <w:sz w:val="24"/>
                <w:szCs w:val="24"/>
                <w:lang w:val="zh-CN" w:eastAsia="zh-CN" w:bidi="ar-SA"/>
              </w:rPr>
              <w:t>表</w:t>
            </w:r>
            <w:r>
              <w:rPr>
                <w:rFonts w:hint="eastAsia" w:cs="Times New Roman"/>
                <w:b/>
                <w:bCs w:val="0"/>
                <w:color w:val="auto"/>
                <w:kern w:val="2"/>
                <w:sz w:val="24"/>
                <w:szCs w:val="24"/>
                <w:lang w:val="en-US" w:eastAsia="zh-CN" w:bidi="ar-SA"/>
              </w:rPr>
              <w:t xml:space="preserve">3-2    </w:t>
            </w:r>
            <w:r>
              <w:rPr>
                <w:rFonts w:hint="default" w:ascii="Times New Roman" w:hAnsi="Times New Roman" w:eastAsia="宋体" w:cs="Times New Roman"/>
                <w:b/>
                <w:bCs w:val="0"/>
                <w:color w:val="auto"/>
                <w:kern w:val="2"/>
                <w:sz w:val="24"/>
                <w:szCs w:val="24"/>
                <w:lang w:val="zh-CN" w:eastAsia="zh-CN" w:bidi="ar-SA"/>
              </w:rPr>
              <w:t>项目所在区域生态功能区划</w:t>
            </w:r>
          </w:p>
          <w:tbl>
            <w:tblPr>
              <w:tblStyle w:val="22"/>
              <w:tblW w:w="4999"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1289"/>
              <w:gridCol w:w="5802"/>
            </w:tblGrid>
            <w:tr w14:paraId="2EFEA40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restart"/>
                  <w:vAlign w:val="center"/>
                </w:tcPr>
                <w:p w14:paraId="0C251F7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生态功能分区单元</w:t>
                  </w:r>
                </w:p>
              </w:tc>
              <w:tc>
                <w:tcPr>
                  <w:tcW w:w="803" w:type="pct"/>
                  <w:vAlign w:val="center"/>
                </w:tcPr>
                <w:p w14:paraId="7AAA4B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生态区</w:t>
                  </w:r>
                </w:p>
              </w:tc>
              <w:tc>
                <w:tcPr>
                  <w:tcW w:w="3614" w:type="pct"/>
                  <w:vAlign w:val="center"/>
                </w:tcPr>
                <w:p w14:paraId="0CCFDB37">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Ⅳ塔里木盆地暖温荒漠及绿洲农业生态区</w:t>
                  </w:r>
                </w:p>
              </w:tc>
            </w:tr>
            <w:tr w14:paraId="3464EB9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046EB33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2A4B6025">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生态亚区</w:t>
                  </w:r>
                </w:p>
              </w:tc>
              <w:tc>
                <w:tcPr>
                  <w:tcW w:w="3614" w:type="pct"/>
                  <w:vAlign w:val="center"/>
                </w:tcPr>
                <w:p w14:paraId="2EA859A2">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Ⅳ2塔里木盆地南部和东部沙漠、戈壁及绿洲农业生态亚区</w:t>
                  </w:r>
                </w:p>
              </w:tc>
            </w:tr>
            <w:tr w14:paraId="7E16472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69885144">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6D7ED41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生态功能区</w:t>
                  </w:r>
                </w:p>
              </w:tc>
              <w:tc>
                <w:tcPr>
                  <w:tcW w:w="3614" w:type="pct"/>
                  <w:vAlign w:val="center"/>
                </w:tcPr>
                <w:p w14:paraId="3076BBDC">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4阿尔金山北麓山前平原沙漠化敏感生态功能区</w:t>
                  </w:r>
                </w:p>
              </w:tc>
            </w:tr>
            <w:tr w14:paraId="614CA9D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68D8F8B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隶属行政区</w:t>
                  </w:r>
                </w:p>
              </w:tc>
              <w:tc>
                <w:tcPr>
                  <w:tcW w:w="3614" w:type="pct"/>
                  <w:vAlign w:val="center"/>
                </w:tcPr>
                <w:p w14:paraId="6981B44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且末县、若羌县</w:t>
                  </w:r>
                </w:p>
              </w:tc>
            </w:tr>
            <w:tr w14:paraId="71DFB1A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34210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主要生态服务功能</w:t>
                  </w:r>
                </w:p>
              </w:tc>
              <w:tc>
                <w:tcPr>
                  <w:tcW w:w="3614" w:type="pct"/>
                  <w:vAlign w:val="center"/>
                </w:tcPr>
                <w:p w14:paraId="793DA93B">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沙漠化控制</w:t>
                  </w:r>
                </w:p>
              </w:tc>
            </w:tr>
            <w:tr w14:paraId="23018E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385" w:type="pct"/>
                  <w:gridSpan w:val="2"/>
                  <w:vAlign w:val="center"/>
                </w:tcPr>
                <w:p w14:paraId="7585EC13">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主要生态环境问题</w:t>
                  </w:r>
                </w:p>
              </w:tc>
              <w:tc>
                <w:tcPr>
                  <w:tcW w:w="3614" w:type="pct"/>
                  <w:vAlign w:val="center"/>
                </w:tcPr>
                <w:p w14:paraId="72E8EE5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流动沙丘危害国道</w:t>
                  </w:r>
                </w:p>
              </w:tc>
            </w:tr>
            <w:tr w14:paraId="699FF0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385" w:type="pct"/>
                  <w:gridSpan w:val="2"/>
                  <w:vAlign w:val="center"/>
                </w:tcPr>
                <w:p w14:paraId="018723E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主要生态敏感因子、敏感程度</w:t>
                  </w:r>
                </w:p>
              </w:tc>
              <w:tc>
                <w:tcPr>
                  <w:tcW w:w="3614" w:type="pct"/>
                  <w:vAlign w:val="center"/>
                </w:tcPr>
                <w:p w14:paraId="13083069">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土壤侵蚀高度敏感，土地沙漠化极度敏感，土壤盐渍化轻度敏感</w:t>
                  </w:r>
                </w:p>
              </w:tc>
            </w:tr>
            <w:tr w14:paraId="65F015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12EB15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主要保护目标</w:t>
                  </w:r>
                </w:p>
              </w:tc>
              <w:tc>
                <w:tcPr>
                  <w:tcW w:w="3614" w:type="pct"/>
                  <w:vAlign w:val="center"/>
                </w:tcPr>
                <w:p w14:paraId="12E44378">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保护315国道、保护荒漠植被和砾幕</w:t>
                  </w:r>
                </w:p>
              </w:tc>
            </w:tr>
            <w:tr w14:paraId="61C23D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0CC80A2F">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主要保护措施</w:t>
                  </w:r>
                </w:p>
              </w:tc>
              <w:tc>
                <w:tcPr>
                  <w:tcW w:w="3614" w:type="pct"/>
                  <w:vAlign w:val="center"/>
                </w:tcPr>
                <w:p w14:paraId="0F994EC6">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机械措施固沙护路、禁止开荒、禁止樵采</w:t>
                  </w:r>
                </w:p>
              </w:tc>
            </w:tr>
            <w:tr w14:paraId="0CD6A9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83A3F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适宜发展方向</w:t>
                  </w:r>
                </w:p>
              </w:tc>
              <w:tc>
                <w:tcPr>
                  <w:tcW w:w="3614" w:type="pct"/>
                  <w:vAlign w:val="center"/>
                </w:tcPr>
                <w:p w14:paraId="7F60C341">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防风护路，保证交通畅通，发展旅游探险服务业</w:t>
                  </w:r>
                </w:p>
              </w:tc>
            </w:tr>
          </w:tbl>
          <w:p w14:paraId="1CAB436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1.3生态现状调查</w:t>
            </w:r>
          </w:p>
          <w:p w14:paraId="08B7747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（1）植被现状调查及评价</w:t>
            </w:r>
          </w:p>
          <w:p w14:paraId="27770D05">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lang w:val="en-US" w:eastAsia="zh-CN" w:bidi="ar-SA"/>
              </w:rPr>
              <w:t>人工植被：项目沿线区域内人工植被占比较大，红枣林是主要的人工植被类型，若羌县红枣种植规模庞大，项目沿线区域人工植被除红枣林外，还种植有小麦、玉米、棉花、西甜瓜、蔬菜等农作物，多分布于规整的耕地中。</w:t>
            </w:r>
          </w:p>
          <w:p w14:paraId="0C06805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天然植被：本项目区域施工范围周边为人工灌溉种植农田，渠道边坡、渠滩等</w:t>
            </w:r>
            <w:r>
              <w:rPr>
                <w:rFonts w:hint="eastAsia" w:cs="Times New Roman"/>
                <w:b w:val="0"/>
                <w:bCs/>
                <w:color w:val="auto"/>
                <w:kern w:val="2"/>
                <w:sz w:val="24"/>
                <w:szCs w:val="24"/>
                <w:highlight w:val="none"/>
                <w:lang w:val="en-US" w:eastAsia="zh-CN" w:bidi="ar-SA"/>
              </w:rPr>
              <w:t>为</w:t>
            </w:r>
            <w:r>
              <w:rPr>
                <w:rFonts w:hint="eastAsia" w:ascii="Times New Roman" w:hAnsi="Times New Roman" w:eastAsia="宋体" w:cs="Times New Roman"/>
                <w:b w:val="0"/>
                <w:bCs/>
                <w:color w:val="auto"/>
                <w:kern w:val="2"/>
                <w:sz w:val="24"/>
                <w:szCs w:val="24"/>
                <w:highlight w:val="none"/>
                <w:lang w:val="en-US" w:eastAsia="zh-CN" w:bidi="ar-SA"/>
              </w:rPr>
              <w:t>人工造林区域，天然草本以耐盐碱的宽叶独行菜、赖草、芦苇为优势种群，伴生少量苦苣菜等野生耐旱草本植物</w:t>
            </w:r>
            <w:r>
              <w:rPr>
                <w:rFonts w:hint="default" w:ascii="Times New Roman" w:hAnsi="Times New Roman" w:eastAsia="宋体"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项目区植被覆盖类型主要</w:t>
            </w:r>
            <w:r>
              <w:rPr>
                <w:rFonts w:hint="eastAsia" w:cs="Times New Roman"/>
                <w:b w:val="0"/>
                <w:bCs/>
                <w:color w:val="auto"/>
                <w:kern w:val="2"/>
                <w:sz w:val="24"/>
                <w:szCs w:val="24"/>
                <w:highlight w:val="none"/>
                <w:lang w:val="en-US" w:eastAsia="zh-CN" w:bidi="ar-SA"/>
              </w:rPr>
              <w:t>为人工植被</w:t>
            </w:r>
            <w:r>
              <w:rPr>
                <w:rFonts w:hint="eastAsia" w:ascii="Times New Roman" w:hAnsi="Times New Roman" w:eastAsia="宋体" w:cs="Times New Roman"/>
                <w:b w:val="0"/>
                <w:bCs/>
                <w:color w:val="auto"/>
                <w:kern w:val="2"/>
                <w:sz w:val="24"/>
                <w:szCs w:val="24"/>
                <w:highlight w:val="none"/>
                <w:lang w:val="en-US" w:eastAsia="zh-CN" w:bidi="ar-SA"/>
              </w:rPr>
              <w:t>。植被</w:t>
            </w:r>
            <w:r>
              <w:rPr>
                <w:rFonts w:hint="eastAsia" w:cs="Times New Roman"/>
                <w:b w:val="0"/>
                <w:bCs/>
                <w:color w:val="auto"/>
                <w:kern w:val="2"/>
                <w:sz w:val="24"/>
                <w:szCs w:val="24"/>
                <w:highlight w:val="none"/>
                <w:lang w:val="en-US" w:eastAsia="zh-CN" w:bidi="ar-SA"/>
              </w:rPr>
              <w:t>覆盖</w:t>
            </w:r>
            <w:r>
              <w:rPr>
                <w:rFonts w:hint="eastAsia" w:ascii="Times New Roman" w:hAnsi="Times New Roman" w:eastAsia="宋体" w:cs="Times New Roman"/>
                <w:b w:val="0"/>
                <w:bCs/>
                <w:color w:val="auto"/>
                <w:kern w:val="2"/>
                <w:sz w:val="24"/>
                <w:szCs w:val="24"/>
                <w:highlight w:val="none"/>
                <w:lang w:val="en-US" w:eastAsia="zh-CN" w:bidi="ar-SA"/>
              </w:rPr>
              <w:t>类型示意图见图</w:t>
            </w: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w:t>
            </w:r>
          </w:p>
          <w:p w14:paraId="2F9DF68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（2）工程占地及施工植被扰动情况</w:t>
            </w:r>
          </w:p>
          <w:p w14:paraId="17EF4C8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渠道工程：项目主体为现状土渠防渗</w:t>
            </w:r>
            <w:r>
              <w:rPr>
                <w:rFonts w:hint="eastAsia" w:ascii="Times New Roman" w:hAnsi="Times New Roman" w:eastAsia="宋体" w:cs="Times New Roman"/>
                <w:b w:val="0"/>
                <w:bCs/>
                <w:color w:val="auto"/>
                <w:kern w:val="2"/>
                <w:sz w:val="24"/>
                <w:szCs w:val="24"/>
                <w:lang w:val="en-US" w:eastAsia="zh-CN" w:bidi="ar-SA"/>
              </w:rPr>
              <w:t>衬砌建设，普通渠段仅清理渠床表层杂草、草本植被，无乔木砍伐。</w:t>
            </w:r>
          </w:p>
          <w:p w14:paraId="17AE228F">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（3）野生动物现状调查及评价</w:t>
            </w:r>
          </w:p>
          <w:p w14:paraId="7331F549">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根据现场调查，项目区</w:t>
            </w:r>
            <w:r>
              <w:rPr>
                <w:rFonts w:hint="default" w:ascii="Times New Roman" w:hAnsi="Times New Roman" w:eastAsia="宋体" w:cs="Times New Roman"/>
                <w:b w:val="0"/>
                <w:bCs/>
                <w:color w:val="auto"/>
                <w:kern w:val="2"/>
                <w:sz w:val="24"/>
                <w:szCs w:val="24"/>
                <w:lang w:val="en-US" w:eastAsia="zh-CN" w:bidi="ar-SA"/>
              </w:rPr>
              <w:t>动物群系主要为村庄农田动物群，其中鸟类分布居多，项目区内基本以麻雀、家燕等鸟类和小家鼠等啮齿类动物为主。无国家保护的野生动物</w:t>
            </w:r>
            <w:r>
              <w:rPr>
                <w:rFonts w:hint="eastAsia" w:ascii="Times New Roman" w:hAnsi="Times New Roman" w:eastAsia="宋体" w:cs="Times New Roman"/>
                <w:b w:val="0"/>
                <w:bCs/>
                <w:color w:val="auto"/>
                <w:kern w:val="2"/>
                <w:sz w:val="24"/>
                <w:szCs w:val="24"/>
                <w:lang w:val="en-US" w:eastAsia="zh-CN" w:bidi="ar-SA"/>
              </w:rPr>
              <w:t>，无国家级、省级的重点保护动物，也没有保护物种的栖息地和繁殖地。</w:t>
            </w:r>
          </w:p>
          <w:p w14:paraId="49C301D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（4）土地利用类型</w:t>
            </w:r>
          </w:p>
          <w:p w14:paraId="20D5E76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项目占地主要类型为</w:t>
            </w:r>
            <w:r>
              <w:rPr>
                <w:rFonts w:hint="eastAsia" w:cs="Times New Roman"/>
                <w:b w:val="0"/>
                <w:bCs/>
                <w:color w:val="auto"/>
                <w:kern w:val="2"/>
                <w:sz w:val="24"/>
                <w:szCs w:val="24"/>
                <w:lang w:val="en-US" w:eastAsia="zh-CN" w:bidi="ar-SA"/>
              </w:rPr>
              <w:t>水浇地</w:t>
            </w:r>
            <w:r>
              <w:rPr>
                <w:rFonts w:hint="eastAsia" w:ascii="Times New Roman" w:hAnsi="Times New Roman" w:eastAsia="宋体" w:cs="Times New Roman"/>
                <w:b w:val="0"/>
                <w:bCs/>
                <w:color w:val="auto"/>
                <w:kern w:val="2"/>
                <w:sz w:val="24"/>
                <w:szCs w:val="24"/>
                <w:lang w:val="en-US" w:eastAsia="zh-CN" w:bidi="ar-SA"/>
              </w:rPr>
              <w:t>。见图</w:t>
            </w:r>
            <w:r>
              <w:rPr>
                <w:rFonts w:hint="eastAsia" w:cs="Times New Roman"/>
                <w:b w:val="0"/>
                <w:bCs/>
                <w:color w:val="auto"/>
                <w:kern w:val="2"/>
                <w:sz w:val="24"/>
                <w:szCs w:val="24"/>
                <w:lang w:val="en-US" w:eastAsia="zh-CN" w:bidi="ar-SA"/>
              </w:rPr>
              <w:t>7</w:t>
            </w:r>
            <w:r>
              <w:rPr>
                <w:rFonts w:hint="eastAsia" w:ascii="Times New Roman" w:hAnsi="Times New Roman" w:eastAsia="宋体" w:cs="Times New Roman"/>
                <w:b w:val="0"/>
                <w:bCs/>
                <w:color w:val="auto"/>
                <w:kern w:val="2"/>
                <w:sz w:val="24"/>
                <w:szCs w:val="24"/>
                <w:lang w:val="en-US" w:eastAsia="zh-CN" w:bidi="ar-SA"/>
              </w:rPr>
              <w:t xml:space="preserve"> 土地利用类型示意图。</w:t>
            </w:r>
          </w:p>
          <w:p w14:paraId="07D5081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（5）水土流失现状调查</w:t>
            </w:r>
          </w:p>
          <w:p w14:paraId="770B2BF1">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根据《新疆维吾尔自治区水土保持规划（2018-2030年）》《关于印发新疆自治区级水土流失重点预防区和重点治理区复核划分成果的通知》（新水水保〔2019〕4号）、</w:t>
            </w:r>
            <w:r>
              <w:rPr>
                <w:rFonts w:hint="eastAsia" w:ascii="Times New Roman" w:hAnsi="Times New Roman" w:eastAsia="宋体" w:cs="Times New Roman"/>
                <w:b w:val="0"/>
                <w:bCs w:val="0"/>
                <w:color w:val="auto"/>
                <w:spacing w:val="0"/>
                <w:kern w:val="0"/>
                <w:sz w:val="24"/>
                <w:szCs w:val="24"/>
                <w:highlight w:val="none"/>
                <w:lang w:val="en-US" w:eastAsia="zh-CN"/>
              </w:rPr>
              <w:t>水利部办公厅《关于做好国家级水土流失重点预防区和重点治理区落地上图成果应用的通知》（办水保〔2025〕170号）</w:t>
            </w:r>
            <w:r>
              <w:rPr>
                <w:rFonts w:hint="eastAsia" w:ascii="Times New Roman" w:hAnsi="Times New Roman" w:eastAsia="宋体" w:cs="Times New Roman"/>
                <w:b w:val="0"/>
                <w:bCs/>
                <w:color w:val="auto"/>
                <w:kern w:val="2"/>
                <w:sz w:val="24"/>
                <w:szCs w:val="24"/>
                <w:lang w:val="en-US" w:eastAsia="zh-CN" w:bidi="ar-SA"/>
              </w:rPr>
              <w:t>，本项目区</w:t>
            </w:r>
            <w:r>
              <w:rPr>
                <w:rFonts w:hint="eastAsia" w:ascii="Times New Roman" w:hAnsi="Times New Roman" w:eastAsia="宋体" w:cs="Times New Roman"/>
                <w:b w:val="0"/>
                <w:bCs w:val="0"/>
                <w:color w:val="auto"/>
                <w:spacing w:val="0"/>
                <w:kern w:val="0"/>
                <w:sz w:val="24"/>
                <w:szCs w:val="24"/>
                <w:highlight w:val="none"/>
                <w:lang w:val="en-US" w:eastAsia="zh-CN"/>
              </w:rPr>
              <w:t>不涉及国家级水土流失重点预防区和重点治理区</w:t>
            </w:r>
            <w:r>
              <w:rPr>
                <w:rFonts w:hint="eastAsia" w:ascii="Times New Roman" w:hAnsi="Times New Roman" w:eastAsia="宋体" w:cs="Times New Roman"/>
                <w:b w:val="0"/>
                <w:bCs/>
                <w:color w:val="auto"/>
                <w:kern w:val="2"/>
                <w:sz w:val="24"/>
                <w:szCs w:val="24"/>
                <w:lang w:val="en-US" w:eastAsia="zh-CN" w:bidi="ar-SA"/>
              </w:rPr>
              <w:t>。</w:t>
            </w:r>
          </w:p>
          <w:p w14:paraId="05001F6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因</w:t>
            </w:r>
            <w:r>
              <w:rPr>
                <w:rFonts w:hint="default" w:ascii="Times New Roman" w:hAnsi="Times New Roman" w:eastAsia="宋体" w:cs="Times New Roman"/>
                <w:b w:val="0"/>
                <w:bCs/>
                <w:color w:val="auto"/>
                <w:kern w:val="2"/>
                <w:sz w:val="24"/>
                <w:szCs w:val="24"/>
                <w:lang w:val="en-US" w:eastAsia="zh-CN" w:bidi="ar-SA"/>
              </w:rPr>
              <w:t>渠道工程处在灌区内，</w:t>
            </w:r>
            <w:r>
              <w:rPr>
                <w:rFonts w:hint="eastAsia" w:ascii="Times New Roman" w:hAnsi="Times New Roman" w:eastAsia="宋体" w:cs="Times New Roman"/>
                <w:b w:val="0"/>
                <w:bCs/>
                <w:color w:val="auto"/>
                <w:kern w:val="2"/>
                <w:sz w:val="24"/>
                <w:szCs w:val="24"/>
                <w:lang w:val="en-US" w:eastAsia="zh-CN" w:bidi="ar-SA"/>
              </w:rPr>
              <w:t>项目区</w:t>
            </w:r>
            <w:r>
              <w:rPr>
                <w:rFonts w:hint="default" w:ascii="Times New Roman" w:hAnsi="Times New Roman" w:eastAsia="宋体" w:cs="Times New Roman"/>
                <w:b w:val="0"/>
                <w:bCs/>
                <w:color w:val="auto"/>
                <w:kern w:val="2"/>
                <w:sz w:val="24"/>
                <w:szCs w:val="24"/>
                <w:lang w:val="en-US" w:eastAsia="zh-CN" w:bidi="ar-SA"/>
              </w:rPr>
              <w:t>水土流失轻微，综合分析项目区环境状况，参考《土壤侵蚀分类分级标准》</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SL190-2007</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，并结合《若羌县水土保持规划》，确定项目区内原生地貌土壤侵蚀模数背景值约为1</w:t>
            </w:r>
            <w:r>
              <w:rPr>
                <w:rFonts w:hint="eastAsia" w:ascii="Times New Roman" w:hAnsi="Times New Roman" w:eastAsia="宋体" w:cs="Times New Roman"/>
                <w:b w:val="0"/>
                <w:bCs/>
                <w:color w:val="auto"/>
                <w:kern w:val="2"/>
                <w:sz w:val="24"/>
                <w:szCs w:val="24"/>
                <w:lang w:val="en-US" w:eastAsia="zh-CN" w:bidi="ar-SA"/>
              </w:rPr>
              <w:t>2</w:t>
            </w:r>
            <w:r>
              <w:rPr>
                <w:rFonts w:hint="default" w:ascii="Times New Roman" w:hAnsi="Times New Roman" w:eastAsia="宋体" w:cs="Times New Roman"/>
                <w:b w:val="0"/>
                <w:bCs/>
                <w:color w:val="auto"/>
                <w:kern w:val="2"/>
                <w:sz w:val="24"/>
                <w:szCs w:val="24"/>
                <w:lang w:val="en-US" w:eastAsia="zh-CN" w:bidi="ar-SA"/>
              </w:rPr>
              <w:t>00t/km</w:t>
            </w:r>
            <w:r>
              <w:rPr>
                <w:rFonts w:hint="default" w:ascii="Times New Roman" w:hAnsi="Times New Roman" w:eastAsia="宋体" w:cs="Times New Roman"/>
                <w:b w:val="0"/>
                <w:bCs/>
                <w:color w:val="auto"/>
                <w:kern w:val="2"/>
                <w:sz w:val="24"/>
                <w:szCs w:val="24"/>
                <w:vertAlign w:val="superscript"/>
                <w:lang w:val="en-US" w:eastAsia="zh-CN" w:bidi="ar-SA"/>
              </w:rPr>
              <w:t>2</w:t>
            </w:r>
            <w:r>
              <w:rPr>
                <w:rFonts w:hint="default" w:ascii="Times New Roman" w:hAnsi="Times New Roman" w:eastAsia="宋体" w:cs="Times New Roman"/>
                <w:b w:val="0"/>
                <w:bCs/>
                <w:color w:val="auto"/>
                <w:kern w:val="2"/>
                <w:sz w:val="24"/>
                <w:szCs w:val="24"/>
                <w:lang w:val="en-US" w:eastAsia="zh-CN" w:bidi="ar-SA"/>
              </w:rPr>
              <w:t>·a左右，属轻度风力侵蚀区</w:t>
            </w:r>
            <w:r>
              <w:rPr>
                <w:rFonts w:hint="eastAsia" w:cs="Times New Roman"/>
                <w:b w:val="0"/>
                <w:bCs/>
                <w:color w:val="auto"/>
                <w:kern w:val="2"/>
                <w:sz w:val="24"/>
                <w:szCs w:val="24"/>
                <w:lang w:val="en-US" w:eastAsia="zh-CN" w:bidi="ar-SA"/>
              </w:rPr>
              <w:t>。</w:t>
            </w:r>
          </w:p>
          <w:p w14:paraId="7EA8394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（6）沙化土地现状调查</w:t>
            </w:r>
          </w:p>
          <w:p w14:paraId="5E6139D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根据《新疆第六次沙化监测报告》，项目所在地属于</w:t>
            </w:r>
            <w:r>
              <w:rPr>
                <w:rFonts w:hint="eastAsia" w:cs="Times New Roman"/>
                <w:b w:val="0"/>
                <w:bCs/>
                <w:color w:val="auto"/>
                <w:kern w:val="2"/>
                <w:sz w:val="24"/>
                <w:szCs w:val="24"/>
                <w:lang w:val="en-US" w:eastAsia="zh-CN" w:bidi="ar-SA"/>
              </w:rPr>
              <w:t>有明显沙化趋势的土地</w:t>
            </w:r>
            <w:r>
              <w:rPr>
                <w:rFonts w:hint="eastAsia" w:ascii="Times New Roman" w:hAnsi="Times New Roman" w:eastAsia="宋体" w:cs="Times New Roman"/>
                <w:b w:val="0"/>
                <w:bCs/>
                <w:color w:val="auto"/>
                <w:kern w:val="2"/>
                <w:sz w:val="24"/>
                <w:szCs w:val="24"/>
                <w:lang w:val="en-US" w:eastAsia="zh-CN" w:bidi="ar-SA"/>
              </w:rPr>
              <w:t>。沙化情况见图</w:t>
            </w:r>
            <w:r>
              <w:rPr>
                <w:rFonts w:hint="eastAsia" w:cs="Times New Roman"/>
                <w:b w:val="0"/>
                <w:bCs/>
                <w:color w:val="auto"/>
                <w:kern w:val="2"/>
                <w:sz w:val="24"/>
                <w:szCs w:val="24"/>
                <w:lang w:val="en-US" w:eastAsia="zh-CN" w:bidi="ar-SA"/>
              </w:rPr>
              <w:t>8</w:t>
            </w:r>
            <w:r>
              <w:rPr>
                <w:rFonts w:hint="eastAsia" w:ascii="Times New Roman" w:hAnsi="Times New Roman" w:eastAsia="宋体" w:cs="Times New Roman"/>
                <w:b w:val="0"/>
                <w:bCs/>
                <w:color w:val="auto"/>
                <w:kern w:val="2"/>
                <w:sz w:val="24"/>
                <w:szCs w:val="24"/>
                <w:lang w:val="en-US" w:eastAsia="zh-CN" w:bidi="ar-SA"/>
              </w:rPr>
              <w:t>。</w:t>
            </w:r>
          </w:p>
          <w:p w14:paraId="7D03C32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b/>
                <w:bCs w:val="0"/>
                <w:color w:val="auto"/>
                <w:kern w:val="2"/>
                <w:sz w:val="24"/>
                <w:szCs w:val="24"/>
                <w:lang w:val="en-US" w:eastAsia="zh-CN" w:bidi="ar-SA"/>
              </w:rPr>
            </w:pPr>
            <w:r>
              <w:rPr>
                <w:rFonts w:hint="default" w:ascii="Times New Roman" w:hAnsi="Times New Roman" w:eastAsia="宋体" w:cs="Times New Roman"/>
                <w:b/>
                <w:bCs w:val="0"/>
                <w:color w:val="auto"/>
                <w:kern w:val="2"/>
                <w:sz w:val="24"/>
                <w:szCs w:val="24"/>
                <w:lang w:val="en-US" w:eastAsia="zh-CN" w:bidi="ar-SA"/>
              </w:rPr>
              <w:t>2环境空气质量现状调查及评价</w:t>
            </w:r>
          </w:p>
          <w:p w14:paraId="2AD2618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本次评价选取若羌县空气自动监测站2024年的监测数据进行统计分析。环境空气质量现状监测</w:t>
            </w:r>
            <w:r>
              <w:rPr>
                <w:rFonts w:hint="default" w:ascii="Times New Roman" w:hAnsi="Times New Roman" w:eastAsia="宋体" w:cs="Times New Roman"/>
                <w:b w:val="0"/>
                <w:bCs/>
                <w:color w:val="auto"/>
                <w:kern w:val="2"/>
                <w:sz w:val="24"/>
                <w:szCs w:val="24"/>
                <w:highlight w:val="none"/>
                <w:lang w:val="en-US" w:eastAsia="zh-CN" w:bidi="ar-SA"/>
              </w:rPr>
              <w:t>统计结果见下表。</w:t>
            </w:r>
          </w:p>
          <w:p w14:paraId="5179FB6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表3-</w:t>
            </w:r>
            <w:r>
              <w:rPr>
                <w:rFonts w:hint="eastAsia" w:ascii="Times New Roman" w:hAnsi="Times New Roman" w:eastAsia="宋体" w:cs="Times New Roman"/>
                <w:b/>
                <w:bCs w:val="0"/>
                <w:color w:val="auto"/>
                <w:kern w:val="2"/>
                <w:sz w:val="24"/>
                <w:szCs w:val="24"/>
                <w:highlight w:val="none"/>
                <w:lang w:val="en-US" w:eastAsia="zh-CN" w:bidi="ar-SA"/>
              </w:rPr>
              <w:t>3</w:t>
            </w:r>
            <w:r>
              <w:rPr>
                <w:rFonts w:hint="default" w:ascii="Times New Roman" w:hAnsi="Times New Roman" w:eastAsia="宋体" w:cs="Times New Roman"/>
                <w:b/>
                <w:bCs w:val="0"/>
                <w:color w:val="auto"/>
                <w:kern w:val="2"/>
                <w:sz w:val="24"/>
                <w:szCs w:val="24"/>
                <w:highlight w:val="none"/>
                <w:lang w:val="en-US" w:eastAsia="zh-CN" w:bidi="ar-SA"/>
              </w:rPr>
              <w:t xml:space="preserve">   区域空气质量现状监测数据统计表</w:t>
            </w: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807"/>
              <w:gridCol w:w="1200"/>
              <w:gridCol w:w="1290"/>
              <w:gridCol w:w="870"/>
              <w:gridCol w:w="830"/>
            </w:tblGrid>
            <w:tr w14:paraId="27BB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6AE83309">
                  <w:pPr>
                    <w:pStyle w:val="62"/>
                    <w:bidi w:val="0"/>
                    <w:rPr>
                      <w:rFonts w:hint="eastAsia" w:eastAsia="宋体"/>
                      <w:color w:val="auto"/>
                      <w:highlight w:val="none"/>
                      <w:lang w:val="en-US" w:eastAsia="zh-CN"/>
                    </w:rPr>
                  </w:pPr>
                  <w:r>
                    <w:rPr>
                      <w:rFonts w:hint="eastAsia"/>
                      <w:color w:val="auto"/>
                      <w:highlight w:val="none"/>
                    </w:rPr>
                    <w:t>污染物</w:t>
                  </w:r>
                  <w:r>
                    <w:rPr>
                      <w:rFonts w:hint="eastAsia"/>
                      <w:color w:val="auto"/>
                      <w:highlight w:val="none"/>
                      <w:lang w:val="en-US" w:eastAsia="zh-CN"/>
                    </w:rPr>
                    <w:t>项目</w:t>
                  </w:r>
                </w:p>
              </w:tc>
              <w:tc>
                <w:tcPr>
                  <w:tcW w:w="1749" w:type="pct"/>
                  <w:tcBorders>
                    <w:tl2br w:val="nil"/>
                    <w:tr2bl w:val="nil"/>
                  </w:tcBorders>
                  <w:noWrap w:val="0"/>
                  <w:vAlign w:val="center"/>
                </w:tcPr>
                <w:p w14:paraId="39CF85CC">
                  <w:pPr>
                    <w:pStyle w:val="62"/>
                    <w:bidi w:val="0"/>
                    <w:rPr>
                      <w:rFonts w:hint="eastAsia" w:eastAsia="宋体"/>
                      <w:color w:val="auto"/>
                      <w:highlight w:val="none"/>
                      <w:lang w:val="en-US" w:eastAsia="zh-CN"/>
                    </w:rPr>
                  </w:pPr>
                  <w:r>
                    <w:rPr>
                      <w:rFonts w:hint="eastAsia"/>
                      <w:color w:val="auto"/>
                      <w:highlight w:val="none"/>
                      <w:lang w:val="en-US" w:eastAsia="zh-CN"/>
                    </w:rPr>
                    <w:t>年评价指标</w:t>
                  </w:r>
                </w:p>
              </w:tc>
              <w:tc>
                <w:tcPr>
                  <w:tcW w:w="747" w:type="pct"/>
                  <w:tcBorders>
                    <w:tl2br w:val="nil"/>
                    <w:tr2bl w:val="nil"/>
                  </w:tcBorders>
                  <w:noWrap w:val="0"/>
                  <w:vAlign w:val="center"/>
                </w:tcPr>
                <w:p w14:paraId="0981A72F">
                  <w:pPr>
                    <w:pStyle w:val="62"/>
                    <w:bidi w:val="0"/>
                    <w:rPr>
                      <w:color w:val="auto"/>
                      <w:highlight w:val="none"/>
                    </w:rPr>
                  </w:pPr>
                  <w:r>
                    <w:rPr>
                      <w:color w:val="auto"/>
                      <w:highlight w:val="none"/>
                    </w:rPr>
                    <w:t>浓度（μ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804" w:type="pct"/>
                  <w:tcBorders>
                    <w:tl2br w:val="nil"/>
                    <w:tr2bl w:val="nil"/>
                  </w:tcBorders>
                  <w:noWrap w:val="0"/>
                  <w:vAlign w:val="center"/>
                </w:tcPr>
                <w:p w14:paraId="7C5C9D66">
                  <w:pPr>
                    <w:pStyle w:val="62"/>
                    <w:bidi w:val="0"/>
                    <w:rPr>
                      <w:color w:val="auto"/>
                      <w:highlight w:val="none"/>
                    </w:rPr>
                  </w:pPr>
                  <w:r>
                    <w:rPr>
                      <w:rFonts w:hint="eastAsia"/>
                      <w:color w:val="auto"/>
                      <w:highlight w:val="none"/>
                    </w:rPr>
                    <w:t>标准（二级）</w:t>
                  </w:r>
                  <w:r>
                    <w:rPr>
                      <w:color w:val="auto"/>
                      <w:highlight w:val="none"/>
                    </w:rPr>
                    <w:t>（μ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542" w:type="pct"/>
                  <w:tcBorders>
                    <w:tl2br w:val="nil"/>
                    <w:tr2bl w:val="nil"/>
                  </w:tcBorders>
                  <w:noWrap w:val="0"/>
                  <w:vAlign w:val="center"/>
                </w:tcPr>
                <w:p w14:paraId="5597DA92">
                  <w:pPr>
                    <w:pStyle w:val="62"/>
                    <w:bidi w:val="0"/>
                    <w:rPr>
                      <w:rFonts w:hint="default"/>
                      <w:color w:val="auto"/>
                      <w:highlight w:val="none"/>
                      <w:lang w:val="en-US" w:eastAsia="zh-CN"/>
                    </w:rPr>
                  </w:pPr>
                  <w:r>
                    <w:rPr>
                      <w:rFonts w:hint="eastAsia"/>
                      <w:color w:val="auto"/>
                      <w:highlight w:val="none"/>
                      <w:lang w:eastAsia="zh-CN"/>
                    </w:rPr>
                    <w:t>占标率</w:t>
                  </w:r>
                  <w:r>
                    <w:rPr>
                      <w:rFonts w:hint="eastAsia"/>
                      <w:color w:val="auto"/>
                      <w:highlight w:val="none"/>
                      <w:lang w:val="en-US" w:eastAsia="zh-CN"/>
                    </w:rPr>
                    <w:t>%</w:t>
                  </w:r>
                </w:p>
              </w:tc>
              <w:tc>
                <w:tcPr>
                  <w:tcW w:w="517" w:type="pct"/>
                  <w:tcBorders>
                    <w:tl2br w:val="nil"/>
                    <w:tr2bl w:val="nil"/>
                  </w:tcBorders>
                  <w:noWrap w:val="0"/>
                  <w:vAlign w:val="center"/>
                </w:tcPr>
                <w:p w14:paraId="506CF23A">
                  <w:pPr>
                    <w:pStyle w:val="62"/>
                    <w:bidi w:val="0"/>
                    <w:rPr>
                      <w:rFonts w:hint="eastAsia"/>
                      <w:color w:val="auto"/>
                      <w:highlight w:val="none"/>
                      <w:lang w:eastAsia="zh-CN"/>
                    </w:rPr>
                  </w:pPr>
                  <w:r>
                    <w:rPr>
                      <w:rFonts w:hint="eastAsia"/>
                      <w:color w:val="auto"/>
                      <w:highlight w:val="none"/>
                      <w:lang w:eastAsia="zh-CN"/>
                    </w:rPr>
                    <w:t>达标情况</w:t>
                  </w:r>
                </w:p>
              </w:tc>
            </w:tr>
            <w:tr w14:paraId="0B49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C1A30C1">
                  <w:pPr>
                    <w:pStyle w:val="62"/>
                    <w:bidi w:val="0"/>
                    <w:rPr>
                      <w:color w:val="auto"/>
                      <w:highlight w:val="none"/>
                    </w:rPr>
                  </w:pPr>
                  <w:r>
                    <w:rPr>
                      <w:rFonts w:hint="eastAsia"/>
                      <w:color w:val="auto"/>
                      <w:highlight w:val="none"/>
                    </w:rPr>
                    <w:t>SO</w:t>
                  </w:r>
                  <w:r>
                    <w:rPr>
                      <w:rFonts w:hint="eastAsia"/>
                      <w:color w:val="auto"/>
                      <w:highlight w:val="none"/>
                      <w:vertAlign w:val="subscript"/>
                    </w:rPr>
                    <w:t>2</w:t>
                  </w:r>
                </w:p>
              </w:tc>
              <w:tc>
                <w:tcPr>
                  <w:tcW w:w="1749" w:type="pct"/>
                  <w:tcBorders>
                    <w:tl2br w:val="nil"/>
                    <w:tr2bl w:val="nil"/>
                  </w:tcBorders>
                  <w:noWrap w:val="0"/>
                  <w:vAlign w:val="center"/>
                </w:tcPr>
                <w:p w14:paraId="46FC049C">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82430DB">
                  <w:pPr>
                    <w:pStyle w:val="62"/>
                    <w:bidi w:val="0"/>
                    <w:rPr>
                      <w:rFonts w:hint="default"/>
                      <w:color w:val="auto"/>
                      <w:highlight w:val="none"/>
                      <w:lang w:val="en-US" w:eastAsia="zh-CN"/>
                    </w:rPr>
                  </w:pPr>
                  <w:r>
                    <w:rPr>
                      <w:rFonts w:hint="eastAsia"/>
                      <w:color w:val="auto"/>
                      <w:highlight w:val="none"/>
                      <w:lang w:val="en-US" w:eastAsia="zh-CN"/>
                    </w:rPr>
                    <w:t>6</w:t>
                  </w:r>
                </w:p>
              </w:tc>
              <w:tc>
                <w:tcPr>
                  <w:tcW w:w="804" w:type="pct"/>
                  <w:tcBorders>
                    <w:tl2br w:val="nil"/>
                    <w:tr2bl w:val="nil"/>
                  </w:tcBorders>
                  <w:noWrap w:val="0"/>
                  <w:vAlign w:val="center"/>
                </w:tcPr>
                <w:p w14:paraId="22BF8CA7">
                  <w:pPr>
                    <w:pStyle w:val="62"/>
                    <w:bidi w:val="0"/>
                    <w:rPr>
                      <w:color w:val="auto"/>
                      <w:highlight w:val="none"/>
                    </w:rPr>
                  </w:pPr>
                  <w:r>
                    <w:rPr>
                      <w:rFonts w:hint="eastAsia"/>
                      <w:color w:val="auto"/>
                      <w:highlight w:val="none"/>
                    </w:rPr>
                    <w:t>60</w:t>
                  </w:r>
                </w:p>
              </w:tc>
              <w:tc>
                <w:tcPr>
                  <w:tcW w:w="542" w:type="pct"/>
                  <w:tcBorders>
                    <w:tl2br w:val="nil"/>
                    <w:tr2bl w:val="nil"/>
                  </w:tcBorders>
                  <w:noWrap w:val="0"/>
                  <w:vAlign w:val="center"/>
                </w:tcPr>
                <w:p w14:paraId="3225444F">
                  <w:pPr>
                    <w:pStyle w:val="62"/>
                    <w:bidi w:val="0"/>
                    <w:rPr>
                      <w:rFonts w:hint="default"/>
                      <w:color w:val="auto"/>
                      <w:highlight w:val="none"/>
                      <w:lang w:val="en-US" w:eastAsia="zh-CN"/>
                    </w:rPr>
                  </w:pPr>
                  <w:r>
                    <w:rPr>
                      <w:rFonts w:hint="eastAsia"/>
                      <w:color w:val="auto"/>
                      <w:highlight w:val="none"/>
                      <w:lang w:val="en-US" w:eastAsia="zh-CN"/>
                    </w:rPr>
                    <w:t>10</w:t>
                  </w:r>
                </w:p>
              </w:tc>
              <w:tc>
                <w:tcPr>
                  <w:tcW w:w="517" w:type="pct"/>
                  <w:tcBorders>
                    <w:tl2br w:val="nil"/>
                    <w:tr2bl w:val="nil"/>
                  </w:tcBorders>
                  <w:noWrap w:val="0"/>
                  <w:vAlign w:val="center"/>
                </w:tcPr>
                <w:p w14:paraId="4A74E4CE">
                  <w:pPr>
                    <w:pStyle w:val="62"/>
                    <w:bidi w:val="0"/>
                    <w:rPr>
                      <w:rFonts w:hint="eastAsia"/>
                      <w:color w:val="auto"/>
                      <w:highlight w:val="none"/>
                      <w:lang w:eastAsia="zh-CN"/>
                    </w:rPr>
                  </w:pPr>
                  <w:r>
                    <w:rPr>
                      <w:rFonts w:hint="default"/>
                      <w:color w:val="auto"/>
                      <w:highlight w:val="none"/>
                      <w:lang w:eastAsia="zh-CN"/>
                    </w:rPr>
                    <w:t>达标</w:t>
                  </w:r>
                </w:p>
              </w:tc>
            </w:tr>
            <w:tr w14:paraId="688F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4C2FB43">
                  <w:pPr>
                    <w:pStyle w:val="62"/>
                    <w:bidi w:val="0"/>
                    <w:rPr>
                      <w:rFonts w:hint="eastAsia"/>
                      <w:color w:val="auto"/>
                      <w:highlight w:val="none"/>
                    </w:rPr>
                  </w:pPr>
                </w:p>
              </w:tc>
              <w:tc>
                <w:tcPr>
                  <w:tcW w:w="1749" w:type="pct"/>
                  <w:tcBorders>
                    <w:tl2br w:val="nil"/>
                    <w:tr2bl w:val="nil"/>
                  </w:tcBorders>
                  <w:noWrap w:val="0"/>
                  <w:vAlign w:val="center"/>
                </w:tcPr>
                <w:p w14:paraId="5E92179D">
                  <w:pPr>
                    <w:pStyle w:val="62"/>
                    <w:bidi w:val="0"/>
                    <w:rPr>
                      <w:rFonts w:hint="default"/>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2D8FB830">
                  <w:pPr>
                    <w:pStyle w:val="62"/>
                    <w:bidi w:val="0"/>
                    <w:rPr>
                      <w:rFonts w:hint="eastAsia"/>
                      <w:color w:val="auto"/>
                      <w:highlight w:val="none"/>
                      <w:lang w:val="en-US" w:eastAsia="zh-CN"/>
                    </w:rPr>
                  </w:pPr>
                  <w:r>
                    <w:rPr>
                      <w:rFonts w:hint="eastAsia"/>
                      <w:color w:val="auto"/>
                      <w:highlight w:val="none"/>
                      <w:lang w:val="en-US" w:eastAsia="zh-CN"/>
                    </w:rPr>
                    <w:t>9</w:t>
                  </w:r>
                </w:p>
              </w:tc>
              <w:tc>
                <w:tcPr>
                  <w:tcW w:w="804" w:type="pct"/>
                  <w:tcBorders>
                    <w:tl2br w:val="nil"/>
                    <w:tr2bl w:val="nil"/>
                  </w:tcBorders>
                  <w:noWrap w:val="0"/>
                  <w:vAlign w:val="center"/>
                </w:tcPr>
                <w:p w14:paraId="11B70FED">
                  <w:pPr>
                    <w:pStyle w:val="62"/>
                    <w:bidi w:val="0"/>
                    <w:rPr>
                      <w:rFonts w:hint="eastAsia"/>
                      <w:color w:val="auto"/>
                      <w:highlight w:val="none"/>
                    </w:rPr>
                  </w:pPr>
                  <w:r>
                    <w:rPr>
                      <w:rFonts w:hint="eastAsia"/>
                      <w:color w:val="auto"/>
                      <w:highlight w:val="none"/>
                    </w:rPr>
                    <w:t>150</w:t>
                  </w:r>
                </w:p>
              </w:tc>
              <w:tc>
                <w:tcPr>
                  <w:tcW w:w="542" w:type="pct"/>
                  <w:tcBorders>
                    <w:tl2br w:val="nil"/>
                    <w:tr2bl w:val="nil"/>
                  </w:tcBorders>
                  <w:noWrap w:val="0"/>
                  <w:vAlign w:val="center"/>
                </w:tcPr>
                <w:p w14:paraId="5A2F1A6E">
                  <w:pPr>
                    <w:pStyle w:val="62"/>
                    <w:bidi w:val="0"/>
                    <w:rPr>
                      <w:rFonts w:hint="default"/>
                      <w:color w:val="auto"/>
                      <w:highlight w:val="none"/>
                      <w:lang w:val="en-US" w:eastAsia="zh-CN"/>
                    </w:rPr>
                  </w:pPr>
                  <w:r>
                    <w:rPr>
                      <w:rFonts w:hint="eastAsia"/>
                      <w:color w:val="auto"/>
                      <w:highlight w:val="none"/>
                      <w:lang w:val="en-US" w:eastAsia="zh-CN"/>
                    </w:rPr>
                    <w:t>6</w:t>
                  </w:r>
                </w:p>
              </w:tc>
              <w:tc>
                <w:tcPr>
                  <w:tcW w:w="517" w:type="pct"/>
                  <w:tcBorders>
                    <w:tl2br w:val="nil"/>
                    <w:tr2bl w:val="nil"/>
                  </w:tcBorders>
                  <w:noWrap w:val="0"/>
                  <w:vAlign w:val="center"/>
                </w:tcPr>
                <w:p w14:paraId="38045A6F">
                  <w:pPr>
                    <w:pStyle w:val="62"/>
                    <w:bidi w:val="0"/>
                    <w:rPr>
                      <w:rFonts w:hint="default"/>
                      <w:color w:val="auto"/>
                      <w:highlight w:val="none"/>
                      <w:lang w:eastAsia="zh-CN"/>
                    </w:rPr>
                  </w:pPr>
                  <w:r>
                    <w:rPr>
                      <w:rFonts w:hint="default"/>
                      <w:color w:val="auto"/>
                      <w:highlight w:val="none"/>
                      <w:lang w:eastAsia="zh-CN"/>
                    </w:rPr>
                    <w:t>达标</w:t>
                  </w:r>
                </w:p>
              </w:tc>
            </w:tr>
            <w:tr w14:paraId="1295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15BEC005">
                  <w:pPr>
                    <w:pStyle w:val="62"/>
                    <w:bidi w:val="0"/>
                    <w:rPr>
                      <w:color w:val="auto"/>
                      <w:highlight w:val="none"/>
                    </w:rPr>
                  </w:pPr>
                  <w:r>
                    <w:rPr>
                      <w:rFonts w:hint="eastAsia"/>
                      <w:color w:val="auto"/>
                      <w:highlight w:val="none"/>
                    </w:rPr>
                    <w:t>NO</w:t>
                  </w:r>
                  <w:r>
                    <w:rPr>
                      <w:rFonts w:hint="eastAsia"/>
                      <w:color w:val="auto"/>
                      <w:highlight w:val="none"/>
                      <w:vertAlign w:val="subscript"/>
                    </w:rPr>
                    <w:t>2</w:t>
                  </w:r>
                </w:p>
              </w:tc>
              <w:tc>
                <w:tcPr>
                  <w:tcW w:w="1749" w:type="pct"/>
                  <w:tcBorders>
                    <w:tl2br w:val="nil"/>
                    <w:tr2bl w:val="nil"/>
                  </w:tcBorders>
                  <w:noWrap w:val="0"/>
                  <w:vAlign w:val="center"/>
                </w:tcPr>
                <w:p w14:paraId="473701D7">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D2D633C">
                  <w:pPr>
                    <w:pStyle w:val="62"/>
                    <w:bidi w:val="0"/>
                    <w:rPr>
                      <w:rFonts w:hint="default"/>
                      <w:color w:val="auto"/>
                      <w:highlight w:val="none"/>
                      <w:lang w:val="en-US" w:eastAsia="zh-CN"/>
                    </w:rPr>
                  </w:pPr>
                  <w:r>
                    <w:rPr>
                      <w:rFonts w:hint="eastAsia"/>
                      <w:color w:val="auto"/>
                      <w:highlight w:val="none"/>
                      <w:lang w:val="en-US" w:eastAsia="zh-CN"/>
                    </w:rPr>
                    <w:t>8</w:t>
                  </w:r>
                </w:p>
              </w:tc>
              <w:tc>
                <w:tcPr>
                  <w:tcW w:w="804" w:type="pct"/>
                  <w:tcBorders>
                    <w:tl2br w:val="nil"/>
                    <w:tr2bl w:val="nil"/>
                  </w:tcBorders>
                  <w:noWrap w:val="0"/>
                  <w:vAlign w:val="center"/>
                </w:tcPr>
                <w:p w14:paraId="28E09BD8">
                  <w:pPr>
                    <w:pStyle w:val="62"/>
                    <w:bidi w:val="0"/>
                    <w:rPr>
                      <w:color w:val="auto"/>
                      <w:highlight w:val="none"/>
                    </w:rPr>
                  </w:pPr>
                  <w:r>
                    <w:rPr>
                      <w:rFonts w:hint="eastAsia"/>
                      <w:color w:val="auto"/>
                      <w:highlight w:val="none"/>
                    </w:rPr>
                    <w:t>40</w:t>
                  </w:r>
                </w:p>
              </w:tc>
              <w:tc>
                <w:tcPr>
                  <w:tcW w:w="542" w:type="pct"/>
                  <w:tcBorders>
                    <w:tl2br w:val="nil"/>
                    <w:tr2bl w:val="nil"/>
                  </w:tcBorders>
                  <w:noWrap w:val="0"/>
                  <w:vAlign w:val="center"/>
                </w:tcPr>
                <w:p w14:paraId="2121AB56">
                  <w:pPr>
                    <w:pStyle w:val="62"/>
                    <w:bidi w:val="0"/>
                    <w:rPr>
                      <w:rFonts w:hint="default"/>
                      <w:color w:val="auto"/>
                      <w:highlight w:val="none"/>
                      <w:lang w:val="en-US" w:eastAsia="zh-CN"/>
                    </w:rPr>
                  </w:pPr>
                  <w:r>
                    <w:rPr>
                      <w:rFonts w:hint="eastAsia"/>
                      <w:color w:val="auto"/>
                      <w:highlight w:val="none"/>
                      <w:lang w:val="en-US" w:eastAsia="zh-CN"/>
                    </w:rPr>
                    <w:t>20</w:t>
                  </w:r>
                </w:p>
              </w:tc>
              <w:tc>
                <w:tcPr>
                  <w:tcW w:w="517" w:type="pct"/>
                  <w:tcBorders>
                    <w:tl2br w:val="nil"/>
                    <w:tr2bl w:val="nil"/>
                  </w:tcBorders>
                  <w:noWrap w:val="0"/>
                  <w:vAlign w:val="center"/>
                </w:tcPr>
                <w:p w14:paraId="08C78456">
                  <w:pPr>
                    <w:pStyle w:val="62"/>
                    <w:bidi w:val="0"/>
                    <w:rPr>
                      <w:rFonts w:hint="eastAsia"/>
                      <w:color w:val="auto"/>
                      <w:highlight w:val="none"/>
                    </w:rPr>
                  </w:pPr>
                  <w:r>
                    <w:rPr>
                      <w:rFonts w:hint="default"/>
                      <w:color w:val="auto"/>
                      <w:highlight w:val="none"/>
                      <w:lang w:eastAsia="zh-CN"/>
                    </w:rPr>
                    <w:t>达标</w:t>
                  </w:r>
                </w:p>
              </w:tc>
            </w:tr>
            <w:tr w14:paraId="356C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62E60E42">
                  <w:pPr>
                    <w:pStyle w:val="62"/>
                    <w:bidi w:val="0"/>
                    <w:rPr>
                      <w:rFonts w:hint="eastAsia"/>
                      <w:color w:val="auto"/>
                      <w:highlight w:val="none"/>
                    </w:rPr>
                  </w:pPr>
                </w:p>
              </w:tc>
              <w:tc>
                <w:tcPr>
                  <w:tcW w:w="1749" w:type="pct"/>
                  <w:tcBorders>
                    <w:tl2br w:val="nil"/>
                    <w:tr2bl w:val="nil"/>
                  </w:tcBorders>
                  <w:noWrap w:val="0"/>
                  <w:vAlign w:val="center"/>
                </w:tcPr>
                <w:p w14:paraId="64D7494B">
                  <w:pPr>
                    <w:pStyle w:val="62"/>
                    <w:bidi w:val="0"/>
                    <w:rPr>
                      <w:rFonts w:hint="eastAsia"/>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7A7A9500">
                  <w:pPr>
                    <w:pStyle w:val="62"/>
                    <w:bidi w:val="0"/>
                    <w:rPr>
                      <w:rFonts w:hint="eastAsia"/>
                      <w:color w:val="auto"/>
                      <w:highlight w:val="none"/>
                      <w:lang w:val="en-US" w:eastAsia="zh-CN"/>
                    </w:rPr>
                  </w:pPr>
                  <w:r>
                    <w:rPr>
                      <w:rFonts w:hint="eastAsia"/>
                      <w:color w:val="auto"/>
                      <w:highlight w:val="none"/>
                      <w:lang w:val="en-US" w:eastAsia="zh-CN"/>
                    </w:rPr>
                    <w:t>15</w:t>
                  </w:r>
                </w:p>
              </w:tc>
              <w:tc>
                <w:tcPr>
                  <w:tcW w:w="804" w:type="pct"/>
                  <w:tcBorders>
                    <w:tl2br w:val="nil"/>
                    <w:tr2bl w:val="nil"/>
                  </w:tcBorders>
                  <w:noWrap w:val="0"/>
                  <w:vAlign w:val="center"/>
                </w:tcPr>
                <w:p w14:paraId="2B23B194">
                  <w:pPr>
                    <w:pStyle w:val="62"/>
                    <w:bidi w:val="0"/>
                    <w:rPr>
                      <w:rFonts w:hint="eastAsia"/>
                      <w:color w:val="auto"/>
                      <w:highlight w:val="none"/>
                    </w:rPr>
                  </w:pPr>
                  <w:r>
                    <w:rPr>
                      <w:rFonts w:hint="eastAsia"/>
                      <w:color w:val="auto"/>
                      <w:highlight w:val="none"/>
                    </w:rPr>
                    <w:t>80</w:t>
                  </w:r>
                </w:p>
              </w:tc>
              <w:tc>
                <w:tcPr>
                  <w:tcW w:w="542" w:type="pct"/>
                  <w:tcBorders>
                    <w:tl2br w:val="nil"/>
                    <w:tr2bl w:val="nil"/>
                  </w:tcBorders>
                  <w:noWrap w:val="0"/>
                  <w:vAlign w:val="center"/>
                </w:tcPr>
                <w:p w14:paraId="10CFF40E">
                  <w:pPr>
                    <w:pStyle w:val="62"/>
                    <w:bidi w:val="0"/>
                    <w:rPr>
                      <w:rFonts w:hint="default"/>
                      <w:color w:val="auto"/>
                      <w:highlight w:val="none"/>
                      <w:lang w:val="en-US" w:eastAsia="zh-CN"/>
                    </w:rPr>
                  </w:pPr>
                  <w:r>
                    <w:rPr>
                      <w:rFonts w:hint="eastAsia"/>
                      <w:color w:val="auto"/>
                      <w:highlight w:val="none"/>
                      <w:lang w:val="en-US" w:eastAsia="zh-CN"/>
                    </w:rPr>
                    <w:t>19</w:t>
                  </w:r>
                </w:p>
              </w:tc>
              <w:tc>
                <w:tcPr>
                  <w:tcW w:w="517" w:type="pct"/>
                  <w:tcBorders>
                    <w:tl2br w:val="nil"/>
                    <w:tr2bl w:val="nil"/>
                  </w:tcBorders>
                  <w:noWrap w:val="0"/>
                  <w:vAlign w:val="center"/>
                </w:tcPr>
                <w:p w14:paraId="0E2B801B">
                  <w:pPr>
                    <w:pStyle w:val="62"/>
                    <w:bidi w:val="0"/>
                    <w:rPr>
                      <w:rFonts w:hint="default"/>
                      <w:color w:val="auto"/>
                      <w:highlight w:val="none"/>
                      <w:lang w:eastAsia="zh-CN"/>
                    </w:rPr>
                  </w:pPr>
                  <w:r>
                    <w:rPr>
                      <w:rFonts w:hint="default"/>
                      <w:color w:val="auto"/>
                      <w:highlight w:val="none"/>
                      <w:lang w:eastAsia="zh-CN"/>
                    </w:rPr>
                    <w:t>达标</w:t>
                  </w:r>
                </w:p>
              </w:tc>
            </w:tr>
            <w:tr w14:paraId="252D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5A7C1686">
                  <w:pPr>
                    <w:pStyle w:val="62"/>
                    <w:bidi w:val="0"/>
                    <w:rPr>
                      <w:color w:val="auto"/>
                      <w:highlight w:val="none"/>
                    </w:rPr>
                  </w:pPr>
                  <w:r>
                    <w:rPr>
                      <w:rFonts w:hint="eastAsia"/>
                      <w:color w:val="auto"/>
                      <w:highlight w:val="none"/>
                    </w:rPr>
                    <w:t>CO</w:t>
                  </w:r>
                </w:p>
              </w:tc>
              <w:tc>
                <w:tcPr>
                  <w:tcW w:w="1749" w:type="pct"/>
                  <w:tcBorders>
                    <w:tl2br w:val="nil"/>
                    <w:tr2bl w:val="nil"/>
                  </w:tcBorders>
                  <w:noWrap w:val="0"/>
                  <w:vAlign w:val="center"/>
                </w:tcPr>
                <w:p w14:paraId="73C0113C">
                  <w:pPr>
                    <w:pStyle w:val="62"/>
                    <w:bidi w:val="0"/>
                    <w:rPr>
                      <w:rFonts w:hint="default"/>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7945E451">
                  <w:pPr>
                    <w:pStyle w:val="62"/>
                    <w:bidi w:val="0"/>
                    <w:rPr>
                      <w:rFonts w:hint="default"/>
                      <w:color w:val="auto"/>
                      <w:highlight w:val="none"/>
                      <w:lang w:val="en-US" w:eastAsia="zh-CN"/>
                    </w:rPr>
                  </w:pPr>
                  <w:r>
                    <w:rPr>
                      <w:rFonts w:hint="eastAsia"/>
                      <w:color w:val="auto"/>
                      <w:highlight w:val="none"/>
                      <w:lang w:val="en-US" w:eastAsia="zh-CN"/>
                    </w:rPr>
                    <w:t>304</w:t>
                  </w:r>
                </w:p>
              </w:tc>
              <w:tc>
                <w:tcPr>
                  <w:tcW w:w="804" w:type="pct"/>
                  <w:tcBorders>
                    <w:tl2br w:val="nil"/>
                    <w:tr2bl w:val="nil"/>
                  </w:tcBorders>
                  <w:noWrap w:val="0"/>
                  <w:vAlign w:val="center"/>
                </w:tcPr>
                <w:p w14:paraId="059DE265">
                  <w:pPr>
                    <w:pStyle w:val="62"/>
                    <w:bidi w:val="0"/>
                    <w:rPr>
                      <w:rFonts w:hint="eastAsia"/>
                      <w:color w:val="auto"/>
                      <w:highlight w:val="none"/>
                      <w:lang w:val="en-US" w:eastAsia="zh-CN"/>
                    </w:rPr>
                  </w:pPr>
                  <w:r>
                    <w:rPr>
                      <w:rFonts w:hint="default"/>
                      <w:color w:val="auto"/>
                      <w:highlight w:val="none"/>
                      <w:lang w:val="en-US" w:eastAsia="zh-CN"/>
                    </w:rPr>
                    <w:t>4000</w:t>
                  </w:r>
                </w:p>
              </w:tc>
              <w:tc>
                <w:tcPr>
                  <w:tcW w:w="542" w:type="pct"/>
                  <w:tcBorders>
                    <w:tl2br w:val="nil"/>
                    <w:tr2bl w:val="nil"/>
                  </w:tcBorders>
                  <w:noWrap w:val="0"/>
                  <w:vAlign w:val="center"/>
                </w:tcPr>
                <w:p w14:paraId="2281BF03">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7.6</w:t>
                  </w:r>
                </w:p>
              </w:tc>
              <w:tc>
                <w:tcPr>
                  <w:tcW w:w="517" w:type="pct"/>
                  <w:tcBorders>
                    <w:tl2br w:val="nil"/>
                    <w:tr2bl w:val="nil"/>
                  </w:tcBorders>
                  <w:noWrap w:val="0"/>
                  <w:vAlign w:val="center"/>
                </w:tcPr>
                <w:p w14:paraId="5D58C85F">
                  <w:pPr>
                    <w:pStyle w:val="62"/>
                    <w:bidi w:val="0"/>
                    <w:rPr>
                      <w:rFonts w:hint="eastAsia"/>
                      <w:color w:val="auto"/>
                      <w:highlight w:val="none"/>
                    </w:rPr>
                  </w:pPr>
                  <w:r>
                    <w:rPr>
                      <w:rFonts w:hint="default"/>
                      <w:color w:val="auto"/>
                      <w:highlight w:val="none"/>
                      <w:lang w:eastAsia="zh-CN"/>
                    </w:rPr>
                    <w:t>达标</w:t>
                  </w:r>
                </w:p>
              </w:tc>
            </w:tr>
            <w:tr w14:paraId="2EF3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71627F19">
                  <w:pPr>
                    <w:pStyle w:val="62"/>
                    <w:bidi w:val="0"/>
                    <w:rPr>
                      <w:color w:val="auto"/>
                      <w:highlight w:val="none"/>
                    </w:rPr>
                  </w:pPr>
                  <w:r>
                    <w:rPr>
                      <w:rFonts w:hint="eastAsia"/>
                      <w:color w:val="auto"/>
                      <w:highlight w:val="none"/>
                    </w:rPr>
                    <w:t>O</w:t>
                  </w:r>
                  <w:r>
                    <w:rPr>
                      <w:rFonts w:hint="eastAsia"/>
                      <w:color w:val="auto"/>
                      <w:highlight w:val="none"/>
                      <w:vertAlign w:val="subscript"/>
                    </w:rPr>
                    <w:t>3</w:t>
                  </w:r>
                </w:p>
              </w:tc>
              <w:tc>
                <w:tcPr>
                  <w:tcW w:w="1749" w:type="pct"/>
                  <w:tcBorders>
                    <w:tl2br w:val="nil"/>
                    <w:tr2bl w:val="nil"/>
                  </w:tcBorders>
                  <w:noWrap w:val="0"/>
                  <w:vAlign w:val="center"/>
                </w:tcPr>
                <w:p w14:paraId="1167425A">
                  <w:pPr>
                    <w:pStyle w:val="62"/>
                    <w:bidi w:val="0"/>
                    <w:rPr>
                      <w:rFonts w:hint="default"/>
                      <w:color w:val="auto"/>
                      <w:highlight w:val="none"/>
                      <w:lang w:val="en-US" w:eastAsia="zh-CN"/>
                    </w:rPr>
                  </w:pPr>
                  <w:r>
                    <w:rPr>
                      <w:rFonts w:hint="eastAsia"/>
                      <w:color w:val="auto"/>
                      <w:highlight w:val="none"/>
                      <w:lang w:val="en-US" w:eastAsia="zh-CN"/>
                    </w:rPr>
                    <w:t>24小时最大8小时滑动平均值的第90百分位数</w:t>
                  </w:r>
                </w:p>
              </w:tc>
              <w:tc>
                <w:tcPr>
                  <w:tcW w:w="747" w:type="pct"/>
                  <w:tcBorders>
                    <w:tl2br w:val="nil"/>
                    <w:tr2bl w:val="nil"/>
                  </w:tcBorders>
                  <w:noWrap w:val="0"/>
                  <w:vAlign w:val="center"/>
                </w:tcPr>
                <w:p w14:paraId="1A2E3BEF">
                  <w:pPr>
                    <w:pStyle w:val="62"/>
                    <w:bidi w:val="0"/>
                    <w:rPr>
                      <w:rFonts w:hint="default"/>
                      <w:color w:val="auto"/>
                      <w:highlight w:val="none"/>
                      <w:lang w:val="en-US" w:eastAsia="zh-CN"/>
                    </w:rPr>
                  </w:pPr>
                  <w:r>
                    <w:rPr>
                      <w:rFonts w:hint="eastAsia"/>
                      <w:color w:val="auto"/>
                      <w:highlight w:val="none"/>
                      <w:lang w:val="en-US" w:eastAsia="zh-CN"/>
                    </w:rPr>
                    <w:t>104</w:t>
                  </w:r>
                </w:p>
              </w:tc>
              <w:tc>
                <w:tcPr>
                  <w:tcW w:w="804" w:type="pct"/>
                  <w:tcBorders>
                    <w:tl2br w:val="nil"/>
                    <w:tr2bl w:val="nil"/>
                  </w:tcBorders>
                  <w:noWrap w:val="0"/>
                  <w:vAlign w:val="center"/>
                </w:tcPr>
                <w:p w14:paraId="56AD71B6">
                  <w:pPr>
                    <w:pStyle w:val="62"/>
                    <w:bidi w:val="0"/>
                    <w:rPr>
                      <w:rFonts w:hint="eastAsia"/>
                      <w:color w:val="auto"/>
                      <w:highlight w:val="none"/>
                      <w:lang w:val="en-US" w:eastAsia="zh-CN"/>
                    </w:rPr>
                  </w:pPr>
                  <w:r>
                    <w:rPr>
                      <w:rFonts w:hint="default"/>
                      <w:color w:val="auto"/>
                      <w:highlight w:val="none"/>
                      <w:lang w:val="en-US" w:eastAsia="zh-CN"/>
                    </w:rPr>
                    <w:t>160</w:t>
                  </w:r>
                </w:p>
              </w:tc>
              <w:tc>
                <w:tcPr>
                  <w:tcW w:w="542" w:type="pct"/>
                  <w:tcBorders>
                    <w:tl2br w:val="nil"/>
                    <w:tr2bl w:val="nil"/>
                  </w:tcBorders>
                  <w:noWrap w:val="0"/>
                  <w:vAlign w:val="center"/>
                </w:tcPr>
                <w:p w14:paraId="6D24D71F">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65</w:t>
                  </w:r>
                </w:p>
              </w:tc>
              <w:tc>
                <w:tcPr>
                  <w:tcW w:w="517" w:type="pct"/>
                  <w:tcBorders>
                    <w:tl2br w:val="nil"/>
                    <w:tr2bl w:val="nil"/>
                  </w:tcBorders>
                  <w:noWrap w:val="0"/>
                  <w:vAlign w:val="center"/>
                </w:tcPr>
                <w:p w14:paraId="4C60FF21">
                  <w:pPr>
                    <w:pStyle w:val="62"/>
                    <w:bidi w:val="0"/>
                    <w:rPr>
                      <w:rFonts w:hint="eastAsia"/>
                      <w:color w:val="auto"/>
                      <w:highlight w:val="none"/>
                    </w:rPr>
                  </w:pPr>
                  <w:r>
                    <w:rPr>
                      <w:rFonts w:hint="default"/>
                      <w:color w:val="auto"/>
                      <w:highlight w:val="none"/>
                      <w:lang w:eastAsia="zh-CN"/>
                    </w:rPr>
                    <w:t>达标</w:t>
                  </w:r>
                </w:p>
              </w:tc>
            </w:tr>
            <w:tr w14:paraId="1028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25DDF603">
                  <w:pPr>
                    <w:pStyle w:val="62"/>
                    <w:bidi w:val="0"/>
                    <w:rPr>
                      <w:color w:val="auto"/>
                      <w:highlight w:val="none"/>
                    </w:rPr>
                  </w:pPr>
                  <w:r>
                    <w:rPr>
                      <w:rFonts w:hint="eastAsia"/>
                      <w:color w:val="auto"/>
                      <w:highlight w:val="none"/>
                    </w:rPr>
                    <w:t>PM</w:t>
                  </w:r>
                  <w:r>
                    <w:rPr>
                      <w:rFonts w:hint="eastAsia"/>
                      <w:color w:val="auto"/>
                      <w:highlight w:val="none"/>
                      <w:vertAlign w:val="subscript"/>
                    </w:rPr>
                    <w:t>10</w:t>
                  </w:r>
                </w:p>
              </w:tc>
              <w:tc>
                <w:tcPr>
                  <w:tcW w:w="1749" w:type="pct"/>
                  <w:tcBorders>
                    <w:tl2br w:val="nil"/>
                    <w:tr2bl w:val="nil"/>
                  </w:tcBorders>
                  <w:noWrap w:val="0"/>
                  <w:vAlign w:val="center"/>
                </w:tcPr>
                <w:p w14:paraId="734C7273">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66C5885B">
                  <w:pPr>
                    <w:pStyle w:val="62"/>
                    <w:bidi w:val="0"/>
                    <w:rPr>
                      <w:rFonts w:hint="default"/>
                      <w:color w:val="auto"/>
                      <w:highlight w:val="none"/>
                      <w:lang w:val="en-US" w:eastAsia="zh-CN"/>
                    </w:rPr>
                  </w:pPr>
                  <w:r>
                    <w:rPr>
                      <w:rFonts w:hint="eastAsia"/>
                      <w:color w:val="auto"/>
                      <w:highlight w:val="none"/>
                      <w:lang w:val="en-US" w:eastAsia="zh-CN"/>
                    </w:rPr>
                    <w:t>284</w:t>
                  </w:r>
                </w:p>
              </w:tc>
              <w:tc>
                <w:tcPr>
                  <w:tcW w:w="804" w:type="pct"/>
                  <w:tcBorders>
                    <w:tl2br w:val="nil"/>
                    <w:tr2bl w:val="nil"/>
                  </w:tcBorders>
                  <w:noWrap w:val="0"/>
                  <w:vAlign w:val="center"/>
                </w:tcPr>
                <w:p w14:paraId="59660515">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332A5FB6">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473</w:t>
                  </w:r>
                </w:p>
              </w:tc>
              <w:tc>
                <w:tcPr>
                  <w:tcW w:w="517" w:type="pct"/>
                  <w:tcBorders>
                    <w:tl2br w:val="nil"/>
                    <w:tr2bl w:val="nil"/>
                  </w:tcBorders>
                  <w:noWrap w:val="0"/>
                  <w:vAlign w:val="center"/>
                </w:tcPr>
                <w:p w14:paraId="1621EC8A">
                  <w:pPr>
                    <w:pStyle w:val="62"/>
                    <w:bidi w:val="0"/>
                    <w:rPr>
                      <w:rFonts w:hint="eastAsia"/>
                      <w:color w:val="auto"/>
                      <w:highlight w:val="none"/>
                    </w:rPr>
                  </w:pPr>
                  <w:r>
                    <w:rPr>
                      <w:rFonts w:hint="eastAsia"/>
                      <w:color w:val="auto"/>
                      <w:highlight w:val="none"/>
                      <w:lang w:val="en-US" w:eastAsia="zh-CN"/>
                    </w:rPr>
                    <w:t>超标</w:t>
                  </w:r>
                </w:p>
              </w:tc>
            </w:tr>
            <w:tr w14:paraId="61E1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3F866861">
                  <w:pPr>
                    <w:pStyle w:val="62"/>
                    <w:bidi w:val="0"/>
                    <w:rPr>
                      <w:rFonts w:hint="eastAsia"/>
                      <w:color w:val="auto"/>
                      <w:highlight w:val="none"/>
                    </w:rPr>
                  </w:pPr>
                </w:p>
              </w:tc>
              <w:tc>
                <w:tcPr>
                  <w:tcW w:w="1749" w:type="pct"/>
                  <w:tcBorders>
                    <w:tl2br w:val="nil"/>
                    <w:tr2bl w:val="nil"/>
                  </w:tcBorders>
                  <w:noWrap w:val="0"/>
                  <w:vAlign w:val="center"/>
                </w:tcPr>
                <w:p w14:paraId="6C4799D6">
                  <w:pPr>
                    <w:pStyle w:val="62"/>
                    <w:bidi w:val="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3E028CAF">
                  <w:pPr>
                    <w:pStyle w:val="62"/>
                    <w:bidi w:val="0"/>
                    <w:rPr>
                      <w:rFonts w:hint="eastAsia"/>
                      <w:color w:val="auto"/>
                      <w:highlight w:val="none"/>
                      <w:lang w:val="en-US" w:eastAsia="zh-CN"/>
                    </w:rPr>
                  </w:pPr>
                  <w:r>
                    <w:rPr>
                      <w:rFonts w:hint="eastAsia"/>
                      <w:color w:val="auto"/>
                      <w:highlight w:val="none"/>
                      <w:lang w:val="en-US" w:eastAsia="zh-CN"/>
                    </w:rPr>
                    <w:t>876</w:t>
                  </w:r>
                </w:p>
              </w:tc>
              <w:tc>
                <w:tcPr>
                  <w:tcW w:w="804" w:type="pct"/>
                  <w:tcBorders>
                    <w:tl2br w:val="nil"/>
                    <w:tr2bl w:val="nil"/>
                  </w:tcBorders>
                  <w:noWrap w:val="0"/>
                  <w:vAlign w:val="center"/>
                </w:tcPr>
                <w:p w14:paraId="69D3858F">
                  <w:pPr>
                    <w:pStyle w:val="62"/>
                    <w:bidi w:val="0"/>
                    <w:rPr>
                      <w:rFonts w:hint="default"/>
                      <w:color w:val="auto"/>
                      <w:highlight w:val="none"/>
                      <w:lang w:val="en-US" w:eastAsia="zh-CN"/>
                    </w:rPr>
                  </w:pPr>
                  <w:r>
                    <w:rPr>
                      <w:rFonts w:hint="eastAsia"/>
                      <w:color w:val="auto"/>
                      <w:highlight w:val="none"/>
                      <w:lang w:val="en-US" w:eastAsia="zh-CN"/>
                    </w:rPr>
                    <w:t>120</w:t>
                  </w:r>
                </w:p>
              </w:tc>
              <w:tc>
                <w:tcPr>
                  <w:tcW w:w="542" w:type="pct"/>
                  <w:tcBorders>
                    <w:tl2br w:val="nil"/>
                    <w:tr2bl w:val="nil"/>
                  </w:tcBorders>
                  <w:noWrap w:val="0"/>
                  <w:vAlign w:val="center"/>
                </w:tcPr>
                <w:p w14:paraId="4240D519">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w:t>
                  </w:r>
                </w:p>
              </w:tc>
              <w:tc>
                <w:tcPr>
                  <w:tcW w:w="517" w:type="pct"/>
                  <w:tcBorders>
                    <w:tl2br w:val="nil"/>
                    <w:tr2bl w:val="nil"/>
                  </w:tcBorders>
                  <w:noWrap w:val="0"/>
                  <w:vAlign w:val="center"/>
                </w:tcPr>
                <w:p w14:paraId="6A342D09">
                  <w:pPr>
                    <w:pStyle w:val="62"/>
                    <w:bidi w:val="0"/>
                    <w:rPr>
                      <w:rFonts w:hint="eastAsia"/>
                      <w:color w:val="auto"/>
                      <w:highlight w:val="none"/>
                      <w:lang w:val="en-US" w:eastAsia="zh-CN"/>
                    </w:rPr>
                  </w:pPr>
                  <w:r>
                    <w:rPr>
                      <w:rFonts w:hint="eastAsia"/>
                      <w:color w:val="auto"/>
                      <w:highlight w:val="none"/>
                      <w:lang w:val="en-US" w:eastAsia="zh-CN"/>
                    </w:rPr>
                    <w:t>超标</w:t>
                  </w:r>
                </w:p>
              </w:tc>
            </w:tr>
            <w:tr w14:paraId="22A0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E258F9E">
                  <w:pPr>
                    <w:pStyle w:val="62"/>
                    <w:bidi w:val="0"/>
                    <w:rPr>
                      <w:color w:val="auto"/>
                      <w:highlight w:val="none"/>
                    </w:rPr>
                  </w:pPr>
                  <w:r>
                    <w:rPr>
                      <w:rFonts w:hint="eastAsia"/>
                      <w:color w:val="auto"/>
                      <w:highlight w:val="none"/>
                    </w:rPr>
                    <w:t>PM</w:t>
                  </w:r>
                  <w:r>
                    <w:rPr>
                      <w:rFonts w:hint="eastAsia"/>
                      <w:color w:val="auto"/>
                      <w:highlight w:val="none"/>
                      <w:vertAlign w:val="subscript"/>
                    </w:rPr>
                    <w:t>2.5</w:t>
                  </w:r>
                </w:p>
              </w:tc>
              <w:tc>
                <w:tcPr>
                  <w:tcW w:w="1749" w:type="pct"/>
                  <w:tcBorders>
                    <w:tl2br w:val="nil"/>
                    <w:tr2bl w:val="nil"/>
                  </w:tcBorders>
                  <w:noWrap w:val="0"/>
                  <w:vAlign w:val="center"/>
                </w:tcPr>
                <w:p w14:paraId="1A0A22DC">
                  <w:pPr>
                    <w:pStyle w:val="62"/>
                    <w:bidi w:val="0"/>
                    <w:ind w:firstLine="0" w:firstLineChars="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14EC18A9">
                  <w:pPr>
                    <w:pStyle w:val="62"/>
                    <w:bidi w:val="0"/>
                    <w:rPr>
                      <w:rFonts w:hint="default"/>
                      <w:color w:val="auto"/>
                      <w:highlight w:val="none"/>
                      <w:lang w:val="en-US" w:eastAsia="zh-CN"/>
                    </w:rPr>
                  </w:pPr>
                  <w:r>
                    <w:rPr>
                      <w:rFonts w:hint="eastAsia"/>
                      <w:color w:val="auto"/>
                      <w:highlight w:val="none"/>
                      <w:lang w:val="en-US" w:eastAsia="zh-CN"/>
                    </w:rPr>
                    <w:t>94</w:t>
                  </w:r>
                </w:p>
              </w:tc>
              <w:tc>
                <w:tcPr>
                  <w:tcW w:w="804" w:type="pct"/>
                  <w:tcBorders>
                    <w:tl2br w:val="nil"/>
                    <w:tr2bl w:val="nil"/>
                  </w:tcBorders>
                  <w:noWrap w:val="0"/>
                  <w:vAlign w:val="center"/>
                </w:tcPr>
                <w:p w14:paraId="0DB5C743">
                  <w:pPr>
                    <w:pStyle w:val="62"/>
                    <w:bidi w:val="0"/>
                    <w:rPr>
                      <w:rFonts w:hint="default"/>
                      <w:color w:val="auto"/>
                      <w:highlight w:val="none"/>
                      <w:lang w:val="en-US" w:eastAsia="zh-CN"/>
                    </w:rPr>
                  </w:pPr>
                  <w:r>
                    <w:rPr>
                      <w:rFonts w:hint="eastAsia"/>
                      <w:color w:val="auto"/>
                      <w:highlight w:val="none"/>
                      <w:lang w:val="en-US" w:eastAsia="zh-CN"/>
                    </w:rPr>
                    <w:t>30</w:t>
                  </w:r>
                </w:p>
              </w:tc>
              <w:tc>
                <w:tcPr>
                  <w:tcW w:w="542" w:type="pct"/>
                  <w:tcBorders>
                    <w:tl2br w:val="nil"/>
                    <w:tr2bl w:val="nil"/>
                  </w:tcBorders>
                  <w:noWrap w:val="0"/>
                  <w:vAlign w:val="center"/>
                </w:tcPr>
                <w:p w14:paraId="0277D47C">
                  <w:pPr>
                    <w:pStyle w:val="62"/>
                    <w:bidi w:val="0"/>
                    <w:rPr>
                      <w:rFonts w:hint="default"/>
                      <w:color w:val="auto"/>
                      <w:highlight w:val="none"/>
                      <w:lang w:val="en-US" w:eastAsia="zh-CN"/>
                    </w:rPr>
                  </w:pPr>
                  <w:r>
                    <w:rPr>
                      <w:rFonts w:hint="eastAsia"/>
                      <w:color w:val="auto"/>
                      <w:highlight w:val="none"/>
                      <w:lang w:val="en-US" w:eastAsia="zh-CN"/>
                    </w:rPr>
                    <w:t>313</w:t>
                  </w:r>
                </w:p>
              </w:tc>
              <w:tc>
                <w:tcPr>
                  <w:tcW w:w="517" w:type="pct"/>
                  <w:tcBorders>
                    <w:tl2br w:val="nil"/>
                    <w:tr2bl w:val="nil"/>
                  </w:tcBorders>
                  <w:noWrap w:val="0"/>
                  <w:vAlign w:val="center"/>
                </w:tcPr>
                <w:p w14:paraId="4EE9B3CC">
                  <w:pPr>
                    <w:pStyle w:val="62"/>
                    <w:bidi w:val="0"/>
                    <w:rPr>
                      <w:rFonts w:hint="eastAsia"/>
                      <w:color w:val="auto"/>
                      <w:highlight w:val="none"/>
                    </w:rPr>
                  </w:pPr>
                  <w:r>
                    <w:rPr>
                      <w:rFonts w:hint="eastAsia"/>
                      <w:color w:val="auto"/>
                      <w:highlight w:val="none"/>
                      <w:lang w:val="en-US" w:eastAsia="zh-CN"/>
                    </w:rPr>
                    <w:t>超标</w:t>
                  </w:r>
                </w:p>
              </w:tc>
            </w:tr>
            <w:tr w14:paraId="6029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A45F338">
                  <w:pPr>
                    <w:pStyle w:val="62"/>
                    <w:bidi w:val="0"/>
                    <w:rPr>
                      <w:rFonts w:hint="eastAsia"/>
                      <w:color w:val="auto"/>
                      <w:highlight w:val="none"/>
                    </w:rPr>
                  </w:pPr>
                </w:p>
              </w:tc>
              <w:tc>
                <w:tcPr>
                  <w:tcW w:w="1749" w:type="pct"/>
                  <w:tcBorders>
                    <w:tl2br w:val="nil"/>
                    <w:tr2bl w:val="nil"/>
                  </w:tcBorders>
                  <w:noWrap w:val="0"/>
                  <w:vAlign w:val="center"/>
                </w:tcPr>
                <w:p w14:paraId="34D6091E">
                  <w:pPr>
                    <w:pStyle w:val="62"/>
                    <w:bidi w:val="0"/>
                    <w:ind w:firstLine="0" w:firstLineChars="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54250D80">
                  <w:pPr>
                    <w:pStyle w:val="62"/>
                    <w:bidi w:val="0"/>
                    <w:rPr>
                      <w:rFonts w:hint="eastAsia"/>
                      <w:color w:val="auto"/>
                      <w:highlight w:val="none"/>
                      <w:lang w:val="en-US" w:eastAsia="zh-CN"/>
                    </w:rPr>
                  </w:pPr>
                  <w:r>
                    <w:rPr>
                      <w:rFonts w:hint="eastAsia"/>
                      <w:color w:val="auto"/>
                      <w:highlight w:val="none"/>
                      <w:lang w:val="en-US" w:eastAsia="zh-CN"/>
                    </w:rPr>
                    <w:t>320</w:t>
                  </w:r>
                </w:p>
              </w:tc>
              <w:tc>
                <w:tcPr>
                  <w:tcW w:w="804" w:type="pct"/>
                  <w:tcBorders>
                    <w:tl2br w:val="nil"/>
                    <w:tr2bl w:val="nil"/>
                  </w:tcBorders>
                  <w:noWrap w:val="0"/>
                  <w:vAlign w:val="center"/>
                </w:tcPr>
                <w:p w14:paraId="111A31E8">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412C74EE">
                  <w:pPr>
                    <w:pStyle w:val="62"/>
                    <w:bidi w:val="0"/>
                    <w:rPr>
                      <w:rFonts w:hint="default"/>
                      <w:color w:val="auto"/>
                      <w:highlight w:val="none"/>
                      <w:lang w:val="en-US" w:eastAsia="zh-CN"/>
                    </w:rPr>
                  </w:pPr>
                  <w:r>
                    <w:rPr>
                      <w:rFonts w:hint="eastAsia"/>
                      <w:color w:val="auto"/>
                      <w:highlight w:val="none"/>
                      <w:lang w:val="en-US" w:eastAsia="zh-CN"/>
                    </w:rPr>
                    <w:t>533</w:t>
                  </w:r>
                </w:p>
              </w:tc>
              <w:tc>
                <w:tcPr>
                  <w:tcW w:w="517" w:type="pct"/>
                  <w:tcBorders>
                    <w:tl2br w:val="nil"/>
                    <w:tr2bl w:val="nil"/>
                  </w:tcBorders>
                  <w:noWrap w:val="0"/>
                  <w:vAlign w:val="center"/>
                </w:tcPr>
                <w:p w14:paraId="18837947">
                  <w:pPr>
                    <w:pStyle w:val="62"/>
                    <w:bidi w:val="0"/>
                    <w:rPr>
                      <w:rFonts w:hint="eastAsia"/>
                      <w:color w:val="auto"/>
                      <w:highlight w:val="none"/>
                      <w:lang w:val="en-US" w:eastAsia="zh-CN"/>
                    </w:rPr>
                  </w:pPr>
                  <w:r>
                    <w:rPr>
                      <w:rFonts w:hint="eastAsia"/>
                      <w:color w:val="auto"/>
                      <w:highlight w:val="none"/>
                      <w:lang w:val="en-US" w:eastAsia="zh-CN"/>
                    </w:rPr>
                    <w:t>超标</w:t>
                  </w:r>
                </w:p>
              </w:tc>
            </w:tr>
          </w:tbl>
          <w:p w14:paraId="4DD6B81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eastAsiaTheme="minorEastAsia"/>
                <w:b w:val="0"/>
                <w:bCs w:val="0"/>
                <w:color w:val="auto"/>
                <w:sz w:val="24"/>
                <w:szCs w:val="24"/>
                <w:lang w:val="en-US" w:eastAsia="zh-CN"/>
              </w:rPr>
              <w:t>由统计结果可知，项目所在区域各污染因子中SO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、NO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、CO、O</w:t>
            </w:r>
            <w:r>
              <w:rPr>
                <w:rFonts w:hint="default" w:ascii="Times New Roman" w:hAnsi="Times New Roman" w:cs="Times New Roman" w:eastAsiaTheme="minorEastAsia"/>
                <w:b w:val="0"/>
                <w:bCs w:val="0"/>
                <w:color w:val="auto"/>
                <w:sz w:val="24"/>
                <w:szCs w:val="24"/>
                <w:vertAlign w:val="subscript"/>
                <w:lang w:val="en-US" w:eastAsia="zh-CN"/>
              </w:rPr>
              <w:t>3</w:t>
            </w:r>
            <w:r>
              <w:rPr>
                <w:rFonts w:hint="default" w:ascii="Times New Roman" w:hAnsi="Times New Roman" w:cs="Times New Roman" w:eastAsiaTheme="minorEastAsia"/>
                <w:b w:val="0"/>
                <w:bCs w:val="0"/>
                <w:color w:val="auto"/>
                <w:sz w:val="24"/>
                <w:szCs w:val="24"/>
              </w:rPr>
              <w:t>满足《环境空气质量标准》（GB3095-2026）过渡阶段浓度限值中二级标准，</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年平均浓度和日平均不达标，项目所在区域PM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超标与区域地处干旱沙漠边缘自然环境有关。</w:t>
            </w:r>
            <w:r>
              <w:rPr>
                <w:rFonts w:hint="default" w:ascii="Times New Roman" w:hAnsi="Times New Roman" w:cs="Times New Roman" w:eastAsiaTheme="minorEastAsia"/>
                <w:b w:val="0"/>
                <w:bCs w:val="0"/>
                <w:color w:val="auto"/>
                <w:sz w:val="24"/>
                <w:szCs w:val="24"/>
              </w:rPr>
              <w:t>项目所在区域属于环境</w:t>
            </w:r>
            <w:r>
              <w:rPr>
                <w:rFonts w:hint="default" w:ascii="Times New Roman" w:hAnsi="Times New Roman" w:cs="Times New Roman" w:eastAsiaTheme="minorEastAsia"/>
                <w:b w:val="0"/>
                <w:bCs w:val="0"/>
                <w:color w:val="auto"/>
                <w:sz w:val="24"/>
                <w:szCs w:val="24"/>
                <w:lang w:eastAsia="zh-CN"/>
              </w:rPr>
              <w:t>空气质量</w:t>
            </w:r>
            <w:r>
              <w:rPr>
                <w:rFonts w:hint="default" w:ascii="Times New Roman" w:hAnsi="Times New Roman" w:cs="Times New Roman" w:eastAsiaTheme="minorEastAsia"/>
                <w:b w:val="0"/>
                <w:bCs w:val="0"/>
                <w:color w:val="auto"/>
                <w:sz w:val="24"/>
                <w:szCs w:val="24"/>
                <w:lang w:val="en-US" w:eastAsia="zh-CN"/>
              </w:rPr>
              <w:t>不</w:t>
            </w:r>
            <w:r>
              <w:rPr>
                <w:rFonts w:hint="default" w:ascii="Times New Roman" w:hAnsi="Times New Roman" w:cs="Times New Roman" w:eastAsiaTheme="minorEastAsia"/>
                <w:b w:val="0"/>
                <w:bCs w:val="0"/>
                <w:color w:val="auto"/>
                <w:sz w:val="24"/>
                <w:szCs w:val="24"/>
              </w:rPr>
              <w:t>达标区</w:t>
            </w:r>
            <w:r>
              <w:rPr>
                <w:rFonts w:hint="default" w:ascii="Times New Roman" w:hAnsi="Times New Roman" w:cs="Times New Roman"/>
                <w:kern w:val="24"/>
                <w:sz w:val="24"/>
                <w:lang w:bidi="ar"/>
              </w:rPr>
              <w:t>。</w:t>
            </w:r>
          </w:p>
          <w:p w14:paraId="0DCB856D">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lang w:bidi="ar"/>
              </w:rPr>
            </w:pPr>
            <w:r>
              <w:rPr>
                <w:rFonts w:hint="eastAsia" w:cs="Times New Roman"/>
                <w:b/>
                <w:bCs/>
                <w:kern w:val="24"/>
                <w:sz w:val="24"/>
                <w:lang w:val="en-US" w:eastAsia="zh-CN" w:bidi="ar"/>
              </w:rPr>
              <w:t>3</w:t>
            </w:r>
            <w:r>
              <w:rPr>
                <w:rFonts w:hint="default" w:ascii="Times New Roman" w:hAnsi="Times New Roman" w:cs="Times New Roman"/>
                <w:b/>
                <w:bCs/>
                <w:kern w:val="24"/>
                <w:sz w:val="24"/>
                <w:lang w:bidi="ar"/>
              </w:rPr>
              <w:t>地表水环境质量现状调查及评价</w:t>
            </w:r>
          </w:p>
          <w:p w14:paraId="1B41ED7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cs="Times New Roman"/>
                <w:kern w:val="0"/>
                <w:sz w:val="24"/>
                <w:highlight w:val="none"/>
                <w:lang w:bidi="ar"/>
              </w:rPr>
            </w:pPr>
            <w:r>
              <w:rPr>
                <w:rFonts w:hint="default" w:ascii="Times New Roman" w:hAnsi="Times New Roman" w:cs="Times New Roman"/>
                <w:kern w:val="24"/>
                <w:sz w:val="24"/>
                <w:lang w:val="en-US" w:eastAsia="zh-CN" w:bidi="ar"/>
              </w:rPr>
              <w:t>本项目区最近的水体为</w:t>
            </w:r>
            <w:r>
              <w:rPr>
                <w:rFonts w:hint="eastAsia" w:cs="Times New Roman"/>
                <w:kern w:val="24"/>
                <w:sz w:val="24"/>
                <w:lang w:val="en-US" w:eastAsia="zh-CN" w:bidi="ar"/>
              </w:rPr>
              <w:t>瓦石峡</w:t>
            </w:r>
            <w:r>
              <w:rPr>
                <w:rFonts w:hint="default" w:ascii="Times New Roman" w:hAnsi="Times New Roman" w:cs="Times New Roman"/>
                <w:kern w:val="24"/>
                <w:sz w:val="24"/>
                <w:lang w:val="en-US" w:eastAsia="zh-CN" w:bidi="ar"/>
              </w:rPr>
              <w:t>河，距本项目直线距</w:t>
            </w:r>
            <w:r>
              <w:rPr>
                <w:rFonts w:hint="default" w:ascii="Times New Roman" w:hAnsi="Times New Roman" w:cs="Times New Roman"/>
                <w:kern w:val="24"/>
                <w:sz w:val="24"/>
                <w:highlight w:val="none"/>
                <w:lang w:val="en-US" w:eastAsia="zh-CN" w:bidi="ar"/>
              </w:rPr>
              <w:t>离约</w:t>
            </w:r>
            <w:r>
              <w:rPr>
                <w:rFonts w:hint="eastAsia" w:cs="Times New Roman"/>
                <w:kern w:val="24"/>
                <w:sz w:val="24"/>
                <w:highlight w:val="none"/>
                <w:lang w:val="en-US" w:eastAsia="zh-CN" w:bidi="ar"/>
              </w:rPr>
              <w:t>365</w:t>
            </w:r>
            <w:r>
              <w:rPr>
                <w:rFonts w:hint="default" w:ascii="Times New Roman" w:hAnsi="Times New Roman" w:cs="Times New Roman"/>
                <w:kern w:val="24"/>
                <w:sz w:val="24"/>
                <w:highlight w:val="none"/>
                <w:lang w:val="en-US" w:eastAsia="zh-CN" w:bidi="ar"/>
              </w:rPr>
              <w:t>m。</w:t>
            </w:r>
            <w:r>
              <w:rPr>
                <w:rFonts w:hint="default" w:ascii="Times New Roman" w:hAnsi="Times New Roman" w:cs="Times New Roman"/>
                <w:kern w:val="0"/>
                <w:sz w:val="24"/>
                <w:highlight w:val="none"/>
                <w:lang w:bidi="ar"/>
              </w:rPr>
              <w:t>为了解项目区水环境质量现状，本次</w:t>
            </w:r>
            <w:r>
              <w:rPr>
                <w:rFonts w:hint="eastAsia" w:ascii="Times New Roman" w:hAnsi="Times New Roman" w:cs="Times New Roman"/>
                <w:kern w:val="0"/>
                <w:sz w:val="24"/>
                <w:highlight w:val="none"/>
                <w:lang w:val="en-US" w:eastAsia="zh-CN" w:bidi="ar"/>
              </w:rPr>
              <w:t>引用</w:t>
            </w:r>
            <w:r>
              <w:rPr>
                <w:rFonts w:hint="default" w:ascii="Times New Roman" w:hAnsi="Times New Roman" w:cs="Times New Roman"/>
                <w:kern w:val="0"/>
                <w:sz w:val="24"/>
                <w:highlight w:val="none"/>
                <w:lang w:bidi="ar"/>
              </w:rPr>
              <w:t>了</w:t>
            </w:r>
            <w:r>
              <w:rPr>
                <w:rFonts w:hint="eastAsia" w:ascii="Times New Roman" w:hAnsi="Times New Roman" w:cs="Times New Roman"/>
                <w:kern w:val="0"/>
                <w:sz w:val="24"/>
                <w:highlight w:val="none"/>
                <w:lang w:val="en-US" w:eastAsia="zh-CN" w:bidi="ar"/>
              </w:rPr>
              <w:t>新疆中测测试有限责任公司</w:t>
            </w:r>
            <w:r>
              <w:rPr>
                <w:rFonts w:hint="default" w:ascii="Times New Roman" w:hAnsi="Times New Roman" w:cs="Times New Roman"/>
                <w:kern w:val="0"/>
                <w:sz w:val="24"/>
                <w:highlight w:val="none"/>
                <w:lang w:bidi="ar"/>
              </w:rPr>
              <w:t>202</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年</w:t>
            </w:r>
            <w:r>
              <w:rPr>
                <w:rFonts w:hint="eastAsia" w:ascii="Times New Roman" w:hAnsi="Times New Roman" w:cs="Times New Roman"/>
                <w:kern w:val="0"/>
                <w:sz w:val="24"/>
                <w:highlight w:val="none"/>
                <w:lang w:val="en-US" w:eastAsia="zh-CN" w:bidi="ar"/>
              </w:rPr>
              <w:t>2</w:t>
            </w:r>
            <w:r>
              <w:rPr>
                <w:rFonts w:hint="default" w:ascii="Times New Roman" w:hAnsi="Times New Roman" w:cs="Times New Roman"/>
                <w:kern w:val="0"/>
                <w:sz w:val="24"/>
                <w:highlight w:val="none"/>
                <w:lang w:bidi="ar"/>
              </w:rPr>
              <w:t>月</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日</w:t>
            </w:r>
            <w:r>
              <w:rPr>
                <w:rFonts w:hint="default" w:ascii="Times New Roman" w:hAnsi="Times New Roman" w:cs="Times New Roman"/>
                <w:kern w:val="0"/>
                <w:sz w:val="24"/>
                <w:highlight w:val="none"/>
                <w:lang w:eastAsia="zh-CN" w:bidi="ar"/>
              </w:rPr>
              <w:t>对</w:t>
            </w:r>
            <w:r>
              <w:rPr>
                <w:rFonts w:hint="eastAsia" w:ascii="Times New Roman" w:hAnsi="Times New Roman" w:cs="Times New Roman"/>
                <w:kern w:val="0"/>
                <w:sz w:val="24"/>
                <w:highlight w:val="none"/>
                <w:lang w:val="en-US" w:eastAsia="zh-CN" w:bidi="ar"/>
              </w:rPr>
              <w:t>若羌志存瓦石峡矿业有限公司东侧瓦石峡河地表水点位</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E</w:t>
            </w:r>
            <w:r>
              <w:rPr>
                <w:rFonts w:hint="eastAsia" w:ascii="Times New Roman" w:hAnsi="Times New Roman" w:cs="Times New Roman"/>
                <w:kern w:val="0"/>
                <w:sz w:val="24"/>
                <w:highlight w:val="none"/>
                <w:lang w:val="en-US" w:eastAsia="zh-CN" w:bidi="ar"/>
              </w:rPr>
              <w:t>87.373424</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N</w:t>
            </w:r>
            <w:r>
              <w:rPr>
                <w:rFonts w:hint="eastAsia" w:ascii="Times New Roman" w:hAnsi="Times New Roman" w:cs="Times New Roman"/>
                <w:kern w:val="0"/>
                <w:sz w:val="24"/>
                <w:highlight w:val="none"/>
                <w:lang w:val="en-US" w:eastAsia="zh-CN" w:bidi="ar"/>
              </w:rPr>
              <w:t>38.546786</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bidi="ar"/>
              </w:rPr>
              <w:t>的检测资料，</w:t>
            </w:r>
            <w:r>
              <w:rPr>
                <w:rFonts w:hint="eastAsia" w:ascii="Times New Roman" w:hAnsi="Times New Roman" w:cs="Times New Roman"/>
                <w:kern w:val="0"/>
                <w:sz w:val="24"/>
                <w:highlight w:val="none"/>
                <w:lang w:val="en-US" w:eastAsia="zh-CN" w:bidi="ar"/>
              </w:rPr>
              <w:t>检测时间为1月15日~22日，</w:t>
            </w:r>
            <w:r>
              <w:rPr>
                <w:rFonts w:hint="default" w:ascii="Times New Roman" w:hAnsi="Times New Roman" w:cs="Times New Roman"/>
                <w:kern w:val="0"/>
                <w:sz w:val="24"/>
                <w:highlight w:val="none"/>
                <w:lang w:bidi="ar"/>
              </w:rPr>
              <w:t>其检测结果如下：</w:t>
            </w:r>
          </w:p>
          <w:p w14:paraId="69890BF5">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w:t>
            </w:r>
            <w:r>
              <w:rPr>
                <w:rFonts w:hint="eastAsia" w:cs="Times New Roman"/>
                <w:b/>
                <w:bCs w:val="0"/>
                <w:color w:val="auto"/>
                <w:kern w:val="2"/>
                <w:sz w:val="24"/>
                <w:szCs w:val="24"/>
                <w:highlight w:val="none"/>
                <w:lang w:val="en-US" w:eastAsia="zh-CN" w:bidi="ar-SA"/>
              </w:rPr>
              <w:t>3-4</w:t>
            </w:r>
            <w:r>
              <w:rPr>
                <w:rFonts w:hint="default" w:ascii="Times New Roman" w:hAnsi="Times New Roman" w:eastAsia="宋体" w:cs="Times New Roman"/>
                <w:b/>
                <w:bCs w:val="0"/>
                <w:color w:val="auto"/>
                <w:kern w:val="2"/>
                <w:sz w:val="24"/>
                <w:szCs w:val="24"/>
                <w:highlight w:val="none"/>
                <w:lang w:val="en-US" w:eastAsia="zh-CN" w:bidi="ar-SA"/>
              </w:rPr>
              <w:t xml:space="preserve">    地表水监测结果一览表    单位mg/L</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2077"/>
              <w:gridCol w:w="1436"/>
              <w:gridCol w:w="1436"/>
              <w:gridCol w:w="1447"/>
              <w:gridCol w:w="1018"/>
            </w:tblGrid>
            <w:tr w14:paraId="3330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E2CE3A7">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序号</w:t>
                  </w:r>
                </w:p>
              </w:tc>
              <w:tc>
                <w:tcPr>
                  <w:tcW w:w="1294" w:type="pct"/>
                  <w:noWrap w:val="0"/>
                  <w:vAlign w:val="center"/>
                </w:tcPr>
                <w:p w14:paraId="5ACB397D">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监测因子</w:t>
                  </w:r>
                </w:p>
              </w:tc>
              <w:tc>
                <w:tcPr>
                  <w:tcW w:w="894" w:type="pct"/>
                  <w:noWrap w:val="0"/>
                  <w:vAlign w:val="center"/>
                </w:tcPr>
                <w:p w14:paraId="4EE03907">
                  <w:pPr>
                    <w:jc w:val="center"/>
                    <w:rPr>
                      <w:rFonts w:hint="eastAsia" w:ascii="Times New Roman" w:hAnsi="Times New Roman" w:eastAsia="宋体" w:cs="Times New Roman"/>
                      <w:b w:val="0"/>
                      <w:bCs w:val="0"/>
                      <w:color w:val="000000"/>
                      <w:kern w:val="0"/>
                      <w:szCs w:val="21"/>
                      <w:lang w:val="en-US" w:eastAsia="zh-CN" w:bidi="ar"/>
                    </w:rPr>
                  </w:pPr>
                  <w:r>
                    <w:rPr>
                      <w:rFonts w:hint="eastAsia" w:ascii="Times New Roman" w:hAnsi="Times New Roman" w:cs="Times New Roman"/>
                      <w:b w:val="0"/>
                      <w:bCs w:val="0"/>
                      <w:color w:val="000000"/>
                      <w:kern w:val="0"/>
                      <w:szCs w:val="21"/>
                      <w:lang w:val="en-US" w:eastAsia="zh-CN" w:bidi="ar"/>
                    </w:rPr>
                    <w:t>单位</w:t>
                  </w:r>
                </w:p>
              </w:tc>
              <w:tc>
                <w:tcPr>
                  <w:tcW w:w="894" w:type="pct"/>
                  <w:noWrap w:val="0"/>
                  <w:vAlign w:val="center"/>
                </w:tcPr>
                <w:p w14:paraId="45E79E65">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监测数据</w:t>
                  </w:r>
                </w:p>
              </w:tc>
              <w:tc>
                <w:tcPr>
                  <w:tcW w:w="901" w:type="pct"/>
                  <w:noWrap w:val="0"/>
                  <w:vAlign w:val="center"/>
                </w:tcPr>
                <w:p w14:paraId="3BEEC8C1">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标准数值</w:t>
                  </w:r>
                </w:p>
              </w:tc>
              <w:tc>
                <w:tcPr>
                  <w:tcW w:w="634" w:type="pct"/>
                  <w:noWrap w:val="0"/>
                  <w:vAlign w:val="center"/>
                </w:tcPr>
                <w:p w14:paraId="14B0E8C7">
                  <w:pPr>
                    <w:jc w:val="center"/>
                    <w:rPr>
                      <w:rFonts w:hint="default" w:ascii="Times New Roman" w:hAnsi="Times New Roman" w:eastAsia="宋体" w:cs="Times New Roman"/>
                      <w:b w:val="0"/>
                      <w:bCs w:val="0"/>
                      <w:color w:val="000000"/>
                      <w:kern w:val="0"/>
                      <w:szCs w:val="21"/>
                      <w:lang w:eastAsia="zh-CN" w:bidi="ar"/>
                    </w:rPr>
                  </w:pPr>
                  <w:r>
                    <w:rPr>
                      <w:rFonts w:hint="default" w:ascii="Times New Roman" w:hAnsi="Times New Roman" w:cs="Times New Roman"/>
                      <w:b w:val="0"/>
                      <w:bCs w:val="0"/>
                      <w:color w:val="000000"/>
                      <w:kern w:val="0"/>
                      <w:szCs w:val="21"/>
                      <w:lang w:eastAsia="zh-CN" w:bidi="ar"/>
                    </w:rPr>
                    <w:t>结论</w:t>
                  </w:r>
                </w:p>
              </w:tc>
            </w:tr>
            <w:tr w14:paraId="2065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41270124">
                  <w:pPr>
                    <w:jc w:val="center"/>
                    <w:rPr>
                      <w:rFonts w:hint="default" w:ascii="Times New Roman" w:hAnsi="Times New Roman" w:cs="Times New Roman"/>
                      <w:bCs/>
                      <w:sz w:val="21"/>
                      <w:szCs w:val="21"/>
                    </w:rPr>
                  </w:pPr>
                  <w:r>
                    <w:rPr>
                      <w:rFonts w:hint="default" w:ascii="Times New Roman" w:hAnsi="Times New Roman" w:cs="Times New Roman"/>
                      <w:bCs/>
                      <w:sz w:val="21"/>
                      <w:szCs w:val="21"/>
                    </w:rPr>
                    <w:t>1</w:t>
                  </w:r>
                </w:p>
              </w:tc>
              <w:tc>
                <w:tcPr>
                  <w:tcW w:w="1294" w:type="pct"/>
                  <w:noWrap w:val="0"/>
                  <w:vAlign w:val="center"/>
                </w:tcPr>
                <w:p w14:paraId="753E871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pH</w:t>
                  </w:r>
                </w:p>
              </w:tc>
              <w:tc>
                <w:tcPr>
                  <w:tcW w:w="894" w:type="pct"/>
                  <w:noWrap w:val="0"/>
                  <w:vAlign w:val="center"/>
                </w:tcPr>
                <w:p w14:paraId="4C50DC8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无量纲</w:t>
                  </w:r>
                </w:p>
              </w:tc>
              <w:tc>
                <w:tcPr>
                  <w:tcW w:w="894" w:type="pct"/>
                  <w:noWrap w:val="0"/>
                  <w:vAlign w:val="center"/>
                </w:tcPr>
                <w:p w14:paraId="0774B96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7.8</w:t>
                  </w:r>
                </w:p>
              </w:tc>
              <w:tc>
                <w:tcPr>
                  <w:tcW w:w="901" w:type="pct"/>
                  <w:noWrap w:val="0"/>
                  <w:vAlign w:val="center"/>
                </w:tcPr>
                <w:p w14:paraId="0807089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6-9</w:t>
                  </w:r>
                </w:p>
              </w:tc>
              <w:tc>
                <w:tcPr>
                  <w:tcW w:w="634" w:type="pct"/>
                  <w:noWrap w:val="0"/>
                  <w:vAlign w:val="center"/>
                </w:tcPr>
                <w:p w14:paraId="69F12C34">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607D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EBD506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2</w:t>
                  </w:r>
                </w:p>
              </w:tc>
              <w:tc>
                <w:tcPr>
                  <w:tcW w:w="1294" w:type="pct"/>
                  <w:noWrap w:val="0"/>
                  <w:vAlign w:val="center"/>
                </w:tcPr>
                <w:p w14:paraId="54551D6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悬浮物</w:t>
                  </w:r>
                </w:p>
              </w:tc>
              <w:tc>
                <w:tcPr>
                  <w:tcW w:w="894" w:type="pct"/>
                  <w:noWrap w:val="0"/>
                  <w:vAlign w:val="center"/>
                </w:tcPr>
                <w:p w14:paraId="32B3BDD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A5FF96E">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901" w:type="pct"/>
                  <w:noWrap w:val="0"/>
                  <w:vAlign w:val="center"/>
                </w:tcPr>
                <w:p w14:paraId="5FE37B7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w:t>
                  </w:r>
                </w:p>
              </w:tc>
              <w:tc>
                <w:tcPr>
                  <w:tcW w:w="634" w:type="pct"/>
                  <w:noWrap w:val="0"/>
                  <w:vAlign w:val="center"/>
                </w:tcPr>
                <w:p w14:paraId="11136321">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w:t>
                  </w:r>
                </w:p>
              </w:tc>
            </w:tr>
            <w:tr w14:paraId="5940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3965B06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3</w:t>
                  </w:r>
                </w:p>
              </w:tc>
              <w:tc>
                <w:tcPr>
                  <w:tcW w:w="1294" w:type="pct"/>
                  <w:noWrap w:val="0"/>
                  <w:vAlign w:val="center"/>
                </w:tcPr>
                <w:p w14:paraId="72A28DE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CODcr</w:t>
                  </w:r>
                </w:p>
              </w:tc>
              <w:tc>
                <w:tcPr>
                  <w:tcW w:w="894" w:type="pct"/>
                  <w:noWrap w:val="0"/>
                  <w:vAlign w:val="center"/>
                </w:tcPr>
                <w:p w14:paraId="31BC831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0AC95CF2">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901" w:type="pct"/>
                  <w:noWrap w:val="0"/>
                  <w:vAlign w:val="center"/>
                </w:tcPr>
                <w:p w14:paraId="0BB82E4B">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20</w:t>
                  </w:r>
                </w:p>
              </w:tc>
              <w:tc>
                <w:tcPr>
                  <w:tcW w:w="634" w:type="pct"/>
                  <w:noWrap w:val="0"/>
                  <w:vAlign w:val="center"/>
                </w:tcPr>
                <w:p w14:paraId="77D9B13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A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522AB4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4</w:t>
                  </w:r>
                </w:p>
              </w:tc>
              <w:tc>
                <w:tcPr>
                  <w:tcW w:w="1294" w:type="pct"/>
                  <w:noWrap w:val="0"/>
                  <w:vAlign w:val="center"/>
                </w:tcPr>
                <w:p w14:paraId="23349E58">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BOD₅</w:t>
                  </w:r>
                </w:p>
              </w:tc>
              <w:tc>
                <w:tcPr>
                  <w:tcW w:w="894" w:type="pct"/>
                  <w:noWrap w:val="0"/>
                  <w:vAlign w:val="center"/>
                </w:tcPr>
                <w:p w14:paraId="6DA6B54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80DB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0.6</w:t>
                  </w:r>
                </w:p>
              </w:tc>
              <w:tc>
                <w:tcPr>
                  <w:tcW w:w="901" w:type="pct"/>
                  <w:noWrap w:val="0"/>
                  <w:vAlign w:val="center"/>
                </w:tcPr>
                <w:p w14:paraId="65E6375D">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4</w:t>
                  </w:r>
                </w:p>
              </w:tc>
              <w:tc>
                <w:tcPr>
                  <w:tcW w:w="634" w:type="pct"/>
                  <w:noWrap w:val="0"/>
                  <w:vAlign w:val="center"/>
                </w:tcPr>
                <w:p w14:paraId="3FEA56D8">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6B8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CB4256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5</w:t>
                  </w:r>
                </w:p>
              </w:tc>
              <w:tc>
                <w:tcPr>
                  <w:tcW w:w="1294" w:type="pct"/>
                  <w:noWrap w:val="0"/>
                  <w:vAlign w:val="center"/>
                </w:tcPr>
                <w:p w14:paraId="243F5F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总磷</w:t>
                  </w:r>
                </w:p>
              </w:tc>
              <w:tc>
                <w:tcPr>
                  <w:tcW w:w="894" w:type="pct"/>
                  <w:noWrap w:val="0"/>
                  <w:vAlign w:val="center"/>
                </w:tcPr>
                <w:p w14:paraId="082F687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6A2FE44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0.06</w:t>
                  </w:r>
                </w:p>
              </w:tc>
              <w:tc>
                <w:tcPr>
                  <w:tcW w:w="901" w:type="pct"/>
                  <w:noWrap w:val="0"/>
                  <w:vAlign w:val="center"/>
                </w:tcPr>
                <w:p w14:paraId="57F60156">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7109939F">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3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875AB3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6</w:t>
                  </w:r>
                </w:p>
              </w:tc>
              <w:tc>
                <w:tcPr>
                  <w:tcW w:w="1294" w:type="pct"/>
                  <w:noWrap w:val="0"/>
                  <w:vAlign w:val="center"/>
                </w:tcPr>
                <w:p w14:paraId="37D4D4CA">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氨氮</w:t>
                  </w:r>
                </w:p>
              </w:tc>
              <w:tc>
                <w:tcPr>
                  <w:tcW w:w="894" w:type="pct"/>
                  <w:noWrap w:val="0"/>
                  <w:vAlign w:val="center"/>
                </w:tcPr>
                <w:p w14:paraId="70221A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030460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0.381</w:t>
                  </w:r>
                </w:p>
              </w:tc>
              <w:tc>
                <w:tcPr>
                  <w:tcW w:w="901" w:type="pct"/>
                  <w:noWrap w:val="0"/>
                  <w:vAlign w:val="center"/>
                </w:tcPr>
                <w:p w14:paraId="1E3B0213">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1.0</w:t>
                  </w:r>
                </w:p>
              </w:tc>
              <w:tc>
                <w:tcPr>
                  <w:tcW w:w="634" w:type="pct"/>
                  <w:noWrap w:val="0"/>
                  <w:vAlign w:val="center"/>
                </w:tcPr>
                <w:p w14:paraId="4BA1877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2B21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261D62A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w:t>
                  </w:r>
                </w:p>
              </w:tc>
              <w:tc>
                <w:tcPr>
                  <w:tcW w:w="1294" w:type="pct"/>
                  <w:noWrap w:val="0"/>
                  <w:vAlign w:val="center"/>
                </w:tcPr>
                <w:p w14:paraId="20A0EA28">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硫化物</w:t>
                  </w:r>
                </w:p>
              </w:tc>
              <w:tc>
                <w:tcPr>
                  <w:tcW w:w="894" w:type="pct"/>
                  <w:noWrap w:val="0"/>
                  <w:vAlign w:val="center"/>
                </w:tcPr>
                <w:p w14:paraId="354AA4D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EE1832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ND</w:t>
                  </w:r>
                </w:p>
              </w:tc>
              <w:tc>
                <w:tcPr>
                  <w:tcW w:w="901" w:type="pct"/>
                  <w:noWrap w:val="0"/>
                  <w:vAlign w:val="center"/>
                </w:tcPr>
                <w:p w14:paraId="593474E9">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297F23AE">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4407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F9890B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1294" w:type="pct"/>
                  <w:noWrap w:val="0"/>
                  <w:vAlign w:val="center"/>
                </w:tcPr>
                <w:p w14:paraId="4A05C0A4">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氟化物</w:t>
                  </w:r>
                </w:p>
              </w:tc>
              <w:tc>
                <w:tcPr>
                  <w:tcW w:w="894" w:type="pct"/>
                  <w:noWrap w:val="0"/>
                  <w:vAlign w:val="center"/>
                </w:tcPr>
                <w:p w14:paraId="18DA68D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21C99BD8">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0.62</w:t>
                  </w:r>
                </w:p>
              </w:tc>
              <w:tc>
                <w:tcPr>
                  <w:tcW w:w="901" w:type="pct"/>
                  <w:noWrap w:val="0"/>
                  <w:vAlign w:val="center"/>
                </w:tcPr>
                <w:p w14:paraId="34FC4C0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1.0</w:t>
                  </w:r>
                </w:p>
              </w:tc>
              <w:tc>
                <w:tcPr>
                  <w:tcW w:w="634" w:type="pct"/>
                  <w:noWrap w:val="0"/>
                  <w:vAlign w:val="center"/>
                </w:tcPr>
                <w:p w14:paraId="398F5830">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75E3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96913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9</w:t>
                  </w:r>
                </w:p>
              </w:tc>
              <w:tc>
                <w:tcPr>
                  <w:tcW w:w="1294" w:type="pct"/>
                  <w:noWrap w:val="0"/>
                  <w:vAlign w:val="center"/>
                </w:tcPr>
                <w:p w14:paraId="4D525F8B">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挥发酚</w:t>
                  </w:r>
                </w:p>
              </w:tc>
              <w:tc>
                <w:tcPr>
                  <w:tcW w:w="894" w:type="pct"/>
                  <w:noWrap w:val="0"/>
                  <w:vAlign w:val="center"/>
                </w:tcPr>
                <w:p w14:paraId="6EF75A9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0A6B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F39D8B5">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w:t>
                  </w:r>
                  <w:r>
                    <w:rPr>
                      <w:rFonts w:hint="eastAsia" w:ascii="Times New Roman" w:hAnsi="Times New Roman" w:cs="Times New Roman"/>
                      <w:bCs/>
                      <w:sz w:val="21"/>
                      <w:szCs w:val="21"/>
                      <w:lang w:val="en-US" w:eastAsia="zh-CN"/>
                    </w:rPr>
                    <w:t>5</w:t>
                  </w:r>
                </w:p>
              </w:tc>
              <w:tc>
                <w:tcPr>
                  <w:tcW w:w="634" w:type="pct"/>
                  <w:noWrap w:val="0"/>
                  <w:vAlign w:val="center"/>
                </w:tcPr>
                <w:p w14:paraId="5429A69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614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4F9143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1294" w:type="pct"/>
                  <w:noWrap w:val="0"/>
                  <w:vAlign w:val="center"/>
                </w:tcPr>
                <w:p w14:paraId="31694E1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石油类</w:t>
                  </w:r>
                </w:p>
              </w:tc>
              <w:tc>
                <w:tcPr>
                  <w:tcW w:w="894" w:type="pct"/>
                  <w:noWrap w:val="0"/>
                  <w:vAlign w:val="center"/>
                </w:tcPr>
                <w:p w14:paraId="05DC53E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8266D46">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3289304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0.05</w:t>
                  </w:r>
                </w:p>
              </w:tc>
              <w:tc>
                <w:tcPr>
                  <w:tcW w:w="634" w:type="pct"/>
                  <w:noWrap w:val="0"/>
                  <w:vAlign w:val="center"/>
                </w:tcPr>
                <w:p w14:paraId="41842DC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4A3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1D0ED8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11</w:t>
                  </w:r>
                </w:p>
              </w:tc>
              <w:tc>
                <w:tcPr>
                  <w:tcW w:w="1294" w:type="pct"/>
                  <w:noWrap w:val="0"/>
                  <w:vAlign w:val="center"/>
                </w:tcPr>
                <w:p w14:paraId="1AACBF9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汞</w:t>
                  </w:r>
                </w:p>
              </w:tc>
              <w:tc>
                <w:tcPr>
                  <w:tcW w:w="894" w:type="pct"/>
                  <w:noWrap w:val="0"/>
                  <w:vAlign w:val="center"/>
                </w:tcPr>
                <w:p w14:paraId="2B33E0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65A02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5209E0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0.000</w:t>
                  </w:r>
                  <w:r>
                    <w:rPr>
                      <w:rFonts w:hint="eastAsia" w:ascii="Times New Roman" w:hAnsi="Times New Roman" w:cs="Times New Roman"/>
                      <w:bCs/>
                      <w:sz w:val="21"/>
                      <w:szCs w:val="21"/>
                      <w:lang w:val="en-US" w:eastAsia="zh-CN"/>
                    </w:rPr>
                    <w:t>1</w:t>
                  </w:r>
                </w:p>
              </w:tc>
              <w:tc>
                <w:tcPr>
                  <w:tcW w:w="634" w:type="pct"/>
                  <w:noWrap w:val="0"/>
                  <w:vAlign w:val="center"/>
                </w:tcPr>
                <w:p w14:paraId="12352F1D">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DFE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7CF452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12</w:t>
                  </w:r>
                </w:p>
              </w:tc>
              <w:tc>
                <w:tcPr>
                  <w:tcW w:w="1294" w:type="pct"/>
                  <w:noWrap w:val="0"/>
                  <w:vAlign w:val="center"/>
                </w:tcPr>
                <w:p w14:paraId="40267E7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砷</w:t>
                  </w:r>
                </w:p>
              </w:tc>
              <w:tc>
                <w:tcPr>
                  <w:tcW w:w="894" w:type="pct"/>
                  <w:noWrap w:val="0"/>
                  <w:vAlign w:val="center"/>
                </w:tcPr>
                <w:p w14:paraId="4B6A47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1A3481CB">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0.0012</w:t>
                  </w:r>
                </w:p>
              </w:tc>
              <w:tc>
                <w:tcPr>
                  <w:tcW w:w="901" w:type="pct"/>
                  <w:noWrap w:val="0"/>
                  <w:vAlign w:val="center"/>
                </w:tcPr>
                <w:p w14:paraId="374D52C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0.05</w:t>
                  </w:r>
                </w:p>
              </w:tc>
              <w:tc>
                <w:tcPr>
                  <w:tcW w:w="634" w:type="pct"/>
                  <w:noWrap w:val="0"/>
                  <w:vAlign w:val="center"/>
                </w:tcPr>
                <w:p w14:paraId="08EF538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70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34039C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13</w:t>
                  </w:r>
                </w:p>
              </w:tc>
              <w:tc>
                <w:tcPr>
                  <w:tcW w:w="1294" w:type="pct"/>
                  <w:noWrap w:val="0"/>
                  <w:vAlign w:val="center"/>
                </w:tcPr>
                <w:p w14:paraId="6AD9E017">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铅</w:t>
                  </w:r>
                </w:p>
              </w:tc>
              <w:tc>
                <w:tcPr>
                  <w:tcW w:w="894" w:type="pct"/>
                  <w:noWrap w:val="0"/>
                  <w:vAlign w:val="center"/>
                </w:tcPr>
                <w:p w14:paraId="242A94F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3E3F29F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0A44376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w:t>
                  </w:r>
                  <w:r>
                    <w:rPr>
                      <w:rFonts w:hint="eastAsia" w:ascii="Times New Roman" w:hAnsi="Times New Roman" w:cs="Times New Roman"/>
                      <w:bCs/>
                      <w:sz w:val="21"/>
                      <w:szCs w:val="21"/>
                      <w:lang w:val="en-US" w:eastAsia="zh-CN"/>
                    </w:rPr>
                    <w:t>5</w:t>
                  </w:r>
                </w:p>
              </w:tc>
              <w:tc>
                <w:tcPr>
                  <w:tcW w:w="634" w:type="pct"/>
                  <w:noWrap w:val="0"/>
                  <w:vAlign w:val="center"/>
                </w:tcPr>
                <w:p w14:paraId="1CB2699A">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1A85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55D8FD6F">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14</w:t>
                  </w:r>
                </w:p>
              </w:tc>
              <w:tc>
                <w:tcPr>
                  <w:tcW w:w="1294" w:type="pct"/>
                  <w:shd w:val="clear" w:color="auto" w:fill="auto"/>
                  <w:noWrap w:val="0"/>
                  <w:vAlign w:val="center"/>
                </w:tcPr>
                <w:p w14:paraId="427925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溶解氧</w:t>
                  </w:r>
                </w:p>
              </w:tc>
              <w:tc>
                <w:tcPr>
                  <w:tcW w:w="894" w:type="pct"/>
                  <w:shd w:val="clear" w:color="auto" w:fill="auto"/>
                  <w:noWrap w:val="0"/>
                  <w:vAlign w:val="center"/>
                </w:tcPr>
                <w:p w14:paraId="757E312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mg/L</w:t>
                  </w:r>
                </w:p>
              </w:tc>
              <w:tc>
                <w:tcPr>
                  <w:tcW w:w="894" w:type="pct"/>
                  <w:shd w:val="clear" w:color="auto" w:fill="auto"/>
                  <w:noWrap w:val="0"/>
                  <w:vAlign w:val="center"/>
                </w:tcPr>
                <w:p w14:paraId="6B105805">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8.03</w:t>
                  </w:r>
                </w:p>
              </w:tc>
              <w:tc>
                <w:tcPr>
                  <w:tcW w:w="901" w:type="pct"/>
                  <w:shd w:val="clear" w:color="auto" w:fill="auto"/>
                  <w:noWrap w:val="0"/>
                  <w:vAlign w:val="center"/>
                </w:tcPr>
                <w:p w14:paraId="5F2602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r>
                    <w:rPr>
                      <w:rFonts w:hint="eastAsia" w:ascii="Times New Roman" w:hAnsi="Times New Roman" w:cs="Times New Roman"/>
                      <w:bCs/>
                      <w:sz w:val="21"/>
                      <w:szCs w:val="21"/>
                      <w:lang w:val="en-US" w:eastAsia="zh-CN"/>
                    </w:rPr>
                    <w:t>5</w:t>
                  </w:r>
                </w:p>
              </w:tc>
              <w:tc>
                <w:tcPr>
                  <w:tcW w:w="634" w:type="pct"/>
                  <w:shd w:val="clear" w:color="auto" w:fill="auto"/>
                  <w:noWrap w:val="0"/>
                  <w:vAlign w:val="center"/>
                </w:tcPr>
                <w:p w14:paraId="0D9DFEA0">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rPr>
                    <w:t>达标</w:t>
                  </w:r>
                </w:p>
              </w:tc>
            </w:tr>
            <w:tr w14:paraId="6FE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BDF449C">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15</w:t>
                  </w:r>
                </w:p>
              </w:tc>
              <w:tc>
                <w:tcPr>
                  <w:tcW w:w="1294" w:type="pct"/>
                  <w:shd w:val="clear" w:color="auto" w:fill="auto"/>
                  <w:noWrap w:val="0"/>
                  <w:vAlign w:val="center"/>
                </w:tcPr>
                <w:p w14:paraId="6885D09E">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水温</w:t>
                  </w:r>
                </w:p>
              </w:tc>
              <w:tc>
                <w:tcPr>
                  <w:tcW w:w="894" w:type="pct"/>
                  <w:shd w:val="clear" w:color="auto" w:fill="auto"/>
                  <w:noWrap w:val="0"/>
                  <w:vAlign w:val="center"/>
                </w:tcPr>
                <w:p w14:paraId="6806941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894" w:type="pct"/>
                  <w:shd w:val="clear" w:color="auto" w:fill="auto"/>
                  <w:noWrap w:val="0"/>
                  <w:vAlign w:val="center"/>
                </w:tcPr>
                <w:p w14:paraId="2576CA4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1</w:t>
                  </w:r>
                </w:p>
              </w:tc>
              <w:tc>
                <w:tcPr>
                  <w:tcW w:w="901" w:type="pct"/>
                  <w:shd w:val="clear" w:color="auto" w:fill="auto"/>
                  <w:noWrap w:val="0"/>
                  <w:vAlign w:val="center"/>
                </w:tcPr>
                <w:p w14:paraId="63EA14D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634" w:type="pct"/>
                  <w:shd w:val="clear" w:color="auto" w:fill="auto"/>
                  <w:noWrap w:val="0"/>
                  <w:vAlign w:val="center"/>
                </w:tcPr>
                <w:p w14:paraId="41C75003">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r>
          </w:tbl>
          <w:p w14:paraId="00C1B4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eastAsia="宋体" w:cs="Times New Roman"/>
                <w:kern w:val="0"/>
                <w:sz w:val="24"/>
                <w:highlight w:val="none"/>
                <w:lang w:val="en-US" w:eastAsia="zh-CN" w:bidi="ar"/>
              </w:rPr>
            </w:pPr>
            <w:r>
              <w:rPr>
                <w:rFonts w:hint="eastAsia" w:cs="Times New Roman"/>
                <w:kern w:val="0"/>
                <w:sz w:val="24"/>
                <w:highlight w:val="none"/>
                <w:lang w:eastAsia="zh-CN" w:bidi="ar"/>
              </w:rPr>
              <w:t>根据收集的检测数据</w:t>
            </w:r>
            <w:r>
              <w:rPr>
                <w:rFonts w:hint="default" w:ascii="Times New Roman" w:hAnsi="Times New Roman" w:eastAsia="宋体" w:cs="Times New Roman"/>
                <w:kern w:val="0"/>
                <w:sz w:val="24"/>
                <w:highlight w:val="none"/>
                <w:lang w:bidi="ar"/>
              </w:rPr>
              <w:t>，</w:t>
            </w:r>
            <w:r>
              <w:rPr>
                <w:rFonts w:hint="eastAsia" w:ascii="Times New Roman" w:hAnsi="Times New Roman" w:cs="Times New Roman"/>
                <w:kern w:val="24"/>
                <w:sz w:val="24"/>
                <w:lang w:val="en-US" w:eastAsia="zh-CN" w:bidi="ar"/>
              </w:rPr>
              <w:t>瓦石峡河</w:t>
            </w:r>
            <w:r>
              <w:rPr>
                <w:rFonts w:hint="default" w:ascii="Times New Roman" w:hAnsi="Times New Roman" w:cs="Times New Roman"/>
                <w:kern w:val="24"/>
                <w:sz w:val="24"/>
                <w:lang w:val="en-US" w:eastAsia="zh-CN" w:bidi="ar"/>
              </w:rPr>
              <w:t>水环境质量满足《地表水环境质量标准》（GB 3838-2002）Ⅲ类水质，水环境质量良好。</w:t>
            </w:r>
          </w:p>
          <w:p w14:paraId="66FFEF84">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kern w:val="24"/>
                <w:sz w:val="24"/>
                <w:lang w:bidi="ar"/>
              </w:rPr>
            </w:pPr>
            <w:r>
              <w:rPr>
                <w:rFonts w:hint="eastAsia" w:cs="Times New Roman"/>
                <w:b/>
                <w:kern w:val="24"/>
                <w:sz w:val="24"/>
                <w:lang w:val="en-US" w:eastAsia="zh-CN" w:bidi="ar"/>
              </w:rPr>
              <w:t>4</w:t>
            </w:r>
            <w:r>
              <w:rPr>
                <w:rFonts w:hint="default" w:ascii="Times New Roman" w:hAnsi="Times New Roman" w:cs="Times New Roman"/>
                <w:b/>
                <w:kern w:val="24"/>
                <w:sz w:val="24"/>
                <w:lang w:bidi="ar"/>
              </w:rPr>
              <w:t>声环境质量现状监测及评价</w:t>
            </w:r>
          </w:p>
          <w:p w14:paraId="43DBE82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kern w:val="24"/>
                <w:sz w:val="24"/>
                <w:lang w:bidi="ar"/>
              </w:rPr>
              <w:t>《建设项目环境影响报告表编制技术指南（生态影响类）（试行）》规定：固定声源环境质量现状监测参照《建设项目环境影响报告表编制技术指南（污染影响类）（试行）》相关规定开展补充监测。</w:t>
            </w:r>
          </w:p>
          <w:p w14:paraId="7A7EFDF1">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kern w:val="24"/>
                <w:sz w:val="24"/>
                <w:highlight w:val="none"/>
                <w:lang w:val="en-US" w:eastAsia="zh-CN" w:bidi="ar"/>
              </w:rPr>
              <w:t>参照</w:t>
            </w:r>
            <w:r>
              <w:rPr>
                <w:rFonts w:hint="default" w:ascii="Times New Roman" w:hAnsi="Times New Roman" w:cs="Times New Roman"/>
                <w:kern w:val="24"/>
                <w:sz w:val="24"/>
                <w:highlight w:val="none"/>
                <w:lang w:bidi="ar"/>
              </w:rPr>
              <w:t>《建设项目环境影响报告表编制技术指南（污染影响类）（试行）》</w:t>
            </w:r>
            <w:r>
              <w:rPr>
                <w:rFonts w:hint="eastAsia" w:cs="Times New Roman"/>
                <w:kern w:val="24"/>
                <w:sz w:val="24"/>
                <w:highlight w:val="none"/>
                <w:lang w:eastAsia="zh-CN" w:bidi="ar"/>
              </w:rPr>
              <w:t>，</w:t>
            </w:r>
            <w:r>
              <w:rPr>
                <w:rFonts w:hint="default" w:ascii="Times New Roman" w:hAnsi="Times New Roman" w:cs="Times New Roman"/>
                <w:kern w:val="24"/>
                <w:sz w:val="24"/>
                <w:highlight w:val="none"/>
                <w:lang w:bidi="ar"/>
              </w:rPr>
              <w:t>厂界外周边50m范围内存在声环境保护目标的建设项目，应监测保护目标声环境质量现状并评价达标情况，各点位应监测昼夜间噪声，监测时间不少于1天。</w:t>
            </w:r>
            <w:r>
              <w:rPr>
                <w:rFonts w:hint="eastAsia" w:cs="Times New Roman"/>
                <w:color w:val="auto"/>
                <w:kern w:val="24"/>
                <w:sz w:val="24"/>
                <w:highlight w:val="none"/>
                <w:lang w:val="en-US" w:eastAsia="zh-CN" w:bidi="ar"/>
              </w:rPr>
              <w:t>本次评价</w:t>
            </w:r>
            <w:r>
              <w:rPr>
                <w:rFonts w:hint="default" w:ascii="Times New Roman" w:hAnsi="Times New Roman" w:cs="Times New Roman"/>
                <w:color w:val="auto"/>
                <w:kern w:val="24"/>
                <w:sz w:val="24"/>
                <w:highlight w:val="none"/>
                <w:lang w:bidi="ar"/>
              </w:rPr>
              <w:t>委托</w:t>
            </w:r>
            <w:r>
              <w:rPr>
                <w:rFonts w:hint="default" w:ascii="Times New Roman" w:hAnsi="Times New Roman" w:cs="Times New Roman"/>
                <w:color w:val="auto"/>
                <w:kern w:val="24"/>
                <w:sz w:val="24"/>
                <w:highlight w:val="none"/>
                <w:lang w:val="en-US" w:eastAsia="zh-CN" w:bidi="ar"/>
              </w:rPr>
              <w:t>新疆中测测试有限责任公司</w:t>
            </w:r>
            <w:r>
              <w:rPr>
                <w:rFonts w:hint="default" w:ascii="Times New Roman" w:hAnsi="Times New Roman" w:cs="Times New Roman"/>
                <w:color w:val="auto"/>
                <w:kern w:val="24"/>
                <w:sz w:val="24"/>
                <w:highlight w:val="none"/>
                <w:lang w:bidi="ar"/>
              </w:rPr>
              <w:t>对</w:t>
            </w:r>
            <w:r>
              <w:rPr>
                <w:rFonts w:hint="eastAsia" w:cs="Times New Roman"/>
                <w:color w:val="auto"/>
                <w:kern w:val="24"/>
                <w:sz w:val="24"/>
                <w:highlight w:val="none"/>
                <w:lang w:val="en-US" w:eastAsia="zh-CN" w:bidi="ar"/>
              </w:rPr>
              <w:t>环境敏感目标处</w:t>
            </w:r>
            <w:r>
              <w:rPr>
                <w:rFonts w:hint="default" w:ascii="Times New Roman" w:hAnsi="Times New Roman" w:cs="Times New Roman"/>
                <w:color w:val="auto"/>
                <w:kern w:val="24"/>
                <w:sz w:val="24"/>
                <w:highlight w:val="none"/>
                <w:lang w:bidi="ar"/>
              </w:rPr>
              <w:t>声环境质量现状进行监测</w:t>
            </w:r>
            <w:r>
              <w:rPr>
                <w:rFonts w:hint="eastAsia" w:cs="Times New Roman"/>
                <w:color w:val="auto"/>
                <w:kern w:val="24"/>
                <w:sz w:val="24"/>
                <w:highlight w:val="none"/>
                <w:lang w:eastAsia="zh-CN" w:bidi="ar"/>
              </w:rPr>
              <w:t>，</w:t>
            </w:r>
            <w:r>
              <w:rPr>
                <w:rFonts w:hint="eastAsia" w:cs="Times New Roman"/>
                <w:color w:val="auto"/>
                <w:kern w:val="24"/>
                <w:sz w:val="24"/>
                <w:highlight w:val="none"/>
                <w:lang w:val="en-US" w:eastAsia="zh-CN" w:bidi="ar"/>
              </w:rPr>
              <w:t>监测时间为</w:t>
            </w:r>
            <w:r>
              <w:rPr>
                <w:rFonts w:hint="default" w:ascii="Times New Roman" w:hAnsi="Times New Roman" w:eastAsia="宋体" w:cs="Times New Roman"/>
                <w:color w:val="auto"/>
                <w:kern w:val="2"/>
                <w:sz w:val="24"/>
                <w:szCs w:val="24"/>
                <w:highlight w:val="none"/>
                <w:lang w:val="en-US" w:eastAsia="zh-CN" w:bidi="ar-SA"/>
              </w:rPr>
              <w:t>2026年</w:t>
            </w:r>
            <w:r>
              <w:rPr>
                <w:rFonts w:hint="eastAsia" w:cs="Times New Roman"/>
                <w:color w:val="auto"/>
                <w:kern w:val="2"/>
                <w:sz w:val="24"/>
                <w:szCs w:val="24"/>
                <w:highlight w:val="none"/>
                <w:lang w:val="en-US" w:eastAsia="zh-CN" w:bidi="ar-SA"/>
              </w:rPr>
              <w:t>8</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31</w:t>
            </w:r>
            <w:r>
              <w:rPr>
                <w:rFonts w:hint="default" w:ascii="Times New Roman" w:hAnsi="Times New Roman" w:eastAsia="宋体" w:cs="Times New Roman"/>
                <w:color w:val="auto"/>
                <w:kern w:val="2"/>
                <w:sz w:val="24"/>
                <w:szCs w:val="24"/>
                <w:highlight w:val="none"/>
                <w:lang w:val="en-US" w:eastAsia="zh-CN" w:bidi="ar-SA"/>
              </w:rPr>
              <w:t>日～2026年</w:t>
            </w:r>
            <w:r>
              <w:rPr>
                <w:rFonts w:hint="eastAsia" w:cs="Times New Roman"/>
                <w:color w:val="auto"/>
                <w:kern w:val="2"/>
                <w:sz w:val="24"/>
                <w:szCs w:val="24"/>
                <w:highlight w:val="none"/>
                <w:lang w:val="en-US" w:eastAsia="zh-CN" w:bidi="ar-SA"/>
              </w:rPr>
              <w:t>9</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日</w:t>
            </w:r>
            <w:r>
              <w:rPr>
                <w:rFonts w:hint="default" w:ascii="Times New Roman" w:hAnsi="Times New Roman" w:cs="Times New Roman"/>
                <w:color w:val="auto"/>
                <w:kern w:val="24"/>
                <w:sz w:val="24"/>
                <w:highlight w:val="none"/>
                <w:lang w:bidi="ar"/>
              </w:rPr>
              <w:t>，监测结果见表</w:t>
            </w:r>
            <w:r>
              <w:rPr>
                <w:rFonts w:hint="default" w:ascii="Times New Roman" w:hAnsi="Times New Roman" w:cs="Times New Roman"/>
                <w:color w:val="auto"/>
                <w:kern w:val="24"/>
                <w:sz w:val="24"/>
                <w:highlight w:val="none"/>
                <w:lang w:val="en-US" w:eastAsia="zh-CN" w:bidi="ar"/>
              </w:rPr>
              <w:t>3-</w:t>
            </w:r>
            <w:r>
              <w:rPr>
                <w:rFonts w:hint="eastAsia" w:cs="Times New Roman"/>
                <w:color w:val="auto"/>
                <w:kern w:val="24"/>
                <w:sz w:val="24"/>
                <w:highlight w:val="none"/>
                <w:lang w:val="en-US" w:eastAsia="zh-CN" w:bidi="ar"/>
              </w:rPr>
              <w:t>5</w:t>
            </w:r>
            <w:r>
              <w:rPr>
                <w:rFonts w:hint="default" w:ascii="Times New Roman" w:hAnsi="Times New Roman" w:cs="Times New Roman"/>
                <w:kern w:val="24"/>
                <w:sz w:val="24"/>
                <w:highlight w:val="none"/>
                <w:lang w:bidi="ar"/>
              </w:rPr>
              <w:t>。</w:t>
            </w:r>
          </w:p>
          <w:p w14:paraId="590C9C94">
            <w:pPr>
              <w:keepNext w:val="0"/>
              <w:keepLines w:val="0"/>
              <w:pageBreakBefore w:val="0"/>
              <w:widowControl w:val="0"/>
              <w:kinsoku/>
              <w:wordWrap/>
              <w:overflowPunct/>
              <w:topLinePunct w:val="0"/>
              <w:autoSpaceDE w:val="0"/>
              <w:autoSpaceDN/>
              <w:bidi w:val="0"/>
              <w:adjustRightInd/>
              <w:snapToGrid/>
              <w:spacing w:line="480" w:lineRule="exact"/>
              <w:ind w:firstLine="482" w:firstLineChars="200"/>
              <w:jc w:val="center"/>
              <w:textAlignment w:val="auto"/>
              <w:rPr>
                <w:rFonts w:hint="default" w:ascii="Times New Roman" w:hAnsi="Times New Roman" w:cs="Times New Roman"/>
                <w:kern w:val="24"/>
                <w:sz w:val="24"/>
                <w:lang w:bidi="ar"/>
              </w:rPr>
            </w:pPr>
            <w:r>
              <w:rPr>
                <w:rFonts w:hint="default" w:ascii="Times New Roman" w:hAnsi="Times New Roman" w:cs="Times New Roman"/>
                <w:b/>
                <w:bCs/>
                <w:color w:val="000000"/>
                <w:kern w:val="24"/>
                <w:sz w:val="24"/>
                <w:highlight w:val="none"/>
                <w:lang w:bidi="ar"/>
              </w:rPr>
              <w:t>表</w:t>
            </w:r>
            <w:r>
              <w:rPr>
                <w:rFonts w:hint="default" w:ascii="Times New Roman" w:hAnsi="Times New Roman" w:cs="Times New Roman"/>
                <w:b/>
                <w:bCs/>
                <w:color w:val="000000"/>
                <w:kern w:val="24"/>
                <w:sz w:val="24"/>
                <w:highlight w:val="none"/>
                <w:lang w:val="en-US" w:eastAsia="zh-CN" w:bidi="ar"/>
              </w:rPr>
              <w:t>3-</w:t>
            </w:r>
            <w:r>
              <w:rPr>
                <w:rFonts w:hint="eastAsia" w:cs="Times New Roman"/>
                <w:b/>
                <w:bCs/>
                <w:color w:val="000000"/>
                <w:kern w:val="24"/>
                <w:sz w:val="24"/>
                <w:highlight w:val="none"/>
                <w:lang w:val="en-US" w:eastAsia="zh-CN" w:bidi="ar"/>
              </w:rPr>
              <w:t>5</w:t>
            </w:r>
            <w:r>
              <w:rPr>
                <w:rFonts w:hint="eastAsia" w:ascii="Times New Roman" w:hAnsi="Times New Roman" w:cs="Times New Roman"/>
                <w:b/>
                <w:bCs/>
                <w:color w:val="000000"/>
                <w:kern w:val="24"/>
                <w:sz w:val="24"/>
                <w:highlight w:val="none"/>
                <w:lang w:val="en-US" w:eastAsia="zh-CN" w:bidi="ar"/>
              </w:rPr>
              <w:t xml:space="preserve">   </w:t>
            </w:r>
            <w:r>
              <w:rPr>
                <w:rFonts w:hint="default" w:ascii="Times New Roman" w:hAnsi="Times New Roman" w:cs="Times New Roman"/>
                <w:b/>
                <w:bCs/>
                <w:color w:val="000000"/>
                <w:kern w:val="24"/>
                <w:sz w:val="24"/>
                <w:highlight w:val="none"/>
                <w:lang w:bidi="ar"/>
              </w:rPr>
              <w:t>声环境现状监测</w:t>
            </w:r>
            <w:r>
              <w:rPr>
                <w:rFonts w:hint="default" w:ascii="Times New Roman" w:hAnsi="Times New Roman" w:cs="Times New Roman"/>
                <w:b/>
                <w:bCs/>
                <w:color w:val="000000"/>
                <w:kern w:val="24"/>
                <w:sz w:val="24"/>
                <w:highlight w:val="none"/>
                <w:lang w:val="en-US" w:eastAsia="zh-CN" w:bidi="ar"/>
              </w:rPr>
              <w:t>报告</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3198"/>
              <w:gridCol w:w="666"/>
              <w:gridCol w:w="655"/>
              <w:gridCol w:w="695"/>
              <w:gridCol w:w="673"/>
              <w:gridCol w:w="843"/>
              <w:gridCol w:w="849"/>
            </w:tblGrid>
            <w:tr w14:paraId="022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69" w:type="pct"/>
                  <w:gridSpan w:val="2"/>
                  <w:vMerge w:val="restart"/>
                  <w:tcBorders>
                    <w:top w:val="single" w:color="auto" w:sz="4" w:space="0"/>
                    <w:left w:val="single" w:color="auto" w:sz="4" w:space="0"/>
                    <w:right w:val="single" w:color="auto" w:sz="4" w:space="0"/>
                    <w:tl2br w:val="nil"/>
                    <w:tr2bl w:val="nil"/>
                  </w:tcBorders>
                  <w:noWrap w:val="0"/>
                  <w:vAlign w:val="center"/>
                </w:tcPr>
                <w:p w14:paraId="7C4134DB">
                  <w:pPr>
                    <w:pStyle w:val="54"/>
                    <w:keepNext w:val="0"/>
                    <w:keepLines w:val="0"/>
                    <w:suppressLineNumbers w:val="0"/>
                    <w:spacing w:before="0" w:beforeLines="0" w:beforeAutospacing="0" w:after="0" w:afterLines="0" w:afterAutospacing="0"/>
                    <w:ind w:left="0" w:right="0"/>
                    <w:rPr>
                      <w:rFonts w:hint="eastAsia"/>
                      <w:color w:val="auto"/>
                      <w:sz w:val="21"/>
                      <w:szCs w:val="21"/>
                    </w:rPr>
                  </w:pPr>
                  <w:r>
                    <w:rPr>
                      <w:rFonts w:hint="eastAsia"/>
                      <w:color w:val="auto"/>
                      <w:sz w:val="21"/>
                      <w:szCs w:val="21"/>
                    </w:rPr>
                    <w:t>点位</w:t>
                  </w:r>
                </w:p>
              </w:tc>
              <w:tc>
                <w:tcPr>
                  <w:tcW w:w="82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1EE55F0">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现状值</w:t>
                  </w:r>
                </w:p>
              </w:tc>
              <w:tc>
                <w:tcPr>
                  <w:tcW w:w="852"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52763E8">
                  <w:pPr>
                    <w:pStyle w:val="54"/>
                    <w:keepNext w:val="0"/>
                    <w:keepLines w:val="0"/>
                    <w:suppressLineNumbers w:val="0"/>
                    <w:spacing w:before="0" w:beforeLines="0" w:beforeAutospacing="0" w:after="0" w:afterLines="0" w:afterAutospacing="0"/>
                    <w:ind w:left="0" w:right="0"/>
                    <w:rPr>
                      <w:rFonts w:hint="eastAsia" w:eastAsia="宋体"/>
                      <w:color w:val="auto"/>
                      <w:sz w:val="21"/>
                      <w:szCs w:val="21"/>
                      <w:lang w:val="en-US" w:eastAsia="zh-CN"/>
                    </w:rPr>
                  </w:pPr>
                  <w:r>
                    <w:rPr>
                      <w:rFonts w:hint="eastAsia"/>
                      <w:color w:val="auto"/>
                      <w:sz w:val="21"/>
                      <w:szCs w:val="21"/>
                      <w:lang w:val="en-US" w:eastAsia="zh-CN"/>
                    </w:rPr>
                    <w:t>标准值</w:t>
                  </w:r>
                </w:p>
              </w:tc>
              <w:tc>
                <w:tcPr>
                  <w:tcW w:w="1054"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D5C6825">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达标分析</w:t>
                  </w:r>
                </w:p>
              </w:tc>
            </w:tr>
            <w:tr w14:paraId="1BBE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69" w:type="pct"/>
                  <w:gridSpan w:val="2"/>
                  <w:vMerge w:val="continue"/>
                  <w:tcBorders>
                    <w:left w:val="single" w:color="auto" w:sz="4" w:space="0"/>
                    <w:bottom w:val="single" w:color="auto" w:sz="4" w:space="0"/>
                    <w:right w:val="single" w:color="auto" w:sz="4" w:space="0"/>
                    <w:tl2br w:val="nil"/>
                    <w:tr2bl w:val="nil"/>
                  </w:tcBorders>
                  <w:noWrap w:val="0"/>
                  <w:vAlign w:val="center"/>
                </w:tcPr>
                <w:p w14:paraId="0B44E4CF">
                  <w:pPr>
                    <w:pStyle w:val="54"/>
                    <w:keepNext w:val="0"/>
                    <w:keepLines w:val="0"/>
                    <w:suppressLineNumbers w:val="0"/>
                    <w:spacing w:before="0" w:beforeLines="0" w:beforeAutospacing="0" w:after="0" w:afterLines="0" w:afterAutospacing="0"/>
                    <w:ind w:left="0" w:right="0"/>
                    <w:rPr>
                      <w:rFonts w:hint="eastAsia"/>
                      <w:color w:val="auto"/>
                      <w:sz w:val="21"/>
                      <w:szCs w:val="21"/>
                    </w:rPr>
                  </w:pP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23B7B9">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昼间</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9819AA">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夜间</w:t>
                  </w:r>
                </w:p>
              </w:tc>
              <w:tc>
                <w:tcPr>
                  <w:tcW w:w="43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3A9F47">
                  <w:pPr>
                    <w:pStyle w:val="54"/>
                    <w:keepNext w:val="0"/>
                    <w:keepLines w:val="0"/>
                    <w:suppressLineNumbers w:val="0"/>
                    <w:spacing w:before="0" w:beforeLines="0" w:beforeAutospacing="0" w:after="0" w:afterLines="0" w:afterAutospacing="0"/>
                    <w:ind w:left="0" w:right="0"/>
                    <w:rPr>
                      <w:rFonts w:hint="eastAsia"/>
                      <w:color w:val="auto"/>
                      <w:sz w:val="21"/>
                      <w:szCs w:val="21"/>
                    </w:rPr>
                  </w:pPr>
                  <w:r>
                    <w:rPr>
                      <w:rFonts w:hint="eastAsia"/>
                      <w:color w:val="auto"/>
                      <w:sz w:val="21"/>
                      <w:szCs w:val="21"/>
                    </w:rPr>
                    <w:t>昼间</w:t>
                  </w:r>
                </w:p>
              </w:tc>
              <w:tc>
                <w:tcPr>
                  <w:tcW w:w="4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5D8B83">
                  <w:pPr>
                    <w:pStyle w:val="54"/>
                    <w:keepNext w:val="0"/>
                    <w:keepLines w:val="0"/>
                    <w:suppressLineNumbers w:val="0"/>
                    <w:spacing w:before="0" w:beforeLines="0" w:beforeAutospacing="0" w:after="0" w:afterLines="0" w:afterAutospacing="0"/>
                    <w:ind w:left="0" w:right="0"/>
                    <w:rPr>
                      <w:rFonts w:hint="eastAsia"/>
                      <w:color w:val="auto"/>
                      <w:sz w:val="21"/>
                      <w:szCs w:val="21"/>
                    </w:rPr>
                  </w:pPr>
                  <w:r>
                    <w:rPr>
                      <w:rFonts w:hint="eastAsia"/>
                      <w:color w:val="auto"/>
                      <w:sz w:val="21"/>
                      <w:szCs w:val="21"/>
                    </w:rPr>
                    <w:t>夜间</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BCACB">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昼间</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3CADD5">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rPr>
                    <w:t>夜间</w:t>
                  </w:r>
                </w:p>
              </w:tc>
            </w:tr>
            <w:tr w14:paraId="4931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108D99">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1#</w:t>
                  </w:r>
                </w:p>
              </w:tc>
              <w:tc>
                <w:tcPr>
                  <w:tcW w:w="199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859350">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lang w:val="en-US" w:eastAsia="zh-CN"/>
                    </w:rPr>
                  </w:pPr>
                  <w:r>
                    <w:rPr>
                      <w:rFonts w:hint="default" w:ascii="Times New Roman" w:hAnsi="Times New Roman" w:eastAsia="宋体" w:cs="宋体"/>
                      <w:color w:val="auto"/>
                      <w:sz w:val="21"/>
                      <w:szCs w:val="21"/>
                      <w:lang w:val="en-US" w:eastAsia="zh-CN"/>
                    </w:rPr>
                    <w:t>胡目丹琼库尔村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B9AC9A">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44</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0C0CD8">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39</w:t>
                  </w:r>
                </w:p>
              </w:tc>
              <w:tc>
                <w:tcPr>
                  <w:tcW w:w="433" w:type="pct"/>
                  <w:vMerge w:val="restart"/>
                  <w:tcBorders>
                    <w:top w:val="single" w:color="auto" w:sz="4" w:space="0"/>
                    <w:left w:val="single" w:color="auto" w:sz="4" w:space="0"/>
                    <w:right w:val="single" w:color="auto" w:sz="4" w:space="0"/>
                    <w:tl2br w:val="nil"/>
                    <w:tr2bl w:val="nil"/>
                  </w:tcBorders>
                  <w:noWrap w:val="0"/>
                  <w:vAlign w:val="center"/>
                </w:tcPr>
                <w:p w14:paraId="3A00F711">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lang w:val="en-US" w:eastAsia="zh-CN"/>
                    </w:rPr>
                  </w:pPr>
                  <w:r>
                    <w:rPr>
                      <w:rFonts w:hint="eastAsia"/>
                      <w:color w:val="auto"/>
                      <w:sz w:val="21"/>
                      <w:szCs w:val="21"/>
                      <w:lang w:val="en-US" w:eastAsia="zh-CN"/>
                    </w:rPr>
                    <w:t>55</w:t>
                  </w:r>
                </w:p>
              </w:tc>
              <w:tc>
                <w:tcPr>
                  <w:tcW w:w="419" w:type="pct"/>
                  <w:vMerge w:val="restart"/>
                  <w:tcBorders>
                    <w:top w:val="single" w:color="auto" w:sz="4" w:space="0"/>
                    <w:left w:val="single" w:color="auto" w:sz="4" w:space="0"/>
                    <w:right w:val="single" w:color="auto" w:sz="4" w:space="0"/>
                    <w:tl2br w:val="nil"/>
                    <w:tr2bl w:val="nil"/>
                  </w:tcBorders>
                  <w:noWrap w:val="0"/>
                  <w:vAlign w:val="center"/>
                </w:tcPr>
                <w:p w14:paraId="104EA7B8">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lang w:val="en-US" w:eastAsia="zh-CN"/>
                    </w:rPr>
                  </w:pPr>
                  <w:r>
                    <w:rPr>
                      <w:rFonts w:hint="eastAsia"/>
                      <w:color w:val="auto"/>
                      <w:sz w:val="21"/>
                      <w:szCs w:val="21"/>
                      <w:lang w:val="en-US" w:eastAsia="zh-CN"/>
                    </w:rPr>
                    <w:t>45</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791AE9">
                  <w:pPr>
                    <w:pStyle w:val="54"/>
                    <w:keepNext w:val="0"/>
                    <w:keepLines w:val="0"/>
                    <w:suppressLineNumbers w:val="0"/>
                    <w:spacing w:before="0" w:beforeLines="0" w:beforeAutospacing="0" w:after="0" w:afterLines="0" w:afterAutospacing="0"/>
                    <w:ind w:left="0" w:right="0"/>
                    <w:rPr>
                      <w:rFonts w:hint="eastAsia" w:eastAsia="宋体"/>
                      <w:color w:val="auto"/>
                      <w:sz w:val="21"/>
                      <w:szCs w:val="21"/>
                      <w:lang w:val="en-US" w:eastAsia="zh-CN"/>
                    </w:rPr>
                  </w:pPr>
                  <w:r>
                    <w:rPr>
                      <w:rFonts w:hint="eastAsia"/>
                      <w:color w:val="auto"/>
                      <w:sz w:val="21"/>
                      <w:szCs w:val="21"/>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4ACAAD">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lang w:val="en-US" w:eastAsia="zh-CN"/>
                    </w:rPr>
                    <w:t>达标</w:t>
                  </w:r>
                </w:p>
              </w:tc>
            </w:tr>
            <w:tr w14:paraId="29D5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3F045D">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2#</w:t>
                  </w:r>
                </w:p>
              </w:tc>
              <w:tc>
                <w:tcPr>
                  <w:tcW w:w="199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09A1B5">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58EDFC">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E614871">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38</w:t>
                  </w:r>
                </w:p>
              </w:tc>
              <w:tc>
                <w:tcPr>
                  <w:tcW w:w="433" w:type="pct"/>
                  <w:vMerge w:val="continue"/>
                  <w:tcBorders>
                    <w:left w:val="single" w:color="auto" w:sz="4" w:space="0"/>
                    <w:right w:val="single" w:color="auto" w:sz="4" w:space="0"/>
                    <w:tl2br w:val="nil"/>
                    <w:tr2bl w:val="nil"/>
                  </w:tcBorders>
                  <w:noWrap w:val="0"/>
                  <w:vAlign w:val="center"/>
                </w:tcPr>
                <w:p w14:paraId="4DFF1788">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597B3F0D">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8B0F47">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5F29F4">
                  <w:pPr>
                    <w:pStyle w:val="54"/>
                    <w:keepNext w:val="0"/>
                    <w:keepLines w:val="0"/>
                    <w:suppressLineNumbers w:val="0"/>
                    <w:spacing w:before="0" w:beforeLines="0" w:beforeAutospacing="0" w:after="0" w:afterLines="0" w:afterAutospacing="0"/>
                    <w:ind w:left="0" w:right="0"/>
                    <w:rPr>
                      <w:rFonts w:hint="default"/>
                      <w:color w:val="auto"/>
                      <w:sz w:val="21"/>
                      <w:szCs w:val="21"/>
                    </w:rPr>
                  </w:pPr>
                  <w:r>
                    <w:rPr>
                      <w:rFonts w:hint="eastAsia"/>
                      <w:color w:val="auto"/>
                      <w:sz w:val="21"/>
                      <w:szCs w:val="21"/>
                      <w:lang w:val="en-US" w:eastAsia="zh-CN"/>
                    </w:rPr>
                    <w:t>达标</w:t>
                  </w:r>
                </w:p>
              </w:tc>
            </w:tr>
          </w:tbl>
          <w:p w14:paraId="4226A38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r>
              <w:rPr>
                <w:rFonts w:hint="eastAsia" w:ascii="Times New Roman" w:hAnsi="Times New Roman" w:eastAsia="宋体" w:cs="Times New Roman"/>
                <w:kern w:val="24"/>
                <w:sz w:val="24"/>
                <w:lang w:bidi="ar"/>
              </w:rPr>
              <w:t>由</w:t>
            </w:r>
            <w:r>
              <w:rPr>
                <w:rFonts w:hint="eastAsia" w:ascii="Times New Roman" w:hAnsi="Times New Roman" w:eastAsia="宋体" w:cs="Times New Roman"/>
                <w:kern w:val="24"/>
                <w:sz w:val="24"/>
                <w:lang w:val="en-US" w:eastAsia="zh-CN" w:bidi="ar"/>
              </w:rPr>
              <w:t>上表</w:t>
            </w:r>
            <w:r>
              <w:rPr>
                <w:rFonts w:hint="eastAsia" w:ascii="Times New Roman" w:hAnsi="Times New Roman" w:eastAsia="宋体" w:cs="Times New Roman"/>
                <w:kern w:val="24"/>
                <w:sz w:val="24"/>
                <w:lang w:bidi="ar"/>
              </w:rPr>
              <w:t>可知，项目区保护目标声环境质量现状满足《声环境质量标准》（GB 3096-2008）中1类标准要求</w:t>
            </w:r>
            <w:r>
              <w:rPr>
                <w:rFonts w:hint="default" w:ascii="Times New Roman" w:hAnsi="Times New Roman" w:eastAsia="宋体" w:cs="Times New Roman"/>
                <w:kern w:val="24"/>
                <w:sz w:val="24"/>
                <w:lang w:bidi="ar"/>
              </w:rPr>
              <w:t>。</w:t>
            </w:r>
          </w:p>
          <w:p w14:paraId="7B6F0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5</w:t>
            </w:r>
            <w:r>
              <w:rPr>
                <w:rFonts w:hint="default" w:ascii="Times New Roman" w:hAnsi="Times New Roman" w:cs="Times New Roman"/>
                <w:b/>
                <w:bCs/>
                <w:kern w:val="24"/>
                <w:sz w:val="24"/>
                <w:highlight w:val="none"/>
                <w:lang w:bidi="ar"/>
              </w:rPr>
              <w:t>地下水环境质量现状调查及评价</w:t>
            </w:r>
          </w:p>
          <w:p w14:paraId="3C2A22B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其他（不含高标准农田、滴灌等节水改造工程）”，根据《环境影响评价技术导则地下水环境》</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HJ610-2016</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，对照导则附录 A—地下水环境影响评价行业分类表，本项目地下水环境影响评价项目类别为Ⅳ类，不开展地下水环境影响评价。因此，本项目不开展地下水环境质量补充监测和调查。</w:t>
            </w:r>
          </w:p>
          <w:p w14:paraId="662184FA">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6</w:t>
            </w:r>
            <w:r>
              <w:rPr>
                <w:rFonts w:hint="default" w:ascii="Times New Roman" w:hAnsi="Times New Roman" w:cs="Times New Roman"/>
                <w:b/>
                <w:bCs/>
                <w:kern w:val="24"/>
                <w:sz w:val="24"/>
                <w:highlight w:val="none"/>
                <w:lang w:bidi="ar"/>
              </w:rPr>
              <w:t>土壤环境质量现状调查及评价</w:t>
            </w:r>
          </w:p>
          <w:p w14:paraId="055FA96A">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其他（不含高标准农田、滴灌等节水改造工程）”，根据《环境影响评价技术导则土壤环境（试行）》</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HJ964-2018</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附录 A 土壤环境影响评价行业分类表，项目</w:t>
            </w:r>
            <w:r>
              <w:rPr>
                <w:rFonts w:hint="default" w:ascii="Times New Roman" w:hAnsi="Times New Roman" w:cs="Times New Roman"/>
                <w:kern w:val="24"/>
                <w:sz w:val="24"/>
                <w:highlight w:val="none"/>
                <w:lang w:eastAsia="zh-CN" w:bidi="ar"/>
              </w:rPr>
              <w:t>属于</w:t>
            </w:r>
            <w:r>
              <w:rPr>
                <w:rFonts w:hint="default" w:ascii="Times New Roman" w:hAnsi="Times New Roman" w:cs="Times New Roman"/>
                <w:kern w:val="24"/>
                <w:sz w:val="24"/>
                <w:highlight w:val="none"/>
                <w:lang w:bidi="ar"/>
              </w:rPr>
              <w:t>“其他行业”，属于Ⅳ类项目，无需进行土壤环境质量现状监测及评价。</w:t>
            </w:r>
          </w:p>
          <w:p w14:paraId="625CBFD7">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p>
        </w:tc>
      </w:tr>
      <w:tr w14:paraId="123EE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3" w:hRule="atLeast"/>
          <w:jc w:val="center"/>
        </w:trPr>
        <w:tc>
          <w:tcPr>
            <w:tcW w:w="904" w:type="dxa"/>
            <w:noWrap w:val="0"/>
            <w:vAlign w:val="center"/>
          </w:tcPr>
          <w:p w14:paraId="311E026E">
            <w:pPr>
              <w:adjustRightInd w:val="0"/>
              <w:snapToGrid w:val="0"/>
              <w:jc w:val="center"/>
              <w:rPr>
                <w:rFonts w:ascii="宋体" w:hAnsi="宋体" w:cs="宋体"/>
                <w:kern w:val="0"/>
                <w:szCs w:val="21"/>
              </w:rPr>
            </w:pPr>
            <w:r>
              <w:rPr>
                <w:rFonts w:hint="eastAsia" w:ascii="宋体" w:hAnsi="宋体"/>
                <w:bCs/>
                <w:szCs w:val="21"/>
              </w:rPr>
              <w:t>与项目有关的原有环境污染和生态破坏问题</w:t>
            </w:r>
          </w:p>
        </w:tc>
        <w:tc>
          <w:tcPr>
            <w:tcW w:w="8253" w:type="dxa"/>
            <w:noWrap w:val="0"/>
            <w:vAlign w:val="center"/>
          </w:tcPr>
          <w:p w14:paraId="319EB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eastAsia"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1工程现状</w:t>
            </w:r>
          </w:p>
          <w:p w14:paraId="05EB00FF">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根据现场踏勘，灌区内基本形成条田、渠道、林带、道路、居民点的格局，规划布局也基本合理，但由于自然条件及资金等原因，灌溉渠道未能防渗，原有设施破损、缺失严重；局部时段供水能力不足。灌区存在以下几个方面问题：</w:t>
            </w:r>
          </w:p>
          <w:p w14:paraId="2E227404">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（1）渠道渗漏损失大，</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缺失灌溉困难</w:t>
            </w:r>
          </w:p>
          <w:p w14:paraId="68721AAE">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工程现状输水渠道中部分干渠为未经防渗土渠，渗漏损失严重，水资源浪费较大；因渠道纵坡较小，渠道流水不畅，分水口</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缺失，导致灌溉困难，多处边坡塌陷，掏蚀严重。</w:t>
            </w:r>
          </w:p>
          <w:p w14:paraId="17723FC1">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（2）冲刷、淤积破坏较为严重</w:t>
            </w:r>
          </w:p>
          <w:p w14:paraId="701C0A6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项目区地形较为平坦，因此渠道纵坡较小，流速较小，导致在输水过程中时常发生淤积、翻水，导致渠肩塌陷，造成断面不规则，甚至出现冲坑，水土流失较为严重。为确保灌区农牧业生产的正常用水，灌区农民群众每年需对渠道进行维修整治，增加了灌区农民群众的负担。</w:t>
            </w:r>
          </w:p>
          <w:p w14:paraId="6FB35EDC">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（3）管理设施不完善且管理力量薄弱</w:t>
            </w:r>
          </w:p>
          <w:p w14:paraId="6D63021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灌区内量水、测水设施少，未设置自动化监控系统，无法有效调配水量，灌区用水量采用按亩均摊的办法，给用水单位用水和水管部门管理造成困难。渠道沿线配套构筑物数量不足、不完善、不配套，农民破坏渠道随意设立取水口、木桥，更有甚者，房屋建在渠道上，存在安全隐患。闸门年久失修、变形，闸门简陋，部分分水口缺少闸门，启闭设备不配套、操作不灵活，止水橡皮老化，闸门漏水严重，已不能起到节制控水作用。虽然建立了管理机构，但缺少科学的管理机制，人员配置不全，技术力量薄弱，不能按灌区需水适量灌溉。</w:t>
            </w:r>
          </w:p>
          <w:p w14:paraId="2559215E">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2整改措施</w:t>
            </w:r>
          </w:p>
          <w:p w14:paraId="136D6F7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ascii="宋体" w:hAnsi="宋体" w:cs="宋体"/>
                <w:kern w:val="0"/>
                <w:szCs w:val="21"/>
              </w:rPr>
            </w:pPr>
            <w:r>
              <w:rPr>
                <w:rFonts w:hint="default" w:ascii="Times New Roman" w:hAnsi="Times New Roman" w:eastAsia="宋体" w:cs="Times New Roman"/>
                <w:kern w:val="24"/>
                <w:sz w:val="24"/>
                <w:highlight w:val="none"/>
                <w:lang w:val="en-US" w:eastAsia="zh-CN" w:bidi="ar"/>
              </w:rPr>
              <w:t>本项目</w:t>
            </w:r>
            <w:r>
              <w:rPr>
                <w:rFonts w:hint="eastAsia" w:cs="Times New Roman"/>
                <w:kern w:val="24"/>
                <w:sz w:val="24"/>
                <w:highlight w:val="none"/>
                <w:lang w:val="en-US" w:eastAsia="zh-CN" w:bidi="ar"/>
              </w:rPr>
              <w:t>防渗渠建设</w:t>
            </w:r>
            <w:r>
              <w:rPr>
                <w:rFonts w:hint="default" w:ascii="Times New Roman" w:hAnsi="Times New Roman" w:eastAsia="宋体" w:cs="Times New Roman"/>
                <w:kern w:val="24"/>
                <w:sz w:val="24"/>
                <w:highlight w:val="none"/>
                <w:lang w:val="en-US" w:eastAsia="zh-CN" w:bidi="ar"/>
              </w:rPr>
              <w:t>及构筑物配套工程，各渠道均沿原</w:t>
            </w:r>
            <w:r>
              <w:rPr>
                <w:rFonts w:hint="eastAsia" w:cs="Times New Roman"/>
                <w:kern w:val="24"/>
                <w:sz w:val="24"/>
                <w:highlight w:val="none"/>
                <w:lang w:val="en-US" w:eastAsia="zh-CN" w:bidi="ar"/>
              </w:rPr>
              <w:t>有土渠</w:t>
            </w:r>
            <w:r>
              <w:rPr>
                <w:rFonts w:hint="default" w:ascii="Times New Roman" w:hAnsi="Times New Roman" w:eastAsia="宋体" w:cs="Times New Roman"/>
                <w:kern w:val="24"/>
                <w:sz w:val="24"/>
                <w:highlight w:val="none"/>
                <w:lang w:val="en-US" w:eastAsia="zh-CN" w:bidi="ar"/>
              </w:rPr>
              <w:t>进行建设，不破坏渠道周边环境。所有渠道均采取有效防渗措施，防止渠水渗漏，提高渠系利用系数。工程实施后，可减少渗漏损失，增加有效水量，改善灌溉条件，提高作物产量，增加生态用水，具有良好的经济、生态、社会效益，项目的实施将为灌区经济的可持续发展奠定坚实的基础，工程的实施能够有效保障项目区灌区</w:t>
            </w:r>
            <w:r>
              <w:rPr>
                <w:rFonts w:hint="eastAsia" w:ascii="Times New Roman" w:hAnsi="Times New Roman" w:eastAsia="宋体" w:cs="Times New Roman"/>
                <w:kern w:val="24"/>
                <w:sz w:val="24"/>
                <w:highlight w:val="none"/>
                <w:lang w:val="en-US" w:eastAsia="zh-CN" w:bidi="ar"/>
              </w:rPr>
              <w:t>0.23万亩</w:t>
            </w:r>
            <w:r>
              <w:rPr>
                <w:rFonts w:hint="default" w:ascii="Times New Roman" w:hAnsi="Times New Roman" w:eastAsia="宋体" w:cs="Times New Roman"/>
                <w:kern w:val="24"/>
                <w:sz w:val="24"/>
                <w:highlight w:val="none"/>
                <w:lang w:val="en-US" w:eastAsia="zh-CN" w:bidi="ar"/>
              </w:rPr>
              <w:t>的灌溉用水量。</w:t>
            </w:r>
          </w:p>
        </w:tc>
      </w:tr>
      <w:tr w14:paraId="0A8539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904" w:type="dxa"/>
            <w:noWrap w:val="0"/>
            <w:vAlign w:val="center"/>
          </w:tcPr>
          <w:p w14:paraId="0E771F24">
            <w:pPr>
              <w:adjustRightInd w:val="0"/>
              <w:snapToGrid w:val="0"/>
              <w:jc w:val="center"/>
              <w:rPr>
                <w:rFonts w:ascii="宋体" w:hAnsi="宋体" w:cs="宋体"/>
                <w:kern w:val="0"/>
                <w:szCs w:val="21"/>
              </w:rPr>
            </w:pPr>
            <w:r>
              <w:rPr>
                <w:rFonts w:hint="eastAsia" w:ascii="宋体" w:hAnsi="宋体" w:cs="宋体"/>
                <w:kern w:val="0"/>
                <w:szCs w:val="21"/>
              </w:rPr>
              <w:t>生态环境保护目标</w:t>
            </w:r>
          </w:p>
        </w:tc>
        <w:tc>
          <w:tcPr>
            <w:tcW w:w="8253" w:type="dxa"/>
            <w:noWrap w:val="0"/>
            <w:vAlign w:val="center"/>
          </w:tcPr>
          <w:p w14:paraId="601679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kern w:val="24"/>
                <w:sz w:val="24"/>
                <w:highlight w:val="none"/>
                <w:lang w:bidi="ar"/>
              </w:rPr>
            </w:pPr>
            <w:r>
              <w:rPr>
                <w:rFonts w:hint="eastAsia"/>
                <w:kern w:val="24"/>
                <w:sz w:val="24"/>
                <w:lang w:bidi="ar"/>
              </w:rPr>
              <w:t>根据踏勘和调查，评价范围</w:t>
            </w:r>
            <w:r>
              <w:rPr>
                <w:rFonts w:hint="eastAsia"/>
                <w:kern w:val="24"/>
                <w:sz w:val="24"/>
                <w:lang w:val="en-US" w:eastAsia="zh-CN" w:bidi="ar"/>
              </w:rPr>
              <w:t>环境保护目标</w:t>
            </w:r>
            <w:r>
              <w:rPr>
                <w:rFonts w:hint="eastAsia"/>
                <w:kern w:val="24"/>
                <w:sz w:val="24"/>
                <w:lang w:bidi="ar"/>
              </w:rPr>
              <w:t>主要为</w:t>
            </w:r>
            <w:r>
              <w:rPr>
                <w:rFonts w:hint="eastAsia" w:ascii="宋体" w:hAnsi="宋体" w:eastAsia="宋体" w:cs="宋体"/>
                <w:color w:val="auto"/>
                <w:sz w:val="24"/>
                <w:szCs w:val="24"/>
                <w:highlight w:val="none"/>
                <w:lang w:val="en-US" w:eastAsia="zh-CN"/>
              </w:rPr>
              <w:t>村庄</w:t>
            </w:r>
            <w:r>
              <w:rPr>
                <w:rFonts w:hint="eastAsia"/>
                <w:kern w:val="24"/>
                <w:sz w:val="24"/>
                <w:lang w:bidi="ar"/>
              </w:rPr>
              <w:t>，本项目不涉及《环境影响评价技术导则 生态影响》（HJ19-2022）中所列国家公园、自然保护区、风景名胜区、世界文化和自然遗产地、重要湿地、原始天然林、珍稀濒危野生动植物天然集</w:t>
            </w:r>
            <w:r>
              <w:rPr>
                <w:rFonts w:hint="eastAsia"/>
                <w:kern w:val="24"/>
                <w:sz w:val="24"/>
                <w:highlight w:val="none"/>
                <w:lang w:bidi="ar"/>
              </w:rPr>
              <w:t>中分布区、重要水生生物的自然产卵场及索饵场、越冬场和洄游通道、天然渔场等生态敏感区</w:t>
            </w:r>
            <w:r>
              <w:rPr>
                <w:rFonts w:hint="eastAsia"/>
                <w:kern w:val="24"/>
                <w:sz w:val="24"/>
                <w:highlight w:val="none"/>
                <w:lang w:eastAsia="zh-CN" w:bidi="ar"/>
              </w:rPr>
              <w:t>。</w:t>
            </w:r>
            <w:r>
              <w:rPr>
                <w:rFonts w:hint="eastAsia"/>
                <w:kern w:val="24"/>
                <w:sz w:val="24"/>
                <w:highlight w:val="none"/>
                <w:lang w:bidi="ar"/>
              </w:rPr>
              <w:t>各环境保护目标见下表。</w:t>
            </w:r>
          </w:p>
          <w:p w14:paraId="7C2F7B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bCs/>
                <w:kern w:val="24"/>
                <w:sz w:val="24"/>
                <w:highlight w:val="none"/>
                <w:lang w:bidi="ar"/>
              </w:rPr>
            </w:pPr>
            <w:r>
              <w:rPr>
                <w:rFonts w:hint="eastAsia"/>
                <w:b/>
                <w:bCs/>
                <w:kern w:val="24"/>
                <w:sz w:val="24"/>
                <w:highlight w:val="none"/>
                <w:lang w:bidi="ar"/>
              </w:rPr>
              <w:t>表</w:t>
            </w:r>
            <w:r>
              <w:rPr>
                <w:rFonts w:hint="eastAsia"/>
                <w:b/>
                <w:bCs/>
                <w:kern w:val="24"/>
                <w:sz w:val="24"/>
                <w:highlight w:val="none"/>
                <w:lang w:val="en-US" w:eastAsia="zh-CN" w:bidi="ar"/>
              </w:rPr>
              <w:t xml:space="preserve">3-6   </w:t>
            </w:r>
            <w:r>
              <w:rPr>
                <w:rFonts w:hint="default" w:ascii="Times New Roman" w:hAnsi="Times New Roman" w:eastAsia="宋体" w:cs="Times New Roman"/>
                <w:b/>
                <w:bCs/>
                <w:color w:val="auto"/>
                <w:sz w:val="24"/>
                <w:szCs w:val="24"/>
                <w:highlight w:val="none"/>
                <w:lang w:val="en-US" w:eastAsia="zh-CN"/>
              </w:rPr>
              <w:t>项目主要保护目标一览表</w:t>
            </w:r>
          </w:p>
          <w:tbl>
            <w:tblPr>
              <w:tblStyle w:val="22"/>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59"/>
              <w:gridCol w:w="1123"/>
              <w:gridCol w:w="1652"/>
              <w:gridCol w:w="1823"/>
              <w:gridCol w:w="915"/>
              <w:gridCol w:w="1839"/>
            </w:tblGrid>
            <w:tr w14:paraId="399326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2D374330">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保护要素</w:t>
                  </w:r>
                </w:p>
              </w:tc>
              <w:tc>
                <w:tcPr>
                  <w:tcW w:w="700" w:type="pct"/>
                  <w:tcBorders>
                    <w:tl2br w:val="nil"/>
                    <w:tr2bl w:val="nil"/>
                  </w:tcBorders>
                  <w:vAlign w:val="center"/>
                </w:tcPr>
                <w:p w14:paraId="3C195803">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保护目标</w:t>
                  </w:r>
                </w:p>
              </w:tc>
              <w:tc>
                <w:tcPr>
                  <w:tcW w:w="1031" w:type="pct"/>
                  <w:tcBorders>
                    <w:tl2br w:val="nil"/>
                    <w:tr2bl w:val="nil"/>
                  </w:tcBorders>
                  <w:vAlign w:val="center"/>
                </w:tcPr>
                <w:p w14:paraId="335241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距离及方位</w:t>
                  </w:r>
                </w:p>
              </w:tc>
              <w:tc>
                <w:tcPr>
                  <w:tcW w:w="1137" w:type="pct"/>
                  <w:tcBorders>
                    <w:tl2br w:val="nil"/>
                    <w:tr2bl w:val="nil"/>
                  </w:tcBorders>
                  <w:vAlign w:val="center"/>
                </w:tcPr>
                <w:p w14:paraId="759B7699">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坐标</w:t>
                  </w:r>
                </w:p>
              </w:tc>
              <w:tc>
                <w:tcPr>
                  <w:tcW w:w="571" w:type="pct"/>
                  <w:tcBorders>
                    <w:tl2br w:val="nil"/>
                    <w:tr2bl w:val="nil"/>
                  </w:tcBorders>
                  <w:vAlign w:val="center"/>
                </w:tcPr>
                <w:p w14:paraId="6821B335">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rPr>
                    <w:t>人口规模</w:t>
                  </w:r>
                  <w:r>
                    <w:rPr>
                      <w:rFonts w:hint="eastAsia" w:cs="Times New Roman"/>
                      <w:sz w:val="21"/>
                      <w:szCs w:val="21"/>
                      <w:highlight w:val="none"/>
                      <w:lang w:eastAsia="zh-CN"/>
                    </w:rPr>
                    <w:t>（</w:t>
                  </w:r>
                  <w:r>
                    <w:rPr>
                      <w:rFonts w:hint="eastAsia" w:cs="Times New Roman"/>
                      <w:sz w:val="21"/>
                      <w:szCs w:val="21"/>
                      <w:highlight w:val="none"/>
                      <w:lang w:val="en-US" w:eastAsia="zh-CN"/>
                    </w:rPr>
                    <w:t>人)</w:t>
                  </w:r>
                </w:p>
              </w:tc>
              <w:tc>
                <w:tcPr>
                  <w:tcW w:w="1147" w:type="pct"/>
                  <w:tcBorders>
                    <w:tl2br w:val="nil"/>
                    <w:tr2bl w:val="nil"/>
                  </w:tcBorders>
                  <w:vAlign w:val="center"/>
                </w:tcPr>
                <w:p w14:paraId="6FE4DA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保护内容及要求</w:t>
                  </w:r>
                </w:p>
              </w:tc>
            </w:tr>
            <w:tr w14:paraId="6EF920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9" w:hRule="atLeast"/>
                <w:jc w:val="center"/>
              </w:trPr>
              <w:tc>
                <w:tcPr>
                  <w:tcW w:w="411" w:type="pct"/>
                  <w:vMerge w:val="restart"/>
                  <w:tcBorders>
                    <w:tl2br w:val="nil"/>
                    <w:tr2bl w:val="nil"/>
                  </w:tcBorders>
                  <w:vAlign w:val="center"/>
                </w:tcPr>
                <w:p w14:paraId="5D35E60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大气环境</w:t>
                  </w:r>
                </w:p>
              </w:tc>
              <w:tc>
                <w:tcPr>
                  <w:tcW w:w="700" w:type="pct"/>
                  <w:tcBorders>
                    <w:tl2br w:val="nil"/>
                    <w:tr2bl w:val="nil"/>
                  </w:tcBorders>
                  <w:vAlign w:val="center"/>
                </w:tcPr>
                <w:p w14:paraId="77C7ABB5">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宋体"/>
                      <w:color w:val="auto"/>
                      <w:sz w:val="21"/>
                      <w:szCs w:val="21"/>
                      <w:lang w:val="en-US" w:eastAsia="zh-CN"/>
                    </w:rPr>
                    <w:t>胡目丹琼库尔村</w:t>
                  </w:r>
                </w:p>
              </w:tc>
              <w:tc>
                <w:tcPr>
                  <w:tcW w:w="1031" w:type="pct"/>
                  <w:tcBorders>
                    <w:tl2br w:val="nil"/>
                    <w:tr2bl w:val="nil"/>
                  </w:tcBorders>
                  <w:vAlign w:val="center"/>
                </w:tcPr>
                <w:p w14:paraId="42132BE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紧邻胡木丹4号条田1斗渠</w:t>
                  </w:r>
                </w:p>
              </w:tc>
              <w:tc>
                <w:tcPr>
                  <w:tcW w:w="1137" w:type="pct"/>
                  <w:tcBorders>
                    <w:tl2br w:val="nil"/>
                    <w:tr2bl w:val="nil"/>
                  </w:tcBorders>
                  <w:vAlign w:val="center"/>
                </w:tcPr>
                <w:p w14:paraId="445CABE1">
                  <w:pPr>
                    <w:spacing w:line="240" w:lineRule="auto"/>
                    <w:ind w:firstLine="0" w:firstLineChars="0"/>
                    <w:jc w:val="center"/>
                    <w:rPr>
                      <w:rFonts w:hint="default"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rPr>
                    <w:t>87°21′7.67769″</w:t>
                  </w:r>
                  <w:r>
                    <w:rPr>
                      <w:rFonts w:hint="eastAsia" w:cs="Times New Roman"/>
                      <w:kern w:val="0"/>
                      <w:sz w:val="21"/>
                      <w:szCs w:val="21"/>
                      <w:highlight w:val="none"/>
                      <w:lang w:eastAsia="zh-CN"/>
                    </w:rPr>
                    <w:t>，</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rPr>
                    <w:t>38°40′59.442″</w:t>
                  </w:r>
                </w:p>
              </w:tc>
              <w:tc>
                <w:tcPr>
                  <w:tcW w:w="571" w:type="pct"/>
                  <w:tcBorders>
                    <w:tl2br w:val="nil"/>
                    <w:tr2bl w:val="nil"/>
                  </w:tcBorders>
                  <w:vAlign w:val="center"/>
                </w:tcPr>
                <w:p w14:paraId="323AB4C6">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3</w:t>
                  </w:r>
                  <w:r>
                    <w:rPr>
                      <w:rFonts w:hint="default" w:ascii="Times New Roman" w:hAnsi="Times New Roman" w:eastAsia="宋体" w:cs="Times New Roman"/>
                      <w:kern w:val="0"/>
                      <w:sz w:val="21"/>
                      <w:szCs w:val="21"/>
                      <w:highlight w:val="none"/>
                      <w:lang w:val="en-US" w:eastAsia="zh-CN"/>
                    </w:rPr>
                    <w:t>00</w:t>
                  </w:r>
                </w:p>
              </w:tc>
              <w:tc>
                <w:tcPr>
                  <w:tcW w:w="1147" w:type="pct"/>
                  <w:vMerge w:val="restart"/>
                  <w:tcBorders>
                    <w:tl2br w:val="nil"/>
                    <w:tr2bl w:val="nil"/>
                  </w:tcBorders>
                  <w:vAlign w:val="center"/>
                </w:tcPr>
                <w:p w14:paraId="5DF3D9D8">
                  <w:pPr>
                    <w:spacing w:line="240" w:lineRule="auto"/>
                    <w:ind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《环境空气质量标准》（GB3095</w:t>
                  </w:r>
                  <w:r>
                    <w:rPr>
                      <w:rFonts w:hint="eastAsia" w:cs="Times New Roman"/>
                      <w:kern w:val="0"/>
                      <w:sz w:val="21"/>
                      <w:szCs w:val="21"/>
                      <w:highlight w:val="none"/>
                      <w:lang w:val="en-US" w:eastAsia="zh-CN"/>
                    </w:rPr>
                    <w:t>-</w:t>
                  </w:r>
                  <w:r>
                    <w:rPr>
                      <w:rFonts w:hint="default" w:ascii="Times New Roman" w:hAnsi="Times New Roman" w:eastAsia="宋体" w:cs="Times New Roman"/>
                      <w:kern w:val="0"/>
                      <w:sz w:val="21"/>
                      <w:szCs w:val="21"/>
                      <w:highlight w:val="none"/>
                    </w:rPr>
                    <w:t>20</w:t>
                  </w:r>
                  <w:r>
                    <w:rPr>
                      <w:rFonts w:hint="default" w:ascii="Times New Roman" w:hAnsi="Times New Roman" w:eastAsia="宋体" w:cs="Times New Roman"/>
                      <w:kern w:val="0"/>
                      <w:sz w:val="21"/>
                      <w:szCs w:val="21"/>
                      <w:highlight w:val="none"/>
                      <w:lang w:val="en-US" w:eastAsia="zh-CN"/>
                    </w:rPr>
                    <w:t>26</w:t>
                  </w:r>
                  <w:r>
                    <w:rPr>
                      <w:rFonts w:hint="default" w:ascii="Times New Roman" w:hAnsi="Times New Roman" w:eastAsia="宋体" w:cs="Times New Roman"/>
                      <w:kern w:val="0"/>
                      <w:sz w:val="21"/>
                      <w:szCs w:val="21"/>
                      <w:highlight w:val="none"/>
                    </w:rPr>
                    <w:t>）二级标准</w:t>
                  </w:r>
                </w:p>
              </w:tc>
            </w:tr>
            <w:tr w14:paraId="53ABD8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79102A8B">
                  <w:pPr>
                    <w:spacing w:line="240" w:lineRule="auto"/>
                    <w:ind w:firstLine="0" w:firstLineChars="0"/>
                    <w:jc w:val="center"/>
                    <w:rPr>
                      <w:rFonts w:hint="default" w:ascii="Times New Roman" w:hAnsi="Times New Roman" w:eastAsia="宋体" w:cs="Times New Roman"/>
                      <w:sz w:val="21"/>
                      <w:szCs w:val="21"/>
                      <w:highlight w:val="none"/>
                    </w:rPr>
                  </w:pPr>
                </w:p>
              </w:tc>
              <w:tc>
                <w:tcPr>
                  <w:tcW w:w="700" w:type="pct"/>
                  <w:tcBorders>
                    <w:tl2br w:val="nil"/>
                    <w:tr2bl w:val="nil"/>
                  </w:tcBorders>
                  <w:vAlign w:val="center"/>
                </w:tcPr>
                <w:p w14:paraId="7D32B8DE">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1031" w:type="pct"/>
                  <w:tcBorders>
                    <w:tl2br w:val="nil"/>
                    <w:tr2bl w:val="nil"/>
                  </w:tcBorders>
                  <w:shd w:val="clear" w:color="auto" w:fill="auto"/>
                  <w:vAlign w:val="center"/>
                </w:tcPr>
                <w:p w14:paraId="79BB6AC5">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紧邻琼艾格勒7号条田1斗渠</w:t>
                  </w:r>
                </w:p>
              </w:tc>
              <w:tc>
                <w:tcPr>
                  <w:tcW w:w="1137" w:type="pct"/>
                  <w:tcBorders>
                    <w:tl2br w:val="nil"/>
                    <w:tr2bl w:val="nil"/>
                  </w:tcBorders>
                  <w:vAlign w:val="center"/>
                </w:tcPr>
                <w:p w14:paraId="708CF20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87°20′18.548″</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38°41′33.431″</w:t>
                  </w:r>
                </w:p>
              </w:tc>
              <w:tc>
                <w:tcPr>
                  <w:tcW w:w="571" w:type="pct"/>
                  <w:tcBorders>
                    <w:tl2br w:val="nil"/>
                    <w:tr2bl w:val="nil"/>
                  </w:tcBorders>
                  <w:vAlign w:val="center"/>
                </w:tcPr>
                <w:p w14:paraId="506BCE40">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200</w:t>
                  </w:r>
                </w:p>
              </w:tc>
              <w:tc>
                <w:tcPr>
                  <w:tcW w:w="1147" w:type="pct"/>
                  <w:vMerge w:val="continue"/>
                  <w:tcBorders>
                    <w:tl2br w:val="nil"/>
                    <w:tr2bl w:val="nil"/>
                  </w:tcBorders>
                  <w:vAlign w:val="center"/>
                </w:tcPr>
                <w:p w14:paraId="63D11CDC">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73A7D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411" w:type="pct"/>
                  <w:vMerge w:val="restart"/>
                  <w:tcBorders>
                    <w:tl2br w:val="nil"/>
                    <w:tr2bl w:val="nil"/>
                  </w:tcBorders>
                  <w:vAlign w:val="center"/>
                </w:tcPr>
                <w:p w14:paraId="66F9CFCB">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声环境保护目标</w:t>
                  </w:r>
                </w:p>
              </w:tc>
              <w:tc>
                <w:tcPr>
                  <w:tcW w:w="700" w:type="pct"/>
                  <w:tcBorders>
                    <w:tl2br w:val="nil"/>
                    <w:tr2bl w:val="nil"/>
                  </w:tcBorders>
                  <w:shd w:val="clear" w:color="auto" w:fill="auto"/>
                  <w:vAlign w:val="center"/>
                </w:tcPr>
                <w:p w14:paraId="30ADDE48">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宋体"/>
                      <w:color w:val="auto"/>
                      <w:sz w:val="21"/>
                      <w:szCs w:val="21"/>
                      <w:lang w:val="en-US" w:eastAsia="zh-CN"/>
                    </w:rPr>
                    <w:t>胡目丹琼库尔村</w:t>
                  </w:r>
                </w:p>
              </w:tc>
              <w:tc>
                <w:tcPr>
                  <w:tcW w:w="1031" w:type="pct"/>
                  <w:tcBorders>
                    <w:tl2br w:val="nil"/>
                    <w:tr2bl w:val="nil"/>
                  </w:tcBorders>
                  <w:shd w:val="clear" w:color="auto" w:fill="auto"/>
                  <w:vAlign w:val="center"/>
                </w:tcPr>
                <w:p w14:paraId="5345CE48">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紧邻胡木丹4号条田1斗渠</w:t>
                  </w:r>
                </w:p>
              </w:tc>
              <w:tc>
                <w:tcPr>
                  <w:tcW w:w="1137" w:type="pct"/>
                  <w:tcBorders>
                    <w:tl2br w:val="nil"/>
                    <w:tr2bl w:val="nil"/>
                  </w:tcBorders>
                  <w:vAlign w:val="center"/>
                </w:tcPr>
                <w:p w14:paraId="6537D9E3">
                  <w:pPr>
                    <w:spacing w:line="240" w:lineRule="auto"/>
                    <w:ind w:firstLine="0" w:firstLineChars="0"/>
                    <w:jc w:val="center"/>
                    <w:rPr>
                      <w:rFonts w:hint="default"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rPr>
                    <w:t>87°21′7.67769″</w:t>
                  </w:r>
                  <w:r>
                    <w:rPr>
                      <w:rFonts w:hint="eastAsia" w:cs="Times New Roman"/>
                      <w:kern w:val="0"/>
                      <w:sz w:val="21"/>
                      <w:szCs w:val="21"/>
                      <w:highlight w:val="none"/>
                      <w:lang w:eastAsia="zh-CN"/>
                    </w:rPr>
                    <w:t>，</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rPr>
                    <w:t>38°40′59.442″</w:t>
                  </w:r>
                </w:p>
              </w:tc>
              <w:tc>
                <w:tcPr>
                  <w:tcW w:w="571" w:type="pct"/>
                  <w:tcBorders>
                    <w:tl2br w:val="nil"/>
                    <w:tr2bl w:val="nil"/>
                  </w:tcBorders>
                  <w:vAlign w:val="center"/>
                </w:tcPr>
                <w:p w14:paraId="3B29F8E2">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kern w:val="0"/>
                      <w:sz w:val="21"/>
                      <w:szCs w:val="21"/>
                      <w:highlight w:val="none"/>
                      <w:lang w:val="en-US" w:eastAsia="zh-CN"/>
                    </w:rPr>
                    <w:t>3</w:t>
                  </w:r>
                  <w:r>
                    <w:rPr>
                      <w:rFonts w:hint="default" w:ascii="Times New Roman" w:hAnsi="Times New Roman" w:eastAsia="宋体" w:cs="Times New Roman"/>
                      <w:kern w:val="0"/>
                      <w:sz w:val="21"/>
                      <w:szCs w:val="21"/>
                      <w:highlight w:val="none"/>
                      <w:lang w:val="en-US" w:eastAsia="zh-CN"/>
                    </w:rPr>
                    <w:t>00</w:t>
                  </w:r>
                </w:p>
              </w:tc>
              <w:tc>
                <w:tcPr>
                  <w:tcW w:w="1147" w:type="pct"/>
                  <w:vMerge w:val="restart"/>
                  <w:tcBorders>
                    <w:tl2br w:val="nil"/>
                    <w:tr2bl w:val="nil"/>
                  </w:tcBorders>
                  <w:vAlign w:val="center"/>
                </w:tcPr>
                <w:p w14:paraId="6E1E08AE">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《声环境质量标准》（GB3096-2008）中</w:t>
                  </w:r>
                  <w:r>
                    <w:rPr>
                      <w:rFonts w:hint="default" w:ascii="Times New Roman" w:hAnsi="Times New Roman" w:eastAsia="宋体" w:cs="Times New Roman"/>
                      <w:sz w:val="21"/>
                      <w:szCs w:val="21"/>
                      <w:highlight w:val="none"/>
                      <w:lang w:val="en-US" w:eastAsia="zh-CN"/>
                    </w:rPr>
                    <w:t>1</w:t>
                  </w:r>
                  <w:r>
                    <w:rPr>
                      <w:rFonts w:hint="default" w:ascii="Times New Roman" w:hAnsi="Times New Roman" w:eastAsia="宋体" w:cs="Times New Roman"/>
                      <w:sz w:val="21"/>
                      <w:szCs w:val="21"/>
                      <w:highlight w:val="none"/>
                    </w:rPr>
                    <w:t>类标准</w:t>
                  </w:r>
                </w:p>
              </w:tc>
            </w:tr>
            <w:tr w14:paraId="395929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0D300DC1">
                  <w:pPr>
                    <w:spacing w:line="240" w:lineRule="auto"/>
                    <w:ind w:firstLine="0" w:firstLineChars="0"/>
                    <w:jc w:val="center"/>
                    <w:rPr>
                      <w:rFonts w:hint="default" w:ascii="Times New Roman" w:hAnsi="Times New Roman" w:eastAsia="宋体" w:cs="Times New Roman"/>
                      <w:sz w:val="21"/>
                      <w:szCs w:val="21"/>
                    </w:rPr>
                  </w:pPr>
                </w:p>
              </w:tc>
              <w:tc>
                <w:tcPr>
                  <w:tcW w:w="700" w:type="pct"/>
                  <w:tcBorders>
                    <w:tl2br w:val="nil"/>
                    <w:tr2bl w:val="nil"/>
                  </w:tcBorders>
                  <w:shd w:val="clear" w:color="auto" w:fill="auto"/>
                  <w:vAlign w:val="center"/>
                </w:tcPr>
                <w:p w14:paraId="1DB77679">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lang w:val="en-US" w:eastAsia="zh-CN"/>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1031" w:type="pct"/>
                  <w:tcBorders>
                    <w:tl2br w:val="nil"/>
                    <w:tr2bl w:val="nil"/>
                  </w:tcBorders>
                  <w:vAlign w:val="center"/>
                </w:tcPr>
                <w:p w14:paraId="19987A5C">
                  <w:pPr>
                    <w:spacing w:line="240" w:lineRule="auto"/>
                    <w:ind w:firstLine="0" w:firstLineChars="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highlight w:val="none"/>
                      <w:lang w:val="en-US" w:eastAsia="zh-CN" w:bidi="ar-SA"/>
                    </w:rPr>
                    <w:t>紧邻琼艾格勒7号条田1斗渠</w:t>
                  </w:r>
                </w:p>
              </w:tc>
              <w:tc>
                <w:tcPr>
                  <w:tcW w:w="1137" w:type="pct"/>
                  <w:tcBorders>
                    <w:tl2br w:val="nil"/>
                    <w:tr2bl w:val="nil"/>
                  </w:tcBorders>
                  <w:vAlign w:val="center"/>
                </w:tcPr>
                <w:p w14:paraId="61D3B578">
                  <w:pPr>
                    <w:spacing w:line="240" w:lineRule="auto"/>
                    <w:ind w:firstLine="0" w:firstLineChars="0"/>
                    <w:jc w:val="center"/>
                    <w:rPr>
                      <w:rFonts w:hint="default" w:ascii="Times New Roman" w:hAnsi="Times New Roman" w:eastAsia="宋体" w:cs="Times New Roman"/>
                      <w:kern w:val="0"/>
                      <w:sz w:val="21"/>
                      <w:szCs w:val="21"/>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87°20′18.548″</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38°41′33.431″</w:t>
                  </w:r>
                </w:p>
              </w:tc>
              <w:tc>
                <w:tcPr>
                  <w:tcW w:w="571" w:type="pct"/>
                  <w:tcBorders>
                    <w:tl2br w:val="nil"/>
                    <w:tr2bl w:val="nil"/>
                  </w:tcBorders>
                  <w:vAlign w:val="center"/>
                </w:tcPr>
                <w:p w14:paraId="087706B9">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highlight w:val="none"/>
                      <w:lang w:val="en-US" w:eastAsia="zh-CN"/>
                    </w:rPr>
                    <w:t>200</w:t>
                  </w:r>
                </w:p>
              </w:tc>
              <w:tc>
                <w:tcPr>
                  <w:tcW w:w="1147" w:type="pct"/>
                  <w:vMerge w:val="continue"/>
                  <w:tcBorders>
                    <w:tl2br w:val="nil"/>
                    <w:tr2bl w:val="nil"/>
                  </w:tcBorders>
                  <w:vAlign w:val="center"/>
                </w:tcPr>
                <w:p w14:paraId="4B84BAEF">
                  <w:pPr>
                    <w:spacing w:line="240" w:lineRule="auto"/>
                    <w:ind w:firstLine="0" w:firstLineChars="0"/>
                    <w:jc w:val="center"/>
                    <w:rPr>
                      <w:rFonts w:hint="default" w:ascii="Times New Roman" w:hAnsi="Times New Roman" w:eastAsia="宋体" w:cs="Times New Roman"/>
                      <w:sz w:val="21"/>
                      <w:szCs w:val="21"/>
                    </w:rPr>
                  </w:pPr>
                </w:p>
              </w:tc>
            </w:tr>
            <w:tr w14:paraId="07EF8F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0D8B3288">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地表水环境</w:t>
                  </w:r>
                </w:p>
              </w:tc>
              <w:tc>
                <w:tcPr>
                  <w:tcW w:w="3440" w:type="pct"/>
                  <w:gridSpan w:val="4"/>
                  <w:tcBorders>
                    <w:tl2br w:val="nil"/>
                    <w:tr2bl w:val="nil"/>
                  </w:tcBorders>
                  <w:vAlign w:val="center"/>
                </w:tcPr>
                <w:p w14:paraId="5F149ABA">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瓦石峡河</w:t>
                  </w:r>
                </w:p>
              </w:tc>
              <w:tc>
                <w:tcPr>
                  <w:tcW w:w="1147" w:type="pct"/>
                  <w:tcBorders>
                    <w:tl2br w:val="nil"/>
                    <w:tr2bl w:val="nil"/>
                  </w:tcBorders>
                  <w:vAlign w:val="center"/>
                </w:tcPr>
                <w:p w14:paraId="11626CAB">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《地表水环境质量标准》（GB3838-2002）中Ⅲ类标准</w:t>
                  </w:r>
                </w:p>
              </w:tc>
            </w:tr>
            <w:tr w14:paraId="25D47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7B928E9E">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生态环境</w:t>
                  </w:r>
                </w:p>
              </w:tc>
              <w:tc>
                <w:tcPr>
                  <w:tcW w:w="3440" w:type="pct"/>
                  <w:gridSpan w:val="4"/>
                  <w:tcBorders>
                    <w:tl2br w:val="nil"/>
                    <w:tr2bl w:val="nil"/>
                  </w:tcBorders>
                  <w:vAlign w:val="center"/>
                </w:tcPr>
                <w:p w14:paraId="77BBAEA0">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评价范围内植被、动物和水土流失</w:t>
                  </w:r>
                </w:p>
              </w:tc>
              <w:tc>
                <w:tcPr>
                  <w:tcW w:w="1147" w:type="pct"/>
                  <w:tcBorders>
                    <w:tl2br w:val="nil"/>
                    <w:tr2bl w:val="nil"/>
                  </w:tcBorders>
                  <w:vAlign w:val="center"/>
                </w:tcPr>
                <w:p w14:paraId="0F5A35AB">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不改变生态功能，不使水土流失加重和土地理化性质发生改变</w:t>
                  </w:r>
                </w:p>
              </w:tc>
            </w:tr>
          </w:tbl>
          <w:p w14:paraId="63E1B6A2">
            <w:pPr>
              <w:adjustRightInd w:val="0"/>
              <w:snapToGrid w:val="0"/>
              <w:rPr>
                <w:rFonts w:ascii="宋体" w:hAnsi="宋体" w:cs="宋体"/>
                <w:kern w:val="0"/>
                <w:szCs w:val="21"/>
              </w:rPr>
            </w:pPr>
          </w:p>
        </w:tc>
      </w:tr>
      <w:tr w14:paraId="46488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904" w:type="dxa"/>
            <w:noWrap w:val="0"/>
            <w:vAlign w:val="center"/>
          </w:tcPr>
          <w:p w14:paraId="050E41E1">
            <w:pPr>
              <w:adjustRightInd w:val="0"/>
              <w:snapToGrid w:val="0"/>
              <w:jc w:val="center"/>
              <w:rPr>
                <w:rFonts w:hint="eastAsia" w:ascii="宋体" w:hAnsi="宋体" w:cs="宋体"/>
                <w:kern w:val="0"/>
                <w:szCs w:val="21"/>
              </w:rPr>
            </w:pPr>
            <w:r>
              <w:rPr>
                <w:rFonts w:hint="eastAsia" w:ascii="宋体" w:hAnsi="宋体" w:cs="宋体"/>
                <w:kern w:val="0"/>
                <w:szCs w:val="21"/>
              </w:rPr>
              <w:t>评价</w:t>
            </w:r>
          </w:p>
          <w:p w14:paraId="76B26384">
            <w:pPr>
              <w:adjustRightInd w:val="0"/>
              <w:snapToGrid w:val="0"/>
              <w:jc w:val="center"/>
              <w:rPr>
                <w:rFonts w:ascii="宋体" w:hAnsi="宋体" w:cs="宋体"/>
                <w:kern w:val="0"/>
                <w:szCs w:val="21"/>
              </w:rPr>
            </w:pPr>
            <w:r>
              <w:rPr>
                <w:rFonts w:hint="eastAsia" w:ascii="宋体" w:hAnsi="宋体" w:cs="宋体"/>
                <w:kern w:val="0"/>
                <w:szCs w:val="21"/>
              </w:rPr>
              <w:t>标准</w:t>
            </w:r>
          </w:p>
        </w:tc>
        <w:tc>
          <w:tcPr>
            <w:tcW w:w="8253" w:type="dxa"/>
            <w:noWrap w:val="0"/>
            <w:vAlign w:val="center"/>
          </w:tcPr>
          <w:p w14:paraId="771DE9C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1环境质量标准</w:t>
            </w:r>
          </w:p>
          <w:p w14:paraId="39AE6CA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1.1</w:t>
            </w:r>
            <w:r>
              <w:rPr>
                <w:rFonts w:hint="default" w:ascii="Times New Roman" w:hAnsi="Times New Roman" w:eastAsia="宋体" w:cs="Times New Roman"/>
                <w:b/>
                <w:bCs/>
                <w:kern w:val="24"/>
                <w:sz w:val="24"/>
                <w:lang w:val="en-US" w:eastAsia="zh-CN" w:bidi="ar"/>
              </w:rPr>
              <w:t>环境空气</w:t>
            </w:r>
          </w:p>
          <w:p w14:paraId="5FFC4C3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eastAsia="zh-CN" w:bidi="ar"/>
              </w:rPr>
            </w:pPr>
            <w:r>
              <w:rPr>
                <w:rFonts w:hint="default" w:ascii="Times New Roman" w:hAnsi="Times New Roman" w:eastAsia="宋体" w:cs="Times New Roman"/>
                <w:kern w:val="24"/>
                <w:sz w:val="24"/>
                <w:lang w:val="en-US" w:eastAsia="zh-CN" w:bidi="ar"/>
              </w:rPr>
              <w:t>《环境空气质量标准》（GB3095-2026）二级标准</w:t>
            </w:r>
            <w:r>
              <w:rPr>
                <w:rFonts w:hint="eastAsia" w:ascii="Times New Roman" w:hAnsi="Times New Roman" w:eastAsia="宋体" w:cs="Times New Roman"/>
                <w:kern w:val="24"/>
                <w:sz w:val="24"/>
                <w:lang w:val="en-US" w:eastAsia="zh-CN" w:bidi="ar"/>
              </w:rPr>
              <w:t>。</w:t>
            </w:r>
          </w:p>
          <w:p w14:paraId="782BE7C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1.2</w:t>
            </w:r>
            <w:r>
              <w:rPr>
                <w:rFonts w:hint="default" w:ascii="Times New Roman" w:hAnsi="Times New Roman" w:eastAsia="宋体" w:cs="Times New Roman"/>
                <w:b/>
                <w:bCs/>
                <w:kern w:val="24"/>
                <w:sz w:val="24"/>
                <w:lang w:val="en-US" w:eastAsia="zh-CN" w:bidi="ar"/>
              </w:rPr>
              <w:t>声环境</w:t>
            </w:r>
          </w:p>
          <w:p w14:paraId="01D7FAA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声环境质量标准</w:t>
            </w: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 3096－2008）</w:t>
            </w:r>
            <w:r>
              <w:rPr>
                <w:rFonts w:hint="default" w:ascii="Times New Roman" w:hAnsi="Times New Roman" w:eastAsia="宋体" w:cs="Times New Roman"/>
                <w:kern w:val="24"/>
                <w:sz w:val="24"/>
                <w:lang w:val="en-US" w:eastAsia="zh-CN" w:bidi="ar"/>
              </w:rPr>
              <w:t>1类标准。</w:t>
            </w:r>
          </w:p>
          <w:p w14:paraId="5AE8187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1.3</w:t>
            </w:r>
            <w:r>
              <w:rPr>
                <w:rFonts w:hint="default" w:ascii="Times New Roman" w:hAnsi="Times New Roman" w:eastAsia="宋体" w:cs="Times New Roman"/>
                <w:b/>
                <w:bCs/>
                <w:kern w:val="24"/>
                <w:sz w:val="24"/>
                <w:lang w:val="en-US" w:eastAsia="zh-CN" w:bidi="ar"/>
              </w:rPr>
              <w:t>水环境</w:t>
            </w:r>
          </w:p>
          <w:p w14:paraId="5D9024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r>
              <w:rPr>
                <w:rFonts w:hint="eastAsia" w:cs="Times New Roman"/>
                <w:kern w:val="24"/>
                <w:sz w:val="24"/>
                <w:lang w:val="en-US" w:eastAsia="zh-CN" w:bidi="ar"/>
              </w:rPr>
              <w:t>瓦石峡河</w:t>
            </w:r>
            <w:r>
              <w:rPr>
                <w:rFonts w:hint="default" w:ascii="Times New Roman" w:hAnsi="Times New Roman" w:eastAsia="宋体" w:cs="Times New Roman"/>
                <w:kern w:val="24"/>
                <w:sz w:val="24"/>
                <w:lang w:eastAsia="zh-CN" w:bidi="ar"/>
              </w:rPr>
              <w:t>执行</w:t>
            </w:r>
            <w:r>
              <w:rPr>
                <w:rFonts w:hint="default" w:ascii="Times New Roman" w:hAnsi="Times New Roman" w:eastAsia="宋体" w:cs="Times New Roman"/>
                <w:kern w:val="24"/>
                <w:sz w:val="24"/>
                <w:lang w:bidi="ar"/>
              </w:rPr>
              <w:t>《地表水环境质量标准》（GB3838—2002）</w:t>
            </w:r>
            <w:r>
              <w:rPr>
                <w:rFonts w:hint="default" w:ascii="Times New Roman" w:hAnsi="Times New Roman" w:eastAsia="宋体" w:cs="Times New Roman"/>
                <w:kern w:val="24"/>
                <w:sz w:val="24"/>
                <w:lang w:val="en-US" w:eastAsia="zh-CN" w:bidi="ar"/>
              </w:rPr>
              <w:t>Ⅲ</w:t>
            </w:r>
            <w:r>
              <w:rPr>
                <w:rFonts w:hint="default" w:ascii="Times New Roman" w:hAnsi="Times New Roman" w:eastAsia="宋体" w:cs="Times New Roman"/>
                <w:kern w:val="24"/>
                <w:sz w:val="24"/>
                <w:lang w:bidi="ar"/>
              </w:rPr>
              <w:t>类标准；</w:t>
            </w:r>
          </w:p>
          <w:p w14:paraId="05007BF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2污染物排放标准</w:t>
            </w:r>
          </w:p>
          <w:p w14:paraId="4EA08D7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2.1</w:t>
            </w:r>
            <w:r>
              <w:rPr>
                <w:rFonts w:hint="default" w:ascii="Times New Roman" w:hAnsi="Times New Roman" w:eastAsia="宋体" w:cs="Times New Roman"/>
                <w:b/>
                <w:bCs/>
                <w:kern w:val="24"/>
                <w:sz w:val="24"/>
                <w:lang w:val="en-US" w:eastAsia="zh-CN" w:bidi="ar"/>
              </w:rPr>
              <w:t>大气污染物排放标准</w:t>
            </w:r>
          </w:p>
          <w:p w14:paraId="57440E5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val="en-US" w:eastAsia="zh-CN" w:bidi="ar"/>
              </w:rPr>
              <w:t>施工期</w:t>
            </w:r>
            <w:r>
              <w:rPr>
                <w:rFonts w:hint="eastAsia" w:ascii="Times New Roman" w:hAnsi="Times New Roman" w:eastAsia="宋体" w:cs="Times New Roman"/>
                <w:kern w:val="24"/>
                <w:sz w:val="24"/>
                <w:lang w:val="en-US" w:eastAsia="zh-CN" w:bidi="ar"/>
              </w:rPr>
              <w:t>颗粒物</w:t>
            </w:r>
            <w:r>
              <w:rPr>
                <w:rFonts w:hint="default" w:ascii="Times New Roman" w:hAnsi="Times New Roman" w:eastAsia="宋体" w:cs="Times New Roman"/>
                <w:kern w:val="24"/>
                <w:sz w:val="24"/>
                <w:lang w:bidi="ar"/>
              </w:rPr>
              <w:t>执行《大气污染物综合排放标准》</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GB16297-1996</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无组织排放监控浓度限值</w:t>
            </w:r>
            <w:r>
              <w:rPr>
                <w:rFonts w:hint="eastAsia" w:ascii="Times New Roman" w:hAnsi="Times New Roman" w:eastAsia="宋体" w:cs="Times New Roman"/>
                <w:kern w:val="24"/>
                <w:sz w:val="24"/>
                <w:lang w:eastAsia="zh-CN" w:bidi="ar"/>
              </w:rPr>
              <w:t>，</w:t>
            </w:r>
            <w:r>
              <w:rPr>
                <w:rFonts w:hint="eastAsia" w:ascii="Times New Roman" w:hAnsi="Times New Roman" w:eastAsia="宋体" w:cs="Times New Roman"/>
                <w:kern w:val="24"/>
                <w:sz w:val="24"/>
                <w:lang w:val="en-US" w:eastAsia="zh-CN" w:bidi="ar"/>
              </w:rPr>
              <w:t>施工机械烟气参照执行《非道路移动机械用柴油机排气污染物排放限值及测量方法（中国第三、四阶段）》（GB20891-2014）修改单以及《非道路柴油移动机械污染物排放控制技术要求》（HJ1014-2020）。</w:t>
            </w:r>
          </w:p>
          <w:p w14:paraId="522066E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表3-</w:t>
            </w:r>
            <w:r>
              <w:rPr>
                <w:rFonts w:hint="eastAsia" w:cs="Times New Roman"/>
                <w:b/>
                <w:bCs/>
                <w:kern w:val="24"/>
                <w:sz w:val="24"/>
                <w:lang w:val="en-US" w:eastAsia="zh-CN" w:bidi="ar"/>
              </w:rPr>
              <w:t>7</w:t>
            </w:r>
            <w:r>
              <w:rPr>
                <w:rFonts w:hint="default" w:ascii="Times New Roman" w:hAnsi="Times New Roman" w:eastAsia="宋体" w:cs="Times New Roman"/>
                <w:b/>
                <w:bCs/>
                <w:kern w:val="24"/>
                <w:sz w:val="24"/>
                <w:lang w:bidi="ar"/>
              </w:rPr>
              <w:t xml:space="preserve">  施工期无组织废气执行标准</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1265"/>
              <w:gridCol w:w="599"/>
              <w:gridCol w:w="965"/>
              <w:gridCol w:w="3800"/>
            </w:tblGrid>
            <w:tr w14:paraId="552F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69" w:type="pct"/>
                  <w:vAlign w:val="center"/>
                </w:tcPr>
                <w:p w14:paraId="2CD94EDE">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161" w:type="pct"/>
                  <w:gridSpan w:val="2"/>
                  <w:vAlign w:val="center"/>
                </w:tcPr>
                <w:p w14:paraId="6E3F095A">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p>
              </w:tc>
              <w:tc>
                <w:tcPr>
                  <w:tcW w:w="601" w:type="pct"/>
                  <w:vAlign w:val="center"/>
                </w:tcPr>
                <w:p w14:paraId="624AC856">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单位</w:t>
                  </w:r>
                </w:p>
              </w:tc>
              <w:tc>
                <w:tcPr>
                  <w:tcW w:w="2367" w:type="pct"/>
                  <w:vAlign w:val="center"/>
                </w:tcPr>
                <w:p w14:paraId="6FBB1372">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789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69" w:type="pct"/>
                  <w:vAlign w:val="center"/>
                </w:tcPr>
                <w:p w14:paraId="112AEDE4">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颗粒物</w:t>
                  </w:r>
                </w:p>
              </w:tc>
              <w:tc>
                <w:tcPr>
                  <w:tcW w:w="788" w:type="pct"/>
                  <w:vAlign w:val="center"/>
                </w:tcPr>
                <w:p w14:paraId="2D8AF37C">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周界外浓度最高点</w:t>
                  </w:r>
                </w:p>
              </w:tc>
              <w:tc>
                <w:tcPr>
                  <w:tcW w:w="373" w:type="pct"/>
                  <w:vAlign w:val="center"/>
                </w:tcPr>
                <w:p w14:paraId="49B0B0E0">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601" w:type="pct"/>
                  <w:vAlign w:val="center"/>
                </w:tcPr>
                <w:p w14:paraId="07E10D40">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7" w:type="pct"/>
                  <w:vAlign w:val="center"/>
                </w:tcPr>
                <w:p w14:paraId="55ADEAFF">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无组织排放监控限值</w:t>
                  </w:r>
                </w:p>
              </w:tc>
            </w:tr>
          </w:tbl>
          <w:p w14:paraId="740D6E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default" w:ascii="Times New Roman" w:hAnsi="Times New Roman" w:eastAsia="宋体" w:cs="Times New Roman"/>
                <w:b/>
                <w:bCs/>
                <w:kern w:val="24"/>
                <w:sz w:val="24"/>
                <w:lang w:val="en-US" w:eastAsia="zh-CN" w:bidi="ar"/>
              </w:rPr>
              <w:t>表3-</w:t>
            </w:r>
            <w:r>
              <w:rPr>
                <w:rFonts w:hint="eastAsia" w:ascii="Times New Roman" w:hAnsi="Times New Roman" w:eastAsia="宋体" w:cs="Times New Roman"/>
                <w:b/>
                <w:bCs/>
                <w:kern w:val="24"/>
                <w:sz w:val="24"/>
                <w:lang w:val="en-US" w:eastAsia="zh-CN" w:bidi="ar"/>
              </w:rPr>
              <w:t>8</w:t>
            </w:r>
            <w:r>
              <w:rPr>
                <w:rFonts w:hint="default" w:ascii="Times New Roman" w:hAnsi="Times New Roman" w:eastAsia="宋体" w:cs="Times New Roman"/>
                <w:b/>
                <w:bCs/>
                <w:kern w:val="24"/>
                <w:sz w:val="24"/>
                <w:lang w:val="en-US" w:eastAsia="zh-CN" w:bidi="ar"/>
              </w:rPr>
              <w:t xml:space="preserve">  </w:t>
            </w:r>
            <w:r>
              <w:rPr>
                <w:rFonts w:hint="eastAsia" w:ascii="Times New Roman" w:hAnsi="Times New Roman" w:eastAsia="宋体" w:cs="Times New Roman"/>
                <w:b/>
                <w:bCs/>
                <w:kern w:val="24"/>
                <w:sz w:val="24"/>
                <w:lang w:val="en-US" w:eastAsia="zh-CN" w:bidi="ar"/>
              </w:rPr>
              <w:t xml:space="preserve"> </w:t>
            </w:r>
            <w:r>
              <w:rPr>
                <w:rFonts w:hint="default" w:ascii="Times New Roman" w:hAnsi="Times New Roman" w:eastAsia="宋体" w:cs="Times New Roman"/>
                <w:b/>
                <w:bCs/>
                <w:kern w:val="24"/>
                <w:sz w:val="24"/>
                <w:lang w:val="en-US" w:eastAsia="zh-CN" w:bidi="ar"/>
              </w:rPr>
              <w:t>非道路移动机械用柴油机排气污染物排放限值及测量方法（摘录）</w:t>
            </w:r>
          </w:p>
          <w:tbl>
            <w:tblPr>
              <w:tblStyle w:val="22"/>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45"/>
              <w:gridCol w:w="776"/>
              <w:gridCol w:w="918"/>
              <w:gridCol w:w="918"/>
              <w:gridCol w:w="918"/>
              <w:gridCol w:w="918"/>
              <w:gridCol w:w="815"/>
              <w:gridCol w:w="900"/>
            </w:tblGrid>
            <w:tr w14:paraId="5026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5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94B94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52E86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额定净功（Pmax）（kW）</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F9C9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CO（g/kW·h）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49ABC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HC（g/kW·h）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1AC9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NO</w:t>
                  </w:r>
                  <w:r>
                    <w:rPr>
                      <w:rFonts w:hint="default" w:ascii="Times New Roman" w:hAnsi="Times New Roman" w:eastAsia="宋体" w:cs="Times New Roman"/>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03571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HC+NO</w:t>
                  </w:r>
                  <w:r>
                    <w:rPr>
                      <w:rFonts w:hint="default" w:ascii="Times New Roman" w:hAnsi="Times New Roman" w:eastAsia="宋体" w:cs="Times New Roman"/>
                      <w:color w:val="auto"/>
                      <w:sz w:val="21"/>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DBD19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PM（g/kW·h）</w:t>
                  </w:r>
                </w:p>
              </w:tc>
              <w:tc>
                <w:tcPr>
                  <w:tcW w:w="50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0707E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NH</w:t>
                  </w:r>
                  <w:r>
                    <w:rPr>
                      <w:rFonts w:hint="default" w:ascii="Times New Roman" w:hAnsi="Times New Roman" w:eastAsia="宋体" w:cs="Times New Roman"/>
                      <w:color w:val="auto"/>
                      <w:sz w:val="21"/>
                      <w:szCs w:val="24"/>
                      <w:vertAlign w:val="subscript"/>
                    </w:rPr>
                    <w:t>3</w:t>
                  </w:r>
                  <w:r>
                    <w:rPr>
                      <w:rFonts w:hint="default" w:ascii="Times New Roman" w:hAnsi="Times New Roman" w:eastAsia="宋体" w:cs="Times New Roman"/>
                      <w:color w:val="auto"/>
                      <w:sz w:val="21"/>
                      <w:szCs w:val="24"/>
                    </w:rPr>
                    <w:t>（ppm）</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9761B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PN（</w:t>
                  </w:r>
                  <w:r>
                    <w:rPr>
                      <w:rFonts w:hint="default" w:ascii="Times New Roman" w:hAnsi="Times New Roman" w:eastAsia="宋体" w:cs="Times New Roman"/>
                      <w:color w:val="auto"/>
                      <w:sz w:val="21"/>
                      <w:szCs w:val="24"/>
                      <w:lang w:val="en-US" w:eastAsia="zh-CN"/>
                    </w:rPr>
                    <w:t>#</w:t>
                  </w:r>
                  <w:r>
                    <w:rPr>
                      <w:rFonts w:hint="default" w:ascii="Times New Roman" w:hAnsi="Times New Roman" w:eastAsia="宋体" w:cs="Times New Roman"/>
                      <w:color w:val="auto"/>
                      <w:sz w:val="21"/>
                      <w:szCs w:val="24"/>
                    </w:rPr>
                    <w:t>/kW·h）</w:t>
                  </w:r>
                </w:p>
              </w:tc>
            </w:tr>
            <w:tr w14:paraId="68AE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restart"/>
                  <w:tcBorders>
                    <w:top w:val="single" w:color="auto" w:sz="4" w:space="0"/>
                    <w:left w:val="single" w:color="auto" w:sz="4" w:space="0"/>
                    <w:right w:val="single" w:color="auto" w:sz="4" w:space="0"/>
                    <w:tl2br w:val="nil"/>
                    <w:tr2bl w:val="nil"/>
                  </w:tcBorders>
                  <w:noWrap w:val="0"/>
                  <w:vAlign w:val="center"/>
                </w:tcPr>
                <w:p w14:paraId="4146E0A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第四阶段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5592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76F3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B29C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0.40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1ADD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3.5,0.67</w:t>
                  </w:r>
                  <w:r>
                    <w:rPr>
                      <w:rFonts w:hint="default" w:ascii="Times New Roman" w:hAnsi="Times New Roman" w:eastAsia="宋体" w:cs="Times New Roman"/>
                      <w:color w:val="auto"/>
                      <w:sz w:val="21"/>
                      <w:szCs w:val="24"/>
                      <w:vertAlign w:val="superscript"/>
                      <w:lang w:val="en-US" w:eastAsia="zh-CN"/>
                    </w:rPr>
                    <w:t>a</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9DBC6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7A75B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0.10</w:t>
                  </w:r>
                </w:p>
              </w:tc>
              <w:tc>
                <w:tcPr>
                  <w:tcW w:w="504" w:type="pct"/>
                  <w:vMerge w:val="restart"/>
                  <w:tcBorders>
                    <w:top w:val="single" w:color="auto" w:sz="4" w:space="0"/>
                    <w:left w:val="single" w:color="auto" w:sz="4" w:space="0"/>
                    <w:right w:val="single" w:color="auto" w:sz="4" w:space="0"/>
                    <w:tl2br w:val="nil"/>
                    <w:tr2bl w:val="nil"/>
                  </w:tcBorders>
                  <w:noWrap w:val="0"/>
                  <w:vAlign w:val="center"/>
                </w:tcPr>
                <w:p w14:paraId="290FFAD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25</w:t>
                  </w:r>
                  <w:r>
                    <w:rPr>
                      <w:rFonts w:hint="default" w:ascii="Times New Roman" w:hAnsi="Times New Roman" w:eastAsia="宋体" w:cs="Times New Roman"/>
                      <w:color w:val="auto"/>
                      <w:sz w:val="21"/>
                      <w:szCs w:val="24"/>
                      <w:vertAlign w:val="superscript"/>
                      <w:lang w:val="en-US" w:eastAsia="zh-CN"/>
                    </w:rPr>
                    <w:t>b</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C1965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0428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3F5B2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5DE67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130≤Pmax≤560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2E59D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15206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D658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2.0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C123D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0EA1A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290DF6B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restart"/>
                  <w:tcBorders>
                    <w:top w:val="single" w:color="auto" w:sz="4" w:space="0"/>
                    <w:left w:val="single" w:color="auto" w:sz="4" w:space="0"/>
                    <w:right w:val="single" w:color="auto" w:sz="4" w:space="0"/>
                    <w:tl2br w:val="nil"/>
                    <w:tr2bl w:val="nil"/>
                  </w:tcBorders>
                  <w:noWrap w:val="0"/>
                  <w:vAlign w:val="center"/>
                </w:tcPr>
                <w:p w14:paraId="504CE99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5×10</w:t>
                  </w:r>
                  <w:r>
                    <w:rPr>
                      <w:rFonts w:hint="default" w:ascii="Times New Roman" w:hAnsi="Times New Roman" w:eastAsia="宋体" w:cs="Times New Roman"/>
                      <w:color w:val="auto"/>
                      <w:sz w:val="21"/>
                      <w:szCs w:val="24"/>
                      <w:vertAlign w:val="superscript"/>
                    </w:rPr>
                    <w:t>12</w:t>
                  </w:r>
                </w:p>
              </w:tc>
            </w:tr>
            <w:tr w14:paraId="2904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9D15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1ACC4A">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56≤Pmax＜130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150C0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C0F59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1AE74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3.3</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6B4C8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F81C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02FE8CC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right w:val="single" w:color="auto" w:sz="4" w:space="0"/>
                    <w:tl2br w:val="nil"/>
                    <w:tr2bl w:val="nil"/>
                  </w:tcBorders>
                  <w:noWrap w:val="0"/>
                  <w:vAlign w:val="center"/>
                </w:tcPr>
                <w:p w14:paraId="1CF96F7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712D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63C2965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D271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37≤Pmax＜56</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80E4B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F14F3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9FC21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7B8E3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4.7</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117D9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5A30520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bottom w:val="single" w:color="auto" w:sz="4" w:space="0"/>
                    <w:right w:val="single" w:color="auto" w:sz="4" w:space="0"/>
                    <w:tl2br w:val="nil"/>
                    <w:tr2bl w:val="nil"/>
                  </w:tcBorders>
                  <w:noWrap w:val="0"/>
                  <w:vAlign w:val="center"/>
                </w:tcPr>
                <w:p w14:paraId="73C59A5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2267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0ED9F35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74A2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w:t>
                  </w:r>
                  <w:r>
                    <w:rPr>
                      <w:rFonts w:hint="default" w:ascii="Times New Roman" w:hAnsi="Times New Roman" w:eastAsia="宋体" w:cs="Times New Roman"/>
                      <w:color w:val="auto"/>
                      <w:sz w:val="21"/>
                      <w:szCs w:val="24"/>
                      <w:vertAlign w:val="subscript"/>
                    </w:rPr>
                    <w:t>max</w:t>
                  </w:r>
                  <w:r>
                    <w:rPr>
                      <w:rFonts w:hint="default" w:ascii="Times New Roman" w:hAnsi="Times New Roman" w:eastAsia="宋体" w:cs="Times New Roman"/>
                      <w:color w:val="auto"/>
                      <w:sz w:val="21"/>
                      <w:szCs w:val="24"/>
                    </w:rPr>
                    <w:t>＜37</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1E2F8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A7B43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A57E6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2EB05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7.5</w:t>
                  </w:r>
                </w:p>
              </w:tc>
              <w:tc>
                <w:tcPr>
                  <w:tcW w:w="568"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619768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rPr>
                    <w:t>0.60</w:t>
                  </w:r>
                </w:p>
              </w:tc>
              <w:tc>
                <w:tcPr>
                  <w:tcW w:w="504" w:type="pct"/>
                  <w:vMerge w:val="continue"/>
                  <w:tcBorders>
                    <w:left w:val="single" w:color="auto" w:sz="4" w:space="0"/>
                    <w:bottom w:val="single" w:color="auto" w:sz="4" w:space="0"/>
                    <w:right w:val="single" w:color="auto" w:sz="4" w:space="0"/>
                    <w:tl2br w:val="nil"/>
                    <w:tr2bl w:val="nil"/>
                  </w:tcBorders>
                  <w:noWrap w:val="0"/>
                  <w:vAlign w:val="center"/>
                </w:tcPr>
                <w:p w14:paraId="4AAA19F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0D344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545F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00" w:type="pct"/>
                  <w:gridSpan w:val="9"/>
                  <w:tcBorders>
                    <w:left w:val="single" w:color="auto" w:sz="4" w:space="0"/>
                    <w:bottom w:val="single" w:color="auto" w:sz="4" w:space="0"/>
                    <w:right w:val="single" w:color="auto" w:sz="4" w:space="0"/>
                    <w:tl2br w:val="nil"/>
                    <w:tr2bl w:val="nil"/>
                  </w:tcBorders>
                  <w:noWrap w:val="0"/>
                  <w:vAlign w:val="center"/>
                </w:tcPr>
                <w:p w14:paraId="5B1F062F">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a适用于可移动式发电机组用Pmax＞900kW的柴油机。</w:t>
                  </w:r>
                </w:p>
                <w:p w14:paraId="3CE18951">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b适用于使用反应剂的柴油机。</w:t>
                  </w:r>
                </w:p>
              </w:tc>
            </w:tr>
          </w:tbl>
          <w:p w14:paraId="2C8D7958">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2.2</w:t>
            </w:r>
            <w:r>
              <w:rPr>
                <w:rFonts w:hint="default" w:ascii="Times New Roman" w:hAnsi="Times New Roman" w:eastAsia="宋体" w:cs="Times New Roman"/>
                <w:b/>
                <w:bCs/>
                <w:kern w:val="24"/>
                <w:sz w:val="24"/>
                <w:lang w:val="en-US" w:eastAsia="zh-CN" w:bidi="ar"/>
              </w:rPr>
              <w:t>噪声排放标准</w:t>
            </w:r>
          </w:p>
          <w:p w14:paraId="56DAD7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eastAsia" w:ascii="Times New Roman" w:hAnsi="Times New Roman" w:eastAsia="宋体" w:cs="Times New Roman"/>
                <w:kern w:val="24"/>
                <w:sz w:val="24"/>
                <w:lang w:val="en-US" w:eastAsia="zh-CN" w:bidi="ar"/>
              </w:rPr>
              <w:t>施工期噪声执行《建筑施工噪声排放标准》（GB12523-2025）。</w:t>
            </w:r>
          </w:p>
          <w:p w14:paraId="3E757B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表3-</w:t>
            </w:r>
            <w:r>
              <w:rPr>
                <w:rFonts w:hint="eastAsia" w:cs="Times New Roman"/>
                <w:b/>
                <w:bCs/>
                <w:kern w:val="24"/>
                <w:sz w:val="24"/>
                <w:lang w:val="en-US" w:eastAsia="zh-CN" w:bidi="ar"/>
              </w:rPr>
              <w:t xml:space="preserve">9 </w:t>
            </w:r>
            <w:r>
              <w:rPr>
                <w:rFonts w:hint="eastAsia" w:ascii="Times New Roman" w:hAnsi="Times New Roman" w:eastAsia="宋体" w:cs="Times New Roman"/>
                <w:b/>
                <w:bCs/>
                <w:kern w:val="24"/>
                <w:sz w:val="24"/>
                <w:lang w:val="en-US" w:eastAsia="zh-CN" w:bidi="ar"/>
              </w:rPr>
              <w:t xml:space="preserve">  施工期噪声执行标准</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6"/>
              <w:gridCol w:w="1488"/>
              <w:gridCol w:w="1854"/>
              <w:gridCol w:w="2676"/>
            </w:tblGrid>
            <w:tr w14:paraId="050B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14F7C296">
                  <w:pPr>
                    <w:pStyle w:val="4"/>
                    <w:bidi w:val="0"/>
                    <w:jc w:val="center"/>
                    <w:rPr>
                      <w:rFonts w:hint="eastAsia"/>
                      <w:lang w:val="en-US" w:eastAsia="zh-CN"/>
                    </w:rPr>
                  </w:pPr>
                  <w:r>
                    <w:rPr>
                      <w:rFonts w:hint="eastAsia"/>
                      <w:lang w:val="en-US" w:eastAsia="zh-CN"/>
                    </w:rPr>
                    <w:t>污染源</w:t>
                  </w:r>
                </w:p>
              </w:tc>
              <w:tc>
                <w:tcPr>
                  <w:tcW w:w="2082" w:type="pct"/>
                  <w:gridSpan w:val="2"/>
                  <w:shd w:val="clear" w:color="auto" w:fill="auto"/>
                  <w:vAlign w:val="center"/>
                </w:tcPr>
                <w:p w14:paraId="73824989">
                  <w:pPr>
                    <w:pStyle w:val="4"/>
                    <w:bidi w:val="0"/>
                    <w:jc w:val="center"/>
                    <w:rPr>
                      <w:rFonts w:hint="eastAsia"/>
                      <w:lang w:val="en-US" w:eastAsia="zh-CN"/>
                    </w:rPr>
                  </w:pPr>
                  <w:r>
                    <w:rPr>
                      <w:rFonts w:hint="eastAsia"/>
                      <w:lang w:val="en-US" w:eastAsia="zh-CN"/>
                    </w:rPr>
                    <w:t>项目</w:t>
                  </w:r>
                </w:p>
              </w:tc>
              <w:tc>
                <w:tcPr>
                  <w:tcW w:w="1667" w:type="pct"/>
                  <w:vMerge w:val="restart"/>
                  <w:vAlign w:val="center"/>
                </w:tcPr>
                <w:p w14:paraId="4DFBD395">
                  <w:pPr>
                    <w:pStyle w:val="4"/>
                    <w:bidi w:val="0"/>
                    <w:jc w:val="center"/>
                    <w:rPr>
                      <w:rFonts w:hint="default"/>
                      <w:lang w:val="en-US" w:eastAsia="zh-CN"/>
                    </w:rPr>
                  </w:pPr>
                  <w:r>
                    <w:rPr>
                      <w:rFonts w:hint="eastAsia"/>
                      <w:lang w:val="en-US" w:eastAsia="zh-CN"/>
                    </w:rPr>
                    <w:t>执行标准</w:t>
                  </w:r>
                </w:p>
              </w:tc>
            </w:tr>
            <w:tr w14:paraId="3471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vAlign w:val="center"/>
                </w:tcPr>
                <w:p w14:paraId="5761A9C7">
                  <w:pPr>
                    <w:pStyle w:val="4"/>
                    <w:bidi w:val="0"/>
                    <w:jc w:val="center"/>
                    <w:rPr>
                      <w:rFonts w:hint="eastAsia"/>
                      <w:lang w:val="en-US" w:eastAsia="zh-CN"/>
                    </w:rPr>
                  </w:pPr>
                </w:p>
              </w:tc>
              <w:tc>
                <w:tcPr>
                  <w:tcW w:w="927" w:type="pct"/>
                  <w:shd w:val="clear" w:color="auto" w:fill="auto"/>
                  <w:vAlign w:val="center"/>
                </w:tcPr>
                <w:p w14:paraId="77948E7E">
                  <w:pPr>
                    <w:pStyle w:val="4"/>
                    <w:bidi w:val="0"/>
                    <w:jc w:val="center"/>
                    <w:rPr>
                      <w:rFonts w:hint="eastAsia"/>
                      <w:lang w:val="en-US" w:eastAsia="zh-CN"/>
                    </w:rPr>
                  </w:pPr>
                  <w:r>
                    <w:rPr>
                      <w:rFonts w:hint="eastAsia"/>
                      <w:lang w:val="en-US" w:eastAsia="zh-CN"/>
                    </w:rPr>
                    <w:t>时段</w:t>
                  </w:r>
                </w:p>
              </w:tc>
              <w:tc>
                <w:tcPr>
                  <w:tcW w:w="1155" w:type="pct"/>
                  <w:shd w:val="clear" w:color="auto" w:fill="auto"/>
                  <w:vAlign w:val="center"/>
                </w:tcPr>
                <w:p w14:paraId="61829D81">
                  <w:pPr>
                    <w:pStyle w:val="4"/>
                    <w:bidi w:val="0"/>
                    <w:jc w:val="center"/>
                    <w:rPr>
                      <w:rFonts w:hint="eastAsia"/>
                      <w:lang w:val="en-US" w:eastAsia="zh-CN"/>
                    </w:rPr>
                  </w:pPr>
                  <w:r>
                    <w:rPr>
                      <w:rFonts w:hint="eastAsia"/>
                      <w:lang w:val="en-US" w:eastAsia="zh-CN"/>
                    </w:rPr>
                    <w:t>标准值</w:t>
                  </w:r>
                </w:p>
              </w:tc>
              <w:tc>
                <w:tcPr>
                  <w:tcW w:w="1667" w:type="pct"/>
                  <w:vMerge w:val="continue"/>
                  <w:vAlign w:val="center"/>
                </w:tcPr>
                <w:p w14:paraId="46D5A33E">
                  <w:pPr>
                    <w:pStyle w:val="4"/>
                    <w:bidi w:val="0"/>
                    <w:jc w:val="center"/>
                    <w:rPr>
                      <w:rFonts w:hint="eastAsia"/>
                      <w:lang w:val="en-US" w:eastAsia="zh-CN"/>
                    </w:rPr>
                  </w:pPr>
                </w:p>
              </w:tc>
            </w:tr>
            <w:tr w14:paraId="7103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2060DBB6">
                  <w:pPr>
                    <w:pStyle w:val="4"/>
                    <w:bidi w:val="0"/>
                    <w:jc w:val="center"/>
                    <w:rPr>
                      <w:rFonts w:hint="eastAsia"/>
                      <w:lang w:val="en-US" w:eastAsia="zh-CN"/>
                    </w:rPr>
                  </w:pPr>
                  <w:r>
                    <w:rPr>
                      <w:rFonts w:hint="eastAsia"/>
                      <w:lang w:val="en-US" w:eastAsia="zh-CN"/>
                    </w:rPr>
                    <w:t>施工噪声</w:t>
                  </w:r>
                </w:p>
              </w:tc>
              <w:tc>
                <w:tcPr>
                  <w:tcW w:w="927" w:type="pct"/>
                  <w:shd w:val="clear" w:color="auto" w:fill="auto"/>
                  <w:vAlign w:val="center"/>
                </w:tcPr>
                <w:p w14:paraId="7950505C">
                  <w:pPr>
                    <w:pStyle w:val="4"/>
                    <w:bidi w:val="0"/>
                    <w:jc w:val="center"/>
                    <w:rPr>
                      <w:rFonts w:hint="eastAsia"/>
                      <w:lang w:val="en-US" w:eastAsia="zh-CN"/>
                    </w:rPr>
                  </w:pPr>
                  <w:r>
                    <w:rPr>
                      <w:rFonts w:hint="eastAsia"/>
                      <w:lang w:val="en-US" w:eastAsia="zh-CN"/>
                    </w:rPr>
                    <w:t>昼间</w:t>
                  </w:r>
                </w:p>
              </w:tc>
              <w:tc>
                <w:tcPr>
                  <w:tcW w:w="1155" w:type="pct"/>
                  <w:shd w:val="clear" w:color="auto" w:fill="auto"/>
                  <w:vAlign w:val="center"/>
                </w:tcPr>
                <w:p w14:paraId="7EABC789">
                  <w:pPr>
                    <w:pStyle w:val="4"/>
                    <w:bidi w:val="0"/>
                    <w:jc w:val="center"/>
                    <w:rPr>
                      <w:rFonts w:hint="eastAsia"/>
                      <w:lang w:val="en-US" w:eastAsia="zh-CN"/>
                    </w:rPr>
                  </w:pPr>
                  <w:r>
                    <w:rPr>
                      <w:rFonts w:hint="eastAsia"/>
                      <w:lang w:val="en-US" w:eastAsia="zh-CN"/>
                    </w:rPr>
                    <w:t>70dB（A）</w:t>
                  </w:r>
                </w:p>
              </w:tc>
              <w:tc>
                <w:tcPr>
                  <w:tcW w:w="1667" w:type="pct"/>
                  <w:vMerge w:val="restart"/>
                  <w:vAlign w:val="center"/>
                </w:tcPr>
                <w:p w14:paraId="07B35DAF">
                  <w:pPr>
                    <w:pStyle w:val="4"/>
                    <w:keepNext/>
                    <w:keepLines/>
                    <w:pageBreakBefore w:val="0"/>
                    <w:widowControl w:val="0"/>
                    <w:kinsoku/>
                    <w:wordWrap w:val="0"/>
                    <w:overflowPunct/>
                    <w:topLinePunct w:val="0"/>
                    <w:autoSpaceDE/>
                    <w:autoSpaceDN/>
                    <w:bidi w:val="0"/>
                    <w:adjustRightInd/>
                    <w:snapToGrid/>
                    <w:jc w:val="center"/>
                    <w:textAlignment w:val="auto"/>
                    <w:rPr>
                      <w:rFonts w:hint="eastAsia"/>
                      <w:lang w:val="en-US" w:eastAsia="zh-CN"/>
                    </w:rPr>
                  </w:pPr>
                  <w:r>
                    <w:rPr>
                      <w:rFonts w:hint="eastAsia"/>
                      <w:lang w:val="en-US" w:eastAsia="zh-CN"/>
                    </w:rPr>
                    <w:t>《建筑施工噪声排放标准》（GB12523-2025）</w:t>
                  </w:r>
                </w:p>
              </w:tc>
            </w:tr>
            <w:tr w14:paraId="6E62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shd w:val="clear" w:color="auto" w:fill="auto"/>
                  <w:vAlign w:val="center"/>
                </w:tcPr>
                <w:p w14:paraId="702B1EBE">
                  <w:pPr>
                    <w:pStyle w:val="4"/>
                    <w:bidi w:val="0"/>
                    <w:jc w:val="center"/>
                    <w:rPr>
                      <w:rFonts w:hint="eastAsia"/>
                      <w:lang w:val="en-US" w:eastAsia="zh-CN"/>
                    </w:rPr>
                  </w:pPr>
                </w:p>
              </w:tc>
              <w:tc>
                <w:tcPr>
                  <w:tcW w:w="927" w:type="pct"/>
                  <w:shd w:val="clear" w:color="auto" w:fill="auto"/>
                  <w:vAlign w:val="center"/>
                </w:tcPr>
                <w:p w14:paraId="1B10024A">
                  <w:pPr>
                    <w:pStyle w:val="4"/>
                    <w:bidi w:val="0"/>
                    <w:jc w:val="center"/>
                    <w:rPr>
                      <w:rFonts w:hint="eastAsia"/>
                      <w:lang w:val="en-US" w:eastAsia="zh-CN"/>
                    </w:rPr>
                  </w:pPr>
                  <w:r>
                    <w:rPr>
                      <w:rFonts w:hint="eastAsia"/>
                      <w:lang w:val="en-US" w:eastAsia="zh-CN"/>
                    </w:rPr>
                    <w:t>夜间</w:t>
                  </w:r>
                </w:p>
              </w:tc>
              <w:tc>
                <w:tcPr>
                  <w:tcW w:w="1155" w:type="pct"/>
                  <w:shd w:val="clear" w:color="auto" w:fill="auto"/>
                  <w:vAlign w:val="center"/>
                </w:tcPr>
                <w:p w14:paraId="214E3F3D">
                  <w:pPr>
                    <w:pStyle w:val="4"/>
                    <w:bidi w:val="0"/>
                    <w:jc w:val="center"/>
                    <w:rPr>
                      <w:rFonts w:hint="eastAsia"/>
                      <w:lang w:val="en-US" w:eastAsia="zh-CN"/>
                    </w:rPr>
                  </w:pPr>
                  <w:r>
                    <w:rPr>
                      <w:rFonts w:hint="eastAsia"/>
                      <w:lang w:val="en-US" w:eastAsia="zh-CN"/>
                    </w:rPr>
                    <w:t>55dB（A）</w:t>
                  </w:r>
                </w:p>
              </w:tc>
              <w:tc>
                <w:tcPr>
                  <w:tcW w:w="1667" w:type="pct"/>
                  <w:vMerge w:val="continue"/>
                  <w:vAlign w:val="center"/>
                </w:tcPr>
                <w:p w14:paraId="3B5438B8">
                  <w:pPr>
                    <w:pStyle w:val="4"/>
                    <w:bidi w:val="0"/>
                    <w:jc w:val="center"/>
                    <w:rPr>
                      <w:rFonts w:hint="eastAsia"/>
                      <w:lang w:val="en-US" w:eastAsia="zh-CN"/>
                    </w:rPr>
                  </w:pPr>
                </w:p>
              </w:tc>
            </w:tr>
          </w:tbl>
          <w:p w14:paraId="5DB7FE3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2.3</w:t>
            </w:r>
            <w:r>
              <w:rPr>
                <w:rFonts w:hint="default" w:ascii="Times New Roman" w:hAnsi="Times New Roman" w:eastAsia="宋体" w:cs="Times New Roman"/>
                <w:b/>
                <w:bCs/>
                <w:kern w:val="24"/>
                <w:sz w:val="24"/>
                <w:lang w:val="en-US" w:eastAsia="zh-CN" w:bidi="ar"/>
              </w:rPr>
              <w:t>固体废弃物</w:t>
            </w:r>
          </w:p>
          <w:p w14:paraId="4EE1002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ascii="宋体" w:hAnsi="宋体" w:cs="宋体"/>
                <w:kern w:val="0"/>
                <w:szCs w:val="21"/>
              </w:rPr>
            </w:pPr>
            <w:r>
              <w:rPr>
                <w:rFonts w:hint="eastAsia" w:ascii="Times New Roman" w:hAnsi="Times New Roman" w:eastAsia="宋体" w:cs="Times New Roman"/>
                <w:kern w:val="24"/>
                <w:sz w:val="24"/>
                <w:lang w:val="en-US" w:eastAsia="zh-CN" w:bidi="ar"/>
              </w:rPr>
              <w:t>一般工业固废暂存参照执行《一般工业固体废物贮存和填埋污染控制标准》（GB18599-2</w:t>
            </w:r>
            <w:r>
              <w:rPr>
                <w:rFonts w:hint="eastAsia" w:ascii="Times New Roman" w:hAnsi="Times New Roman" w:eastAsia="宋体" w:cs="Times New Roman"/>
                <w:kern w:val="24"/>
                <w:sz w:val="24"/>
                <w:highlight w:val="none"/>
                <w:lang w:val="en-US" w:eastAsia="zh-CN" w:bidi="ar"/>
              </w:rPr>
              <w:t>020）中的“其贮存过程应满足相应防渗漏、防雨淋、防扬尘等环境保护要求”。</w:t>
            </w:r>
            <w:r>
              <w:rPr>
                <w:rFonts w:hint="eastAsia"/>
                <w:sz w:val="24"/>
                <w:szCs w:val="24"/>
                <w:highlight w:val="none"/>
              </w:rPr>
              <w:t>危险废物</w:t>
            </w:r>
            <w:r>
              <w:rPr>
                <w:rFonts w:hint="eastAsia"/>
                <w:sz w:val="24"/>
                <w:szCs w:val="24"/>
                <w:highlight w:val="none"/>
                <w:lang w:val="en-US" w:eastAsia="zh-CN"/>
              </w:rPr>
              <w:t>贮存</w:t>
            </w:r>
            <w:r>
              <w:rPr>
                <w:rFonts w:hint="eastAsia"/>
                <w:sz w:val="24"/>
                <w:szCs w:val="24"/>
                <w:highlight w:val="none"/>
              </w:rPr>
              <w:t>执行《危险废物贮存污染控制标准》（GB18597-2023）</w:t>
            </w:r>
            <w:r>
              <w:rPr>
                <w:rFonts w:hint="eastAsia"/>
                <w:sz w:val="24"/>
                <w:szCs w:val="24"/>
                <w:highlight w:val="none"/>
                <w:lang w:val="en-US" w:eastAsia="zh-CN"/>
              </w:rPr>
              <w:t>相关</w:t>
            </w:r>
            <w:r>
              <w:rPr>
                <w:rFonts w:hint="eastAsia"/>
                <w:sz w:val="24"/>
                <w:szCs w:val="24"/>
                <w:highlight w:val="none"/>
              </w:rPr>
              <w:t>要求</w:t>
            </w:r>
            <w:r>
              <w:rPr>
                <w:rFonts w:hint="eastAsia"/>
                <w:sz w:val="24"/>
                <w:szCs w:val="24"/>
                <w:highlight w:val="none"/>
                <w:lang w:eastAsia="zh-CN"/>
              </w:rPr>
              <w:t>。</w:t>
            </w:r>
          </w:p>
        </w:tc>
      </w:tr>
      <w:tr w14:paraId="677BD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88" w:hRule="atLeast"/>
          <w:jc w:val="center"/>
        </w:trPr>
        <w:tc>
          <w:tcPr>
            <w:tcW w:w="904" w:type="dxa"/>
            <w:noWrap w:val="0"/>
            <w:vAlign w:val="center"/>
          </w:tcPr>
          <w:p w14:paraId="690C2452">
            <w:pPr>
              <w:adjustRightInd w:val="0"/>
              <w:snapToGrid w:val="0"/>
              <w:jc w:val="center"/>
              <w:rPr>
                <w:rFonts w:ascii="宋体" w:hAnsi="宋体" w:cs="宋体"/>
                <w:kern w:val="0"/>
                <w:szCs w:val="21"/>
              </w:rPr>
            </w:pPr>
            <w:r>
              <w:rPr>
                <w:rFonts w:hint="eastAsia" w:ascii="宋体" w:hAnsi="宋体" w:cs="宋体"/>
                <w:kern w:val="0"/>
                <w:szCs w:val="21"/>
              </w:rPr>
              <w:t>其他</w:t>
            </w:r>
          </w:p>
        </w:tc>
        <w:tc>
          <w:tcPr>
            <w:tcW w:w="8253" w:type="dxa"/>
            <w:noWrap w:val="0"/>
            <w:vAlign w:val="center"/>
          </w:tcPr>
          <w:p w14:paraId="0A5AE7DE">
            <w:pPr>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bl>
    <w:p w14:paraId="15CAABC8">
      <w:pPr>
        <w:pStyle w:val="20"/>
        <w:adjustRightInd w:val="0"/>
        <w:snapToGrid w:val="0"/>
        <w:spacing w:before="0" w:beforeAutospacing="0" w:after="0" w:afterAutospacing="0" w:line="14" w:lineRule="auto"/>
        <w:jc w:val="center"/>
        <w:outlineLvl w:val="0"/>
        <w:rPr>
          <w:rFonts w:ascii="黑体" w:hAnsi="黑体" w:eastAsia="黑体"/>
          <w:snapToGrid w:val="0"/>
          <w:kern w:val="2"/>
          <w:sz w:val="36"/>
          <w:szCs w:val="36"/>
        </w:rPr>
      </w:pPr>
    </w:p>
    <w:p w14:paraId="71355F54">
      <w:pPr>
        <w:pStyle w:val="20"/>
        <w:jc w:val="center"/>
        <w:outlineLvl w:val="0"/>
        <w:rPr>
          <w:rFonts w:ascii="黑体" w:hAnsi="黑体" w:eastAsia="黑体"/>
          <w:snapToGrid w:val="0"/>
          <w:sz w:val="30"/>
          <w:szCs w:val="30"/>
        </w:rPr>
      </w:pPr>
      <w:r>
        <w:rPr>
          <w:rFonts w:ascii="黑体" w:hAnsi="黑体" w:eastAsia="黑体"/>
          <w:snapToGrid w:val="0"/>
          <w:kern w:val="2"/>
          <w:sz w:val="36"/>
          <w:szCs w:val="36"/>
        </w:rPr>
        <w:br w:type="page"/>
      </w:r>
      <w:r>
        <w:rPr>
          <w:rFonts w:hint="eastAsia" w:ascii="黑体" w:hAnsi="黑体" w:eastAsia="黑体"/>
          <w:snapToGrid w:val="0"/>
          <w:sz w:val="30"/>
          <w:szCs w:val="30"/>
        </w:rPr>
        <w:t>四、生态环境影响分析</w:t>
      </w:r>
    </w:p>
    <w:tbl>
      <w:tblPr>
        <w:tblStyle w:val="2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6C6ED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879" w:type="dxa"/>
            <w:noWrap w:val="0"/>
            <w:tcMar>
              <w:left w:w="28" w:type="dxa"/>
              <w:right w:w="28" w:type="dxa"/>
            </w:tcMar>
            <w:vAlign w:val="center"/>
          </w:tcPr>
          <w:p w14:paraId="6BA4CFFB">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bookmarkStart w:id="6" w:name="_Hlk49796138"/>
            <w:r>
              <w:rPr>
                <w:rFonts w:hint="default" w:ascii="Times New Roman" w:hAnsi="Times New Roman" w:cs="Times New Roman"/>
                <w:bCs/>
                <w:spacing w:val="10"/>
                <w:kern w:val="2"/>
                <w:sz w:val="21"/>
                <w:szCs w:val="21"/>
              </w:rPr>
              <w:t>施工期生态环境影响分析</w:t>
            </w:r>
            <w:bookmarkEnd w:id="6"/>
          </w:p>
        </w:tc>
        <w:tc>
          <w:tcPr>
            <w:tcW w:w="8363" w:type="dxa"/>
            <w:shd w:val="clear" w:color="auto" w:fill="auto"/>
            <w:noWrap w:val="0"/>
            <w:vAlign w:val="top"/>
          </w:tcPr>
          <w:p w14:paraId="66219A20">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1生态影响分析</w:t>
            </w:r>
          </w:p>
          <w:p w14:paraId="34369548">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1.1占地</w:t>
            </w:r>
          </w:p>
          <w:p w14:paraId="13A2ACC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本项目为</w:t>
            </w:r>
            <w:r>
              <w:rPr>
                <w:rFonts w:hint="default" w:ascii="Times New Roman" w:hAnsi="Times New Roman"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rPr>
              <w:t>工程，项目的建设将不可避免</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对区域生态环境产生一定影响。</w:t>
            </w:r>
          </w:p>
          <w:p w14:paraId="5D4D21D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w:t>
            </w:r>
            <w:r>
              <w:rPr>
                <w:rFonts w:hint="eastAsia" w:cs="Times New Roman"/>
                <w:color w:val="auto"/>
                <w:sz w:val="24"/>
                <w:szCs w:val="24"/>
                <w:highlight w:val="none"/>
                <w:lang w:eastAsia="zh-CN"/>
              </w:rPr>
              <w:t>项目</w:t>
            </w:r>
            <w:r>
              <w:rPr>
                <w:rFonts w:hint="default" w:ascii="Times New Roman" w:hAnsi="Times New Roman" w:cs="Times New Roman"/>
                <w:color w:val="auto"/>
                <w:sz w:val="24"/>
                <w:szCs w:val="24"/>
                <w:highlight w:val="none"/>
                <w:lang w:eastAsia="zh-CN"/>
              </w:rPr>
              <w:t>渠道全部沿原有渠线布设，施工过程中仅对原有渠道进行清淤和防渗，仅在原有渠道宽度范围内作业，不额外征用周边土地，不会改变土地利用类型，</w:t>
            </w:r>
            <w:r>
              <w:rPr>
                <w:rFonts w:hint="default" w:ascii="Times New Roman" w:hAnsi="Times New Roman" w:eastAsia="宋体" w:cs="Times New Roman"/>
                <w:color w:val="auto"/>
                <w:sz w:val="24"/>
                <w:szCs w:val="24"/>
                <w:highlight w:val="none"/>
                <w:lang w:val="en-US" w:eastAsia="zh-CN"/>
              </w:rPr>
              <w:t>无场外新增临时用地</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对区域土地利用格局不会产生明显影响。项目不涉及自然植被占用，不会对区域内动植物生境造成明显破坏，对区域生态系统稳定性影响较小</w:t>
            </w:r>
            <w:r>
              <w:rPr>
                <w:rFonts w:hint="default" w:ascii="Times New Roman" w:hAnsi="Times New Roman" w:eastAsia="宋体" w:cs="Times New Roman"/>
                <w:color w:val="auto"/>
                <w:sz w:val="24"/>
                <w:szCs w:val="24"/>
                <w:highlight w:val="none"/>
                <w:lang w:val="en-US" w:eastAsia="zh-CN"/>
              </w:rPr>
              <w:t>。</w:t>
            </w:r>
          </w:p>
          <w:p w14:paraId="4115DE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1.2对植被的影响分析</w:t>
            </w:r>
          </w:p>
          <w:p w14:paraId="57E7B48D">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本项目灌区渠道沿线</w:t>
            </w:r>
            <w:r>
              <w:rPr>
                <w:rFonts w:hint="default" w:ascii="Times New Roman" w:hAnsi="Times New Roman" w:eastAsia="宋体" w:cs="Times New Roman"/>
                <w:color w:val="auto"/>
                <w:sz w:val="24"/>
                <w:szCs w:val="24"/>
                <w:highlight w:val="none"/>
              </w:rPr>
              <w:t>存在</w:t>
            </w:r>
            <w:r>
              <w:rPr>
                <w:rFonts w:hint="default" w:ascii="Times New Roman" w:hAnsi="Times New Roman" w:eastAsia="宋体" w:cs="Times New Roman"/>
                <w:color w:val="auto"/>
                <w:sz w:val="24"/>
                <w:szCs w:val="24"/>
                <w:highlight w:val="none"/>
                <w:lang w:val="en-US" w:eastAsia="zh-CN"/>
              </w:rPr>
              <w:t>农田，植被主要为人工种植农作物以及</w:t>
            </w:r>
            <w:r>
              <w:rPr>
                <w:rFonts w:hint="eastAsia" w:cs="Times New Roman"/>
                <w:color w:val="auto"/>
                <w:sz w:val="24"/>
                <w:szCs w:val="24"/>
                <w:highlight w:val="none"/>
                <w:lang w:val="en-US" w:eastAsia="zh-CN"/>
              </w:rPr>
              <w:t>少量</w:t>
            </w:r>
            <w:r>
              <w:rPr>
                <w:rFonts w:hint="default" w:ascii="Times New Roman" w:hAnsi="Times New Roman" w:cs="Times New Roman"/>
                <w:color w:val="auto"/>
                <w:sz w:val="24"/>
                <w:szCs w:val="24"/>
                <w:highlight w:val="none"/>
                <w:lang w:val="en-US" w:eastAsia="zh-CN"/>
              </w:rPr>
              <w:t>野生</w:t>
            </w:r>
            <w:r>
              <w:rPr>
                <w:rFonts w:hint="default" w:ascii="Times New Roman" w:hAnsi="Times New Roman" w:eastAsia="宋体" w:cs="Times New Roman"/>
                <w:color w:val="auto"/>
                <w:sz w:val="24"/>
                <w:szCs w:val="24"/>
                <w:highlight w:val="none"/>
                <w:lang w:val="en-US" w:eastAsia="zh-CN"/>
              </w:rPr>
              <w:t>植被。</w:t>
            </w:r>
            <w:r>
              <w:rPr>
                <w:rFonts w:hint="default" w:ascii="Times New Roman" w:hAnsi="Times New Roman" w:cs="Times New Roman"/>
                <w:color w:val="auto"/>
                <w:sz w:val="24"/>
                <w:szCs w:val="24"/>
                <w:highlight w:val="none"/>
                <w:lang w:val="en-US" w:eastAsia="zh-CN"/>
              </w:rPr>
              <w:t>项目施工仅在渠道两侧占地范围内清除少量植被，施工范围集中在原有渠线周边，不会对评价区内植被种类和数量产生明显影响，也不会破坏区域植被整体覆盖水平。施工过程中不会砍伐区域内的农作物，仅会清除施工范围内的野生植被</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highlight w:val="none"/>
              </w:rPr>
              <w:t>植被的根系可以牢牢</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抓住土壤，对地面土壤有很好的固定和</w:t>
            </w:r>
            <w:r>
              <w:rPr>
                <w:rFonts w:hint="default" w:ascii="Times New Roman" w:hAnsi="Times New Roman" w:eastAsia="宋体" w:cs="Times New Roman"/>
                <w:color w:val="auto"/>
                <w:sz w:val="24"/>
                <w:szCs w:val="24"/>
                <w:highlight w:val="none"/>
                <w:lang w:val="en-US" w:eastAsia="zh-CN"/>
              </w:rPr>
              <w:t>保</w:t>
            </w:r>
            <w:r>
              <w:rPr>
                <w:rFonts w:hint="default" w:ascii="Times New Roman" w:hAnsi="Times New Roman" w:eastAsia="宋体" w:cs="Times New Roman"/>
                <w:color w:val="auto"/>
                <w:sz w:val="24"/>
                <w:szCs w:val="24"/>
                <w:highlight w:val="none"/>
              </w:rPr>
              <w:t>护作用，具有较强的水土保持功能，因此，项目施工将会对项目区</w:t>
            </w:r>
            <w:r>
              <w:rPr>
                <w:rFonts w:hint="default" w:ascii="Times New Roman" w:hAnsi="Times New Roman" w:eastAsia="宋体" w:cs="Times New Roman"/>
                <w:color w:val="auto"/>
                <w:sz w:val="24"/>
                <w:szCs w:val="24"/>
                <w:highlight w:val="none"/>
                <w:lang w:val="en-US" w:eastAsia="zh-CN"/>
              </w:rPr>
              <w:t>地表植被造成破坏，易形成水土流失，同时还会降低项目区植被覆盖率，在施工</w:t>
            </w:r>
            <w:r>
              <w:rPr>
                <w:rFonts w:hint="default" w:ascii="Times New Roman" w:hAnsi="Times New Roman" w:cs="Times New Roman"/>
                <w:color w:val="auto"/>
                <w:sz w:val="24"/>
                <w:szCs w:val="24"/>
                <w:highlight w:val="none"/>
                <w:lang w:val="en-US" w:eastAsia="zh-CN"/>
              </w:rPr>
              <w:t>期间</w:t>
            </w:r>
            <w:r>
              <w:rPr>
                <w:rFonts w:hint="default" w:ascii="Times New Roman" w:hAnsi="Times New Roman" w:eastAsia="宋体" w:cs="Times New Roman"/>
                <w:color w:val="auto"/>
                <w:sz w:val="24"/>
                <w:szCs w:val="24"/>
                <w:highlight w:val="none"/>
                <w:lang w:val="en-US" w:eastAsia="zh-CN"/>
              </w:rPr>
              <w:t>对生态环境造成影响，应采取避让、减缓、恢复、补偿的措施降低对植被的影响。表土应单独开挖、单独堆放、用于表层土回填的保持土壤肥力</w:t>
            </w:r>
            <w:r>
              <w:rPr>
                <w:rFonts w:hint="default" w:ascii="Times New Roman" w:hAnsi="Times New Roman" w:cs="Times New Roman"/>
                <w:color w:val="auto"/>
                <w:sz w:val="24"/>
                <w:highlight w:val="none"/>
              </w:rPr>
              <w:t>。</w:t>
            </w:r>
          </w:p>
          <w:p w14:paraId="052A07AE">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对土壤的影响</w:t>
            </w:r>
          </w:p>
          <w:p w14:paraId="4D933EDF">
            <w:pPr>
              <w:keepNext w:val="0"/>
              <w:keepLines w:val="0"/>
              <w:pageBreakBefore w:val="0"/>
              <w:widowControl w:val="0"/>
              <w:kinsoku/>
              <w:wordWrap/>
              <w:overflowPunct/>
              <w:topLinePunct w:val="0"/>
              <w:autoSpaceDE/>
              <w:autoSpaceDN/>
              <w:bidi w:val="0"/>
              <w:spacing w:line="52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建设对土壤的影响主要是施工活动会造成土壤结构的改变和土壤养分的减少。对土壤结构的影响主要集中在土壤开挖、回填过程中。工程在施工时进行开挖、堆放、回填、人员踩踏、机械设备夯实或碾压等施工操作，这些物理过程对土壤的最大影响是破坏表层土壤结构，且短期内难以恢复。对土壤养分的影响主要表现在土壤开挖、回填过程中未将表土单独堆放，会造成回填后土壤养分降低。需采取措施对表层土进行保护。采取相应措施后，项目施工对土壤影响较小。</w:t>
            </w:r>
          </w:p>
          <w:p w14:paraId="067818D1">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4对野生动物的影响分析</w:t>
            </w:r>
          </w:p>
          <w:p w14:paraId="2C8ACC5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通过收集资料及现场调查，工程所在区域内有少量常见的鸟类、爬行类和鼠类分布，无国家和自治区级保护野生植物分布。工程施工对野生动物的影响主要表现为工程占地、人员</w:t>
            </w:r>
            <w:r>
              <w:rPr>
                <w:rFonts w:hint="default" w:ascii="Times New Roman" w:hAnsi="Times New Roman" w:cs="Times New Roman"/>
                <w:color w:val="auto"/>
                <w:sz w:val="24"/>
                <w:szCs w:val="24"/>
                <w:highlight w:val="none"/>
                <w:lang w:val="en-US" w:eastAsia="zh-CN"/>
              </w:rPr>
              <w:t>活动</w:t>
            </w:r>
            <w:r>
              <w:rPr>
                <w:rFonts w:hint="default" w:ascii="Times New Roman" w:hAnsi="Times New Roman" w:eastAsia="宋体" w:cs="Times New Roman"/>
                <w:color w:val="auto"/>
                <w:sz w:val="24"/>
                <w:szCs w:val="24"/>
                <w:highlight w:val="none"/>
              </w:rPr>
              <w:t>、施工活动等对野生动物栖息、觅食以及活动范围造成影响，其影响限于施工区及周边范围可能因施工噪声造成影响的区域。施工期受到影响的野生动物会自发迁移至周围适生环境，减少在施工区域的活动，项目占地面积较小，工程施工不会破坏野生动物生境的完整性和连通性，施工结束后，随着噪声的消失，土壤和植被的逐步恢复，野生动物可迁回项目区域。项目建设对工程区及周边活动的野生动物会产生一定影响，但影响程度及范围较小。</w:t>
            </w:r>
          </w:p>
          <w:p w14:paraId="0CE0FC32">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水土流失影响</w:t>
            </w:r>
          </w:p>
          <w:p w14:paraId="31BC364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过程中，由于土石方开挖等施工行为，会对原有土壤结构形成扰动，其结果会使土壤原有的土层发生紊乱，团粒结构破坏，土壤毛细管断裂，施工期的开挖取土破坏表层植被，同时破坏表层土壤，区域地表呈现裸露状态</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土方</w:t>
            </w:r>
            <w:r>
              <w:rPr>
                <w:rFonts w:hint="default" w:ascii="Times New Roman" w:hAnsi="Times New Roman" w:eastAsia="宋体" w:cs="Times New Roman"/>
                <w:color w:val="auto"/>
                <w:sz w:val="24"/>
                <w:szCs w:val="24"/>
                <w:highlight w:val="none"/>
              </w:rPr>
              <w:t>临时堆存时，松散的表土在风力作用下易造成水土流失，成为水土流失物源，如果不及时采取水土保持等相关措施，将会增加水土流失的概率，在施工期内土壤不具有植被生长能力，在刮风下雨天气易造成水土流失，加剧土壤、植被的侵蚀</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土方二次倒运过程中也易发生扬尘和沿途遗撒。如果工程弃土处理不当，有可能成为水土流失的源头，因此，施工过程中需要做好相关水土流失防治工作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采取土地整治、洒水降尘等措施，使水土流失得到及时有效</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控制，降低因人为破坏造成的加速水土流失。</w:t>
            </w:r>
          </w:p>
          <w:p w14:paraId="0275A5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土地沙化影响分析</w:t>
            </w:r>
          </w:p>
          <w:p w14:paraId="1C37AE54">
            <w:pPr>
              <w:pStyle w:val="55"/>
              <w:keepNext w:val="0"/>
              <w:keepLines w:val="0"/>
              <w:pageBreakBefore w:val="0"/>
              <w:widowControl w:val="0"/>
              <w:kinsoku/>
              <w:wordWrap/>
              <w:overflowPunct/>
              <w:topLinePunct w:val="0"/>
              <w:bidi w:val="0"/>
              <w:adjustRightInd w:val="0"/>
              <w:snapToGrid w:val="0"/>
              <w:spacing w:line="520" w:lineRule="atLeas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lang w:val="en-US" w:eastAsia="zh-CN"/>
              </w:rPr>
              <w:t>受灌区影响，渠道两侧植被长势较好，起到了一定的防风固沙作用。本项目建设过程中对原地貌的扰动将降低项目占地范围内的土壤抗侵蚀能力，造成土地沙化；此外，由于项目地处内陆地区，风沙较大，空气干燥，若项目土石方堆存过程中未采取防尘苫盖、洒水抑尘等措施，地表沙化的土壤及挖掘土方遇大风天气易产生严重的扬尘，形成沙尘天气。项目施工期基础开挖、场地平整等过程中，对原有地表土壤造成扰动，造成地表原有结构的破坏。此外，在施工过程中，各种车辆行驶将使经过的土壤变紧实，严重的经过多次碾压后植物很难再生长，甚至退化为沙地。上述施工过程中，对原地貌的扰动大大降低了项目占地范围内的土壤抗侵蚀能力，若未采取相应的防护措施，遇大风天气，极易加重区域沙尘天气。因此施工期应采取相应防治措施减少对环境的影响。</w:t>
            </w:r>
          </w:p>
          <w:p w14:paraId="71016A2A">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对区域景观的影响</w:t>
            </w:r>
          </w:p>
          <w:p w14:paraId="16E5293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由于项目施工开挖等活动，</w:t>
            </w:r>
            <w:r>
              <w:rPr>
                <w:rFonts w:hint="default" w:ascii="Times New Roman" w:hAnsi="Times New Roman" w:eastAsia="宋体" w:cs="Times New Roman"/>
                <w:color w:val="auto"/>
                <w:sz w:val="24"/>
                <w:szCs w:val="24"/>
                <w:highlight w:val="none"/>
                <w:lang w:val="zh-CN"/>
              </w:rPr>
              <w:t>会因为地表植被不同程度的破坏，在短期内成为与原有生态景观不协调的“裸地”或“疮疤”斑块，</w:t>
            </w:r>
            <w:r>
              <w:rPr>
                <w:rFonts w:hint="default" w:ascii="Times New Roman" w:hAnsi="Times New Roman" w:eastAsia="宋体" w:cs="Times New Roman"/>
                <w:color w:val="auto"/>
                <w:sz w:val="24"/>
                <w:szCs w:val="24"/>
                <w:highlight w:val="none"/>
              </w:rPr>
              <w:t>工程施工造成土地利用格局的暂时性改变，景观破碎化增加，景观</w:t>
            </w:r>
            <w:r>
              <w:rPr>
                <w:rFonts w:hint="default" w:ascii="Times New Roman" w:hAnsi="Times New Roman" w:cs="Times New Roman"/>
                <w:color w:val="auto"/>
                <w:sz w:val="24"/>
                <w:szCs w:val="24"/>
                <w:highlight w:val="none"/>
                <w:lang w:eastAsia="zh-CN"/>
              </w:rPr>
              <w:t>比例</w:t>
            </w:r>
            <w:r>
              <w:rPr>
                <w:rFonts w:hint="default" w:ascii="Times New Roman" w:hAnsi="Times New Roman" w:eastAsia="宋体" w:cs="Times New Roman"/>
                <w:color w:val="auto"/>
                <w:sz w:val="24"/>
                <w:szCs w:val="24"/>
                <w:highlight w:val="none"/>
              </w:rPr>
              <w:t>略有降低，</w:t>
            </w:r>
            <w:r>
              <w:rPr>
                <w:rFonts w:hint="eastAsia" w:cs="Times New Roman"/>
                <w:color w:val="auto"/>
                <w:sz w:val="24"/>
                <w:szCs w:val="24"/>
                <w:highlight w:val="none"/>
                <w:lang w:val="en-US" w:eastAsia="zh-CN"/>
              </w:rPr>
              <w:t>连通</w:t>
            </w:r>
            <w:r>
              <w:rPr>
                <w:rFonts w:hint="default" w:ascii="Times New Roman" w:hAnsi="Times New Roman" w:eastAsia="宋体" w:cs="Times New Roman"/>
                <w:color w:val="auto"/>
                <w:sz w:val="24"/>
                <w:szCs w:val="24"/>
                <w:highlight w:val="none"/>
              </w:rPr>
              <w:t>度稍有降低。另外施工现场的暴露、</w:t>
            </w:r>
            <w:r>
              <w:rPr>
                <w:rFonts w:hint="default" w:ascii="Times New Roman" w:hAnsi="Times New Roman" w:eastAsia="宋体" w:cs="Times New Roman"/>
                <w:color w:val="auto"/>
                <w:sz w:val="24"/>
                <w:szCs w:val="24"/>
                <w:highlight w:val="none"/>
                <w:lang w:val="en-US" w:eastAsia="zh-CN"/>
              </w:rPr>
              <w:t>工程余土</w:t>
            </w:r>
            <w:r>
              <w:rPr>
                <w:rFonts w:hint="default" w:ascii="Times New Roman" w:hAnsi="Times New Roman" w:eastAsia="宋体" w:cs="Times New Roman"/>
                <w:color w:val="auto"/>
                <w:sz w:val="24"/>
                <w:szCs w:val="24"/>
                <w:highlight w:val="none"/>
              </w:rPr>
              <w:t>的堆存也影响区域景观，</w:t>
            </w:r>
            <w:r>
              <w:rPr>
                <w:rFonts w:hint="default" w:ascii="Times New Roman" w:hAnsi="Times New Roman" w:eastAsia="宋体" w:cs="Times New Roman"/>
                <w:color w:val="auto"/>
                <w:sz w:val="24"/>
                <w:szCs w:val="24"/>
                <w:highlight w:val="none"/>
                <w:lang w:val="zh-CN"/>
              </w:rPr>
              <w:t>对整体生态景观形成不和谐的视觉效果，造成较为明显的不利影响</w:t>
            </w:r>
            <w:r>
              <w:rPr>
                <w:rFonts w:hint="default" w:ascii="Times New Roman" w:hAnsi="Times New Roman" w:eastAsia="宋体" w:cs="Times New Roman"/>
                <w:color w:val="auto"/>
                <w:sz w:val="24"/>
                <w:szCs w:val="24"/>
                <w:highlight w:val="none"/>
              </w:rPr>
              <w:t>。</w:t>
            </w:r>
          </w:p>
          <w:p w14:paraId="11DE50C7">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2大气污染物影响分析</w:t>
            </w:r>
          </w:p>
          <w:p w14:paraId="0698047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项目施工期大气污染物主要包括施工扬尘和机械燃油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柴油机发电产生的</w:t>
            </w:r>
            <w:r>
              <w:rPr>
                <w:rFonts w:hint="default" w:ascii="Times New Roman" w:hAnsi="Times New Roman" w:eastAsia="宋体" w:cs="Times New Roman"/>
                <w:color w:val="auto"/>
                <w:sz w:val="24"/>
                <w:szCs w:val="24"/>
                <w:highlight w:val="none"/>
              </w:rPr>
              <w:t>废气</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施工采用商品混凝土，现场不设置混凝土搅拌设备</w:t>
            </w:r>
            <w:r>
              <w:rPr>
                <w:rFonts w:hint="default" w:ascii="Times New Roman" w:hAnsi="Times New Roman" w:eastAsia="宋体" w:cs="Times New Roman"/>
                <w:color w:val="auto"/>
                <w:sz w:val="24"/>
                <w:szCs w:val="24"/>
                <w:highlight w:val="none"/>
              </w:rPr>
              <w:t>。</w:t>
            </w:r>
          </w:p>
          <w:p w14:paraId="525DCE5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2.1施工扬尘</w:t>
            </w:r>
          </w:p>
          <w:p w14:paraId="1CCDABB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施工期产生的扬尘按起尘的原因可分为风力起尘和动力起尘。</w:t>
            </w:r>
          </w:p>
          <w:p w14:paraId="48B12686">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本项目风力起尘</w:t>
            </w:r>
            <w:r>
              <w:rPr>
                <w:rFonts w:hint="default" w:ascii="Times New Roman" w:hAnsi="Times New Roman" w:cs="Times New Roman"/>
                <w:color w:val="auto"/>
                <w:sz w:val="24"/>
                <w:szCs w:val="24"/>
                <w:highlight w:val="none"/>
                <w:lang w:eastAsia="zh-CN"/>
              </w:rPr>
              <w:t>主要</w:t>
            </w:r>
            <w:r>
              <w:rPr>
                <w:rFonts w:hint="default" w:ascii="Times New Roman" w:hAnsi="Times New Roman" w:eastAsia="宋体" w:cs="Times New Roman"/>
                <w:color w:val="auto"/>
                <w:sz w:val="24"/>
                <w:szCs w:val="24"/>
                <w:highlight w:val="none"/>
              </w:rPr>
              <w:t>在场地平整、基础开挖、土方回填等土方作业过程中，在气候干燥又有风的情况下，会产生扬尘，其扬尘可按堆场起尘的经验公式计算：</w:t>
            </w:r>
          </w:p>
          <w:p w14:paraId="75446E5C">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5" o:spt="75" type="#_x0000_t75" style="height:21.75pt;width:144pt;" o:ole="t" filled="f" o:preferrelative="t" stroked="f" coordsize="21600,21600">
                  <v:path/>
                  <v:fill on="f" focussize="0,0"/>
                  <v:stroke on="f"/>
                  <v:imagedata r:id="rId10" o:title=""/>
                  <o:lock v:ext="edit" grouping="f" rotation="f" text="f" aspectratio="t"/>
                  <w10:wrap type="none"/>
                  <w10:anchorlock/>
                </v:shape>
                <o:OLEObject Type="Embed" ProgID="Equation.3" ShapeID="_x0000_i1025" DrawAspect="Content" ObjectID="_1468075725" r:id="rId9">
                  <o:LockedField>false</o:LockedField>
                </o:OLEObject>
              </w:object>
            </w:r>
          </w:p>
          <w:p w14:paraId="0CE56277">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式中，Q—起尘量，kg/t·a；</w:t>
            </w:r>
          </w:p>
          <w:p w14:paraId="6C0B6A6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50</w:t>
            </w:r>
            <w:r>
              <w:rPr>
                <w:rFonts w:hint="default" w:ascii="Times New Roman" w:hAnsi="Times New Roman" w:eastAsia="宋体" w:cs="Times New Roman"/>
                <w:color w:val="auto"/>
                <w:sz w:val="24"/>
                <w:szCs w:val="24"/>
                <w:highlight w:val="none"/>
              </w:rPr>
              <w:t>—距地面50m处风速，m/s；</w:t>
            </w:r>
          </w:p>
          <w:p w14:paraId="07C9578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—起尘风速，m/s；</w:t>
            </w:r>
          </w:p>
          <w:p w14:paraId="6C8DE0D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W—尘粒的含水率，%。</w:t>
            </w:r>
          </w:p>
          <w:p w14:paraId="0A450F0C">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与粒径和含水率有关，因此，减少露天堆放和保证一定的含水率及减少裸露地面是减少风力起尘的有效手段。</w:t>
            </w:r>
          </w:p>
          <w:p w14:paraId="33242BDD">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4-1</w:t>
            </w:r>
            <w:r>
              <w:rPr>
                <w:rFonts w:hint="default" w:ascii="Times New Roman" w:hAnsi="Times New Roman" w:eastAsia="宋体" w:cs="Times New Roman"/>
                <w:b/>
                <w:bCs/>
                <w:color w:val="auto"/>
                <w:sz w:val="24"/>
                <w:szCs w:val="24"/>
                <w:highlight w:val="none"/>
              </w:rPr>
              <w:t xml:space="preserve">     不同粒径尘粒的沉降速度</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912"/>
              <w:gridCol w:w="912"/>
              <w:gridCol w:w="913"/>
              <w:gridCol w:w="913"/>
              <w:gridCol w:w="913"/>
              <w:gridCol w:w="913"/>
              <w:gridCol w:w="908"/>
            </w:tblGrid>
            <w:tr w14:paraId="5E94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380DB4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4EE1D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560" w:type="pct"/>
                  <w:noWrap w:val="0"/>
                  <w:vAlign w:val="center"/>
                </w:tcPr>
                <w:p w14:paraId="100FE6E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561" w:type="pct"/>
                  <w:noWrap w:val="0"/>
                  <w:vAlign w:val="center"/>
                </w:tcPr>
                <w:p w14:paraId="232227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561" w:type="pct"/>
                  <w:noWrap w:val="0"/>
                  <w:vAlign w:val="center"/>
                </w:tcPr>
                <w:p w14:paraId="1DD337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561" w:type="pct"/>
                  <w:noWrap w:val="0"/>
                  <w:vAlign w:val="center"/>
                </w:tcPr>
                <w:p w14:paraId="577019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561" w:type="pct"/>
                  <w:noWrap w:val="0"/>
                  <w:vAlign w:val="center"/>
                </w:tcPr>
                <w:p w14:paraId="1B4EF6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558" w:type="pct"/>
                  <w:noWrap w:val="0"/>
                  <w:vAlign w:val="center"/>
                </w:tcPr>
                <w:p w14:paraId="3AD7FEC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r>
            <w:tr w14:paraId="7B33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AE3CB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2F785BD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0.003</w:t>
                  </w:r>
                </w:p>
              </w:tc>
              <w:tc>
                <w:tcPr>
                  <w:tcW w:w="560" w:type="pct"/>
                  <w:noWrap w:val="0"/>
                  <w:vAlign w:val="center"/>
                </w:tcPr>
                <w:p w14:paraId="5EA2C4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0.012</w:t>
                  </w:r>
                </w:p>
              </w:tc>
              <w:tc>
                <w:tcPr>
                  <w:tcW w:w="561" w:type="pct"/>
                  <w:noWrap w:val="0"/>
                  <w:vAlign w:val="center"/>
                </w:tcPr>
                <w:p w14:paraId="3DF5A7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0.027</w:t>
                  </w:r>
                </w:p>
              </w:tc>
              <w:tc>
                <w:tcPr>
                  <w:tcW w:w="561" w:type="pct"/>
                  <w:noWrap w:val="0"/>
                  <w:vAlign w:val="center"/>
                </w:tcPr>
                <w:p w14:paraId="2203E3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0.048</w:t>
                  </w:r>
                </w:p>
              </w:tc>
              <w:tc>
                <w:tcPr>
                  <w:tcW w:w="561" w:type="pct"/>
                  <w:noWrap w:val="0"/>
                  <w:vAlign w:val="center"/>
                </w:tcPr>
                <w:p w14:paraId="30CE95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0.075</w:t>
                  </w:r>
                </w:p>
              </w:tc>
              <w:tc>
                <w:tcPr>
                  <w:tcW w:w="561" w:type="pct"/>
                  <w:noWrap w:val="0"/>
                  <w:vAlign w:val="center"/>
                </w:tcPr>
                <w:p w14:paraId="62C72E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0.108</w:t>
                  </w:r>
                </w:p>
              </w:tc>
              <w:tc>
                <w:tcPr>
                  <w:tcW w:w="558" w:type="pct"/>
                  <w:noWrap w:val="0"/>
                  <w:vAlign w:val="center"/>
                </w:tcPr>
                <w:p w14:paraId="649505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0.147</w:t>
                  </w:r>
                </w:p>
              </w:tc>
            </w:tr>
            <w:tr w14:paraId="6EB0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697040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70CC1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w:t>
                  </w:r>
                </w:p>
              </w:tc>
              <w:tc>
                <w:tcPr>
                  <w:tcW w:w="560" w:type="pct"/>
                  <w:noWrap w:val="0"/>
                  <w:vAlign w:val="center"/>
                </w:tcPr>
                <w:p w14:paraId="00F37B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561" w:type="pct"/>
                  <w:noWrap w:val="0"/>
                  <w:vAlign w:val="center"/>
                </w:tcPr>
                <w:p w14:paraId="464D41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561" w:type="pct"/>
                  <w:noWrap w:val="0"/>
                  <w:vAlign w:val="center"/>
                </w:tcPr>
                <w:p w14:paraId="2BAE86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561" w:type="pct"/>
                  <w:noWrap w:val="0"/>
                  <w:vAlign w:val="center"/>
                </w:tcPr>
                <w:p w14:paraId="4CA6D0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561" w:type="pct"/>
                  <w:noWrap w:val="0"/>
                  <w:vAlign w:val="center"/>
                </w:tcPr>
                <w:p w14:paraId="23D67E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558" w:type="pct"/>
                  <w:noWrap w:val="0"/>
                  <w:vAlign w:val="center"/>
                </w:tcPr>
                <w:p w14:paraId="082E02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350</w:t>
                  </w:r>
                </w:p>
              </w:tc>
            </w:tr>
            <w:tr w14:paraId="1124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2E10EE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4FD32FE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0.158</w:t>
                  </w:r>
                </w:p>
              </w:tc>
              <w:tc>
                <w:tcPr>
                  <w:tcW w:w="560" w:type="pct"/>
                  <w:noWrap w:val="0"/>
                  <w:vAlign w:val="center"/>
                </w:tcPr>
                <w:p w14:paraId="652C12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w:t>
                  </w:r>
                </w:p>
              </w:tc>
              <w:tc>
                <w:tcPr>
                  <w:tcW w:w="561" w:type="pct"/>
                  <w:noWrap w:val="0"/>
                  <w:vAlign w:val="center"/>
                </w:tcPr>
                <w:p w14:paraId="2C91B5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0.182</w:t>
                  </w:r>
                </w:p>
              </w:tc>
              <w:tc>
                <w:tcPr>
                  <w:tcW w:w="561" w:type="pct"/>
                  <w:noWrap w:val="0"/>
                  <w:vAlign w:val="center"/>
                </w:tcPr>
                <w:p w14:paraId="4EE1CA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0.239</w:t>
                  </w:r>
                </w:p>
              </w:tc>
              <w:tc>
                <w:tcPr>
                  <w:tcW w:w="561" w:type="pct"/>
                  <w:noWrap w:val="0"/>
                  <w:vAlign w:val="center"/>
                </w:tcPr>
                <w:p w14:paraId="6FC9975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0.804</w:t>
                  </w:r>
                </w:p>
              </w:tc>
              <w:tc>
                <w:tcPr>
                  <w:tcW w:w="561" w:type="pct"/>
                  <w:noWrap w:val="0"/>
                  <w:vAlign w:val="center"/>
                </w:tcPr>
                <w:p w14:paraId="1B6C13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1.005</w:t>
                  </w:r>
                </w:p>
              </w:tc>
              <w:tc>
                <w:tcPr>
                  <w:tcW w:w="558" w:type="pct"/>
                  <w:noWrap w:val="0"/>
                  <w:vAlign w:val="center"/>
                </w:tcPr>
                <w:p w14:paraId="4C1372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1.829</w:t>
                  </w:r>
                </w:p>
              </w:tc>
            </w:tr>
            <w:tr w14:paraId="7881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585BAA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B87F5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450</w:t>
                  </w:r>
                </w:p>
              </w:tc>
              <w:tc>
                <w:tcPr>
                  <w:tcW w:w="560" w:type="pct"/>
                  <w:noWrap w:val="0"/>
                  <w:vAlign w:val="center"/>
                </w:tcPr>
                <w:p w14:paraId="3095AF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550</w:t>
                  </w:r>
                </w:p>
              </w:tc>
              <w:tc>
                <w:tcPr>
                  <w:tcW w:w="561" w:type="pct"/>
                  <w:noWrap w:val="0"/>
                  <w:vAlign w:val="center"/>
                </w:tcPr>
                <w:p w14:paraId="0945C1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650</w:t>
                  </w:r>
                </w:p>
              </w:tc>
              <w:tc>
                <w:tcPr>
                  <w:tcW w:w="561" w:type="pct"/>
                  <w:noWrap w:val="0"/>
                  <w:vAlign w:val="center"/>
                </w:tcPr>
                <w:p w14:paraId="05D1D5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750</w:t>
                  </w:r>
                </w:p>
              </w:tc>
              <w:tc>
                <w:tcPr>
                  <w:tcW w:w="561" w:type="pct"/>
                  <w:noWrap w:val="0"/>
                  <w:vAlign w:val="center"/>
                </w:tcPr>
                <w:p w14:paraId="4E0A633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850</w:t>
                  </w:r>
                </w:p>
              </w:tc>
              <w:tc>
                <w:tcPr>
                  <w:tcW w:w="561" w:type="pct"/>
                  <w:noWrap w:val="0"/>
                  <w:vAlign w:val="center"/>
                </w:tcPr>
                <w:p w14:paraId="7E9356C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950</w:t>
                  </w:r>
                </w:p>
              </w:tc>
              <w:tc>
                <w:tcPr>
                  <w:tcW w:w="558" w:type="pct"/>
                  <w:noWrap w:val="0"/>
                  <w:vAlign w:val="center"/>
                </w:tcPr>
                <w:p w14:paraId="33F8A9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1050</w:t>
                  </w:r>
                </w:p>
              </w:tc>
            </w:tr>
            <w:tr w14:paraId="40F8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4DF734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0876B1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2.211</w:t>
                  </w:r>
                </w:p>
              </w:tc>
              <w:tc>
                <w:tcPr>
                  <w:tcW w:w="560" w:type="pct"/>
                  <w:noWrap w:val="0"/>
                  <w:vAlign w:val="center"/>
                </w:tcPr>
                <w:p w14:paraId="1C296EA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2.614</w:t>
                  </w:r>
                </w:p>
              </w:tc>
              <w:tc>
                <w:tcPr>
                  <w:tcW w:w="561" w:type="pct"/>
                  <w:noWrap w:val="0"/>
                  <w:vAlign w:val="center"/>
                </w:tcPr>
                <w:p w14:paraId="0C7A84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3.01</w:t>
                  </w:r>
                </w:p>
              </w:tc>
              <w:tc>
                <w:tcPr>
                  <w:tcW w:w="561" w:type="pct"/>
                  <w:noWrap w:val="0"/>
                  <w:vAlign w:val="center"/>
                </w:tcPr>
                <w:p w14:paraId="42B32D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3.418</w:t>
                  </w:r>
                </w:p>
              </w:tc>
              <w:tc>
                <w:tcPr>
                  <w:tcW w:w="561" w:type="pct"/>
                  <w:noWrap w:val="0"/>
                  <w:vAlign w:val="center"/>
                </w:tcPr>
                <w:p w14:paraId="75EB20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3.820</w:t>
                  </w:r>
                </w:p>
              </w:tc>
              <w:tc>
                <w:tcPr>
                  <w:tcW w:w="561" w:type="pct"/>
                  <w:noWrap w:val="0"/>
                  <w:vAlign w:val="center"/>
                </w:tcPr>
                <w:p w14:paraId="208D20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4.222</w:t>
                  </w:r>
                </w:p>
              </w:tc>
              <w:tc>
                <w:tcPr>
                  <w:tcW w:w="558" w:type="pct"/>
                  <w:noWrap w:val="0"/>
                  <w:vAlign w:val="center"/>
                </w:tcPr>
                <w:p w14:paraId="0A2A9E9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4.624</w:t>
                  </w:r>
                </w:p>
              </w:tc>
            </w:tr>
          </w:tbl>
          <w:p w14:paraId="087D57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据有关文献资料介绍，车辆行驶产生的扬尘占总扬尘的60%以上。车辆行驶产生的扬尘，在完全干燥情况下，可按下列经验公式计算：</w:t>
            </w:r>
          </w:p>
          <w:p w14:paraId="2BBD66C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0.123</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V/5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W/6.8</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0.85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P/0.5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vertAlign w:val="superscript"/>
              </w:rPr>
              <w:t>0.75</w:t>
            </w:r>
          </w:p>
          <w:p w14:paraId="43067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式中，Q—汽车行驶的扬尘，kg/km·辆；</w:t>
            </w:r>
          </w:p>
          <w:p w14:paraId="72E3ED5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V—汽车速度，km/hr；</w:t>
            </w:r>
          </w:p>
          <w:p w14:paraId="1292EEC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W—汽车载重量，t；</w:t>
            </w:r>
          </w:p>
          <w:p w14:paraId="71FF71E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P—道路表面粉尘量，kg/m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p>
          <w:p w14:paraId="79F1E06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公式显示，车辆行驶产生的扬尘与道路路面及车辆行驶速度有关。下表为一辆10t卡车，通过一段长度为1km的路面时，不同路面清洁程度，不同行驶速度情况下的扬尘量。</w:t>
            </w:r>
          </w:p>
          <w:p w14:paraId="2BFA497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4-2</w:t>
            </w:r>
            <w:r>
              <w:rPr>
                <w:rFonts w:hint="default" w:ascii="Times New Roman" w:hAnsi="Times New Roman" w:eastAsia="宋体" w:cs="Times New Roman"/>
                <w:b/>
                <w:bCs/>
                <w:color w:val="auto"/>
                <w:sz w:val="24"/>
                <w:szCs w:val="24"/>
                <w:highlight w:val="none"/>
              </w:rPr>
              <w:t xml:space="preserve">    在不同车速和地面清洁程度的汽车扬尘    单位：kg/辆·km</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127"/>
              <w:gridCol w:w="1127"/>
              <w:gridCol w:w="1127"/>
              <w:gridCol w:w="1127"/>
              <w:gridCol w:w="1127"/>
              <w:gridCol w:w="1132"/>
            </w:tblGrid>
            <w:tr w14:paraId="1745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0" w:type="pct"/>
                  <w:tcBorders>
                    <w:tl2br w:val="single" w:color="auto" w:sz="4" w:space="0"/>
                  </w:tcBorders>
                  <w:noWrap w:val="0"/>
                  <w:vAlign w:val="center"/>
                </w:tcPr>
                <w:p w14:paraId="0040CFF0">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righ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P</w:t>
                  </w:r>
                </w:p>
                <w:p w14:paraId="6D178B62">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车速</w:t>
                  </w:r>
                </w:p>
              </w:tc>
              <w:tc>
                <w:tcPr>
                  <w:tcW w:w="692" w:type="pct"/>
                  <w:noWrap w:val="0"/>
                  <w:vAlign w:val="center"/>
                </w:tcPr>
                <w:p w14:paraId="6D0FC2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3DEB28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4E64C9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135B93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7444C8F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5" w:type="pct"/>
                  <w:noWrap w:val="0"/>
                  <w:vAlign w:val="center"/>
                </w:tcPr>
                <w:p w14:paraId="56CDA69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r>
            <w:tr w14:paraId="6BB0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6653A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7FB265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0.051056</w:t>
                  </w:r>
                </w:p>
              </w:tc>
              <w:tc>
                <w:tcPr>
                  <w:tcW w:w="692" w:type="pct"/>
                  <w:noWrap w:val="0"/>
                  <w:vAlign w:val="center"/>
                </w:tcPr>
                <w:p w14:paraId="57918E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0.085865</w:t>
                  </w:r>
                </w:p>
              </w:tc>
              <w:tc>
                <w:tcPr>
                  <w:tcW w:w="692" w:type="pct"/>
                  <w:noWrap w:val="0"/>
                  <w:vAlign w:val="center"/>
                </w:tcPr>
                <w:p w14:paraId="516673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0.116382</w:t>
                  </w:r>
                </w:p>
              </w:tc>
              <w:tc>
                <w:tcPr>
                  <w:tcW w:w="692" w:type="pct"/>
                  <w:noWrap w:val="0"/>
                  <w:vAlign w:val="center"/>
                </w:tcPr>
                <w:p w14:paraId="7EC1D0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0.144408</w:t>
                  </w:r>
                </w:p>
              </w:tc>
              <w:tc>
                <w:tcPr>
                  <w:tcW w:w="692" w:type="pct"/>
                  <w:noWrap w:val="0"/>
                  <w:vAlign w:val="center"/>
                </w:tcPr>
                <w:p w14:paraId="490D9C6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0.170715</w:t>
                  </w:r>
                </w:p>
              </w:tc>
              <w:tc>
                <w:tcPr>
                  <w:tcW w:w="695" w:type="pct"/>
                  <w:noWrap w:val="0"/>
                  <w:vAlign w:val="center"/>
                </w:tcPr>
                <w:p w14:paraId="33A2796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0.287108</w:t>
                  </w:r>
                </w:p>
              </w:tc>
            </w:tr>
            <w:tr w14:paraId="10A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41EA1C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DF9366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0.102112</w:t>
                  </w:r>
                </w:p>
              </w:tc>
              <w:tc>
                <w:tcPr>
                  <w:tcW w:w="692" w:type="pct"/>
                  <w:noWrap w:val="0"/>
                  <w:vAlign w:val="center"/>
                </w:tcPr>
                <w:p w14:paraId="102720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0.171731</w:t>
                  </w:r>
                </w:p>
              </w:tc>
              <w:tc>
                <w:tcPr>
                  <w:tcW w:w="692" w:type="pct"/>
                  <w:noWrap w:val="0"/>
                  <w:vAlign w:val="center"/>
                </w:tcPr>
                <w:p w14:paraId="3F4D5C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0.232764</w:t>
                  </w:r>
                </w:p>
              </w:tc>
              <w:tc>
                <w:tcPr>
                  <w:tcW w:w="692" w:type="pct"/>
                  <w:noWrap w:val="0"/>
                  <w:vAlign w:val="center"/>
                </w:tcPr>
                <w:p w14:paraId="4845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0.288815</w:t>
                  </w:r>
                </w:p>
              </w:tc>
              <w:tc>
                <w:tcPr>
                  <w:tcW w:w="692" w:type="pct"/>
                  <w:noWrap w:val="0"/>
                  <w:vAlign w:val="center"/>
                </w:tcPr>
                <w:p w14:paraId="12516D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0.341431</w:t>
                  </w:r>
                </w:p>
              </w:tc>
              <w:tc>
                <w:tcPr>
                  <w:tcW w:w="695" w:type="pct"/>
                  <w:noWrap w:val="0"/>
                  <w:vAlign w:val="center"/>
                </w:tcPr>
                <w:p w14:paraId="5DC32FE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0.574216</w:t>
                  </w:r>
                </w:p>
              </w:tc>
            </w:tr>
            <w:tr w14:paraId="4E8E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0C653E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071EAD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0.153167</w:t>
                  </w:r>
                </w:p>
              </w:tc>
              <w:tc>
                <w:tcPr>
                  <w:tcW w:w="692" w:type="pct"/>
                  <w:noWrap w:val="0"/>
                  <w:vAlign w:val="center"/>
                </w:tcPr>
                <w:p w14:paraId="0890FFE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0.257596</w:t>
                  </w:r>
                </w:p>
              </w:tc>
              <w:tc>
                <w:tcPr>
                  <w:tcW w:w="692" w:type="pct"/>
                  <w:noWrap w:val="0"/>
                  <w:vAlign w:val="center"/>
                </w:tcPr>
                <w:p w14:paraId="0E4D7B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0.349146</w:t>
                  </w:r>
                </w:p>
              </w:tc>
              <w:tc>
                <w:tcPr>
                  <w:tcW w:w="692" w:type="pct"/>
                  <w:noWrap w:val="0"/>
                  <w:vAlign w:val="center"/>
                </w:tcPr>
                <w:p w14:paraId="0D1F380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0.433223</w:t>
                  </w:r>
                </w:p>
              </w:tc>
              <w:tc>
                <w:tcPr>
                  <w:tcW w:w="692" w:type="pct"/>
                  <w:noWrap w:val="0"/>
                  <w:vAlign w:val="center"/>
                </w:tcPr>
                <w:p w14:paraId="03EAE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0.512146</w:t>
                  </w:r>
                </w:p>
              </w:tc>
              <w:tc>
                <w:tcPr>
                  <w:tcW w:w="695" w:type="pct"/>
                  <w:noWrap w:val="0"/>
                  <w:vAlign w:val="center"/>
                </w:tcPr>
                <w:p w14:paraId="60C1AF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0.861323</w:t>
                  </w:r>
                </w:p>
              </w:tc>
            </w:tr>
            <w:tr w14:paraId="4811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1824D94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35BB0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0.255279</w:t>
                  </w:r>
                </w:p>
              </w:tc>
              <w:tc>
                <w:tcPr>
                  <w:tcW w:w="692" w:type="pct"/>
                  <w:noWrap w:val="0"/>
                  <w:vAlign w:val="center"/>
                </w:tcPr>
                <w:p w14:paraId="6B70D8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0.429326</w:t>
                  </w:r>
                </w:p>
              </w:tc>
              <w:tc>
                <w:tcPr>
                  <w:tcW w:w="692" w:type="pct"/>
                  <w:noWrap w:val="0"/>
                  <w:vAlign w:val="center"/>
                </w:tcPr>
                <w:p w14:paraId="47F4C2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0.58191</w:t>
                  </w:r>
                </w:p>
              </w:tc>
              <w:tc>
                <w:tcPr>
                  <w:tcW w:w="692" w:type="pct"/>
                  <w:noWrap w:val="0"/>
                  <w:vAlign w:val="center"/>
                </w:tcPr>
                <w:p w14:paraId="648C5C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0.722038</w:t>
                  </w:r>
                </w:p>
              </w:tc>
              <w:tc>
                <w:tcPr>
                  <w:tcW w:w="692" w:type="pct"/>
                  <w:noWrap w:val="0"/>
                  <w:vAlign w:val="center"/>
                </w:tcPr>
                <w:p w14:paraId="718538C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0.853577</w:t>
                  </w:r>
                </w:p>
              </w:tc>
              <w:tc>
                <w:tcPr>
                  <w:tcW w:w="695" w:type="pct"/>
                  <w:noWrap w:val="0"/>
                  <w:vAlign w:val="center"/>
                </w:tcPr>
                <w:p w14:paraId="5CD750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1.435539</w:t>
                  </w:r>
                </w:p>
              </w:tc>
            </w:tr>
          </w:tbl>
          <w:p w14:paraId="6C73C3E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由此可见，在同样路面清洁程度条件下，车速越快，扬尘量越大；而在同样车速情况下，路面越脏，则扬尘量越大。</w:t>
            </w:r>
          </w:p>
          <w:p w14:paraId="5D913F5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在工程施工作业过程中，施工场地扬尘较为严重，在不采取降尘措施的情况下，类比同类施工场地，当风速为2.4m/s时，施工场地下风向100m处的扬尘量可达19.7mg/m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，150m处可达5.0mg/m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3C25537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工地道路扬尘是施工工地扬尘的两项主要来源之一，占全部施工扬尘的60%以上，</w:t>
            </w:r>
            <w:r>
              <w:rPr>
                <w:rFonts w:hint="default" w:ascii="Times New Roman" w:hAnsi="Times New Roman" w:eastAsia="宋体" w:cs="Times New Roman"/>
                <w:color w:val="auto"/>
                <w:sz w:val="24"/>
                <w:szCs w:val="24"/>
                <w:highlight w:val="none"/>
                <w:lang w:eastAsia="zh-CN"/>
              </w:rPr>
              <w:t>其他为</w:t>
            </w:r>
            <w:r>
              <w:rPr>
                <w:rFonts w:hint="default" w:ascii="Times New Roman" w:hAnsi="Times New Roman" w:eastAsia="宋体" w:cs="Times New Roman"/>
                <w:color w:val="auto"/>
                <w:sz w:val="24"/>
                <w:szCs w:val="24"/>
                <w:highlight w:val="none"/>
              </w:rPr>
              <w:t>工地扬尘（材料的搬运和作业扬尘，土方和砂石的堆放扬尘，施工作业扬尘等）。由此可见，处理好道路扬尘是减少扬尘污染的关键。</w:t>
            </w:r>
            <w:r>
              <w:rPr>
                <w:rFonts w:hint="default" w:ascii="Times New Roman" w:hAnsi="Times New Roman" w:cs="Times New Roman"/>
                <w:color w:val="auto"/>
                <w:sz w:val="24"/>
                <w:szCs w:val="24"/>
                <w:highlight w:val="none"/>
                <w:lang w:val="en-US" w:eastAsia="zh-CN"/>
              </w:rPr>
              <w:t>施工场地</w:t>
            </w:r>
            <w:r>
              <w:rPr>
                <w:rFonts w:hint="default" w:ascii="Times New Roman" w:hAnsi="Times New Roman" w:eastAsia="宋体" w:cs="Times New Roman"/>
                <w:color w:val="auto"/>
                <w:sz w:val="24"/>
                <w:szCs w:val="24"/>
                <w:highlight w:val="none"/>
              </w:rPr>
              <w:t>扬尘对环境TSP浓度的影响范围主要集中在项目作业区100m以内。即：下风向一侧0～50m为重污染带、50～100m为较重污染带、大于100m为轻污染带。被影响地区TSP浓度平均值为12.35mg/m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84B1AF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施工作业工程中采取洒水降尘措施以减少对周边环境和环境敏感目标的影响。综上，施工扬尘、机械及发电机废气均为短期无组织排放，场地开阔、扩散条件好，在落实各项抑尘、尾气管控措施后，对区域环境空气质量影响较小</w:t>
            </w:r>
            <w:r>
              <w:rPr>
                <w:rFonts w:hint="default" w:ascii="Times New Roman" w:hAnsi="Times New Roman" w:cs="Times New Roman"/>
                <w:color w:val="auto"/>
                <w:sz w:val="24"/>
                <w:szCs w:val="24"/>
                <w:highlight w:val="none"/>
                <w:lang w:eastAsia="zh-CN"/>
              </w:rPr>
              <w:t>。</w:t>
            </w:r>
          </w:p>
          <w:p w14:paraId="58B59A24">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2.2施工机械废气</w:t>
            </w:r>
          </w:p>
          <w:p w14:paraId="43DC139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施工机械设备燃烧燃油过程中将产生CO、NOx、SO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、碳氢化合物污染物。每吨柴油燃烧排放有害气体量详见下表。</w:t>
            </w:r>
          </w:p>
          <w:p w14:paraId="2976624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4-3</w:t>
            </w:r>
            <w:r>
              <w:rPr>
                <w:rFonts w:hint="default" w:ascii="Times New Roman" w:hAnsi="Times New Roman" w:eastAsia="宋体" w:cs="Times New Roman"/>
                <w:b/>
                <w:bCs/>
                <w:color w:val="auto"/>
                <w:sz w:val="24"/>
                <w:szCs w:val="24"/>
                <w:highlight w:val="none"/>
              </w:rPr>
              <w:t xml:space="preserve">   燃烧1t柴油排放的有害物质表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1470"/>
              <w:gridCol w:w="1606"/>
              <w:gridCol w:w="1343"/>
              <w:gridCol w:w="1852"/>
            </w:tblGrid>
            <w:tr w14:paraId="548A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145" w:type="pct"/>
                  <w:noWrap w:val="0"/>
                  <w:vAlign w:val="center"/>
                </w:tcPr>
                <w:p w14:paraId="4B71EBD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有害物质</w:t>
                  </w:r>
                </w:p>
              </w:tc>
              <w:tc>
                <w:tcPr>
                  <w:tcW w:w="903" w:type="pct"/>
                  <w:noWrap w:val="0"/>
                  <w:vAlign w:val="center"/>
                </w:tcPr>
                <w:p w14:paraId="6A250E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987" w:type="pct"/>
                  <w:noWrap w:val="0"/>
                  <w:vAlign w:val="center"/>
                </w:tcPr>
                <w:p w14:paraId="5CDF3E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825" w:type="pct"/>
                  <w:noWrap w:val="0"/>
                  <w:vAlign w:val="center"/>
                </w:tcPr>
                <w:p w14:paraId="03B42E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p>
              </w:tc>
              <w:tc>
                <w:tcPr>
                  <w:tcW w:w="1138" w:type="pct"/>
                  <w:noWrap w:val="0"/>
                  <w:vAlign w:val="center"/>
                </w:tcPr>
                <w:p w14:paraId="69A555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碳氢化合物</w:t>
                  </w:r>
                </w:p>
              </w:tc>
            </w:tr>
            <w:tr w14:paraId="3C68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jc w:val="center"/>
              </w:trPr>
              <w:tc>
                <w:tcPr>
                  <w:tcW w:w="1145" w:type="pct"/>
                  <w:noWrap w:val="0"/>
                  <w:vAlign w:val="center"/>
                </w:tcPr>
                <w:p w14:paraId="0E8706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排放量（kg）</w:t>
                  </w:r>
                </w:p>
              </w:tc>
              <w:tc>
                <w:tcPr>
                  <w:tcW w:w="903" w:type="pct"/>
                  <w:noWrap w:val="0"/>
                  <w:vAlign w:val="center"/>
                </w:tcPr>
                <w:p w14:paraId="255C0E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3.522</w:t>
                  </w:r>
                </w:p>
              </w:tc>
              <w:tc>
                <w:tcPr>
                  <w:tcW w:w="987" w:type="pct"/>
                  <w:noWrap w:val="0"/>
                  <w:vAlign w:val="center"/>
                </w:tcPr>
                <w:p w14:paraId="0C0E60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29.349</w:t>
                  </w:r>
                </w:p>
              </w:tc>
              <w:tc>
                <w:tcPr>
                  <w:tcW w:w="825" w:type="pct"/>
                  <w:noWrap w:val="0"/>
                  <w:vAlign w:val="center"/>
                </w:tcPr>
                <w:p w14:paraId="384A311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48.263</w:t>
                  </w:r>
                </w:p>
              </w:tc>
              <w:tc>
                <w:tcPr>
                  <w:tcW w:w="1138" w:type="pct"/>
                  <w:noWrap w:val="0"/>
                  <w:vAlign w:val="center"/>
                </w:tcPr>
                <w:p w14:paraId="24C500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w:t>
                  </w:r>
                </w:p>
              </w:tc>
            </w:tr>
          </w:tbl>
          <w:p w14:paraId="5981866C">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由于此类污染源多为无组织排放，较为分散，受自然条件的影响容易扩散，且项目区场地开阔，施工作业也不存在短时间集中排放的情况，废气排放量较小，对周边环境影响较小。</w:t>
            </w:r>
          </w:p>
          <w:p w14:paraId="42BE43F6">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2.3填缝废气</w:t>
            </w:r>
          </w:p>
          <w:p w14:paraId="22B735EB">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U型防渗渠、节制闸、分水闸、预制涵管伸缩缝采用无溶剂型聚氨酯密封胶嵌缝止水施工。在密封胶涂抹、胶体初期固化阶段，会释放微量挥发性有机物（VOCs，以非甲烷总烃NMHC计），完全固化后不再产生挥发废气。</w:t>
            </w:r>
          </w:p>
          <w:p w14:paraId="135463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工序为露天分段零散作业，单段施工时长短、全线多点分散，废气全部以无组织面源形式排放。原料不含苯、甲苯、二甲苯等高毒溶剂，仅少量游离低分子有机物释放，污染负荷较低。</w:t>
            </w:r>
          </w:p>
          <w:p w14:paraId="205F9A5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地处开阔农田灌区，露天施工空气流通性极强，VOCs释放后快速稀释扩散；作业分段间歇开展，无集中连续排放，对周边大气环境影响极小，非甲烷总烃的贡献浓度可满足相关标准要求，不会对区域环境空气质量及周边大气环境保护目标产生明显不利影响。</w:t>
            </w:r>
          </w:p>
          <w:p w14:paraId="7B49959D">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3</w:t>
            </w:r>
            <w:r>
              <w:rPr>
                <w:rFonts w:hint="eastAsia" w:ascii="Times New Roman" w:hAnsi="Times New Roman" w:eastAsia="宋体" w:cs="Times New Roman"/>
                <w:b/>
                <w:bCs/>
                <w:color w:val="auto"/>
                <w:sz w:val="24"/>
                <w:szCs w:val="24"/>
                <w:highlight w:val="none"/>
                <w:lang w:val="en-US" w:eastAsia="zh-CN"/>
              </w:rPr>
              <w:t>地表水环境影响分析</w:t>
            </w:r>
          </w:p>
          <w:p w14:paraId="004C118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w:t>
            </w:r>
            <w:r>
              <w:rPr>
                <w:rFonts w:hint="eastAsia" w:cs="Times New Roman"/>
                <w:color w:val="auto"/>
                <w:sz w:val="24"/>
                <w:szCs w:val="24"/>
                <w:highlight w:val="none"/>
                <w:lang w:val="en-US" w:eastAsia="zh-CN"/>
              </w:rPr>
              <w:t>施工期废水主要为</w:t>
            </w:r>
            <w:r>
              <w:rPr>
                <w:rFonts w:hint="default" w:ascii="Times New Roman" w:hAnsi="Times New Roman" w:cs="Times New Roman"/>
                <w:color w:val="auto"/>
                <w:sz w:val="24"/>
                <w:szCs w:val="24"/>
                <w:highlight w:val="none"/>
                <w:lang w:val="en-US" w:eastAsia="zh-CN"/>
              </w:rPr>
              <w:t>混凝土养护</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rPr>
              <w:t>进出场车辆冲洗</w:t>
            </w:r>
            <w:r>
              <w:rPr>
                <w:rFonts w:hint="eastAsia" w:ascii="Times New Roman" w:hAnsi="Times New Roman" w:eastAsia="宋体" w:cs="Times New Roman"/>
                <w:color w:val="auto"/>
                <w:sz w:val="24"/>
                <w:szCs w:val="24"/>
                <w:lang w:val="en-US" w:eastAsia="zh-CN"/>
              </w:rPr>
              <w:t>过程中</w:t>
            </w:r>
            <w:r>
              <w:rPr>
                <w:rFonts w:hint="default" w:ascii="Times New Roman" w:hAnsi="Times New Roman" w:cs="Times New Roman"/>
                <w:color w:val="auto"/>
                <w:sz w:val="24"/>
                <w:szCs w:val="24"/>
                <w:highlight w:val="none"/>
                <w:lang w:val="en-US" w:eastAsia="zh-CN"/>
              </w:rPr>
              <w:t>产生的废水，主要污染物为悬浮物。经临时沉淀池沉淀处理后，回用于场地洒水降尘，不外排，因此本项目施工期废水对水环境影响较小。</w:t>
            </w:r>
          </w:p>
          <w:p w14:paraId="0BBD3B4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施工时分段作业，施工渠段关闭上游闸门断流施工，上下游渠段保持正常输水。施工期间车辆冲洗废水</w:t>
            </w:r>
            <w:r>
              <w:rPr>
                <w:rFonts w:hint="default" w:ascii="Times New Roman" w:hAnsi="Times New Roman" w:cs="Times New Roman"/>
                <w:color w:val="auto"/>
                <w:sz w:val="24"/>
                <w:szCs w:val="24"/>
                <w:lang w:val="en-US" w:eastAsia="zh-CN"/>
              </w:rPr>
              <w:t>洒水抑尘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同时通过加强管理，严禁污水和固废排入渠道，</w:t>
            </w:r>
            <w:r>
              <w:rPr>
                <w:rFonts w:hint="default" w:ascii="Times New Roman" w:hAnsi="Times New Roman" w:eastAsia="宋体" w:cs="Times New Roman"/>
                <w:color w:val="auto"/>
                <w:sz w:val="24"/>
                <w:szCs w:val="24"/>
                <w:highlight w:val="none"/>
              </w:rPr>
              <w:t>不会对地表水产生不利影响。项目施工期产生的各类废水严禁排入周边任何地表水体。</w:t>
            </w:r>
          </w:p>
          <w:p w14:paraId="6CDF472B">
            <w:pPr>
              <w:keepNext w:val="0"/>
              <w:keepLines w:val="0"/>
              <w:pageBreakBefore w:val="0"/>
              <w:widowControl w:val="0"/>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4噪声环境影响分析</w:t>
            </w:r>
          </w:p>
          <w:p w14:paraId="3214FF7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施工期噪声来自机械设备作业施工，主要来源于运输车辆噪声和施工噪声，噪声源为运输车辆、挖掘机、装载机、推土机等机械设备，大部分是移动声源，没有明显的指向性，噪声特性见下表。</w:t>
            </w:r>
          </w:p>
          <w:p w14:paraId="7AC6E85B">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   主要施工机械噪声特性</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7"/>
              <w:gridCol w:w="3390"/>
              <w:gridCol w:w="3847"/>
            </w:tblGrid>
            <w:tr w14:paraId="221B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4D57DF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083" w:type="pct"/>
                  <w:noWrap w:val="0"/>
                  <w:vAlign w:val="center"/>
                </w:tcPr>
                <w:p w14:paraId="08A861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设备类型</w:t>
                  </w:r>
                </w:p>
              </w:tc>
              <w:tc>
                <w:tcPr>
                  <w:tcW w:w="2364" w:type="pct"/>
                  <w:noWrap w:val="0"/>
                  <w:vAlign w:val="center"/>
                </w:tcPr>
                <w:p w14:paraId="4E44BF1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声功率级（dB）</w:t>
                  </w:r>
                </w:p>
              </w:tc>
            </w:tr>
            <w:tr w14:paraId="5446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01B697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083" w:type="pct"/>
                  <w:noWrap w:val="0"/>
                  <w:vAlign w:val="center"/>
                </w:tcPr>
                <w:p w14:paraId="642E5E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2364" w:type="pct"/>
                  <w:noWrap w:val="0"/>
                  <w:vAlign w:val="center"/>
                </w:tcPr>
                <w:p w14:paraId="115D3E0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3F8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676758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083" w:type="pct"/>
                  <w:noWrap w:val="0"/>
                  <w:vAlign w:val="center"/>
                </w:tcPr>
                <w:p w14:paraId="333900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2364" w:type="pct"/>
                  <w:noWrap w:val="0"/>
                  <w:vAlign w:val="center"/>
                </w:tcPr>
                <w:p w14:paraId="0535C2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0D69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5C3BB4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083" w:type="pct"/>
                  <w:noWrap w:val="0"/>
                  <w:vAlign w:val="center"/>
                </w:tcPr>
                <w:p w14:paraId="19A87A1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2364" w:type="pct"/>
                  <w:noWrap w:val="0"/>
                  <w:vAlign w:val="center"/>
                </w:tcPr>
                <w:p w14:paraId="62F360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1AFD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216D6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2083" w:type="pct"/>
                  <w:noWrap w:val="0"/>
                  <w:vAlign w:val="center"/>
                </w:tcPr>
                <w:p w14:paraId="617D2E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2364" w:type="pct"/>
                  <w:noWrap w:val="0"/>
                  <w:vAlign w:val="center"/>
                </w:tcPr>
                <w:p w14:paraId="225E92F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543D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6A588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2083" w:type="pct"/>
                  <w:noWrap w:val="0"/>
                  <w:vAlign w:val="center"/>
                </w:tcPr>
                <w:p w14:paraId="7273376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2364" w:type="pct"/>
                  <w:noWrap w:val="0"/>
                  <w:vAlign w:val="center"/>
                </w:tcPr>
                <w:p w14:paraId="34114E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w:t>
                  </w:r>
                </w:p>
              </w:tc>
            </w:tr>
          </w:tbl>
          <w:p w14:paraId="155CBAC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施工噪声具有阶段性、临时性和不确定性，施工期间多种机械噪声声源都处于露天状态。当声源尺寸大小与测试距离相比小得多时，可以将此声源视为点声源，声源噪声衰减的计算公式如下：</w:t>
            </w:r>
          </w:p>
          <w:p w14:paraId="3AC2CA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6" o:spt="75" type="#_x0000_t75" style="height:21.75pt;width:168.75pt;" o:ole="t" filled="f" o:preferrelative="t" stroked="f" coordsize="21600,21600">
                  <v:path/>
                  <v:fill on="f" focussize="0,0"/>
                  <v:stroke on="f"/>
                  <v:imagedata r:id="rId12" embosscolor="#FFFFFF" o:title=""/>
                  <o:lock v:ext="edit" grouping="f" rotation="f" text="f" aspectratio="t"/>
                  <w10:wrap type="none"/>
                  <w10:anchorlock/>
                </v:shape>
                <o:OLEObject Type="Embed" ProgID="Equation.3" ShapeID="_x0000_i1026" DrawAspect="Content" ObjectID="_1468075726" r:id="rId11">
                  <o:LockedField>false</o:LockedField>
                </o:OLEObject>
              </w:object>
            </w:r>
          </w:p>
          <w:p w14:paraId="1B33E5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val="en-US" w:eastAsia="zh-CN"/>
              </w:rPr>
              <w:t>LA</w:t>
            </w:r>
            <w:r>
              <w:rPr>
                <w:rFonts w:hint="default" w:ascii="Times New Roman" w:hAnsi="Times New Roman" w:eastAsia="宋体" w:cs="Times New Roman"/>
                <w:color w:val="auto"/>
                <w:sz w:val="24"/>
                <w:szCs w:val="24"/>
                <w:highlight w:val="none"/>
              </w:rPr>
              <w:t>—距离增加产生衰减值，dB（A）；</w:t>
            </w:r>
          </w:p>
          <w:p w14:paraId="3482AD0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r—点声源至受声点的距离，m。</w:t>
            </w:r>
          </w:p>
          <w:p w14:paraId="2374E837">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各种施工设备在施工时随距离的衰减列于下表：</w:t>
            </w:r>
          </w:p>
          <w:p w14:paraId="52080269">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4-5</w:t>
            </w:r>
            <w:r>
              <w:rPr>
                <w:rFonts w:hint="default" w:ascii="Times New Roman" w:hAnsi="Times New Roman" w:eastAsia="宋体" w:cs="Times New Roman"/>
                <w:b/>
                <w:bCs/>
                <w:color w:val="auto"/>
                <w:sz w:val="24"/>
                <w:szCs w:val="24"/>
                <w:highlight w:val="none"/>
              </w:rPr>
              <w:t xml:space="preserve">    施工机械噪声影响范围</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843"/>
              <w:gridCol w:w="843"/>
              <w:gridCol w:w="843"/>
              <w:gridCol w:w="843"/>
              <w:gridCol w:w="844"/>
              <w:gridCol w:w="843"/>
              <w:gridCol w:w="886"/>
              <w:gridCol w:w="906"/>
            </w:tblGrid>
            <w:tr w14:paraId="517F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1296" w:type="dxa"/>
                  <w:vMerge w:val="restart"/>
                  <w:noWrap w:val="0"/>
                  <w:vAlign w:val="center"/>
                </w:tcPr>
                <w:p w14:paraId="7191142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施工机械</w:t>
                  </w:r>
                </w:p>
              </w:tc>
              <w:tc>
                <w:tcPr>
                  <w:tcW w:w="5059" w:type="dxa"/>
                  <w:gridSpan w:val="6"/>
                  <w:noWrap w:val="0"/>
                  <w:vAlign w:val="center"/>
                </w:tcPr>
                <w:p w14:paraId="2667E1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X（m）处</w:t>
                  </w:r>
                  <w:r>
                    <w:rPr>
                      <w:rFonts w:hint="default" w:ascii="Times New Roman" w:hAnsi="Times New Roman" w:eastAsia="宋体" w:cs="Times New Roman"/>
                      <w:color w:val="auto"/>
                      <w:sz w:val="21"/>
                      <w:szCs w:val="21"/>
                      <w:highlight w:val="none"/>
                      <w:lang w:eastAsia="zh-CN"/>
                    </w:rPr>
                    <w:t>声压级</w:t>
                  </w:r>
                  <w:r>
                    <w:rPr>
                      <w:rFonts w:hint="default" w:ascii="Times New Roman" w:hAnsi="Times New Roman" w:eastAsia="宋体" w:cs="Times New Roman"/>
                      <w:color w:val="auto"/>
                      <w:sz w:val="21"/>
                      <w:szCs w:val="21"/>
                      <w:highlight w:val="none"/>
                    </w:rPr>
                    <w:t>dB（A）</w:t>
                  </w:r>
                </w:p>
              </w:tc>
              <w:tc>
                <w:tcPr>
                  <w:tcW w:w="1792" w:type="dxa"/>
                  <w:gridSpan w:val="2"/>
                  <w:noWrap w:val="0"/>
                  <w:vAlign w:val="center"/>
                </w:tcPr>
                <w:p w14:paraId="11D35A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标准dB（A）</w:t>
                  </w:r>
                </w:p>
              </w:tc>
            </w:tr>
            <w:tr w14:paraId="2DC9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 w:hRule="atLeast"/>
                <w:jc w:val="center"/>
              </w:trPr>
              <w:tc>
                <w:tcPr>
                  <w:tcW w:w="1296" w:type="dxa"/>
                  <w:vMerge w:val="continue"/>
                  <w:noWrap w:val="0"/>
                  <w:vAlign w:val="center"/>
                </w:tcPr>
                <w:p w14:paraId="6F4035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p>
              </w:tc>
              <w:tc>
                <w:tcPr>
                  <w:tcW w:w="843" w:type="dxa"/>
                  <w:noWrap w:val="0"/>
                  <w:vAlign w:val="center"/>
                </w:tcPr>
                <w:p w14:paraId="658D58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843" w:type="dxa"/>
                  <w:noWrap w:val="0"/>
                  <w:vAlign w:val="center"/>
                </w:tcPr>
                <w:p w14:paraId="1C6F3C8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843" w:type="dxa"/>
                  <w:noWrap w:val="0"/>
                  <w:vAlign w:val="center"/>
                </w:tcPr>
                <w:p w14:paraId="2CD7CBA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843" w:type="dxa"/>
                  <w:noWrap w:val="0"/>
                  <w:vAlign w:val="center"/>
                </w:tcPr>
                <w:p w14:paraId="5445EA8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844" w:type="dxa"/>
                  <w:noWrap w:val="0"/>
                  <w:vAlign w:val="center"/>
                </w:tcPr>
                <w:p w14:paraId="619BCA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843" w:type="dxa"/>
                  <w:noWrap w:val="0"/>
                  <w:vAlign w:val="center"/>
                </w:tcPr>
                <w:p w14:paraId="1B62CB6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886" w:type="dxa"/>
                  <w:noWrap w:val="0"/>
                  <w:vAlign w:val="center"/>
                </w:tcPr>
                <w:p w14:paraId="385595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906" w:type="dxa"/>
                  <w:noWrap w:val="0"/>
                  <w:vAlign w:val="center"/>
                </w:tcPr>
                <w:p w14:paraId="054B3A8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r>
            <w:tr w14:paraId="56CF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1296" w:type="dxa"/>
                  <w:noWrap w:val="0"/>
                  <w:vAlign w:val="center"/>
                </w:tcPr>
                <w:p w14:paraId="223271E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843" w:type="dxa"/>
                  <w:noWrap w:val="0"/>
                  <w:vAlign w:val="center"/>
                </w:tcPr>
                <w:p w14:paraId="0C8F79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42D0B6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42A35C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CC7306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2C73AF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01EA80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768AF0B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26043A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4EA8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7185B9F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843" w:type="dxa"/>
                  <w:noWrap w:val="0"/>
                  <w:vAlign w:val="center"/>
                </w:tcPr>
                <w:p w14:paraId="757C0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16AE20A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799C0B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7FC580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CDE8A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DFBE3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756E01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F2229E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7757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4802FDF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843" w:type="dxa"/>
                  <w:noWrap w:val="0"/>
                  <w:vAlign w:val="center"/>
                </w:tcPr>
                <w:p w14:paraId="093B98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6EC3A1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7BFC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D3573E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380C9C0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143B66E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1C37EB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3E854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6E2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B6882A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843" w:type="dxa"/>
                  <w:noWrap w:val="0"/>
                  <w:vAlign w:val="center"/>
                </w:tcPr>
                <w:p w14:paraId="1549C00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6164CD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2EC99B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0C25B3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10FDA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BCD7B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35FDA2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61C4A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114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EA7C8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843" w:type="dxa"/>
                  <w:noWrap w:val="0"/>
                  <w:vAlign w:val="center"/>
                </w:tcPr>
                <w:p w14:paraId="289BFE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p>
              </w:tc>
              <w:tc>
                <w:tcPr>
                  <w:tcW w:w="843" w:type="dxa"/>
                  <w:noWrap w:val="0"/>
                  <w:vAlign w:val="center"/>
                </w:tcPr>
                <w:p w14:paraId="048A4DC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r>
                    <w:rPr>
                      <w:rFonts w:hint="eastAsia"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p>
              </w:tc>
              <w:tc>
                <w:tcPr>
                  <w:tcW w:w="843" w:type="dxa"/>
                  <w:noWrap w:val="0"/>
                  <w:vAlign w:val="center"/>
                </w:tcPr>
                <w:p w14:paraId="5A6EAC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71</w:t>
                  </w:r>
                  <w:r>
                    <w:rPr>
                      <w:rFonts w:hint="default" w:ascii="Times New Roman" w:hAnsi="Times New Roman" w:eastAsia="宋体" w:cs="Times New Roman"/>
                      <w:color w:val="auto"/>
                      <w:sz w:val="21"/>
                      <w:szCs w:val="21"/>
                      <w:highlight w:val="none"/>
                    </w:rPr>
                    <w:t>.0</w:t>
                  </w:r>
                </w:p>
              </w:tc>
              <w:tc>
                <w:tcPr>
                  <w:tcW w:w="843" w:type="dxa"/>
                  <w:noWrap w:val="0"/>
                  <w:vAlign w:val="center"/>
                </w:tcPr>
                <w:p w14:paraId="55C517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67</w:t>
                  </w:r>
                  <w:r>
                    <w:rPr>
                      <w:rFonts w:hint="default" w:ascii="Times New Roman" w:hAnsi="Times New Roman" w:eastAsia="宋体" w:cs="Times New Roman"/>
                      <w:color w:val="auto"/>
                      <w:sz w:val="21"/>
                      <w:szCs w:val="21"/>
                      <w:highlight w:val="none"/>
                    </w:rPr>
                    <w:t>.5</w:t>
                  </w:r>
                </w:p>
              </w:tc>
              <w:tc>
                <w:tcPr>
                  <w:tcW w:w="844" w:type="dxa"/>
                  <w:noWrap w:val="0"/>
                  <w:vAlign w:val="center"/>
                </w:tcPr>
                <w:p w14:paraId="4CCB74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61</w:t>
                  </w:r>
                  <w:r>
                    <w:rPr>
                      <w:rFonts w:hint="default" w:ascii="Times New Roman" w:hAnsi="Times New Roman" w:eastAsia="宋体" w:cs="Times New Roman"/>
                      <w:color w:val="auto"/>
                      <w:sz w:val="21"/>
                      <w:szCs w:val="21"/>
                      <w:highlight w:val="none"/>
                    </w:rPr>
                    <w:t>.4</w:t>
                  </w:r>
                </w:p>
              </w:tc>
              <w:tc>
                <w:tcPr>
                  <w:tcW w:w="843" w:type="dxa"/>
                  <w:noWrap w:val="0"/>
                  <w:vAlign w:val="center"/>
                </w:tcPr>
                <w:p w14:paraId="16AB40D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57</w:t>
                  </w:r>
                </w:p>
              </w:tc>
              <w:tc>
                <w:tcPr>
                  <w:tcW w:w="886" w:type="dxa"/>
                  <w:noWrap w:val="0"/>
                  <w:vAlign w:val="center"/>
                </w:tcPr>
                <w:p w14:paraId="72B1C9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319A34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bl>
          <w:p w14:paraId="72540997">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根据《建筑施工噪声排放标准》（GB12523-2025）规定，建筑施工场界环境噪声昼间限值为70dB（A），夜间限值为55dB（A）。经现场实地调查核实，本项目</w:t>
            </w:r>
            <w:r>
              <w:rPr>
                <w:rFonts w:hint="eastAsia" w:ascii="Times New Roman" w:hAnsi="Times New Roman" w:eastAsia="宋体" w:cs="Times New Roman"/>
                <w:color w:val="auto"/>
                <w:sz w:val="24"/>
                <w:szCs w:val="24"/>
                <w:highlight w:val="none"/>
                <w:lang w:val="en-US" w:eastAsia="zh-CN"/>
              </w:rPr>
              <w:t>部分</w:t>
            </w:r>
            <w:r>
              <w:rPr>
                <w:rFonts w:hint="default" w:ascii="Times New Roman" w:hAnsi="Times New Roman" w:eastAsia="宋体" w:cs="Times New Roman"/>
                <w:color w:val="auto"/>
                <w:sz w:val="24"/>
                <w:szCs w:val="24"/>
                <w:highlight w:val="none"/>
                <w:lang w:val="en-US" w:eastAsia="zh-CN"/>
              </w:rPr>
              <w:t>施工渠道紧邻村庄布设，区域声环境敏感目标分布密集。项目施工过程中，近距离施工机械作业产生的噪声无天然遮挡、衰减距离短，若未采取有效的降噪减振及管控措施，各类高噪声设备连续作业产生的噪声将直接影响周边村民正常生活、休息，经噪声影响范围预测</w:t>
            </w:r>
            <w:r>
              <w:rPr>
                <w:rFonts w:hint="eastAsia" w:cs="Times New Roman"/>
                <w:color w:val="auto"/>
                <w:sz w:val="24"/>
                <w:szCs w:val="24"/>
                <w:highlight w:val="none"/>
                <w:lang w:val="en-US" w:eastAsia="zh-CN"/>
              </w:rPr>
              <w:t>，在</w:t>
            </w:r>
            <w:r>
              <w:rPr>
                <w:rFonts w:hint="default" w:ascii="Times New Roman" w:hAnsi="Times New Roman" w:eastAsia="宋体" w:cs="Times New Roman"/>
                <w:color w:val="auto"/>
                <w:sz w:val="24"/>
                <w:szCs w:val="24"/>
                <w:highlight w:val="none"/>
                <w:lang w:val="en-US" w:eastAsia="zh-CN"/>
              </w:rPr>
              <w:t>无防护措施前提下，项目周边村庄敏感点噪声值将超出</w:t>
            </w:r>
            <w:r>
              <w:rPr>
                <w:rFonts w:hint="eastAsia" w:ascii="Times New Roman" w:hAnsi="Times New Roman" w:eastAsia="宋体" w:cs="Times New Roman"/>
                <w:color w:val="auto"/>
                <w:sz w:val="24"/>
                <w:szCs w:val="24"/>
                <w:highlight w:val="none"/>
                <w:lang w:val="en-US" w:eastAsia="zh-CN"/>
              </w:rPr>
              <w:t>限值</w:t>
            </w:r>
            <w:r>
              <w:rPr>
                <w:rFonts w:hint="default" w:ascii="Times New Roman" w:hAnsi="Times New Roman" w:eastAsia="宋体" w:cs="Times New Roman"/>
                <w:color w:val="auto"/>
                <w:sz w:val="24"/>
                <w:szCs w:val="24"/>
                <w:highlight w:val="none"/>
                <w:lang w:val="en-US" w:eastAsia="zh-CN"/>
              </w:rPr>
              <w:t>标准，存在明显噪声超标影响。</w:t>
            </w:r>
          </w:p>
          <w:p w14:paraId="107E334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本环评要求采取以下措施：</w:t>
            </w:r>
          </w:p>
          <w:p w14:paraId="7C018B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（1）施工单位应尽量选用低噪声、低振动的施工机械设备和带有消声、隔音的附属设备，施工过程中在靠近敏感点一侧设置施工围挡。</w:t>
            </w:r>
          </w:p>
          <w:p w14:paraId="37E87B1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施工单位合理安排施工时间，禁止昼间14:00～16:00和夜间24:00～8:00进行影响居民正常休息的施工。严格控制施工时间，尽量将噪声大的设备使用时间安排在村民非休息时段，缓解、避免强噪声设备集中施工，最大限度减少噪声扰民影响。</w:t>
            </w:r>
          </w:p>
          <w:p w14:paraId="706A1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（3）加强管理，经常对产噪设备的性能进行检查，保持设备平衡，以减少振动的产生，平时要对防噪设施经常维护，确保其发挥正常功能。</w:t>
            </w:r>
          </w:p>
          <w:p w14:paraId="065C7BFF">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综上所述，本项目施工噪声为短期临时污染，仅存在于施工建设期，无长期持续性声环境影响。</w:t>
            </w:r>
            <w:r>
              <w:rPr>
                <w:rFonts w:hint="eastAsia"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lang w:val="en-US" w:eastAsia="zh-CN"/>
              </w:rPr>
              <w:t>严格落实施工时间、降噪措施后，对周边声环境及居民生活的影响可控</w:t>
            </w:r>
            <w:r>
              <w:rPr>
                <w:rFonts w:hint="eastAsia" w:ascii="Times New Roman" w:hAnsi="Times New Roman" w:eastAsia="宋体" w:cs="Times New Roman"/>
                <w:color w:val="auto"/>
                <w:sz w:val="24"/>
                <w:szCs w:val="24"/>
                <w:highlight w:val="none"/>
                <w:lang w:val="en-US" w:eastAsia="zh-CN"/>
              </w:rPr>
              <w:t>，施工结束后，噪声影响将立即消除，不会对区域声环境质量造成长期不利影响。</w:t>
            </w:r>
          </w:p>
          <w:p w14:paraId="2215CB8C">
            <w:pPr>
              <w:keepNext w:val="0"/>
              <w:keepLines w:val="0"/>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5固体废物环境影响分析</w:t>
            </w:r>
          </w:p>
          <w:p w14:paraId="1972D0B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施工期产生的固体废弃物主要</w:t>
            </w:r>
            <w:r>
              <w:rPr>
                <w:rFonts w:hint="default" w:ascii="Times New Roman" w:hAnsi="Times New Roman" w:cs="Times New Roman"/>
                <w:color w:val="auto"/>
                <w:sz w:val="24"/>
                <w:szCs w:val="24"/>
                <w:highlight w:val="none"/>
                <w:lang w:val="en-US" w:eastAsia="zh-CN"/>
              </w:rPr>
              <w:t>包括工程余土、建筑垃圾、废聚氨酯密封胶及包装物，本项目施工人员均来自附近乡镇，不在项目内设置生活区，项目区无生活垃圾产生</w:t>
            </w:r>
            <w:r>
              <w:rPr>
                <w:rFonts w:hint="default" w:ascii="Times New Roman" w:hAnsi="Times New Roman" w:eastAsia="宋体" w:cs="Times New Roman"/>
                <w:color w:val="auto"/>
                <w:sz w:val="24"/>
                <w:szCs w:val="24"/>
                <w:highlight w:val="none"/>
              </w:rPr>
              <w:t>。</w:t>
            </w:r>
          </w:p>
          <w:p w14:paraId="4553032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本项目施工现场不设置机械维修保养站点，施工机械换油、维修作业全部委托场外社会修理厂完成，施工现场不产生废润滑油、废油桶等危险废物。 </w:t>
            </w:r>
          </w:p>
          <w:p w14:paraId="12DDA248">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工程余土</w:t>
            </w:r>
          </w:p>
          <w:p w14:paraId="694436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项目总挖方</w:t>
            </w:r>
            <w:r>
              <w:rPr>
                <w:rFonts w:hint="default" w:ascii="Times New Roman" w:hAnsi="Times New Roman" w:cs="Times New Roman"/>
                <w:sz w:val="24"/>
                <w:szCs w:val="24"/>
                <w:highlight w:val="none"/>
                <w:lang w:val="en-US" w:eastAsia="zh-CN"/>
              </w:rPr>
              <w:t>11144.4</w:t>
            </w:r>
            <w:r>
              <w:rPr>
                <w:rFonts w:hint="eastAsia" w:cs="Times New Roman"/>
                <w:sz w:val="24"/>
                <w:szCs w:val="24"/>
                <w:highlight w:val="none"/>
                <w:lang w:val="en-US" w:eastAsia="zh-CN"/>
              </w:rPr>
              <w:t>9</w:t>
            </w:r>
            <w:r>
              <w:rPr>
                <w:rFonts w:hint="default" w:ascii="Times New Roman" w:hAnsi="Times New Roman" w:eastAsia="宋体" w:cs="Times New Roman"/>
                <w:color w:val="auto"/>
                <w:sz w:val="24"/>
                <w:szCs w:val="24"/>
                <w:highlight w:val="none"/>
              </w:rPr>
              <w:t>m³，总填方</w:t>
            </w:r>
            <w:r>
              <w:rPr>
                <w:rFonts w:hint="eastAsia" w:cs="Times New Roman"/>
                <w:sz w:val="24"/>
                <w:szCs w:val="24"/>
                <w:highlight w:val="none"/>
                <w:lang w:val="en-US" w:eastAsia="zh-CN"/>
              </w:rPr>
              <w:t>13049.71</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sz w:val="24"/>
                <w:szCs w:val="24"/>
                <w:highlight w:val="none"/>
                <w:lang w:val="en-US" w:eastAsia="zh-CN"/>
              </w:rPr>
              <w:t>借方</w:t>
            </w:r>
            <w:r>
              <w:rPr>
                <w:rFonts w:hint="eastAsia" w:cs="Times New Roman"/>
                <w:sz w:val="24"/>
                <w:szCs w:val="24"/>
                <w:highlight w:val="none"/>
                <w:lang w:val="en-US" w:eastAsia="zh-CN"/>
              </w:rPr>
              <w:t>8987.58</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，产生余方（清废、表层杂土）</w:t>
            </w:r>
            <w:r>
              <w:rPr>
                <w:rFonts w:hint="default" w:ascii="Times New Roman" w:hAnsi="Times New Roman" w:cs="Times New Roman"/>
                <w:sz w:val="24"/>
                <w:szCs w:val="24"/>
                <w:highlight w:val="none"/>
                <w:lang w:val="en-US" w:eastAsia="zh-CN"/>
              </w:rPr>
              <w:t>2695.2</w:t>
            </w:r>
            <w:r>
              <w:rPr>
                <w:rFonts w:hint="eastAsia" w:cs="Times New Roman"/>
                <w:sz w:val="24"/>
                <w:szCs w:val="24"/>
                <w:highlight w:val="none"/>
                <w:lang w:val="en-US" w:eastAsia="zh-CN"/>
              </w:rPr>
              <w:t>8</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，全部沿渠道两侧就地平整、摊铺，不外运弃土，无弃土污染。</w:t>
            </w:r>
          </w:p>
          <w:p w14:paraId="5B5651CC">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（2）建筑垃圾</w:t>
            </w:r>
          </w:p>
          <w:p w14:paraId="6572B13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包括废混凝土块、废模板、碎石边角料、沉淀池沉渣等；其中废钢筋、废铁皮等可统一收集外售综合利用，其余不可利用建筑垃圾、沉淀池沉渣清运至当地市政指定点位规范填埋。</w:t>
            </w:r>
          </w:p>
          <w:p w14:paraId="4962A625">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（3）废聚氨酯密封胶及包装物</w:t>
            </w:r>
          </w:p>
          <w:p w14:paraId="35C95E1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本项目渠道、节制闸、分水闸、预制涵管伸缩缝聚氨酯嵌缝施工过程中产生的废聚氨酯密封胶及废弃包装物</w:t>
            </w:r>
            <w:r>
              <w:rPr>
                <w:rFonts w:hint="eastAsia" w:cs="Times New Roman"/>
                <w:color w:val="auto"/>
                <w:sz w:val="24"/>
                <w:szCs w:val="24"/>
                <w:highlight w:val="none"/>
                <w:lang w:val="en-US" w:eastAsia="zh-CN"/>
              </w:rPr>
              <w:t>均</w:t>
            </w:r>
            <w:r>
              <w:rPr>
                <w:rFonts w:hint="default" w:ascii="Times New Roman" w:hAnsi="Times New Roman" w:cs="Times New Roman"/>
                <w:color w:val="auto"/>
                <w:sz w:val="24"/>
                <w:szCs w:val="24"/>
                <w:highlight w:val="none"/>
                <w:lang w:val="en-US" w:eastAsia="zh-CN"/>
              </w:rPr>
              <w:t>属于危险废物，废聚氨酯密封胶</w:t>
            </w:r>
            <w:r>
              <w:rPr>
                <w:rFonts w:hint="eastAsia" w:cs="Times New Roman"/>
                <w:color w:val="auto"/>
                <w:sz w:val="24"/>
                <w:szCs w:val="24"/>
                <w:highlight w:val="none"/>
                <w:lang w:val="en-US" w:eastAsia="zh-CN"/>
              </w:rPr>
              <w:t>危废类别为HW13有机树脂类废物，危废代码为900-014-13，</w:t>
            </w:r>
            <w:r>
              <w:rPr>
                <w:rFonts w:hint="default" w:ascii="Times New Roman" w:hAnsi="Times New Roman" w:cs="Times New Roman"/>
                <w:color w:val="auto"/>
                <w:sz w:val="24"/>
                <w:szCs w:val="24"/>
                <w:highlight w:val="none"/>
                <w:lang w:val="en-US" w:eastAsia="zh-CN"/>
              </w:rPr>
              <w:t>废弃包装物</w:t>
            </w:r>
            <w:r>
              <w:rPr>
                <w:rFonts w:hint="eastAsia" w:cs="Times New Roman"/>
                <w:color w:val="auto"/>
                <w:sz w:val="24"/>
                <w:szCs w:val="24"/>
                <w:highlight w:val="none"/>
                <w:lang w:val="en-US" w:eastAsia="zh-CN"/>
              </w:rPr>
              <w:t>危废类别为HW49其他废物，危废代码为900-041-49，总</w:t>
            </w:r>
            <w:r>
              <w:rPr>
                <w:rFonts w:hint="default" w:ascii="Times New Roman" w:hAnsi="Times New Roman" w:cs="Times New Roman"/>
                <w:color w:val="auto"/>
                <w:sz w:val="24"/>
                <w:szCs w:val="24"/>
                <w:highlight w:val="none"/>
                <w:lang w:val="en-US" w:eastAsia="zh-CN"/>
              </w:rPr>
              <w:t>产生量约0.0</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t，废聚氨酯密封胶及沾染残胶包装物收集后交由有资质单位处置。</w:t>
            </w:r>
          </w:p>
          <w:p w14:paraId="224698E3">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施工现场不单独设置专用危险废物贮存库，采用带盖密封塑料危险废物收集桶就地收集废聚氨酯密封胶及沾染包装物，收集完毕后直接交由具备危废处置资质单位拉运处置。</w:t>
            </w:r>
          </w:p>
          <w:p w14:paraId="398FBA31">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b/>
                <w:bCs/>
                <w:color w:val="000000"/>
                <w:kern w:val="2"/>
                <w:sz w:val="24"/>
                <w:szCs w:val="24"/>
                <w:lang w:val="en-US" w:eastAsia="zh-CN" w:bidi="ar-SA"/>
              </w:rPr>
            </w:pPr>
            <w:r>
              <w:rPr>
                <w:rFonts w:hint="default" w:ascii="Times New Roman" w:hAnsi="Times New Roman" w:eastAsia="宋体" w:cs="Times New Roman"/>
                <w:color w:val="auto"/>
                <w:sz w:val="24"/>
                <w:szCs w:val="24"/>
                <w:highlight w:val="none"/>
                <w:lang w:val="en-US" w:eastAsia="zh-CN"/>
              </w:rPr>
              <w:t>采取以上措施后，施工产生的固体废物对周边环境影响很小。</w:t>
            </w:r>
          </w:p>
        </w:tc>
      </w:tr>
      <w:tr w14:paraId="61B84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879" w:type="dxa"/>
            <w:noWrap w:val="0"/>
            <w:tcMar>
              <w:left w:w="28" w:type="dxa"/>
              <w:right w:w="28" w:type="dxa"/>
            </w:tcMar>
            <w:vAlign w:val="center"/>
          </w:tcPr>
          <w:p w14:paraId="73D5A0DC">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spacing w:val="10"/>
                <w:kern w:val="2"/>
                <w:sz w:val="21"/>
                <w:szCs w:val="21"/>
              </w:rPr>
              <w:t>运营期生态环境影响分析</w:t>
            </w:r>
          </w:p>
        </w:tc>
        <w:tc>
          <w:tcPr>
            <w:tcW w:w="8363" w:type="dxa"/>
            <w:shd w:val="clear" w:color="auto" w:fill="auto"/>
            <w:noWrap w:val="0"/>
            <w:vAlign w:val="top"/>
          </w:tcPr>
          <w:p w14:paraId="60BA8BA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w:t>
            </w:r>
            <w:r>
              <w:rPr>
                <w:rFonts w:hint="default" w:ascii="Times New Roman" w:hAnsi="Times New Roman" w:cs="Times New Roman"/>
                <w:sz w:val="24"/>
                <w:lang w:val="en-US" w:eastAsia="zh-CN"/>
              </w:rPr>
              <w:t>项目</w:t>
            </w:r>
            <w:r>
              <w:rPr>
                <w:rFonts w:hint="default" w:ascii="Times New Roman" w:hAnsi="Times New Roman" w:cs="Times New Roman"/>
                <w:sz w:val="24"/>
              </w:rPr>
              <w:t>为</w:t>
            </w:r>
            <w:r>
              <w:rPr>
                <w:rFonts w:hint="default" w:ascii="Times New Roman" w:hAnsi="Times New Roman" w:cs="Times New Roman"/>
                <w:sz w:val="24"/>
                <w:lang w:val="en-US" w:eastAsia="zh-CN"/>
              </w:rPr>
              <w:t>防渗渠建设</w:t>
            </w:r>
            <w:r>
              <w:rPr>
                <w:rFonts w:hint="default" w:ascii="Times New Roman" w:hAnsi="Times New Roman" w:cs="Times New Roman"/>
                <w:sz w:val="24"/>
              </w:rPr>
              <w:t>工程及配套</w:t>
            </w:r>
            <w:r>
              <w:rPr>
                <w:rFonts w:hint="default" w:ascii="Times New Roman" w:hAnsi="Times New Roman" w:cs="Times New Roman"/>
                <w:sz w:val="24"/>
                <w:lang w:val="en-US" w:eastAsia="zh-CN"/>
              </w:rPr>
              <w:t>附属设施</w:t>
            </w:r>
            <w:r>
              <w:rPr>
                <w:rFonts w:hint="default" w:ascii="Times New Roman" w:hAnsi="Times New Roman" w:cs="Times New Roman"/>
                <w:sz w:val="24"/>
              </w:rPr>
              <w:t>，运营期无废气、废水、固废等环境影响。</w:t>
            </w:r>
          </w:p>
          <w:p w14:paraId="53786F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color w:val="auto"/>
                <w:sz w:val="24"/>
                <w:szCs w:val="24"/>
                <w:lang w:eastAsia="zh-CN"/>
              </w:rPr>
              <w:t>本项目属于生态类项目，项目本身不会对环境产生不利影响。</w:t>
            </w:r>
            <w:r>
              <w:rPr>
                <w:rFonts w:hint="default" w:ascii="Times New Roman" w:hAnsi="Times New Roman" w:eastAsia="宋体" w:cs="Times New Roman"/>
                <w:color w:val="auto"/>
                <w:sz w:val="24"/>
                <w:szCs w:val="24"/>
                <w:highlight w:val="none"/>
              </w:rPr>
              <w:t>渠道防渗</w:t>
            </w:r>
            <w:r>
              <w:rPr>
                <w:rFonts w:hint="default" w:ascii="Times New Roman" w:hAnsi="Times New Roman"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rPr>
              <w:t>完成后，提高了灌区灌溉水利用率，减少项目区水资源无效损耗，对农业结构调整起到积极作用，灌区可基本利用地表水进行</w:t>
            </w:r>
            <w:r>
              <w:rPr>
                <w:rFonts w:hint="default" w:ascii="Times New Roman" w:hAnsi="Times New Roman"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灌溉，对区域生态植被恢复也将起到积极改善作用。通过节水改造的实施，可以调整项目区内种植业结构，改善项目区及周边地区的生态环境</w:t>
            </w:r>
            <w:r>
              <w:rPr>
                <w:rFonts w:hint="default" w:ascii="Times New Roman" w:hAnsi="Times New Roman" w:eastAsia="宋体" w:cs="Times New Roman"/>
                <w:color w:val="auto"/>
                <w:sz w:val="24"/>
                <w:szCs w:val="24"/>
                <w:highlight w:val="none"/>
                <w:lang w:eastAsia="zh-CN"/>
              </w:rPr>
              <w:t>，对生态环境、社会环境具有十分积极的正效益</w:t>
            </w:r>
            <w:r>
              <w:rPr>
                <w:rFonts w:hint="default" w:ascii="Times New Roman" w:hAnsi="Times New Roman" w:cs="Times New Roman"/>
                <w:sz w:val="24"/>
              </w:rPr>
              <w:t>。</w:t>
            </w:r>
          </w:p>
        </w:tc>
      </w:tr>
      <w:tr w14:paraId="06C73C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879" w:type="dxa"/>
            <w:noWrap w:val="0"/>
            <w:vAlign w:val="center"/>
          </w:tcPr>
          <w:p w14:paraId="644C3D58">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kern w:val="2"/>
                <w:sz w:val="21"/>
                <w:szCs w:val="21"/>
              </w:rPr>
              <w:t>选址选线环境合理性分析</w:t>
            </w:r>
          </w:p>
        </w:tc>
        <w:tc>
          <w:tcPr>
            <w:tcW w:w="8363" w:type="dxa"/>
            <w:noWrap w:val="0"/>
            <w:vAlign w:val="top"/>
          </w:tcPr>
          <w:p w14:paraId="3BE3DA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防渗渠</w:t>
            </w:r>
            <w:r>
              <w:rPr>
                <w:rFonts w:hint="default" w:ascii="Times New Roman" w:hAnsi="Times New Roman" w:eastAsia="宋体" w:cs="Times New Roman"/>
                <w:sz w:val="24"/>
              </w:rPr>
              <w:t>建设项目</w:t>
            </w:r>
            <w:r>
              <w:rPr>
                <w:rFonts w:hint="default" w:ascii="Times New Roman" w:hAnsi="Times New Roman" w:eastAsia="宋体" w:cs="Times New Roman"/>
                <w:sz w:val="24"/>
                <w:lang w:eastAsia="zh-CN"/>
              </w:rPr>
              <w:t>，是线性项目</w:t>
            </w:r>
            <w:r>
              <w:rPr>
                <w:rFonts w:hint="default" w:ascii="Times New Roman" w:hAnsi="Times New Roman" w:eastAsia="宋体" w:cs="Times New Roman"/>
                <w:sz w:val="24"/>
              </w:rPr>
              <w:t>。本工程建设场地及周边区域地表植被以</w:t>
            </w:r>
            <w:r>
              <w:rPr>
                <w:rFonts w:hint="default" w:ascii="Times New Roman" w:hAnsi="Times New Roman" w:eastAsia="宋体" w:cs="Times New Roman"/>
                <w:sz w:val="24"/>
                <w:lang w:val="en-US" w:eastAsia="zh-CN"/>
              </w:rPr>
              <w:t>荒漠</w:t>
            </w:r>
            <w:r>
              <w:rPr>
                <w:rFonts w:hint="default" w:ascii="Times New Roman" w:hAnsi="Times New Roman" w:eastAsia="宋体" w:cs="Times New Roman"/>
                <w:sz w:val="24"/>
              </w:rPr>
              <w:t>植被和农田</w:t>
            </w:r>
            <w:r>
              <w:rPr>
                <w:rFonts w:hint="default" w:ascii="Times New Roman" w:hAnsi="Times New Roman" w:eastAsia="宋体" w:cs="Times New Roman"/>
                <w:sz w:val="24"/>
                <w:lang w:val="en-US" w:eastAsia="zh-CN"/>
              </w:rPr>
              <w:t>农作物</w:t>
            </w:r>
            <w:r>
              <w:rPr>
                <w:rFonts w:hint="default" w:ascii="Times New Roman" w:hAnsi="Times New Roman" w:eastAsia="宋体" w:cs="Times New Roman"/>
                <w:sz w:val="24"/>
              </w:rPr>
              <w:t>为主，动物以小型哺乳类和鸟类等动物为主，无国家及自治区级珍稀濒危保护动植物；项目区周围主要分布为农田，无自然保护区、风景名胜区、文化自然遗产地、</w:t>
            </w:r>
            <w:r>
              <w:rPr>
                <w:rFonts w:hint="eastAsia" w:cs="Times New Roman"/>
                <w:sz w:val="24"/>
                <w:lang w:eastAsia="zh-CN"/>
              </w:rPr>
              <w:t>饮用水水源保护区</w:t>
            </w:r>
            <w:r>
              <w:rPr>
                <w:rFonts w:hint="default" w:ascii="Times New Roman" w:hAnsi="Times New Roman" w:eastAsia="宋体" w:cs="Times New Roman"/>
                <w:sz w:val="24"/>
              </w:rPr>
              <w:t>、文物保护单位、军事基地等环境敏感区，项目区及其周边区域环境质量现状良好，因此本项目外环境关系单纯，没有明显外环境制约因素。</w:t>
            </w:r>
          </w:p>
          <w:p w14:paraId="06A03A8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项目渠道完全沿用现有老渠线、</w:t>
            </w:r>
            <w:r>
              <w:rPr>
                <w:rFonts w:hint="default" w:ascii="Times New Roman" w:hAnsi="Times New Roman" w:eastAsia="宋体" w:cs="Times New Roman"/>
                <w:sz w:val="24"/>
                <w:lang w:val="en-US" w:eastAsia="zh-CN"/>
              </w:rPr>
              <w:t>田间路</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不新增永久占地，</w:t>
            </w:r>
            <w:r>
              <w:rPr>
                <w:rFonts w:hint="default" w:ascii="Times New Roman" w:hAnsi="Times New Roman" w:eastAsia="宋体" w:cs="Times New Roman"/>
                <w:sz w:val="24"/>
              </w:rPr>
              <w:t>仅需施工结束后，对施工扰动区域进行修复，恢复原地貌，对环境影响较小，选址较为合理。</w:t>
            </w:r>
          </w:p>
          <w:p w14:paraId="5F53C39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建设范围及周边区域无特殊保护文物古迹、自然保护区和特殊环境制约因素，渠道走向与原渠道一致，项目周边有村庄、居民点等敏感保护目标，通过合理布局施工场地，加强工程管理并落实环评中提到的环保措施，从环境保护角度分析本项目选址、选线是合理可行的，本项目建设符合相关规划的要求。</w:t>
            </w:r>
          </w:p>
          <w:p w14:paraId="05B12103">
            <w:pPr>
              <w:adjustRightInd w:val="0"/>
              <w:snapToGrid w:val="0"/>
              <w:rPr>
                <w:rFonts w:hint="default" w:ascii="Times New Roman" w:hAnsi="Times New Roman" w:cs="Times New Roman"/>
                <w:bCs/>
                <w:szCs w:val="21"/>
              </w:rPr>
            </w:pPr>
          </w:p>
          <w:p w14:paraId="787A0542">
            <w:pPr>
              <w:adjustRightInd w:val="0"/>
              <w:snapToGrid w:val="0"/>
              <w:rPr>
                <w:rFonts w:hint="default" w:ascii="Times New Roman" w:hAnsi="Times New Roman" w:cs="Times New Roman"/>
                <w:bCs/>
                <w:szCs w:val="21"/>
              </w:rPr>
            </w:pPr>
          </w:p>
          <w:p w14:paraId="6FC1ADA6">
            <w:pPr>
              <w:pStyle w:val="7"/>
              <w:rPr>
                <w:rFonts w:hint="default" w:ascii="Times New Roman" w:hAnsi="Times New Roman" w:cs="Times New Roman"/>
                <w:bCs/>
                <w:szCs w:val="21"/>
              </w:rPr>
            </w:pPr>
          </w:p>
          <w:p w14:paraId="013167A8">
            <w:pPr>
              <w:pStyle w:val="8"/>
              <w:rPr>
                <w:rFonts w:hint="default" w:ascii="Times New Roman" w:hAnsi="Times New Roman" w:cs="Times New Roman"/>
                <w:bCs/>
                <w:szCs w:val="21"/>
              </w:rPr>
            </w:pPr>
          </w:p>
          <w:p w14:paraId="0ADBC0F9">
            <w:pPr>
              <w:pStyle w:val="8"/>
              <w:rPr>
                <w:rFonts w:hint="default" w:ascii="Times New Roman" w:hAnsi="Times New Roman" w:cs="Times New Roman"/>
                <w:bCs/>
                <w:szCs w:val="21"/>
              </w:rPr>
            </w:pPr>
          </w:p>
          <w:p w14:paraId="4761A9D3">
            <w:pPr>
              <w:pStyle w:val="8"/>
              <w:rPr>
                <w:rFonts w:hint="default" w:ascii="Times New Roman" w:hAnsi="Times New Roman" w:cs="Times New Roman"/>
                <w:bCs/>
                <w:szCs w:val="21"/>
              </w:rPr>
            </w:pPr>
          </w:p>
        </w:tc>
      </w:tr>
    </w:tbl>
    <w:p w14:paraId="145C9A74">
      <w:pPr>
        <w:pStyle w:val="20"/>
        <w:jc w:val="center"/>
        <w:rPr>
          <w:rFonts w:ascii="黑体" w:hAnsi="黑体" w:eastAsia="黑体"/>
          <w:snapToGrid w:val="0"/>
          <w:sz w:val="36"/>
          <w:szCs w:val="36"/>
        </w:rPr>
        <w:sectPr>
          <w:pgSz w:w="11906" w:h="16838"/>
          <w:pgMar w:top="1440" w:right="1800" w:bottom="1440" w:left="1800" w:header="851" w:footer="1077" w:gutter="0"/>
          <w:cols w:space="720" w:num="1"/>
          <w:docGrid w:linePitch="312" w:charSpace="0"/>
        </w:sectPr>
      </w:pPr>
    </w:p>
    <w:p w14:paraId="728B0B81">
      <w:pPr>
        <w:pStyle w:val="20"/>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39D20BCD">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五、主要生态环境保护措施</w:t>
      </w:r>
    </w:p>
    <w:tbl>
      <w:tblPr>
        <w:tblStyle w:val="22"/>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5F4FC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noWrap w:val="0"/>
            <w:tcMar>
              <w:left w:w="28" w:type="dxa"/>
              <w:right w:w="28" w:type="dxa"/>
            </w:tcMar>
            <w:vAlign w:val="center"/>
          </w:tcPr>
          <w:p w14:paraId="332834DC">
            <w:pPr>
              <w:adjustRightInd w:val="0"/>
              <w:snapToGrid w:val="0"/>
              <w:jc w:val="center"/>
              <w:rPr>
                <w:rFonts w:ascii="宋体" w:hAnsi="宋体"/>
                <w:bCs/>
                <w:szCs w:val="21"/>
              </w:rPr>
            </w:pPr>
            <w:r>
              <w:rPr>
                <w:rFonts w:hint="eastAsia" w:ascii="宋体" w:hAnsi="宋体" w:cs="宋体"/>
                <w:bCs/>
                <w:spacing w:val="10"/>
                <w:szCs w:val="21"/>
              </w:rPr>
              <w:t>施工期生态环境保护措施</w:t>
            </w:r>
          </w:p>
        </w:tc>
        <w:tc>
          <w:tcPr>
            <w:tcW w:w="8457" w:type="dxa"/>
            <w:noWrap w:val="0"/>
            <w:vAlign w:val="top"/>
          </w:tcPr>
          <w:p w14:paraId="7A8E81A0">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b/>
                <w:color w:val="auto"/>
                <w:sz w:val="24"/>
                <w:szCs w:val="24"/>
                <w:highlight w:val="none"/>
                <w:lang w:val="en-US"/>
              </w:rPr>
            </w:pPr>
            <w:r>
              <w:rPr>
                <w:rFonts w:hint="default" w:ascii="Times New Roman" w:hAnsi="Times New Roman" w:eastAsia="宋体" w:cs="Times New Roman"/>
                <w:b/>
                <w:bCs/>
                <w:color w:val="auto"/>
                <w:kern w:val="2"/>
                <w:sz w:val="24"/>
                <w:szCs w:val="24"/>
                <w:highlight w:val="none"/>
                <w:lang w:val="en-US" w:eastAsia="zh-CN" w:bidi="ar-SA"/>
              </w:rPr>
              <w:t>1生态环境保护措施</w:t>
            </w:r>
          </w:p>
          <w:p w14:paraId="3C283242">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1.1</w:t>
            </w:r>
            <w:r>
              <w:rPr>
                <w:rFonts w:hint="default" w:ascii="Times New Roman" w:hAnsi="Times New Roman" w:eastAsia="宋体" w:cs="Times New Roman"/>
                <w:color w:val="auto"/>
                <w:sz w:val="24"/>
                <w:szCs w:val="24"/>
              </w:rPr>
              <w:t>避让措施</w:t>
            </w:r>
          </w:p>
          <w:p w14:paraId="0E8A9575">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项目施工场地在确保安全的基础上尽量紧凑布置，占地应尽量</w:t>
            </w:r>
            <w:r>
              <w:rPr>
                <w:rFonts w:hint="default" w:ascii="Times New Roman" w:hAnsi="Times New Roman" w:eastAsia="宋体" w:cs="Times New Roman"/>
                <w:color w:val="auto"/>
                <w:sz w:val="24"/>
                <w:szCs w:val="24"/>
              </w:rPr>
              <w:t>避</w:t>
            </w:r>
            <w:r>
              <w:rPr>
                <w:rFonts w:hint="default" w:ascii="Times New Roman" w:hAnsi="Times New Roman" w:eastAsia="宋体" w:cs="Times New Roman"/>
                <w:color w:val="auto"/>
                <w:sz w:val="24"/>
                <w:szCs w:val="24"/>
                <w:lang w:val="en-US" w:eastAsia="zh-CN"/>
              </w:rPr>
              <w:t>让农作物、植被</w:t>
            </w:r>
            <w:r>
              <w:rPr>
                <w:rFonts w:hint="default" w:ascii="Times New Roman" w:hAnsi="Times New Roman" w:eastAsia="宋体" w:cs="Times New Roman"/>
                <w:color w:val="auto"/>
                <w:sz w:val="24"/>
                <w:szCs w:val="24"/>
              </w:rPr>
              <w:t>分布较多的区域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严格控制占地，尽量避免占用</w:t>
            </w:r>
            <w:r>
              <w:rPr>
                <w:rFonts w:hint="eastAsia" w:ascii="Times New Roman" w:hAnsi="Times New Roman" w:cs="Times New Roman"/>
                <w:color w:val="auto"/>
                <w:sz w:val="24"/>
                <w:szCs w:val="24"/>
                <w:lang w:val="en-US" w:eastAsia="zh-CN"/>
              </w:rPr>
              <w:t>渠道</w:t>
            </w:r>
            <w:r>
              <w:rPr>
                <w:rFonts w:hint="default" w:ascii="Times New Roman" w:hAnsi="Times New Roman" w:eastAsia="宋体" w:cs="Times New Roman"/>
                <w:color w:val="auto"/>
                <w:sz w:val="24"/>
                <w:szCs w:val="24"/>
                <w:lang w:val="en-US" w:eastAsia="zh-CN"/>
              </w:rPr>
              <w:t>外的土地。</w:t>
            </w:r>
          </w:p>
          <w:p w14:paraId="265F2281">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1.2</w:t>
            </w:r>
            <w:r>
              <w:rPr>
                <w:rFonts w:hint="default" w:ascii="Times New Roman" w:hAnsi="Times New Roman" w:eastAsia="宋体" w:cs="Times New Roman"/>
                <w:color w:val="auto"/>
                <w:sz w:val="24"/>
                <w:szCs w:val="24"/>
              </w:rPr>
              <w:t>减缓措施</w:t>
            </w:r>
          </w:p>
          <w:p w14:paraId="61D8521C">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rPr>
              <w:t>道路利用原有道路，</w:t>
            </w:r>
            <w:r>
              <w:rPr>
                <w:rFonts w:hint="default" w:ascii="Times New Roman" w:hAnsi="Times New Roman" w:eastAsia="宋体" w:cs="Times New Roman"/>
                <w:color w:val="auto"/>
                <w:sz w:val="24"/>
                <w:szCs w:val="24"/>
                <w:lang w:val="en-US" w:eastAsia="zh-CN"/>
              </w:rPr>
              <w:t>不新增</w:t>
            </w:r>
            <w:r>
              <w:rPr>
                <w:rFonts w:hint="default" w:ascii="Times New Roman" w:hAnsi="Times New Roman" w:eastAsia="宋体" w:cs="Times New Roman"/>
                <w:color w:val="auto"/>
                <w:sz w:val="24"/>
                <w:szCs w:val="24"/>
              </w:rPr>
              <w:t>施工道路占地；合理规划好利用料与弃渣的堆放，尽量减少施工干扰，避免二次倒运。</w:t>
            </w:r>
          </w:p>
          <w:p w14:paraId="753DD296">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sz w:val="24"/>
                <w:szCs w:val="24"/>
              </w:rPr>
              <w:t>严格划定施工范围和人员、车辆的</w:t>
            </w:r>
            <w:r>
              <w:rPr>
                <w:rFonts w:hint="default" w:ascii="Times New Roman" w:hAnsi="Times New Roman" w:eastAsia="宋体" w:cs="Times New Roman"/>
                <w:color w:val="auto"/>
                <w:sz w:val="24"/>
                <w:szCs w:val="24"/>
                <w:lang w:eastAsia="zh-CN"/>
              </w:rPr>
              <w:t>行驶</w:t>
            </w:r>
            <w:r>
              <w:rPr>
                <w:rFonts w:hint="default" w:ascii="Times New Roman" w:hAnsi="Times New Roman" w:eastAsia="宋体" w:cs="Times New Roman"/>
                <w:color w:val="auto"/>
                <w:sz w:val="24"/>
                <w:szCs w:val="24"/>
              </w:rPr>
              <w:t>路线</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机动车辆严格按照划定道路行驶</w:t>
            </w:r>
            <w:r>
              <w:rPr>
                <w:rFonts w:hint="default" w:ascii="Times New Roman" w:hAnsi="Times New Roman" w:eastAsia="宋体" w:cs="Times New Roman"/>
                <w:color w:val="auto"/>
                <w:sz w:val="24"/>
                <w:szCs w:val="24"/>
              </w:rPr>
              <w:t>，禁止乱碾乱轧</w:t>
            </w:r>
            <w:r>
              <w:rPr>
                <w:rFonts w:hint="default" w:ascii="Times New Roman" w:hAnsi="Times New Roman" w:eastAsia="宋体" w:cs="Times New Roman"/>
                <w:color w:val="auto"/>
                <w:sz w:val="24"/>
                <w:szCs w:val="24"/>
                <w:lang w:val="en-US" w:eastAsia="zh-CN"/>
              </w:rPr>
              <w:t>。</w:t>
            </w:r>
          </w:p>
          <w:p w14:paraId="302CEA9A">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施工开挖剥离表层耕作土单独分区存放，堆体全覆盖防尘苫布、设置土袋压坡防护；施工收尾阶段将保存表土回铺至施工扰动区域表层，保障场地土壤肥力，为区域植被自然恢复提供优良基质，避免耕作层土壤养分流失与资源浪费。</w:t>
            </w:r>
          </w:p>
          <w:p w14:paraId="59908060">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（4）土方作业尽量避开雨天施工，施工中随挖随运、随填随压，减少施工面裸露时间，降低雨水冲刷引发的水土流失风险。</w:t>
            </w:r>
          </w:p>
          <w:p w14:paraId="40236599">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eastAsia="宋体" w:cs="Times New Roman"/>
                <w:color w:val="auto"/>
                <w:sz w:val="24"/>
                <w:szCs w:val="24"/>
              </w:rPr>
              <w:t>加强宣传教育，增强施工人员的生态保护意识；禁止捕猎野生动物、</w:t>
            </w:r>
            <w:r>
              <w:rPr>
                <w:rFonts w:hint="default" w:ascii="Times New Roman" w:hAnsi="Times New Roman" w:eastAsia="宋体" w:cs="Times New Roman"/>
                <w:color w:val="auto"/>
                <w:sz w:val="24"/>
                <w:szCs w:val="24"/>
                <w:lang w:val="en-US" w:eastAsia="zh-CN"/>
              </w:rPr>
              <w:t>禁止</w:t>
            </w:r>
            <w:r>
              <w:rPr>
                <w:rFonts w:hint="default" w:ascii="Times New Roman" w:hAnsi="Times New Roman" w:eastAsia="宋体" w:cs="Times New Roman"/>
                <w:color w:val="auto"/>
                <w:sz w:val="24"/>
                <w:szCs w:val="24"/>
              </w:rPr>
              <w:t>随意</w:t>
            </w:r>
            <w:r>
              <w:rPr>
                <w:rFonts w:hint="default" w:ascii="Times New Roman" w:hAnsi="Times New Roman" w:eastAsia="宋体" w:cs="Times New Roman"/>
                <w:color w:val="auto"/>
                <w:sz w:val="24"/>
                <w:szCs w:val="24"/>
                <w:lang w:val="en-US" w:eastAsia="zh-CN"/>
              </w:rPr>
              <w:t>破坏</w:t>
            </w:r>
            <w:r>
              <w:rPr>
                <w:rFonts w:hint="default" w:ascii="Times New Roman" w:hAnsi="Times New Roman" w:eastAsia="宋体" w:cs="Times New Roman"/>
                <w:color w:val="auto"/>
                <w:sz w:val="24"/>
                <w:szCs w:val="24"/>
              </w:rPr>
              <w:t>植被，并制定和实施奖惩制度，把对土壤及野生动植物的干扰降至最低。</w:t>
            </w:r>
          </w:p>
          <w:p w14:paraId="7805CF99">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1.3</w:t>
            </w:r>
            <w:r>
              <w:rPr>
                <w:rFonts w:hint="default" w:ascii="Times New Roman" w:hAnsi="Times New Roman" w:eastAsia="宋体" w:cs="Times New Roman"/>
                <w:color w:val="auto"/>
                <w:sz w:val="24"/>
                <w:szCs w:val="24"/>
              </w:rPr>
              <w:t>恢复措施</w:t>
            </w:r>
          </w:p>
          <w:p w14:paraId="4678C73B">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保存的</w:t>
            </w:r>
            <w:r>
              <w:rPr>
                <w:rFonts w:hint="default" w:ascii="Times New Roman" w:hAnsi="Times New Roman" w:eastAsia="宋体" w:cs="Times New Roman"/>
                <w:color w:val="auto"/>
                <w:sz w:val="24"/>
                <w:szCs w:val="24"/>
              </w:rPr>
              <w:t>表层土壤回填</w:t>
            </w:r>
            <w:r>
              <w:rPr>
                <w:rFonts w:hint="default" w:ascii="Times New Roman" w:hAnsi="Times New Roman" w:eastAsia="宋体" w:cs="Times New Roman"/>
                <w:color w:val="auto"/>
                <w:sz w:val="24"/>
                <w:szCs w:val="24"/>
                <w:lang w:val="en-US" w:eastAsia="zh-CN"/>
              </w:rPr>
              <w:t>并</w:t>
            </w:r>
            <w:r>
              <w:rPr>
                <w:rFonts w:hint="default" w:ascii="Times New Roman" w:hAnsi="Times New Roman" w:eastAsia="宋体" w:cs="Times New Roman"/>
                <w:color w:val="auto"/>
                <w:sz w:val="24"/>
                <w:szCs w:val="24"/>
              </w:rPr>
              <w:t>进行清理、平整</w:t>
            </w:r>
            <w:r>
              <w:rPr>
                <w:rFonts w:hint="default" w:ascii="Times New Roman" w:hAnsi="Times New Roman" w:eastAsia="宋体" w:cs="Times New Roman"/>
                <w:color w:val="auto"/>
                <w:sz w:val="24"/>
                <w:szCs w:val="24"/>
                <w:lang w:val="en-US" w:eastAsia="zh-CN"/>
              </w:rPr>
              <w:t>创造植被恢复的条件</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项目应对渠道两侧的植被进行恢复，恢复方式采用自然恢复，无需额外人工种植，待施工结束后，原有植被可逐步自然更新恢复，重新覆盖扰动区域，恢复区域原有生态功能。同时，施工结束后需及时拆除清理各类施工废弃物，对被碾压、开挖的土地进行平整、压实处理，避免因地表不平整引发水土流失，保障区域土壤生态尽快恢复至原有状态。</w:t>
            </w:r>
          </w:p>
          <w:p w14:paraId="255060BE">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1.4 水土流失防治措施</w:t>
            </w:r>
          </w:p>
          <w:p w14:paraId="31B12C2F">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项目根据扰动程度将施工区域划分为如下几个分区，有针对性地采取水土流失防治措施。</w:t>
            </w:r>
          </w:p>
          <w:p w14:paraId="07189E25">
            <w:pPr>
              <w:pStyle w:val="57"/>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lang w:val="en-US" w:eastAsia="zh-CN"/>
              </w:rPr>
              <w:t>渠道工程区</w:t>
            </w:r>
          </w:p>
          <w:p w14:paraId="68040968">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严格控制施工范围，减少对土壤的扰动；优化施工组织设计，减少施工时间。</w:t>
            </w:r>
            <w:r>
              <w:rPr>
                <w:rFonts w:hint="default" w:ascii="Times New Roman" w:hAnsi="Times New Roman" w:eastAsia="宋体" w:cs="Times New Roman"/>
                <w:color w:val="auto"/>
                <w:sz w:val="24"/>
                <w:szCs w:val="24"/>
              </w:rPr>
              <w:t>施工产生土方</w:t>
            </w:r>
            <w:r>
              <w:rPr>
                <w:rFonts w:hint="default" w:ascii="Times New Roman" w:hAnsi="Times New Roman" w:eastAsia="宋体" w:cs="Times New Roman"/>
                <w:color w:val="auto"/>
                <w:sz w:val="24"/>
                <w:szCs w:val="24"/>
                <w:lang w:val="en-US" w:eastAsia="zh-CN"/>
              </w:rPr>
              <w:t>量较大</w:t>
            </w:r>
            <w:r>
              <w:rPr>
                <w:rFonts w:hint="default" w:ascii="Times New Roman" w:hAnsi="Times New Roman" w:eastAsia="宋体" w:cs="Times New Roman"/>
                <w:color w:val="auto"/>
                <w:sz w:val="24"/>
                <w:szCs w:val="24"/>
              </w:rPr>
              <w:t>，应做好土方平衡及调运，尽量将开挖土方量用作填方</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弃方</w:t>
            </w:r>
            <w:r>
              <w:rPr>
                <w:rFonts w:hint="default" w:ascii="Times New Roman" w:hAnsi="Times New Roman" w:eastAsia="宋体" w:cs="Times New Roman"/>
                <w:color w:val="auto"/>
                <w:sz w:val="24"/>
                <w:szCs w:val="24"/>
                <w:lang w:val="en-US" w:eastAsia="zh-CN"/>
              </w:rPr>
              <w:t>尽快拉运至弃渣场和土</w:t>
            </w:r>
            <w:r>
              <w:rPr>
                <w:rFonts w:hint="default" w:ascii="Times New Roman" w:hAnsi="Times New Roman" w:eastAsia="宋体" w:cs="Times New Roman"/>
                <w:color w:val="auto"/>
                <w:sz w:val="24"/>
                <w:szCs w:val="24"/>
              </w:rPr>
              <w:t>料场</w:t>
            </w:r>
            <w:r>
              <w:rPr>
                <w:rFonts w:hint="default" w:ascii="Times New Roman" w:hAnsi="Times New Roman" w:eastAsia="宋体" w:cs="Times New Roman"/>
                <w:color w:val="auto"/>
                <w:sz w:val="24"/>
                <w:szCs w:val="24"/>
                <w:lang w:val="en-US" w:eastAsia="zh-CN"/>
              </w:rPr>
              <w:t>用于</w:t>
            </w:r>
            <w:r>
              <w:rPr>
                <w:rFonts w:hint="default" w:ascii="Times New Roman" w:hAnsi="Times New Roman" w:eastAsia="宋体" w:cs="Times New Roman"/>
                <w:color w:val="auto"/>
                <w:sz w:val="24"/>
                <w:szCs w:val="24"/>
              </w:rPr>
              <w:t>回填</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对暂不继续施工的开挖裸露面和还未清运的弃土应进行苫盖并使用编织袋装土压脚，定时洒水以减少水土流失。</w:t>
            </w:r>
            <w:r>
              <w:rPr>
                <w:rFonts w:hint="default" w:ascii="Times New Roman" w:hAnsi="Times New Roman" w:eastAsia="宋体" w:cs="Times New Roman"/>
                <w:color w:val="auto"/>
                <w:sz w:val="24"/>
                <w:szCs w:val="24"/>
                <w:lang w:val="en-US" w:eastAsia="zh-CN"/>
              </w:rPr>
              <w:t>土方开挖、回填等易产生水土流失的工序应避开暴雨和大风天气。</w:t>
            </w:r>
            <w:r>
              <w:rPr>
                <w:rFonts w:hint="default" w:ascii="Times New Roman" w:hAnsi="Times New Roman" w:eastAsia="宋体" w:cs="Times New Roman"/>
                <w:color w:val="auto"/>
                <w:sz w:val="24"/>
                <w:szCs w:val="24"/>
              </w:rPr>
              <w:t>工程完工后，</w:t>
            </w:r>
            <w:r>
              <w:rPr>
                <w:rFonts w:hint="default" w:ascii="Times New Roman" w:hAnsi="Times New Roman" w:eastAsia="宋体" w:cs="Times New Roman"/>
                <w:color w:val="auto"/>
                <w:sz w:val="24"/>
                <w:szCs w:val="24"/>
                <w:lang w:val="en-US" w:eastAsia="zh-CN"/>
              </w:rPr>
              <w:t>对土地进行恢复植被，通过自然恢复改善项目区生态，减少水土流失影响。</w:t>
            </w:r>
          </w:p>
          <w:p w14:paraId="3877CB9F">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）土方临时堆存</w:t>
            </w:r>
          </w:p>
          <w:p w14:paraId="52C1710E">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表土分层剥离、分层堆放，堆土采用拍实处理，堆放边坡坡度控制在1:1.5~1:2之间，堆体周边设置临时排水沟和土袋挡墙，堆体表面采用防尘网全覆盖，防止大风起尘和雨水冲刷造成水土流失。土方调运完成后，及时对堆土区进行场地清理，采用原保存的表土回覆平整，恢复原有土地利用类型，促进植被自然恢复，消除水土流失隐患。</w:t>
            </w:r>
          </w:p>
          <w:p w14:paraId="1829390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）管理措施</w:t>
            </w:r>
          </w:p>
          <w:p w14:paraId="19A9BF3F">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落实“水土保持”三同时：水土保持设施应当与主体工程同时设计、同时施工、同时投产使用；生产建设项目竣工验收，应当验收水土保持设施；水土保持设施未经验收或者验收不合格的，生产建设项目不得投产使用。</w:t>
            </w:r>
          </w:p>
          <w:p w14:paraId="0D8BD168">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1.5防沙治沙措施</w:t>
            </w:r>
          </w:p>
          <w:p w14:paraId="1966D87B">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单位合理安排施工计划，禁止大风天气进行产生扬尘的施工；对土石方挖填等方案进行周密论证，减少借方和弃方；对临时堆土、裸露作业面及时苫盖，减少裸露地面和大风侵蚀危害；施工活动严格限定在项目占地范围内进行，禁止随意铲除项目范围外的原生固沙植被，避免人为引发沙化。采取以上措施后，项目施工期对生态环境的影响可得到有效控制，不会造成区域性生态破坏，也不会加剧区域沙化发展趋势，对区域生态影响可控。</w:t>
            </w:r>
          </w:p>
          <w:p w14:paraId="296BF185">
            <w:pPr>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2施工期大气环境保护措施</w:t>
            </w:r>
          </w:p>
          <w:p w14:paraId="6688D35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施工期对大气产生影响的主要是施工扬尘和燃油废气。</w:t>
            </w:r>
          </w:p>
          <w:p w14:paraId="1998C21C">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2.1</w:t>
            </w:r>
            <w:r>
              <w:rPr>
                <w:rFonts w:hint="default" w:ascii="Times New Roman" w:hAnsi="Times New Roman" w:eastAsia="宋体" w:cs="Times New Roman"/>
                <w:color w:val="auto"/>
                <w:sz w:val="24"/>
                <w:szCs w:val="24"/>
              </w:rPr>
              <w:t>扬尘</w:t>
            </w:r>
          </w:p>
          <w:p w14:paraId="6D2445F4">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施工扬尘主要是土方开挖回填、运输、车辆运行、材料堆放等过程产生的，主要污染物为TSP，应采取以下措施减少或避免扬尘的产生：</w:t>
            </w:r>
          </w:p>
          <w:p w14:paraId="3BA6DE93">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施工场区周边设置连续围挡</w:t>
            </w:r>
            <w:r>
              <w:rPr>
                <w:rFonts w:hint="default" w:ascii="Times New Roman" w:hAnsi="Times New Roman" w:eastAsia="宋体" w:cs="Times New Roman"/>
                <w:color w:val="auto"/>
                <w:sz w:val="24"/>
                <w:szCs w:val="24"/>
                <w:lang w:eastAsia="zh-CN"/>
              </w:rPr>
              <w:t>，对</w:t>
            </w:r>
            <w:r>
              <w:rPr>
                <w:rFonts w:hint="default" w:ascii="Times New Roman" w:hAnsi="Times New Roman" w:eastAsia="宋体" w:cs="Times New Roman"/>
                <w:color w:val="auto"/>
                <w:sz w:val="24"/>
                <w:szCs w:val="24"/>
              </w:rPr>
              <w:t>场内道路、车辆出入口进行硬化处理，配套车辆冲洗设施。</w:t>
            </w:r>
          </w:p>
          <w:p w14:paraId="5EE6D2D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土方开挖、回填、砂石装卸等易起尘作业采取湿法施工，安排专人、洒水车定时洒水，大风天气（风速≥5级）停止土方作业。</w:t>
            </w:r>
          </w:p>
          <w:p w14:paraId="6168FD02">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土方临时堆存时</w:t>
            </w:r>
            <w:r>
              <w:rPr>
                <w:rFonts w:hint="default" w:ascii="Times New Roman" w:hAnsi="Times New Roman" w:eastAsia="宋体" w:cs="Times New Roman"/>
                <w:color w:val="auto"/>
                <w:sz w:val="24"/>
                <w:szCs w:val="24"/>
              </w:rPr>
              <w:t>采用</w:t>
            </w:r>
            <w:r>
              <w:rPr>
                <w:rFonts w:hint="default" w:ascii="Times New Roman" w:hAnsi="Times New Roman" w:eastAsia="宋体" w:cs="Times New Roman"/>
                <w:color w:val="auto"/>
                <w:sz w:val="24"/>
                <w:szCs w:val="24"/>
                <w:lang w:val="en-US" w:eastAsia="zh-CN"/>
              </w:rPr>
              <w:t>篷布</w:t>
            </w:r>
            <w:r>
              <w:rPr>
                <w:rFonts w:hint="default" w:ascii="Times New Roman" w:hAnsi="Times New Roman" w:eastAsia="宋体" w:cs="Times New Roman"/>
                <w:color w:val="auto"/>
                <w:sz w:val="24"/>
                <w:szCs w:val="24"/>
              </w:rPr>
              <w:t>覆盖，堆体设置围挡，减少风力起尘。</w:t>
            </w:r>
          </w:p>
          <w:p w14:paraId="01B5C23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出场车辆必须冲洗轮胎，运输渣土、砂石的车辆密闭加盖，场内、场外道路限速行驶，减少车辆行驶扬尘。</w:t>
            </w:r>
          </w:p>
          <w:p w14:paraId="2A5A1C5C">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及时清理路面散落渣土，保持场区及沿线道路整洁。</w:t>
            </w:r>
          </w:p>
          <w:p w14:paraId="3C6F6BE6">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通过采取上述防尘、降尘措施，尽量将施工期间产生的扬尘对周围环境</w:t>
            </w:r>
            <w:r>
              <w:rPr>
                <w:rFonts w:hint="default" w:ascii="Times New Roman" w:hAnsi="Times New Roman" w:eastAsia="宋体" w:cs="Times New Roman"/>
                <w:color w:val="auto"/>
                <w:sz w:val="24"/>
                <w:szCs w:val="24"/>
                <w:lang w:val="en-US" w:eastAsia="zh-CN"/>
              </w:rPr>
              <w:t>敏感目标</w:t>
            </w:r>
            <w:r>
              <w:rPr>
                <w:rFonts w:hint="default" w:ascii="Times New Roman" w:hAnsi="Times New Roman" w:eastAsia="宋体" w:cs="Times New Roman"/>
                <w:color w:val="auto"/>
                <w:sz w:val="24"/>
                <w:szCs w:val="24"/>
              </w:rPr>
              <w:t>的影响降到最低限度。</w:t>
            </w:r>
          </w:p>
          <w:p w14:paraId="4F77E460">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2.2施工机械、填缝废气、柴油发电机废气防治</w:t>
            </w:r>
          </w:p>
          <w:p w14:paraId="4B50775D">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（1）全部选用国四及以上非道路移动机械，使用合规轻质柴油，从源头降低尾气污染物排放。</w:t>
            </w:r>
          </w:p>
          <w:p w14:paraId="0660482C">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（2）施工机械、50kW柴油发电机定期检修保养，保证设备工况良好，减少不完全燃烧产生的废气。</w:t>
            </w:r>
          </w:p>
          <w:p w14:paraId="5AFCAA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（3）全部采购具备检测报告的无溶剂低VOC聚氨酯密封胶，严禁溶剂型密封胶进场，胶筒全程密封存放，按需少量领用，开封后当日用完，未用完胶料立即加盖密封，减少敞口挥发。</w:t>
            </w:r>
          </w:p>
          <w:p w14:paraId="16E1D22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（4）优先利用市政电网供电，减少柴油机组运行时长，降低废气排放量。</w:t>
            </w:r>
          </w:p>
          <w:p w14:paraId="72B7DE71">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textAlignment w:val="auto"/>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3施工期水环境保护措施</w:t>
            </w:r>
          </w:p>
          <w:p w14:paraId="1106F59B">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（1）严禁施工废水、各类固体废物排入渠道及周边地表水体；</w:t>
            </w:r>
            <w:r>
              <w:rPr>
                <w:rFonts w:hint="eastAsia" w:cs="Times New Roman"/>
                <w:color w:val="auto"/>
                <w:sz w:val="24"/>
                <w:szCs w:val="24"/>
                <w:highlight w:val="none"/>
                <w:lang w:val="en-US" w:eastAsia="zh-CN"/>
              </w:rPr>
              <w:t>临时</w:t>
            </w:r>
            <w:r>
              <w:rPr>
                <w:rFonts w:hint="default" w:ascii="Times New Roman" w:hAnsi="Times New Roman" w:eastAsia="宋体" w:cs="Times New Roman"/>
                <w:color w:val="auto"/>
                <w:sz w:val="24"/>
                <w:szCs w:val="24"/>
                <w:highlight w:val="none"/>
                <w:lang w:val="en-US" w:eastAsia="zh-CN"/>
              </w:rPr>
              <w:t>沉淀池采取防渗处理，安排专人定期巡检、清淤，池底沉渣统一清运至指定地点处置。</w:t>
            </w:r>
          </w:p>
          <w:p w14:paraId="46B7AD8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（2）加强施工机械日常检修维护，杜绝油料跑冒滴漏，防范含油废水产生；机械、车辆油污及时清理，不在施工现场开展机油更换、维修作业。</w:t>
            </w:r>
          </w:p>
          <w:p w14:paraId="38E82192">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（3）混凝土养护废水、车辆冲洗废水防渗临时沉淀池处理后回用，沉淀池定期清淤，沉渣统一按建筑垃圾处置。</w:t>
            </w:r>
          </w:p>
          <w:p w14:paraId="30DEEB7A">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通过采取上述措施，本项目对水环境影响可接受。</w:t>
            </w:r>
          </w:p>
          <w:p w14:paraId="061C5D3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4声环境保护措施</w:t>
            </w:r>
          </w:p>
          <w:p w14:paraId="03EB5BD8">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（1）作业时间管控：严格执行施工噪声标准，仅昼间施工作业，严禁夜间施工，从源头规避夜间噪声扰民。</w:t>
            </w:r>
          </w:p>
          <w:p w14:paraId="69A7F25A">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（2）声源控制：优先选用低噪声施工机械，高噪声设备底部增设减振垫；合理排布施工机械，避免多台高噪声设备集中、同步作业，降低噪声叠加影响。</w:t>
            </w:r>
          </w:p>
          <w:p w14:paraId="46F4080A">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（3）运输管控：运输车辆进入施工区及临近村庄路段减速慢行、禁止鸣笛。</w:t>
            </w:r>
          </w:p>
          <w:p w14:paraId="2CC21885">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4）敏感点防护：工程临近村庄路段设置隔声屏障，弱化施工噪声对居民影响。同时合理调整施工布局，将高噪声作业点位尽量远离居民区，最大化减少噪声敏感区域受影响程度。结合村民作息规律合理优化施工计划，严格落实施工时间管控要求，禁止昼间14:00～16:00、夜间24:00～次日8:00开展任何产生噪声污染、影响居民正常休息的施工作业。将高噪声工序集中安排在居民日间活动时段，杜绝强噪声设备多机同时集中施工，避免噪声叠加超标，最大限度减少噪声扰民影响。</w:t>
            </w:r>
          </w:p>
          <w:p w14:paraId="15C8ED68">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（5）设备管理：定期对挖掘机、振捣设备、发电机等机具检修，保证正常工况，避免异常噪声。</w:t>
            </w:r>
          </w:p>
          <w:p w14:paraId="534276E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（6）现场施工人员配备降噪耳塞，做好职业防护。</w:t>
            </w:r>
          </w:p>
          <w:p w14:paraId="69D619D4">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本项目施工噪声为短期临时污染，仅存在于施工建设期，无长期持续性声环境影响。</w:t>
            </w:r>
            <w:r>
              <w:rPr>
                <w:rFonts w:hint="default" w:ascii="Times New Roman" w:hAnsi="Times New Roman" w:eastAsia="宋体" w:cs="Times New Roman"/>
                <w:color w:val="auto"/>
                <w:sz w:val="24"/>
                <w:szCs w:val="24"/>
              </w:rPr>
              <w:t>通过采取上述</w:t>
            </w:r>
            <w:r>
              <w:rPr>
                <w:rFonts w:hint="default" w:ascii="Times New Roman" w:hAnsi="Times New Roman" w:eastAsia="宋体" w:cs="Times New Roman"/>
                <w:color w:val="auto"/>
                <w:sz w:val="24"/>
                <w:szCs w:val="24"/>
                <w:lang w:val="en-US" w:eastAsia="zh-CN"/>
              </w:rPr>
              <w:t>降噪</w:t>
            </w:r>
            <w:r>
              <w:rPr>
                <w:rFonts w:hint="default" w:ascii="Times New Roman" w:hAnsi="Times New Roman" w:eastAsia="宋体" w:cs="Times New Roman"/>
                <w:color w:val="auto"/>
                <w:sz w:val="24"/>
                <w:szCs w:val="24"/>
              </w:rPr>
              <w:t>措施，</w:t>
            </w:r>
            <w:r>
              <w:rPr>
                <w:rFonts w:hint="eastAsia" w:cs="Times New Roman"/>
                <w:color w:val="auto"/>
                <w:sz w:val="24"/>
                <w:szCs w:val="24"/>
                <w:lang w:eastAsia="zh-CN"/>
              </w:rPr>
              <w:t>对</w:t>
            </w:r>
            <w:r>
              <w:rPr>
                <w:rFonts w:hint="default" w:ascii="Times New Roman" w:hAnsi="Times New Roman" w:eastAsia="宋体" w:cs="Times New Roman"/>
                <w:color w:val="auto"/>
                <w:sz w:val="24"/>
                <w:szCs w:val="24"/>
                <w:highlight w:val="none"/>
                <w:lang w:val="en-US" w:eastAsia="zh-CN"/>
              </w:rPr>
              <w:t>周边声环境及居民生活的影响可控</w:t>
            </w:r>
            <w:r>
              <w:rPr>
                <w:rFonts w:hint="eastAsia" w:ascii="Times New Roman" w:hAnsi="Times New Roman" w:eastAsia="宋体" w:cs="Times New Roman"/>
                <w:color w:val="auto"/>
                <w:sz w:val="24"/>
                <w:szCs w:val="24"/>
                <w:highlight w:val="none"/>
                <w:lang w:val="en-US" w:eastAsia="zh-CN"/>
              </w:rPr>
              <w:t>，施工结束后，噪声影响将立即消除，不会对区域声环境质量造成长期不利影响。</w:t>
            </w:r>
          </w:p>
          <w:p w14:paraId="06C9021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5固体废物保护措施</w:t>
            </w:r>
          </w:p>
          <w:p w14:paraId="2C1582B6">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zh-CN"/>
              </w:rPr>
            </w:pPr>
            <w:r>
              <w:rPr>
                <w:rFonts w:hint="default" w:ascii="Times New Roman" w:hAnsi="Times New Roman" w:eastAsia="宋体" w:cs="Times New Roman"/>
                <w:b/>
                <w:color w:val="auto"/>
                <w:sz w:val="24"/>
                <w:szCs w:val="24"/>
                <w:highlight w:val="none"/>
              </w:rPr>
              <w:t>5</w:t>
            </w:r>
            <w:r>
              <w:rPr>
                <w:rFonts w:hint="default" w:ascii="Times New Roman" w:hAnsi="Times New Roman" w:eastAsia="宋体" w:cs="Times New Roman"/>
                <w:b/>
                <w:color w:val="auto"/>
                <w:sz w:val="24"/>
                <w:szCs w:val="24"/>
                <w:highlight w:val="none"/>
                <w:lang w:val="zh-CN"/>
              </w:rPr>
              <w:t>.1建筑垃圾防治措施</w:t>
            </w:r>
          </w:p>
          <w:p w14:paraId="5518348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废钢筋、废型材等可回收物资分类收集、外售利用；废混凝土、模板、沉淀池沉渣等统一清运至市政指定地点填埋，做到“工完、料尽、场地清”。</w:t>
            </w:r>
          </w:p>
          <w:p w14:paraId="545D653D">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5.2工程余土防治措施</w:t>
            </w:r>
          </w:p>
          <w:p w14:paraId="2ECC07B9">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施工产生</w:t>
            </w:r>
            <w:r>
              <w:rPr>
                <w:rFonts w:hint="eastAsia" w:cs="Times New Roman"/>
                <w:color w:val="auto"/>
                <w:kern w:val="0"/>
                <w:sz w:val="24"/>
                <w:szCs w:val="24"/>
                <w:highlight w:val="none"/>
                <w:lang w:val="en-US" w:eastAsia="zh-CN"/>
              </w:rPr>
              <w:t>2695.28</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余方全部就地摊平、整理，场内综合利用，不设置永久弃土场，不外运弃土。</w:t>
            </w:r>
          </w:p>
          <w:p w14:paraId="649F436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5.3废聚氨酯密封胶及包装物防治措施</w:t>
            </w:r>
          </w:p>
          <w:p w14:paraId="3934DCE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rPr>
              <w:t>废聚氨酯密封胶及包装物采用带盖密封塑料危险废物收集桶就地收集废聚氨酯密封胶及沾染包装物，收集完毕后直接交由具备危废处置资质单位拉运处置，不随意丢弃倾倒，避免残留物料污染周边土壤及水环境。</w:t>
            </w:r>
          </w:p>
          <w:p w14:paraId="1D161B5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5.4生活垃圾</w:t>
            </w:r>
          </w:p>
          <w:p w14:paraId="76949A75">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施工人员均就近往返、不在项目区食宿，项目不产生生活垃圾，无需配套收集设施。</w:t>
            </w:r>
          </w:p>
          <w:p w14:paraId="7D4B6E91">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rPr>
              <w:t>加强管理，及时清运，随着施工期的结束，施工固体废物对环境的影响将随之消失，不会对环境产生长期影响。</w:t>
            </w:r>
          </w:p>
          <w:p w14:paraId="15292AE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环境</w:t>
            </w:r>
            <w:r>
              <w:rPr>
                <w:rFonts w:hint="default" w:ascii="Times New Roman" w:hAnsi="Times New Roman" w:eastAsia="宋体" w:cs="Times New Roman"/>
                <w:b/>
                <w:color w:val="auto"/>
                <w:sz w:val="24"/>
                <w:szCs w:val="24"/>
                <w:highlight w:val="none"/>
                <w:lang w:val="en-US" w:eastAsia="zh-CN"/>
              </w:rPr>
              <w:t>风险防治措施</w:t>
            </w:r>
          </w:p>
          <w:p w14:paraId="7321AA5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（1）机械维修和润滑油的更换依托若羌县专业厂家进行，现场不进行维修和润滑油更换。</w:t>
            </w:r>
          </w:p>
          <w:p w14:paraId="446F835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制定突发环境事件应急预案，如发生柴油泄漏或火灾、爆炸事故，应立即启动应急预案进行处理。如</w:t>
            </w:r>
            <w:r>
              <w:rPr>
                <w:rFonts w:hint="default" w:ascii="Times New Roman" w:hAnsi="Times New Roman" w:eastAsia="宋体" w:cs="Times New Roman"/>
                <w:color w:val="auto"/>
                <w:sz w:val="24"/>
                <w:szCs w:val="24"/>
                <w:lang w:val="en-US" w:eastAsia="zh-CN"/>
              </w:rPr>
              <w:t>机械设备</w:t>
            </w:r>
            <w:r>
              <w:rPr>
                <w:rFonts w:hint="default" w:ascii="Times New Roman" w:hAnsi="Times New Roman" w:eastAsia="宋体" w:cs="Times New Roman"/>
                <w:color w:val="auto"/>
                <w:sz w:val="24"/>
                <w:szCs w:val="24"/>
              </w:rPr>
              <w:t>柴油泄漏进入</w:t>
            </w:r>
            <w:r>
              <w:rPr>
                <w:rFonts w:hint="default" w:ascii="Times New Roman" w:hAnsi="Times New Roman" w:eastAsia="宋体" w:cs="Times New Roman"/>
                <w:color w:val="auto"/>
                <w:sz w:val="24"/>
                <w:szCs w:val="24"/>
                <w:lang w:val="en-US" w:eastAsia="zh-CN"/>
              </w:rPr>
              <w:t>渠道</w:t>
            </w:r>
            <w:r>
              <w:rPr>
                <w:rFonts w:hint="default" w:ascii="Times New Roman" w:hAnsi="Times New Roman" w:eastAsia="宋体" w:cs="Times New Roman"/>
                <w:color w:val="auto"/>
                <w:sz w:val="24"/>
                <w:szCs w:val="24"/>
              </w:rPr>
              <w:t>，须尽快采取围堰等方式封锁泄漏源，并使用吸附材料对柴油进行清理，防止进一步扩散，如进入土壤，应委托有相应经营许可单位对污染土壤进行处置。</w:t>
            </w:r>
          </w:p>
          <w:p w14:paraId="72059D7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7施工期</w:t>
            </w:r>
            <w:r>
              <w:rPr>
                <w:rFonts w:hint="default" w:ascii="Times New Roman" w:hAnsi="Times New Roman" w:eastAsia="宋体" w:cs="Times New Roman"/>
                <w:b/>
                <w:color w:val="auto"/>
                <w:sz w:val="24"/>
                <w:szCs w:val="24"/>
                <w:highlight w:val="none"/>
              </w:rPr>
              <w:t>环境管理</w:t>
            </w:r>
          </w:p>
          <w:p w14:paraId="554030C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项目建设单位应设立专职环境管理人员，对施工期环境进行管理，环境管理内容如下：</w:t>
            </w:r>
          </w:p>
          <w:p w14:paraId="6FE5D2A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施工现场环境管理：对施工现场进行环境管理，包括噪声、粉尘、废气、废水等的控制和处理，以减少对周边环境的影响。同时，对施工现场进行垃圾分类、回收和处理，确保施工现场的环境卫生。</w:t>
            </w:r>
          </w:p>
          <w:p w14:paraId="1A47050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生态保护管理：对施工期间可能影响到的生态环境进行保护，包括对野生动植物、水资源、土壤等的保护。通过采取生态修复、植树造林等措施，促进施工区域的生态环境恢复和改善。</w:t>
            </w:r>
          </w:p>
          <w:p w14:paraId="6186FEB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水土保持管理：对施工期间可能影响到的水土保持进行管理，防止因施工而导致的水土流失和地质灾害等问题。</w:t>
            </w:r>
          </w:p>
          <w:p w14:paraId="097D7A5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安全管理：对施工现场的安全进行管理，包括对工人的安全教育、安全防护设施的设置、施工现场的安全检查等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确保施工现场的安全生产。</w:t>
            </w:r>
          </w:p>
          <w:p w14:paraId="06931003">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社会管理：对施工期间可能影响到的社会环境进行管理，包括对周边居民的影响、对交通的影响等。</w:t>
            </w:r>
          </w:p>
          <w:p w14:paraId="60A2502F">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szCs w:val="24"/>
              </w:rPr>
            </w:pPr>
            <w:r>
              <w:rPr>
                <w:rFonts w:hint="default" w:ascii="Times New Roman" w:hAnsi="Times New Roman" w:eastAsia="宋体" w:cs="Times New Roman"/>
                <w:color w:val="auto"/>
                <w:sz w:val="24"/>
                <w:szCs w:val="24"/>
                <w:highlight w:val="none"/>
              </w:rPr>
              <w:t>通过以上措施，</w:t>
            </w:r>
            <w:r>
              <w:rPr>
                <w:rFonts w:hint="default" w:ascii="Times New Roman" w:hAnsi="Times New Roman" w:eastAsia="宋体" w:cs="Times New Roman"/>
                <w:color w:val="auto"/>
                <w:kern w:val="0"/>
                <w:sz w:val="24"/>
                <w:szCs w:val="24"/>
                <w:highlight w:val="none"/>
              </w:rPr>
              <w:t>明确责任，确保环保、水保措施</w:t>
            </w:r>
            <w:r>
              <w:rPr>
                <w:rFonts w:hint="default" w:ascii="Times New Roman" w:hAnsi="Times New Roman" w:eastAsia="宋体" w:cs="Times New Roman"/>
                <w:color w:val="auto"/>
                <w:kern w:val="0"/>
                <w:sz w:val="24"/>
                <w:szCs w:val="24"/>
                <w:highlight w:val="none"/>
                <w:lang w:val="en-US" w:eastAsia="zh-CN"/>
              </w:rPr>
              <w:t>的</w:t>
            </w:r>
            <w:r>
              <w:rPr>
                <w:rFonts w:hint="default" w:ascii="Times New Roman" w:hAnsi="Times New Roman" w:eastAsia="宋体" w:cs="Times New Roman"/>
                <w:color w:val="auto"/>
                <w:kern w:val="0"/>
                <w:sz w:val="24"/>
                <w:szCs w:val="24"/>
                <w:highlight w:val="none"/>
              </w:rPr>
              <w:t>有效实施</w:t>
            </w:r>
            <w:r>
              <w:rPr>
                <w:rFonts w:hint="default" w:ascii="Times New Roman" w:hAnsi="Times New Roman" w:eastAsia="宋体"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本项目</w:t>
            </w:r>
            <w:r>
              <w:rPr>
                <w:rFonts w:hint="default" w:ascii="Times New Roman" w:hAnsi="Times New Roman" w:eastAsia="宋体" w:cs="Times New Roman"/>
                <w:color w:val="auto"/>
                <w:kern w:val="0"/>
                <w:sz w:val="24"/>
                <w:szCs w:val="24"/>
                <w:highlight w:val="none"/>
                <w:lang w:val="en-US" w:eastAsia="zh-CN"/>
              </w:rPr>
              <w:t>施工对环境的影响</w:t>
            </w:r>
            <w:r>
              <w:rPr>
                <w:rFonts w:hint="eastAsia" w:cs="Times New Roman"/>
                <w:color w:val="auto"/>
                <w:kern w:val="0"/>
                <w:sz w:val="24"/>
                <w:szCs w:val="24"/>
                <w:highlight w:val="none"/>
                <w:lang w:val="en-US" w:eastAsia="zh-CN"/>
              </w:rPr>
              <w:t>较小</w:t>
            </w:r>
            <w:r>
              <w:rPr>
                <w:rFonts w:hint="default" w:ascii="Times New Roman" w:hAnsi="Times New Roman" w:eastAsia="宋体" w:cs="Times New Roman"/>
                <w:snapToGrid w:val="0"/>
                <w:kern w:val="0"/>
                <w:sz w:val="24"/>
                <w:szCs w:val="24"/>
              </w:rPr>
              <w:t>。</w:t>
            </w:r>
          </w:p>
          <w:p w14:paraId="7AD6068B">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8景观防治措施</w:t>
            </w:r>
          </w:p>
          <w:p w14:paraId="62993E71">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（1）</w:t>
            </w:r>
            <w:r>
              <w:rPr>
                <w:rFonts w:hint="default" w:ascii="Times New Roman" w:hAnsi="Times New Roman" w:eastAsia="宋体" w:cs="Times New Roman"/>
                <w:snapToGrid w:val="0"/>
                <w:kern w:val="0"/>
                <w:sz w:val="24"/>
              </w:rPr>
              <w:t>施工期临时防护</w:t>
            </w:r>
          </w:p>
          <w:p w14:paraId="40D06654">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snapToGrid w:val="0"/>
                <w:kern w:val="0"/>
                <w:sz w:val="24"/>
              </w:rPr>
              <w:t>在施工场地周边设置围挡，减少施工活动对周边景观的视觉干扰。同时在施工结束后及时清理场地，恢复地表原貌。</w:t>
            </w:r>
          </w:p>
          <w:p w14:paraId="608E7620">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（2）</w:t>
            </w:r>
            <w:r>
              <w:rPr>
                <w:rFonts w:hint="default" w:ascii="Times New Roman" w:hAnsi="Times New Roman" w:eastAsia="宋体" w:cs="Times New Roman"/>
                <w:snapToGrid w:val="0"/>
                <w:kern w:val="0"/>
                <w:sz w:val="24"/>
              </w:rPr>
              <w:t>加强施工管理</w:t>
            </w:r>
          </w:p>
          <w:p w14:paraId="097CBAB5">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lang w:val="en-US" w:eastAsia="zh-CN"/>
              </w:rPr>
            </w:pPr>
            <w:r>
              <w:rPr>
                <w:rFonts w:hint="default" w:ascii="Times New Roman" w:hAnsi="Times New Roman" w:eastAsia="宋体" w:cs="Times New Roman"/>
                <w:snapToGrid w:val="0"/>
                <w:kern w:val="0"/>
                <w:sz w:val="24"/>
              </w:rPr>
              <w:t>合理规划施工路线和施工场地，尽量减少对现有景观的破坏。定期对施工人员进行生态景观保护教育，</w:t>
            </w:r>
            <w:r>
              <w:rPr>
                <w:rFonts w:hint="default" w:ascii="Times New Roman" w:hAnsi="Times New Roman" w:eastAsia="宋体" w:cs="Times New Roman"/>
                <w:snapToGrid w:val="0"/>
                <w:kern w:val="0"/>
                <w:sz w:val="24"/>
                <w:lang w:eastAsia="zh-CN"/>
              </w:rPr>
              <w:t>增强</w:t>
            </w:r>
            <w:r>
              <w:rPr>
                <w:rFonts w:hint="default" w:ascii="Times New Roman" w:hAnsi="Times New Roman" w:eastAsia="宋体" w:cs="Times New Roman"/>
                <w:snapToGrid w:val="0"/>
                <w:kern w:val="0"/>
                <w:sz w:val="24"/>
              </w:rPr>
              <w:t>其保护意识，避免随意</w:t>
            </w:r>
            <w:r>
              <w:rPr>
                <w:rFonts w:hint="default" w:ascii="Times New Roman" w:hAnsi="Times New Roman" w:eastAsia="宋体" w:cs="Times New Roman"/>
                <w:snapToGrid w:val="0"/>
                <w:kern w:val="0"/>
                <w:sz w:val="24"/>
                <w:lang w:eastAsia="zh-CN"/>
              </w:rPr>
              <w:t>踩踏</w:t>
            </w:r>
            <w:r>
              <w:rPr>
                <w:rFonts w:hint="default" w:ascii="Times New Roman" w:hAnsi="Times New Roman" w:eastAsia="宋体" w:cs="Times New Roman"/>
                <w:snapToGrid w:val="0"/>
                <w:kern w:val="0"/>
                <w:sz w:val="24"/>
              </w:rPr>
              <w:t>、破坏周边景观。</w:t>
            </w:r>
          </w:p>
          <w:p w14:paraId="16CFB042">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9施工期拆除工程污染源防治措施</w:t>
            </w:r>
          </w:p>
          <w:p w14:paraId="0E787E4E">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spacing w:val="10"/>
                <w:szCs w:val="21"/>
              </w:rPr>
            </w:pPr>
            <w:r>
              <w:rPr>
                <w:rFonts w:hint="default" w:ascii="Times New Roman" w:hAnsi="Times New Roman" w:eastAsia="宋体" w:cs="Times New Roman"/>
                <w:snapToGrid w:val="0"/>
                <w:kern w:val="0"/>
                <w:sz w:val="24"/>
                <w:lang w:val="en-US" w:eastAsia="zh-CN"/>
              </w:rPr>
              <w:t>在施工期拆除工程中，针对废气，拆除前洒水降尘，渣土及时清运并覆盖防尘网，遇大风暂停作业。废水方面，施工废水、冲洗废水经沉淀池处理后洒水抑尘。噪声防治上，高噪声设备安装隔声罩，合理安排施工时间，夜间禁止施工。固废处理为拆除废料运至指定地点处置。</w:t>
            </w:r>
          </w:p>
        </w:tc>
      </w:tr>
      <w:tr w14:paraId="7AB8E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753" w:type="dxa"/>
            <w:noWrap w:val="0"/>
            <w:tcMar>
              <w:left w:w="28" w:type="dxa"/>
              <w:right w:w="28" w:type="dxa"/>
            </w:tcMar>
            <w:vAlign w:val="center"/>
          </w:tcPr>
          <w:p w14:paraId="28A1D158">
            <w:pPr>
              <w:adjustRightInd w:val="0"/>
              <w:snapToGrid w:val="0"/>
              <w:jc w:val="center"/>
              <w:rPr>
                <w:rFonts w:ascii="宋体" w:hAnsi="宋体" w:cs="宋体"/>
                <w:bCs/>
                <w:spacing w:val="10"/>
                <w:szCs w:val="21"/>
              </w:rPr>
            </w:pPr>
            <w:r>
              <w:rPr>
                <w:rFonts w:hint="eastAsia" w:ascii="宋体" w:hAnsi="宋体" w:cs="宋体"/>
                <w:bCs/>
                <w:spacing w:val="10"/>
                <w:szCs w:val="21"/>
              </w:rPr>
              <w:t>运营期生态环境保护措施</w:t>
            </w:r>
          </w:p>
        </w:tc>
        <w:tc>
          <w:tcPr>
            <w:tcW w:w="8457" w:type="dxa"/>
            <w:noWrap w:val="0"/>
            <w:vAlign w:val="top"/>
          </w:tcPr>
          <w:p w14:paraId="5AE43BC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1环境保护措施</w:t>
            </w:r>
          </w:p>
          <w:p w14:paraId="1837C286">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本工程渠道运行过程中基本不会产生废水，对环境影响不大，因此本次只提出相应管理措施。</w:t>
            </w:r>
          </w:p>
          <w:p w14:paraId="31F2856D">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（1）严禁一切污染物直接排入渠道。</w:t>
            </w:r>
          </w:p>
          <w:p w14:paraId="40F2C71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（2）做好渠道水质防护工作，定期安排人员进行水质监测。</w:t>
            </w:r>
          </w:p>
          <w:p w14:paraId="126B1D7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（3）加强水量控制工作，确保本工程保质保量完成节余水量。</w:t>
            </w:r>
          </w:p>
          <w:p w14:paraId="0AB1489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（4）加强灌区化肥、农药施用的监督管理。</w:t>
            </w:r>
          </w:p>
          <w:p w14:paraId="66397639">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w:t>
            </w:r>
            <w:r>
              <w:rPr>
                <w:rFonts w:hint="default" w:ascii="Times New Roman" w:hAnsi="Times New Roman" w:eastAsia="宋体" w:cs="Times New Roman"/>
                <w:color w:val="auto"/>
                <w:sz w:val="24"/>
                <w:szCs w:val="24"/>
                <w:highlight w:val="none"/>
                <w:lang w:val="en-US" w:eastAsia="zh-CN"/>
              </w:rPr>
              <w:t>定期对节制闸、分水闸等渠系建筑物进行检修维护，保障控水、分水设施正常运行，充分发挥节水、配水功能。</w:t>
            </w:r>
          </w:p>
          <w:p w14:paraId="65AF3BF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2生态保护措施</w:t>
            </w:r>
          </w:p>
          <w:p w14:paraId="5646CC7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工程运行后，各项</w:t>
            </w:r>
            <w:r>
              <w:rPr>
                <w:rFonts w:hint="default" w:ascii="Times New Roman" w:hAnsi="Times New Roman" w:eastAsia="宋体" w:cs="Times New Roman"/>
                <w:color w:val="auto"/>
                <w:sz w:val="24"/>
                <w:szCs w:val="24"/>
                <w:highlight w:val="none"/>
                <w:lang w:val="en-US" w:eastAsia="zh-CN"/>
              </w:rPr>
              <w:t>迹地恢复</w:t>
            </w:r>
            <w:r>
              <w:rPr>
                <w:rFonts w:hint="default" w:ascii="Times New Roman" w:hAnsi="Times New Roman" w:eastAsia="宋体" w:cs="Times New Roman"/>
                <w:color w:val="auto"/>
                <w:sz w:val="24"/>
                <w:szCs w:val="24"/>
                <w:highlight w:val="none"/>
              </w:rPr>
              <w:t>、水土保持措施的实施将有效减少工程区的水土流失，增加项目区的绿地面积和植被覆盖率，项目区的生态环境将有一定的改善和提高。此外，还需通过以下措施提高项目生态环境质量：</w:t>
            </w:r>
          </w:p>
          <w:p w14:paraId="5F20A82A">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加强宣传教育，</w:t>
            </w:r>
            <w:r>
              <w:rPr>
                <w:rFonts w:hint="default" w:ascii="Times New Roman" w:hAnsi="Times New Roman" w:eastAsia="宋体" w:cs="Times New Roman"/>
                <w:color w:val="auto"/>
                <w:sz w:val="24"/>
                <w:szCs w:val="24"/>
                <w:highlight w:val="none"/>
                <w:lang w:eastAsia="zh-CN"/>
              </w:rPr>
              <w:t>增强</w:t>
            </w:r>
            <w:r>
              <w:rPr>
                <w:rFonts w:hint="default" w:ascii="Times New Roman" w:hAnsi="Times New Roman" w:eastAsia="宋体" w:cs="Times New Roman"/>
                <w:color w:val="auto"/>
                <w:sz w:val="24"/>
                <w:szCs w:val="24"/>
                <w:highlight w:val="none"/>
              </w:rPr>
              <w:t>村民和职工的环境保护意识，加强对绿化工程的管理与抚育，防火、防虫，禁止砍伐作业范围外沿线栽植的树木，禁止破坏渠道以外的</w:t>
            </w:r>
            <w:r>
              <w:rPr>
                <w:rFonts w:hint="default" w:ascii="Times New Roman" w:hAnsi="Times New Roman" w:eastAsia="宋体"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道路</w:t>
            </w:r>
            <w:r>
              <w:rPr>
                <w:rFonts w:hint="default" w:ascii="Times New Roman" w:hAnsi="Times New Roman" w:eastAsia="宋体" w:cs="Times New Roman"/>
                <w:color w:val="auto"/>
                <w:sz w:val="24"/>
                <w:szCs w:val="24"/>
                <w:highlight w:val="none"/>
              </w:rPr>
              <w:t>。</w:t>
            </w:r>
          </w:p>
          <w:p w14:paraId="03EF63B2">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加强对周边区域生态环境实地监控，及时发现不良地质隐患工点，采取防治措施以杜绝地质灾害的发生。</w:t>
            </w:r>
          </w:p>
          <w:p w14:paraId="0BBA256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spacing w:val="10"/>
                <w:szCs w:val="21"/>
              </w:rPr>
            </w:pPr>
            <w:r>
              <w:rPr>
                <w:rFonts w:hint="default" w:ascii="Times New Roman" w:hAnsi="Times New Roman" w:eastAsia="宋体" w:cs="Times New Roman"/>
                <w:color w:val="auto"/>
                <w:sz w:val="24"/>
                <w:szCs w:val="24"/>
                <w:highlight w:val="none"/>
              </w:rPr>
              <w:t>项目严格执行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三条红线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的地表水指标水量，严禁超指标引水</w:t>
            </w:r>
            <w:r>
              <w:rPr>
                <w:rFonts w:hint="default" w:ascii="Times New Roman" w:hAnsi="Times New Roman" w:eastAsia="宋体" w:cs="Times New Roman"/>
                <w:snapToGrid w:val="0"/>
                <w:kern w:val="0"/>
                <w:sz w:val="24"/>
              </w:rPr>
              <w:t>。</w:t>
            </w:r>
          </w:p>
        </w:tc>
      </w:tr>
      <w:tr w14:paraId="54D20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753" w:type="dxa"/>
            <w:noWrap w:val="0"/>
            <w:vAlign w:val="center"/>
          </w:tcPr>
          <w:p w14:paraId="287B150F">
            <w:pPr>
              <w:adjustRightInd w:val="0"/>
              <w:snapToGrid w:val="0"/>
              <w:jc w:val="center"/>
              <w:rPr>
                <w:rFonts w:ascii="宋体" w:hAnsi="宋体" w:cs="宋体"/>
                <w:bCs/>
                <w:spacing w:val="10"/>
                <w:szCs w:val="21"/>
              </w:rPr>
            </w:pPr>
            <w:r>
              <w:rPr>
                <w:rFonts w:hint="eastAsia" w:ascii="宋体" w:hAnsi="宋体"/>
                <w:bCs/>
                <w:szCs w:val="21"/>
              </w:rPr>
              <w:t>其他</w:t>
            </w:r>
          </w:p>
        </w:tc>
        <w:tc>
          <w:tcPr>
            <w:tcW w:w="8457" w:type="dxa"/>
            <w:noWrap w:val="0"/>
            <w:vAlign w:val="center"/>
          </w:tcPr>
          <w:p w14:paraId="21197DFF">
            <w:pPr>
              <w:keepLines w:val="0"/>
              <w:pageBreakBefore w:val="0"/>
              <w:widowControl w:val="0"/>
              <w:kinsoku/>
              <w:wordWrap/>
              <w:overflowPunct/>
              <w:topLinePunct w:val="0"/>
              <w:bidi w:val="0"/>
              <w:adjustRightInd w:val="0"/>
              <w:snapToGrid w:val="0"/>
              <w:spacing w:line="480" w:lineRule="exact"/>
              <w:jc w:val="center"/>
              <w:textAlignment w:val="auto"/>
              <w:rPr>
                <w:rFonts w:hint="default" w:ascii="Times New Roman" w:hAnsi="Times New Roman" w:eastAsia="宋体" w:cs="Times New Roman"/>
                <w:bCs/>
                <w:spacing w:val="10"/>
                <w:szCs w:val="21"/>
              </w:rPr>
            </w:pPr>
            <w:r>
              <w:rPr>
                <w:rFonts w:hint="eastAsia" w:ascii="Times New Roman" w:hAnsi="Times New Roman" w:eastAsia="宋体" w:cs="Times New Roman"/>
                <w:color w:val="auto"/>
                <w:sz w:val="24"/>
                <w:szCs w:val="24"/>
                <w:highlight w:val="none"/>
                <w:lang w:val="en-US" w:eastAsia="zh-CN"/>
              </w:rPr>
              <w:t>无</w:t>
            </w:r>
          </w:p>
        </w:tc>
      </w:tr>
      <w:tr w14:paraId="36FBE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53C4E4A1">
            <w:pPr>
              <w:adjustRightInd w:val="0"/>
              <w:snapToGrid w:val="0"/>
              <w:jc w:val="center"/>
              <w:rPr>
                <w:rFonts w:ascii="宋体" w:hAnsi="宋体" w:cs="宋体"/>
                <w:bCs/>
                <w:spacing w:val="10"/>
                <w:szCs w:val="21"/>
              </w:rPr>
            </w:pPr>
            <w:r>
              <w:rPr>
                <w:rFonts w:hint="eastAsia" w:ascii="宋体" w:hAnsi="宋体"/>
                <w:bCs/>
                <w:szCs w:val="21"/>
              </w:rPr>
              <w:t>环保投资</w:t>
            </w:r>
          </w:p>
        </w:tc>
        <w:tc>
          <w:tcPr>
            <w:tcW w:w="8457" w:type="dxa"/>
            <w:noWrap w:val="0"/>
            <w:vAlign w:val="top"/>
          </w:tcPr>
          <w:p w14:paraId="06320D7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本项目总投资共</w:t>
            </w:r>
            <w:r>
              <w:rPr>
                <w:rFonts w:hint="eastAsia" w:ascii="Times New Roman" w:hAnsi="Times New Roman" w:eastAsia="宋体" w:cs="Times New Roman"/>
                <w:snapToGrid w:val="0"/>
                <w:kern w:val="0"/>
                <w:sz w:val="24"/>
                <w:highlight w:val="none"/>
                <w:lang w:val="en-US" w:eastAsia="zh-CN"/>
              </w:rPr>
              <w:t>384</w:t>
            </w:r>
            <w:r>
              <w:rPr>
                <w:rFonts w:hint="default" w:ascii="Times New Roman" w:hAnsi="Times New Roman" w:eastAsia="宋体" w:cs="Times New Roman"/>
                <w:snapToGrid w:val="0"/>
                <w:kern w:val="0"/>
                <w:sz w:val="24"/>
                <w:highlight w:val="none"/>
              </w:rPr>
              <w:t>万元，其中环保投资共</w:t>
            </w:r>
            <w:r>
              <w:rPr>
                <w:rFonts w:hint="eastAsia" w:cs="Times New Roman"/>
                <w:snapToGrid w:val="0"/>
                <w:kern w:val="0"/>
                <w:sz w:val="24"/>
                <w:highlight w:val="none"/>
                <w:lang w:val="en-US" w:eastAsia="zh-CN"/>
              </w:rPr>
              <w:t>13.6</w:t>
            </w:r>
            <w:r>
              <w:rPr>
                <w:rFonts w:hint="default" w:ascii="Times New Roman" w:hAnsi="Times New Roman" w:eastAsia="宋体" w:cs="Times New Roman"/>
                <w:snapToGrid w:val="0"/>
                <w:kern w:val="0"/>
                <w:sz w:val="24"/>
                <w:highlight w:val="none"/>
              </w:rPr>
              <w:t>万元，约占项目投资总额的</w:t>
            </w:r>
            <w:r>
              <w:rPr>
                <w:rFonts w:hint="eastAsia" w:cs="Times New Roman"/>
                <w:snapToGrid w:val="0"/>
                <w:kern w:val="0"/>
                <w:sz w:val="24"/>
                <w:highlight w:val="none"/>
                <w:lang w:val="en-US" w:eastAsia="zh-CN"/>
              </w:rPr>
              <w:t>3.54</w:t>
            </w:r>
            <w:r>
              <w:rPr>
                <w:rFonts w:hint="default" w:ascii="Times New Roman" w:hAnsi="Times New Roman" w:eastAsia="宋体" w:cs="Times New Roman"/>
                <w:snapToGrid w:val="0"/>
                <w:kern w:val="0"/>
                <w:sz w:val="24"/>
                <w:highlight w:val="none"/>
              </w:rPr>
              <w:t>%。</w:t>
            </w:r>
          </w:p>
          <w:p w14:paraId="77EE60C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环保投资概算见下表：</w:t>
            </w:r>
          </w:p>
          <w:p w14:paraId="4501DA6B">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rPr>
            </w:pPr>
            <w:r>
              <w:rPr>
                <w:rFonts w:hint="default" w:ascii="Times New Roman" w:hAnsi="Times New Roman" w:eastAsia="宋体" w:cs="Times New Roman"/>
                <w:b/>
                <w:bCs/>
                <w:snapToGrid w:val="0"/>
                <w:kern w:val="0"/>
                <w:sz w:val="24"/>
              </w:rPr>
              <w:t>表</w:t>
            </w:r>
            <w:r>
              <w:rPr>
                <w:rFonts w:hint="default" w:ascii="Times New Roman" w:hAnsi="Times New Roman" w:eastAsia="宋体" w:cs="Times New Roman"/>
                <w:b/>
                <w:bCs/>
                <w:snapToGrid w:val="0"/>
                <w:kern w:val="0"/>
                <w:sz w:val="24"/>
                <w:lang w:val="en-US" w:eastAsia="zh-CN"/>
              </w:rPr>
              <w:t>5-</w:t>
            </w:r>
            <w:r>
              <w:rPr>
                <w:rFonts w:hint="eastAsia" w:cs="Times New Roman"/>
                <w:b/>
                <w:bCs/>
                <w:snapToGrid w:val="0"/>
                <w:kern w:val="0"/>
                <w:sz w:val="24"/>
                <w:lang w:val="en-US" w:eastAsia="zh-CN"/>
              </w:rPr>
              <w:t>1</w:t>
            </w:r>
            <w:r>
              <w:rPr>
                <w:rFonts w:hint="default" w:ascii="Times New Roman" w:hAnsi="Times New Roman" w:eastAsia="宋体" w:cs="Times New Roman"/>
                <w:b/>
                <w:bCs/>
                <w:snapToGrid w:val="0"/>
                <w:kern w:val="0"/>
                <w:sz w:val="24"/>
              </w:rPr>
              <w:t xml:space="preserve"> </w:t>
            </w:r>
            <w:r>
              <w:rPr>
                <w:rFonts w:hint="eastAsia" w:ascii="Times New Roman" w:hAnsi="Times New Roman" w:eastAsia="宋体" w:cs="Times New Roman"/>
                <w:b/>
                <w:bCs/>
                <w:snapToGrid w:val="0"/>
                <w:kern w:val="0"/>
                <w:sz w:val="24"/>
                <w:lang w:val="en-US" w:eastAsia="zh-CN"/>
              </w:rPr>
              <w:t xml:space="preserve"> </w:t>
            </w:r>
            <w:r>
              <w:rPr>
                <w:rFonts w:hint="default" w:ascii="Times New Roman" w:hAnsi="Times New Roman" w:eastAsia="宋体" w:cs="Times New Roman"/>
                <w:b/>
                <w:bCs/>
                <w:snapToGrid w:val="0"/>
                <w:kern w:val="0"/>
                <w:sz w:val="24"/>
              </w:rPr>
              <w:t>工程环境保护经费估算表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5"/>
              <w:gridCol w:w="1372"/>
              <w:gridCol w:w="1779"/>
              <w:gridCol w:w="2190"/>
              <w:gridCol w:w="2072"/>
            </w:tblGrid>
            <w:tr w14:paraId="61411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444CC7D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时期</w:t>
                  </w:r>
                </w:p>
              </w:tc>
              <w:tc>
                <w:tcPr>
                  <w:tcW w:w="833" w:type="pct"/>
                  <w:noWrap w:val="0"/>
                  <w:vAlign w:val="center"/>
                </w:tcPr>
                <w:p w14:paraId="69E7551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治理项目</w:t>
                  </w:r>
                </w:p>
              </w:tc>
              <w:tc>
                <w:tcPr>
                  <w:tcW w:w="1081" w:type="pct"/>
                  <w:noWrap w:val="0"/>
                  <w:vAlign w:val="center"/>
                </w:tcPr>
                <w:p w14:paraId="05197CDB">
                  <w:pPr>
                    <w:keepLines w:val="0"/>
                    <w:pageBreakBefore w:val="0"/>
                    <w:widowControl/>
                    <w:kinsoku/>
                    <w:overflowPunct/>
                    <w:topLinePunct w:val="0"/>
                    <w:autoSpaceDE/>
                    <w:autoSpaceDN/>
                    <w:bidi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内容</w:t>
                  </w:r>
                </w:p>
              </w:tc>
              <w:tc>
                <w:tcPr>
                  <w:tcW w:w="1330" w:type="pct"/>
                  <w:noWrap w:val="0"/>
                  <w:vAlign w:val="center"/>
                </w:tcPr>
                <w:p w14:paraId="2DE9CB5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环保措施主要内容</w:t>
                  </w:r>
                </w:p>
              </w:tc>
              <w:tc>
                <w:tcPr>
                  <w:tcW w:w="1259" w:type="pct"/>
                  <w:noWrap w:val="0"/>
                  <w:vAlign w:val="center"/>
                </w:tcPr>
                <w:p w14:paraId="6C0EBA3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金额（万元）</w:t>
                  </w:r>
                </w:p>
              </w:tc>
            </w:tr>
            <w:tr w14:paraId="7D3C5E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restart"/>
                  <w:noWrap w:val="0"/>
                  <w:vAlign w:val="center"/>
                </w:tcPr>
                <w:p w14:paraId="1208B92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施工期</w:t>
                  </w:r>
                </w:p>
              </w:tc>
              <w:tc>
                <w:tcPr>
                  <w:tcW w:w="833" w:type="pct"/>
                  <w:vMerge w:val="restart"/>
                  <w:noWrap w:val="0"/>
                  <w:vAlign w:val="center"/>
                </w:tcPr>
                <w:p w14:paraId="40CE61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扬尘防治</w:t>
                  </w:r>
                </w:p>
              </w:tc>
              <w:tc>
                <w:tcPr>
                  <w:tcW w:w="1081" w:type="pct"/>
                  <w:noWrap w:val="0"/>
                  <w:vAlign w:val="center"/>
                </w:tcPr>
                <w:p w14:paraId="07373DE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车辆运输</w:t>
                  </w:r>
                </w:p>
              </w:tc>
              <w:tc>
                <w:tcPr>
                  <w:tcW w:w="1330" w:type="pct"/>
                  <w:noWrap w:val="0"/>
                  <w:vAlign w:val="center"/>
                </w:tcPr>
                <w:p w14:paraId="23A6CBB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篷布苫盖</w:t>
                  </w:r>
                  <w:r>
                    <w:rPr>
                      <w:rFonts w:hint="eastAsia"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洒水</w:t>
                  </w:r>
                </w:p>
              </w:tc>
              <w:tc>
                <w:tcPr>
                  <w:tcW w:w="1259" w:type="pct"/>
                  <w:noWrap/>
                  <w:vAlign w:val="center"/>
                </w:tcPr>
                <w:p w14:paraId="1587A22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4.0</w:t>
                  </w:r>
                </w:p>
              </w:tc>
            </w:tr>
            <w:tr w14:paraId="0C79CB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0FB9DC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77EE058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2083F99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物料堆存</w:t>
                  </w:r>
                </w:p>
              </w:tc>
              <w:tc>
                <w:tcPr>
                  <w:tcW w:w="1330" w:type="pct"/>
                  <w:noWrap w:val="0"/>
                  <w:vAlign w:val="center"/>
                </w:tcPr>
                <w:p w14:paraId="7E2F97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color w:val="auto"/>
                      <w:kern w:val="0"/>
                      <w:sz w:val="21"/>
                      <w:szCs w:val="21"/>
                      <w:highlight w:val="none"/>
                      <w:lang w:val="en-US" w:eastAsia="zh-CN"/>
                    </w:rPr>
                    <w:t>防尘网覆盖、洒水</w:t>
                  </w:r>
                </w:p>
              </w:tc>
              <w:tc>
                <w:tcPr>
                  <w:tcW w:w="1259" w:type="pct"/>
                  <w:noWrap/>
                  <w:vAlign w:val="center"/>
                </w:tcPr>
                <w:p w14:paraId="07AC14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2EC3A2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D4D580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noWrap w:val="0"/>
                  <w:vAlign w:val="center"/>
                </w:tcPr>
                <w:p w14:paraId="568649F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噪声防治</w:t>
                  </w:r>
                </w:p>
              </w:tc>
              <w:tc>
                <w:tcPr>
                  <w:tcW w:w="1081" w:type="pct"/>
                  <w:noWrap w:val="0"/>
                  <w:vAlign w:val="center"/>
                </w:tcPr>
                <w:p w14:paraId="489025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施工噪声</w:t>
                  </w:r>
                </w:p>
              </w:tc>
              <w:tc>
                <w:tcPr>
                  <w:tcW w:w="1330" w:type="pct"/>
                  <w:noWrap w:val="0"/>
                  <w:vAlign w:val="center"/>
                </w:tcPr>
                <w:p w14:paraId="42125CA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设备消声、减振等</w:t>
                  </w:r>
                </w:p>
              </w:tc>
              <w:tc>
                <w:tcPr>
                  <w:tcW w:w="1259" w:type="pct"/>
                  <w:noWrap/>
                  <w:vAlign w:val="center"/>
                </w:tcPr>
                <w:p w14:paraId="78BE14F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0.6</w:t>
                  </w:r>
                </w:p>
              </w:tc>
            </w:tr>
            <w:tr w14:paraId="649295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766A05B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7FF07BE">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废水处理</w:t>
                  </w:r>
                </w:p>
              </w:tc>
              <w:tc>
                <w:tcPr>
                  <w:tcW w:w="1081" w:type="pct"/>
                  <w:noWrap w:val="0"/>
                  <w:vAlign w:val="center"/>
                </w:tcPr>
                <w:p w14:paraId="5FFEC6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生活污水</w:t>
                  </w:r>
                </w:p>
              </w:tc>
              <w:tc>
                <w:tcPr>
                  <w:tcW w:w="1330" w:type="pct"/>
                  <w:noWrap w:val="0"/>
                  <w:vAlign w:val="center"/>
                </w:tcPr>
                <w:p w14:paraId="6AF787F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依托居民区现有设施</w:t>
                  </w:r>
                </w:p>
              </w:tc>
              <w:tc>
                <w:tcPr>
                  <w:tcW w:w="1259" w:type="pct"/>
                  <w:noWrap/>
                  <w:vAlign w:val="center"/>
                </w:tcPr>
                <w:p w14:paraId="3BE12A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r>
            <w:tr w14:paraId="0DB605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49A416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38D618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0994135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生产废水</w:t>
                  </w:r>
                </w:p>
              </w:tc>
              <w:tc>
                <w:tcPr>
                  <w:tcW w:w="1330" w:type="pct"/>
                  <w:noWrap w:val="0"/>
                  <w:vAlign w:val="center"/>
                </w:tcPr>
                <w:p w14:paraId="6AA31941">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临时沉淀池</w:t>
                  </w:r>
                </w:p>
              </w:tc>
              <w:tc>
                <w:tcPr>
                  <w:tcW w:w="1259" w:type="pct"/>
                  <w:noWrap/>
                  <w:vAlign w:val="center"/>
                </w:tcPr>
                <w:p w14:paraId="63861A3C">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w:t>
                  </w:r>
                </w:p>
              </w:tc>
            </w:tr>
            <w:tr w14:paraId="0BB780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495" w:type="pct"/>
                  <w:vMerge w:val="continue"/>
                  <w:noWrap w:val="0"/>
                  <w:vAlign w:val="center"/>
                </w:tcPr>
                <w:p w14:paraId="669760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2799FA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固废防治</w:t>
                  </w:r>
                </w:p>
              </w:tc>
              <w:tc>
                <w:tcPr>
                  <w:tcW w:w="1081" w:type="pct"/>
                  <w:noWrap w:val="0"/>
                  <w:vAlign w:val="center"/>
                </w:tcPr>
                <w:p w14:paraId="3C7E6AEF">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default" w:cs="Times New Roman"/>
                      <w:color w:val="auto"/>
                      <w:kern w:val="0"/>
                      <w:sz w:val="21"/>
                      <w:szCs w:val="21"/>
                      <w:highlight w:val="none"/>
                      <w:lang w:val="en-US" w:eastAsia="zh-CN"/>
                    </w:rPr>
                    <w:t>建筑垃圾</w:t>
                  </w:r>
                </w:p>
              </w:tc>
              <w:tc>
                <w:tcPr>
                  <w:tcW w:w="1330" w:type="pct"/>
                  <w:noWrap w:val="0"/>
                  <w:vAlign w:val="center"/>
                </w:tcPr>
                <w:p w14:paraId="193F6190">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统一清运至政府指定地点</w:t>
                  </w:r>
                </w:p>
              </w:tc>
              <w:tc>
                <w:tcPr>
                  <w:tcW w:w="1259" w:type="pct"/>
                  <w:noWrap/>
                  <w:vAlign w:val="center"/>
                </w:tcPr>
                <w:p w14:paraId="351C65EB">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6AD7BC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5B6E7B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0471C252">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p>
              </w:tc>
              <w:tc>
                <w:tcPr>
                  <w:tcW w:w="1081" w:type="pct"/>
                  <w:noWrap w:val="0"/>
                  <w:vAlign w:val="center"/>
                </w:tcPr>
                <w:p w14:paraId="6518B325">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bidi="ar"/>
                    </w:rPr>
                    <w:t>废聚氨酯密封胶及包装物</w:t>
                  </w:r>
                </w:p>
              </w:tc>
              <w:tc>
                <w:tcPr>
                  <w:tcW w:w="1330" w:type="pct"/>
                  <w:noWrap w:val="0"/>
                  <w:vAlign w:val="center"/>
                </w:tcPr>
                <w:p w14:paraId="6DA30794">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val="en-US" w:eastAsia="zh-CN" w:bidi="ar"/>
                    </w:rPr>
                    <w:t>收集后交由有资质单位处置</w:t>
                  </w:r>
                </w:p>
              </w:tc>
              <w:tc>
                <w:tcPr>
                  <w:tcW w:w="1259" w:type="pct"/>
                  <w:noWrap/>
                  <w:vAlign w:val="center"/>
                </w:tcPr>
                <w:p w14:paraId="28B4C3F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049602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95" w:type="pct"/>
                  <w:vMerge w:val="continue"/>
                  <w:noWrap w:val="0"/>
                  <w:vAlign w:val="center"/>
                </w:tcPr>
                <w:p w14:paraId="24DFBD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5A6B561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生态恢复、水土保持</w:t>
                  </w:r>
                </w:p>
              </w:tc>
              <w:tc>
                <w:tcPr>
                  <w:tcW w:w="1330" w:type="pct"/>
                  <w:noWrap w:val="0"/>
                  <w:vAlign w:val="center"/>
                </w:tcPr>
                <w:p w14:paraId="67A6928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覆土回填、</w:t>
                  </w:r>
                  <w:r>
                    <w:rPr>
                      <w:rFonts w:hint="default" w:ascii="Times New Roman" w:hAnsi="Times New Roman" w:cs="Times New Roman"/>
                      <w:color w:val="auto"/>
                      <w:kern w:val="0"/>
                      <w:sz w:val="21"/>
                      <w:szCs w:val="21"/>
                      <w:highlight w:val="none"/>
                      <w:lang w:val="en-US" w:eastAsia="zh-CN"/>
                    </w:rPr>
                    <w:t>植被恢复、土地平整</w:t>
                  </w:r>
                  <w:r>
                    <w:rPr>
                      <w:rFonts w:hint="default" w:ascii="Times New Roman" w:hAnsi="Times New Roman" w:cs="Times New Roman"/>
                      <w:color w:val="auto"/>
                      <w:kern w:val="0"/>
                      <w:sz w:val="21"/>
                      <w:szCs w:val="21"/>
                      <w:highlight w:val="none"/>
                    </w:rPr>
                    <w:t>，水保警示牌</w:t>
                  </w:r>
                </w:p>
              </w:tc>
              <w:tc>
                <w:tcPr>
                  <w:tcW w:w="1259" w:type="pct"/>
                  <w:noWrap w:val="0"/>
                  <w:vAlign w:val="center"/>
                </w:tcPr>
                <w:p w14:paraId="5706F7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由水土保持方案进行核算，环评中不进行重复计列</w:t>
                  </w:r>
                </w:p>
              </w:tc>
            </w:tr>
            <w:tr w14:paraId="0AADA8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1A477C1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1B686BB6">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环境管理与监测</w:t>
                  </w:r>
                </w:p>
              </w:tc>
              <w:tc>
                <w:tcPr>
                  <w:tcW w:w="1330" w:type="pct"/>
                  <w:noWrap w:val="0"/>
                  <w:vAlign w:val="center"/>
                </w:tcPr>
                <w:p w14:paraId="3694BA11">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color w:val="auto"/>
                      <w:sz w:val="21"/>
                      <w:szCs w:val="21"/>
                      <w:vertAlign w:val="baseline"/>
                      <w:lang w:val="en-US" w:eastAsia="zh-CN"/>
                    </w:rPr>
                    <w:t>加强员工环保培训，设立环保宣传牌</w:t>
                  </w:r>
                </w:p>
              </w:tc>
              <w:tc>
                <w:tcPr>
                  <w:tcW w:w="1259" w:type="pct"/>
                  <w:noWrap w:val="0"/>
                  <w:vAlign w:val="center"/>
                </w:tcPr>
                <w:p w14:paraId="7A4878F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r>
            <w:tr w14:paraId="237738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3749B2E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运营期</w:t>
                  </w:r>
                </w:p>
              </w:tc>
              <w:tc>
                <w:tcPr>
                  <w:tcW w:w="1914" w:type="pct"/>
                  <w:gridSpan w:val="2"/>
                  <w:noWrap w:val="0"/>
                  <w:vAlign w:val="center"/>
                </w:tcPr>
                <w:p w14:paraId="238C707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lang w:val="en-US" w:eastAsia="zh-CN"/>
                    </w:rPr>
                    <w:t>/</w:t>
                  </w:r>
                </w:p>
              </w:tc>
              <w:tc>
                <w:tcPr>
                  <w:tcW w:w="1330" w:type="pct"/>
                  <w:noWrap w:val="0"/>
                  <w:vAlign w:val="center"/>
                </w:tcPr>
                <w:p w14:paraId="28D030D7">
                  <w:pPr>
                    <w:autoSpaceDE w:val="0"/>
                    <w:jc w:val="center"/>
                    <w:rPr>
                      <w:rFonts w:hint="default" w:ascii="Times New Roman" w:hAnsi="Times New Roman" w:cs="Times New Roman"/>
                      <w:color w:val="auto"/>
                      <w:kern w:val="0"/>
                      <w:sz w:val="21"/>
                      <w:szCs w:val="21"/>
                      <w:highlight w:val="none"/>
                    </w:rPr>
                  </w:pPr>
                  <w:r>
                    <w:rPr>
                      <w:color w:val="000000"/>
                      <w:sz w:val="21"/>
                      <w:szCs w:val="21"/>
                      <w:lang w:bidi="ar"/>
                    </w:rPr>
                    <w:t>竣工环境保护验收</w:t>
                  </w:r>
                </w:p>
              </w:tc>
              <w:tc>
                <w:tcPr>
                  <w:tcW w:w="1259" w:type="pct"/>
                  <w:noWrap w:val="0"/>
                  <w:vAlign w:val="center"/>
                </w:tcPr>
                <w:p w14:paraId="402229CF">
                  <w:pPr>
                    <w:autoSpaceDE w:val="0"/>
                    <w:jc w:val="center"/>
                    <w:rPr>
                      <w:rFonts w:hint="default" w:ascii="Times New Roman" w:hAnsi="Times New Roman" w:eastAsia="宋体" w:cs="Times New Roman"/>
                      <w:color w:val="auto"/>
                      <w:kern w:val="0"/>
                      <w:sz w:val="21"/>
                      <w:szCs w:val="21"/>
                      <w:highlight w:val="none"/>
                      <w:lang w:val="en-US" w:eastAsia="zh-CN"/>
                    </w:rPr>
                  </w:pPr>
                  <w:r>
                    <w:rPr>
                      <w:rFonts w:hint="eastAsia"/>
                      <w:color w:val="000000"/>
                      <w:sz w:val="21"/>
                      <w:szCs w:val="21"/>
                      <w:lang w:bidi="ar"/>
                    </w:rPr>
                    <w:t>2.0</w:t>
                  </w:r>
                </w:p>
              </w:tc>
            </w:tr>
            <w:tr w14:paraId="2DEE06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3740" w:type="pct"/>
                  <w:gridSpan w:val="4"/>
                  <w:noWrap w:val="0"/>
                  <w:vAlign w:val="center"/>
                </w:tcPr>
                <w:p w14:paraId="7D72EE59">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rPr>
                    <w:t>合计</w:t>
                  </w:r>
                </w:p>
              </w:tc>
              <w:tc>
                <w:tcPr>
                  <w:tcW w:w="1259" w:type="pct"/>
                  <w:noWrap w:val="0"/>
                  <w:vAlign w:val="center"/>
                </w:tcPr>
                <w:p w14:paraId="42726A97">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13.6</w:t>
                  </w:r>
                </w:p>
              </w:tc>
            </w:tr>
          </w:tbl>
          <w:p w14:paraId="74C1E352">
            <w:pPr>
              <w:rPr>
                <w:rFonts w:hint="default" w:ascii="Times New Roman" w:hAnsi="Times New Roman" w:eastAsia="宋体" w:cs="Times New Roman"/>
                <w:snapToGrid w:val="0"/>
                <w:kern w:val="0"/>
                <w:sz w:val="24"/>
              </w:rPr>
            </w:pPr>
          </w:p>
          <w:p w14:paraId="63205972">
            <w:pPr>
              <w:rPr>
                <w:rFonts w:hint="default" w:ascii="Times New Roman" w:hAnsi="Times New Roman" w:eastAsia="宋体" w:cs="Times New Roman"/>
                <w:bCs/>
                <w:spacing w:val="10"/>
                <w:szCs w:val="21"/>
              </w:rPr>
            </w:pPr>
          </w:p>
        </w:tc>
      </w:tr>
    </w:tbl>
    <w:p w14:paraId="53F76A24">
      <w:pPr>
        <w:sectPr>
          <w:pgSz w:w="11907" w:h="16840"/>
          <w:pgMar w:top="1440" w:right="1797" w:bottom="1440" w:left="1797" w:header="851" w:footer="1077" w:gutter="0"/>
          <w:cols w:space="720" w:num="1"/>
          <w:docGrid w:linePitch="312" w:charSpace="0"/>
        </w:sectPr>
      </w:pPr>
    </w:p>
    <w:p w14:paraId="79EDDD4C">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六、生态环境保护措施监督检查清单</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172"/>
        <w:gridCol w:w="2102"/>
        <w:gridCol w:w="1575"/>
        <w:gridCol w:w="1398"/>
      </w:tblGrid>
      <w:tr w14:paraId="4F7C22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48" w:type="pct"/>
            <w:vMerge w:val="restart"/>
            <w:tcBorders>
              <w:tl2br w:val="single" w:color="auto" w:sz="4" w:space="0"/>
            </w:tcBorders>
            <w:noWrap w:val="0"/>
            <w:vAlign w:val="top"/>
          </w:tcPr>
          <w:p w14:paraId="245FEAB3">
            <w:pPr>
              <w:pStyle w:val="20"/>
              <w:adjustRightInd w:val="0"/>
              <w:snapToGrid w:val="0"/>
              <w:spacing w:before="72" w:beforeLines="3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内容</w:t>
            </w:r>
          </w:p>
          <w:p w14:paraId="3E20A792">
            <w:pPr>
              <w:pStyle w:val="20"/>
              <w:adjustRightInd w:val="0"/>
              <w:snapToGrid w:val="0"/>
              <w:spacing w:before="0" w:beforeAutospacing="0" w:after="0" w:afterAutospacing="0" w:line="14" w:lineRule="auto"/>
              <w:outlineLvl w:val="0"/>
              <w:rPr>
                <w:rFonts w:hint="default" w:ascii="Times New Roman" w:hAnsi="Times New Roman" w:eastAsia="宋体" w:cs="Times New Roman"/>
                <w:kern w:val="2"/>
                <w:sz w:val="135"/>
                <w:szCs w:val="21"/>
              </w:rPr>
            </w:pPr>
            <w:r>
              <w:rPr>
                <w:rFonts w:hint="default" w:ascii="Times New Roman" w:hAnsi="Times New Roman" w:eastAsia="宋体" w:cs="Times New Roman"/>
                <w:kern w:val="2"/>
                <w:sz w:val="21"/>
                <w:szCs w:val="21"/>
              </w:rPr>
              <w:t xml:space="preserve"> </w:t>
            </w:r>
            <w:r>
              <w:rPr>
                <w:rFonts w:hint="default" w:ascii="Times New Roman" w:hAnsi="Times New Roman" w:eastAsia="宋体" w:cs="Times New Roman"/>
                <w:kern w:val="2"/>
                <w:sz w:val="135"/>
                <w:szCs w:val="21"/>
              </w:rPr>
              <w:t xml:space="preserve"> </w:t>
            </w:r>
          </w:p>
          <w:p w14:paraId="79CB2D1A">
            <w:pPr>
              <w:pStyle w:val="20"/>
              <w:adjustRightInd w:val="0"/>
              <w:snapToGrid w:val="0"/>
              <w:spacing w:before="0" w:beforeAutospacing="0" w:after="0" w:afterAutospacing="0"/>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要素</w:t>
            </w:r>
          </w:p>
        </w:tc>
        <w:tc>
          <w:tcPr>
            <w:tcW w:w="2507" w:type="pct"/>
            <w:gridSpan w:val="2"/>
            <w:noWrap w:val="0"/>
            <w:vAlign w:val="center"/>
          </w:tcPr>
          <w:p w14:paraId="67FFD09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w:t>
            </w:r>
          </w:p>
        </w:tc>
        <w:tc>
          <w:tcPr>
            <w:tcW w:w="1744" w:type="pct"/>
            <w:gridSpan w:val="2"/>
            <w:noWrap w:val="0"/>
            <w:vAlign w:val="center"/>
          </w:tcPr>
          <w:p w14:paraId="395CEFF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w:t>
            </w:r>
          </w:p>
        </w:tc>
      </w:tr>
      <w:tr w14:paraId="45893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48" w:type="pct"/>
            <w:vMerge w:val="continue"/>
            <w:noWrap w:val="0"/>
            <w:vAlign w:val="top"/>
          </w:tcPr>
          <w:p w14:paraId="742359DE">
            <w:pPr>
              <w:pStyle w:val="20"/>
              <w:adjustRightInd w:val="0"/>
              <w:snapToGrid w:val="0"/>
              <w:spacing w:before="0" w:beforeAutospacing="0" w:after="0" w:afterAutospacing="0"/>
              <w:ind w:firstLine="840"/>
              <w:jc w:val="center"/>
              <w:outlineLvl w:val="0"/>
              <w:rPr>
                <w:rFonts w:hint="default" w:ascii="Times New Roman" w:hAnsi="Times New Roman" w:eastAsia="宋体" w:cs="Times New Roman"/>
                <w:kern w:val="2"/>
                <w:sz w:val="21"/>
                <w:szCs w:val="21"/>
              </w:rPr>
            </w:pPr>
          </w:p>
        </w:tc>
        <w:tc>
          <w:tcPr>
            <w:tcW w:w="1274" w:type="pct"/>
            <w:noWrap w:val="0"/>
            <w:vAlign w:val="center"/>
          </w:tcPr>
          <w:p w14:paraId="187E560E">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1233" w:type="pct"/>
            <w:noWrap w:val="0"/>
            <w:vAlign w:val="center"/>
          </w:tcPr>
          <w:p w14:paraId="7265FBF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c>
          <w:tcPr>
            <w:tcW w:w="924" w:type="pct"/>
            <w:noWrap w:val="0"/>
            <w:vAlign w:val="center"/>
          </w:tcPr>
          <w:p w14:paraId="54572B67">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820" w:type="pct"/>
            <w:noWrap w:val="0"/>
            <w:vAlign w:val="center"/>
          </w:tcPr>
          <w:p w14:paraId="5A1C35BC">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r>
      <w:tr w14:paraId="25F9D5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205FEDF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陆生生态</w:t>
            </w:r>
          </w:p>
        </w:tc>
        <w:tc>
          <w:tcPr>
            <w:tcW w:w="1274" w:type="pct"/>
            <w:shd w:val="clear" w:color="auto" w:fill="auto"/>
            <w:noWrap w:val="0"/>
            <w:vAlign w:val="center"/>
          </w:tcPr>
          <w:p w14:paraId="1B53B4E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划定施工区域，强化施工管理；尽可能缩小施工作业面和减少扰动面积</w:t>
            </w:r>
          </w:p>
        </w:tc>
        <w:tc>
          <w:tcPr>
            <w:tcW w:w="1233" w:type="pct"/>
            <w:shd w:val="clear" w:color="auto" w:fill="auto"/>
            <w:noWrap w:val="0"/>
            <w:vAlign w:val="center"/>
          </w:tcPr>
          <w:p w14:paraId="03193C4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保护现有生态环境，避免发生水土流失</w:t>
            </w:r>
          </w:p>
        </w:tc>
        <w:tc>
          <w:tcPr>
            <w:tcW w:w="924" w:type="pct"/>
            <w:shd w:val="clear" w:color="auto" w:fill="auto"/>
            <w:noWrap w:val="0"/>
            <w:vAlign w:val="center"/>
          </w:tcPr>
          <w:p w14:paraId="055F895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施工区迹地恢复</w:t>
            </w:r>
          </w:p>
        </w:tc>
        <w:tc>
          <w:tcPr>
            <w:tcW w:w="820" w:type="pct"/>
            <w:shd w:val="clear" w:color="auto" w:fill="auto"/>
            <w:noWrap w:val="0"/>
            <w:vAlign w:val="center"/>
          </w:tcPr>
          <w:p w14:paraId="0959850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无未恢复迹地</w:t>
            </w:r>
          </w:p>
        </w:tc>
      </w:tr>
      <w:tr w14:paraId="3F0FE7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48" w:type="pct"/>
            <w:noWrap w:val="0"/>
            <w:vAlign w:val="center"/>
          </w:tcPr>
          <w:p w14:paraId="12241620">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水生生态</w:t>
            </w:r>
          </w:p>
        </w:tc>
        <w:tc>
          <w:tcPr>
            <w:tcW w:w="1274" w:type="pct"/>
            <w:shd w:val="clear" w:color="auto" w:fill="auto"/>
            <w:noWrap w:val="0"/>
            <w:vAlign w:val="center"/>
          </w:tcPr>
          <w:p w14:paraId="430ECFD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CE3472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7A264A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15D577B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1DCF8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D5A02A3">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地表水环境</w:t>
            </w:r>
          </w:p>
        </w:tc>
        <w:tc>
          <w:tcPr>
            <w:tcW w:w="1274" w:type="pct"/>
            <w:shd w:val="clear" w:color="auto" w:fill="auto"/>
            <w:noWrap w:val="0"/>
            <w:vAlign w:val="center"/>
          </w:tcPr>
          <w:p w14:paraId="43F0147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cs="宋体"/>
                <w:snapToGrid w:val="0"/>
                <w:kern w:val="0"/>
                <w:sz w:val="21"/>
                <w:szCs w:val="21"/>
                <w:lang w:val="en-US" w:eastAsia="zh-CN"/>
              </w:rPr>
              <w:t>施工养护废水经沉淀池沉淀后洒水抑尘</w:t>
            </w:r>
            <w:r>
              <w:rPr>
                <w:rFonts w:hint="eastAsia" w:ascii="宋体" w:hAnsi="宋体" w:cs="宋体"/>
                <w:snapToGrid w:val="0"/>
                <w:kern w:val="0"/>
                <w:sz w:val="21"/>
                <w:szCs w:val="21"/>
              </w:rPr>
              <w:t>，不外排；车辆冲洗废水沉淀后</w:t>
            </w:r>
            <w:r>
              <w:rPr>
                <w:rFonts w:hint="eastAsia" w:ascii="宋体" w:hAnsi="宋体" w:cs="宋体"/>
                <w:snapToGrid w:val="0"/>
                <w:kern w:val="0"/>
                <w:sz w:val="21"/>
                <w:szCs w:val="21"/>
                <w:lang w:val="en-US" w:eastAsia="zh-CN"/>
              </w:rPr>
              <w:t>洒水抑尘</w:t>
            </w:r>
          </w:p>
        </w:tc>
        <w:tc>
          <w:tcPr>
            <w:tcW w:w="1233" w:type="pct"/>
            <w:shd w:val="clear" w:color="auto" w:fill="auto"/>
            <w:noWrap w:val="0"/>
            <w:vAlign w:val="center"/>
          </w:tcPr>
          <w:p w14:paraId="6A952FE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无施工废水外排，拆除临时沉淀池，统一采取施工迹地整平及地貌恢复措施</w:t>
            </w:r>
          </w:p>
        </w:tc>
        <w:tc>
          <w:tcPr>
            <w:tcW w:w="924" w:type="pct"/>
            <w:shd w:val="clear" w:color="auto" w:fill="auto"/>
            <w:noWrap w:val="0"/>
            <w:vAlign w:val="center"/>
          </w:tcPr>
          <w:p w14:paraId="5E55A82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62CBA3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现场验收期间无遗留废水，拆除临时沉淀池，施工区恢复原状</w:t>
            </w:r>
          </w:p>
        </w:tc>
      </w:tr>
      <w:tr w14:paraId="369440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8" w:type="pct"/>
            <w:noWrap w:val="0"/>
            <w:vAlign w:val="center"/>
          </w:tcPr>
          <w:p w14:paraId="1014F3AA">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地下水及土壤环境</w:t>
            </w:r>
          </w:p>
        </w:tc>
        <w:tc>
          <w:tcPr>
            <w:tcW w:w="1274" w:type="pct"/>
            <w:shd w:val="clear" w:color="auto" w:fill="auto"/>
            <w:noWrap w:val="0"/>
            <w:vAlign w:val="center"/>
          </w:tcPr>
          <w:p w14:paraId="6636BA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6270C5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5449A6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4D6721C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05AAA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B45459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声环境</w:t>
            </w:r>
          </w:p>
        </w:tc>
        <w:tc>
          <w:tcPr>
            <w:tcW w:w="1274" w:type="pct"/>
            <w:shd w:val="clear" w:color="auto" w:fill="auto"/>
            <w:noWrap w:val="0"/>
            <w:vAlign w:val="center"/>
          </w:tcPr>
          <w:p w14:paraId="50FD6129">
            <w:pPr>
              <w:pStyle w:val="59"/>
              <w:keepNext w:val="0"/>
              <w:keepLines w:val="0"/>
              <w:pageBreakBefore w:val="0"/>
              <w:kinsoku/>
              <w:wordWrap/>
              <w:overflowPunct/>
              <w:topLinePunct w:val="0"/>
              <w:autoSpaceDE/>
              <w:autoSpaceDN/>
              <w:bidi w:val="0"/>
              <w:spacing w:line="240" w:lineRule="auto"/>
              <w:ind w:left="0" w:leftChars="0" w:firstLine="0" w:firstLineChars="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合理安排施工时间，施工设备合理布局，加强施工管理，避免高噪声设备同时运行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基础减振等</w:t>
            </w:r>
          </w:p>
        </w:tc>
        <w:tc>
          <w:tcPr>
            <w:tcW w:w="1233" w:type="pct"/>
            <w:shd w:val="clear" w:color="auto" w:fill="auto"/>
            <w:noWrap w:val="0"/>
            <w:vAlign w:val="center"/>
          </w:tcPr>
          <w:p w14:paraId="267C3A01">
            <w:pPr>
              <w:pStyle w:val="59"/>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rPr>
                <w:rFonts w:hint="default" w:ascii="Arial" w:hAnsi="Arial" w:eastAsia="宋体" w:cs="Times New Roman"/>
                <w:snapToGrid w:val="0"/>
                <w:kern w:val="0"/>
                <w:sz w:val="21"/>
                <w:szCs w:val="22"/>
                <w:lang w:val="en-US" w:eastAsia="zh-CN" w:bidi="ar-SA"/>
              </w:rPr>
            </w:pPr>
            <w:r>
              <w:rPr>
                <w:rFonts w:hint="default" w:ascii="Times New Roman" w:hAnsi="Times New Roman" w:cs="Times New Roman"/>
                <w:color w:val="auto"/>
                <w:sz w:val="21"/>
                <w:szCs w:val="21"/>
                <w:lang w:val="en-US" w:eastAsia="zh-CN"/>
              </w:rPr>
              <w:t>执行《建筑施工噪声排放标准》（GB12523-2025）</w:t>
            </w:r>
          </w:p>
        </w:tc>
        <w:tc>
          <w:tcPr>
            <w:tcW w:w="924" w:type="pct"/>
            <w:shd w:val="clear" w:color="auto" w:fill="auto"/>
            <w:noWrap w:val="0"/>
            <w:vAlign w:val="center"/>
          </w:tcPr>
          <w:p w14:paraId="33D35F2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CDDFC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9D24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48" w:type="pct"/>
            <w:noWrap w:val="0"/>
            <w:vAlign w:val="center"/>
          </w:tcPr>
          <w:p w14:paraId="41A9940B">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振动</w:t>
            </w:r>
          </w:p>
        </w:tc>
        <w:tc>
          <w:tcPr>
            <w:tcW w:w="1274" w:type="pct"/>
            <w:shd w:val="clear" w:color="auto" w:fill="auto"/>
            <w:noWrap w:val="0"/>
            <w:vAlign w:val="center"/>
          </w:tcPr>
          <w:p w14:paraId="583644C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4ACD9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140FCAE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739CA3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29946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57AD534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大气环境</w:t>
            </w:r>
          </w:p>
        </w:tc>
        <w:tc>
          <w:tcPr>
            <w:tcW w:w="1274" w:type="pct"/>
            <w:shd w:val="clear" w:color="auto" w:fill="auto"/>
            <w:noWrap w:val="0"/>
            <w:vAlign w:val="center"/>
          </w:tcPr>
          <w:p w14:paraId="02F7793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施工区域设置围挡，配备洒水降尘设备，施工场地及场内道路定时洒水降尘；易产生扬尘的物料采用帆布覆盖；运输车辆减速慢行；物料运输不宜装载过满，车厢加盖篷</w:t>
            </w:r>
          </w:p>
        </w:tc>
        <w:tc>
          <w:tcPr>
            <w:tcW w:w="1233" w:type="pct"/>
            <w:shd w:val="clear" w:color="auto" w:fill="auto"/>
            <w:noWrap w:val="0"/>
            <w:vAlign w:val="center"/>
          </w:tcPr>
          <w:p w14:paraId="255D35D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《大气污染物综合排放标准》（GB16297-1996）无组织排放监控浓度限值</w:t>
            </w:r>
          </w:p>
        </w:tc>
        <w:tc>
          <w:tcPr>
            <w:tcW w:w="924" w:type="pct"/>
            <w:shd w:val="clear" w:color="auto" w:fill="auto"/>
            <w:noWrap w:val="0"/>
            <w:vAlign w:val="center"/>
          </w:tcPr>
          <w:p w14:paraId="62CA759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3046F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CEF1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070D7F8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固体废物</w:t>
            </w:r>
          </w:p>
        </w:tc>
        <w:tc>
          <w:tcPr>
            <w:tcW w:w="1274" w:type="pct"/>
            <w:shd w:val="clear" w:color="auto" w:fill="auto"/>
            <w:noWrap w:val="0"/>
            <w:vAlign w:val="center"/>
          </w:tcPr>
          <w:p w14:paraId="640A7F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清基、开挖过</w:t>
            </w:r>
            <w:r>
              <w:rPr>
                <w:rFonts w:hint="eastAsia" w:cs="Times New Roman"/>
                <w:color w:val="auto"/>
                <w:sz w:val="21"/>
                <w:szCs w:val="21"/>
                <w:highlight w:val="none"/>
                <w:lang w:val="en-US" w:eastAsia="zh-CN"/>
              </w:rPr>
              <w:t>程中</w:t>
            </w:r>
            <w:r>
              <w:rPr>
                <w:rFonts w:hint="default" w:ascii="Times New Roman" w:hAnsi="Times New Roman" w:eastAsia="宋体" w:cs="Times New Roman"/>
                <w:color w:val="auto"/>
                <w:sz w:val="21"/>
                <w:szCs w:val="21"/>
                <w:highlight w:val="none"/>
                <w:lang w:val="en-US" w:eastAsia="zh-CN"/>
              </w:rPr>
              <w:t>产生的开挖土石方直接用于填筑渠堤，弃方沿渠道边铺平</w:t>
            </w:r>
            <w:r>
              <w:rPr>
                <w:rFonts w:hint="eastAsia" w:ascii="Times New Roman" w:hAnsi="Times New Roman" w:eastAsia="宋体" w:cs="Times New Roman"/>
                <w:color w:val="auto"/>
                <w:sz w:val="21"/>
                <w:szCs w:val="21"/>
                <w:highlight w:val="none"/>
                <w:lang w:val="en-US" w:eastAsia="zh-CN"/>
              </w:rPr>
              <w:t>；</w:t>
            </w:r>
            <w:r>
              <w:rPr>
                <w:snapToGrid w:val="0"/>
                <w:kern w:val="0"/>
                <w:sz w:val="21"/>
                <w:szCs w:val="21"/>
              </w:rPr>
              <w:t>对能够回收利用的建筑垃圾进行分类回收利用，不能回收利用的转运至</w:t>
            </w:r>
            <w:r>
              <w:rPr>
                <w:rFonts w:hint="eastAsia"/>
                <w:snapToGrid w:val="0"/>
                <w:kern w:val="0"/>
                <w:sz w:val="21"/>
                <w:szCs w:val="21"/>
                <w:lang w:val="en-US" w:eastAsia="zh-CN"/>
              </w:rPr>
              <w:t>市政主管部门</w:t>
            </w:r>
            <w:r>
              <w:rPr>
                <w:snapToGrid w:val="0"/>
                <w:kern w:val="0"/>
                <w:sz w:val="21"/>
                <w:szCs w:val="21"/>
              </w:rPr>
              <w:t>指定的</w:t>
            </w:r>
            <w:r>
              <w:rPr>
                <w:rFonts w:hint="eastAsia"/>
                <w:snapToGrid w:val="0"/>
                <w:kern w:val="0"/>
                <w:sz w:val="21"/>
                <w:szCs w:val="21"/>
                <w:lang w:val="en-US" w:eastAsia="zh-CN"/>
              </w:rPr>
              <w:t>地点处置；</w:t>
            </w:r>
            <w:r>
              <w:rPr>
                <w:rFonts w:hint="eastAsia" w:eastAsia="宋体"/>
                <w:snapToGrid w:val="0"/>
                <w:kern w:val="0"/>
                <w:sz w:val="21"/>
                <w:szCs w:val="21"/>
                <w:lang w:val="en-US" w:eastAsia="zh-CN"/>
              </w:rPr>
              <w:t>废聚氨酯密封胶及包装物收集后交由有资质单位处置</w:t>
            </w:r>
          </w:p>
        </w:tc>
        <w:tc>
          <w:tcPr>
            <w:tcW w:w="1233" w:type="pct"/>
            <w:shd w:val="clear" w:color="auto" w:fill="auto"/>
            <w:noWrap w:val="0"/>
            <w:vAlign w:val="center"/>
          </w:tcPr>
          <w:p w14:paraId="63DD2BF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一般工业固体废物贮存过程符合《一般工业固体废物贮存和填埋污染控制标准》（GB18599-2020）相关要求。危险废物贮存执行《危险废物贮存污染控制标准》（GB18597-2023）相关要求</w:t>
            </w:r>
          </w:p>
        </w:tc>
        <w:tc>
          <w:tcPr>
            <w:tcW w:w="924" w:type="pct"/>
            <w:shd w:val="clear" w:color="auto" w:fill="auto"/>
            <w:noWrap w:val="0"/>
            <w:vAlign w:val="center"/>
          </w:tcPr>
          <w:p w14:paraId="65E8FBC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203AAD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施工现场无遗留固体废弃物，弃土用于项目区场地平整，无固废堆积</w:t>
            </w:r>
          </w:p>
        </w:tc>
      </w:tr>
      <w:tr w14:paraId="3E374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48" w:type="pct"/>
            <w:noWrap w:val="0"/>
            <w:vAlign w:val="center"/>
          </w:tcPr>
          <w:p w14:paraId="4060A00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电磁环境</w:t>
            </w:r>
          </w:p>
        </w:tc>
        <w:tc>
          <w:tcPr>
            <w:tcW w:w="1274" w:type="pct"/>
            <w:shd w:val="clear" w:color="auto" w:fill="auto"/>
            <w:noWrap w:val="0"/>
            <w:vAlign w:val="center"/>
          </w:tcPr>
          <w:p w14:paraId="3C5BA79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091785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2397E9C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991106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0D13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48" w:type="pct"/>
            <w:noWrap w:val="0"/>
            <w:vAlign w:val="center"/>
          </w:tcPr>
          <w:p w14:paraId="633E324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环境风险</w:t>
            </w:r>
          </w:p>
        </w:tc>
        <w:tc>
          <w:tcPr>
            <w:tcW w:w="1274" w:type="pct"/>
            <w:shd w:val="clear" w:color="auto" w:fill="auto"/>
            <w:noWrap w:val="0"/>
            <w:vAlign w:val="center"/>
          </w:tcPr>
          <w:p w14:paraId="44D8323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D0712E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3CEA1A4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64E309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AA59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48" w:type="pct"/>
            <w:noWrap w:val="0"/>
            <w:vAlign w:val="center"/>
          </w:tcPr>
          <w:p w14:paraId="1BDD8F75">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环境监测</w:t>
            </w:r>
          </w:p>
        </w:tc>
        <w:tc>
          <w:tcPr>
            <w:tcW w:w="1274" w:type="pct"/>
            <w:shd w:val="clear" w:color="auto" w:fill="auto"/>
            <w:noWrap w:val="0"/>
            <w:vAlign w:val="center"/>
          </w:tcPr>
          <w:p w14:paraId="25CED6D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p>
        </w:tc>
        <w:tc>
          <w:tcPr>
            <w:tcW w:w="1233" w:type="pct"/>
            <w:shd w:val="clear" w:color="auto" w:fill="auto"/>
            <w:noWrap w:val="0"/>
            <w:vAlign w:val="center"/>
          </w:tcPr>
          <w:p w14:paraId="53AA316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w:t>
            </w:r>
          </w:p>
        </w:tc>
        <w:tc>
          <w:tcPr>
            <w:tcW w:w="924" w:type="pct"/>
            <w:shd w:val="clear" w:color="auto" w:fill="auto"/>
            <w:noWrap w:val="0"/>
            <w:vAlign w:val="center"/>
          </w:tcPr>
          <w:p w14:paraId="27A8D1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201BAD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7DDD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48" w:type="pct"/>
            <w:noWrap w:val="0"/>
            <w:vAlign w:val="center"/>
          </w:tcPr>
          <w:p w14:paraId="1AC7459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其他</w:t>
            </w:r>
          </w:p>
        </w:tc>
        <w:tc>
          <w:tcPr>
            <w:tcW w:w="1274" w:type="pct"/>
            <w:shd w:val="clear" w:color="auto" w:fill="auto"/>
            <w:noWrap w:val="0"/>
            <w:vAlign w:val="center"/>
          </w:tcPr>
          <w:p w14:paraId="15D377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7D76673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6C6E32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4712A6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bl>
    <w:p w14:paraId="10CABDE4">
      <w:pPr>
        <w:pStyle w:val="20"/>
        <w:jc w:val="center"/>
        <w:outlineLvl w:val="0"/>
        <w:rPr>
          <w:rFonts w:ascii="黑体" w:hAnsi="黑体" w:eastAsia="黑体"/>
          <w:snapToGrid w:val="0"/>
          <w:sz w:val="30"/>
          <w:szCs w:val="30"/>
        </w:rPr>
      </w:pPr>
    </w:p>
    <w:p w14:paraId="38934C12">
      <w:pPr>
        <w:pStyle w:val="20"/>
        <w:spacing w:before="0" w:beforeAutospacing="0" w:line="14" w:lineRule="auto"/>
        <w:jc w:val="center"/>
        <w:outlineLvl w:val="0"/>
        <w:rPr>
          <w:rFonts w:hint="eastAsia" w:ascii="黑体" w:hAnsi="黑体" w:eastAsia="黑体"/>
          <w:snapToGrid w:val="0"/>
          <w:sz w:val="30"/>
          <w:szCs w:val="30"/>
        </w:rPr>
      </w:pPr>
      <w:r>
        <w:rPr>
          <w:rFonts w:ascii="黑体" w:hAnsi="黑体" w:eastAsia="黑体"/>
          <w:snapToGrid w:val="0"/>
          <w:sz w:val="30"/>
          <w:szCs w:val="30"/>
        </w:rPr>
        <w:br w:type="page"/>
      </w:r>
    </w:p>
    <w:p w14:paraId="24FED199">
      <w:pPr>
        <w:pStyle w:val="20"/>
        <w:spacing w:before="192" w:beforeLines="80" w:beforeAutospacing="0"/>
        <w:jc w:val="center"/>
        <w:outlineLvl w:val="0"/>
        <w:rPr>
          <w:rFonts w:ascii="黑体" w:hAnsi="黑体" w:eastAsia="黑体"/>
          <w:snapToGrid w:val="0"/>
          <w:sz w:val="30"/>
          <w:szCs w:val="30"/>
        </w:rPr>
      </w:pPr>
      <w:r>
        <w:rPr>
          <w:rFonts w:hint="eastAsia" w:ascii="黑体" w:hAnsi="黑体" w:eastAsia="黑体"/>
          <w:snapToGrid w:val="0"/>
          <w:sz w:val="30"/>
          <w:szCs w:val="30"/>
        </w:rPr>
        <w:t>七、结论</w:t>
      </w:r>
    </w:p>
    <w:tbl>
      <w:tblPr>
        <w:tblStyle w:val="22"/>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0CF5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4C88EC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Segoe UI" w:hAnsi="Segoe UI" w:eastAsia="Segoe UI" w:cs="Segoe UI"/>
                <w:sz w:val="24"/>
                <w:shd w:val="clear" w:color="auto" w:fill="FFFFFF"/>
              </w:rPr>
            </w:pPr>
            <w:r>
              <w:rPr>
                <w:rFonts w:hint="eastAsia" w:ascii="Segoe UI" w:hAnsi="Segoe UI" w:eastAsia="Segoe UI" w:cs="Segoe UI"/>
                <w:sz w:val="24"/>
                <w:shd w:val="clear" w:color="auto" w:fill="FFFFFF"/>
              </w:rPr>
              <w:t>本项目属于国家鼓励类水利节水工程，</w:t>
            </w:r>
            <w:r>
              <w:rPr>
                <w:rFonts w:hint="eastAsia" w:ascii="Segoe UI" w:hAnsi="Segoe UI" w:eastAsia="宋体" w:cs="Segoe UI"/>
                <w:sz w:val="24"/>
                <w:shd w:val="clear" w:color="auto" w:fill="FFFFFF"/>
                <w:lang w:val="en-US" w:eastAsia="zh-CN"/>
              </w:rPr>
              <w:t>项</w:t>
            </w:r>
            <w:r>
              <w:rPr>
                <w:rFonts w:hint="eastAsia" w:ascii="Segoe UI" w:hAnsi="Segoe UI" w:eastAsia="Segoe UI" w:cs="Segoe UI"/>
                <w:sz w:val="24"/>
                <w:shd w:val="clear" w:color="auto" w:fill="FFFFFF"/>
              </w:rPr>
              <w:t>目不涉及各类生态敏感区，选址、选线合理。工程实施后，通过渠道防渗及配套闸控设施建设，大幅降低输水渗漏损失，提升渠系水利用系数，有效缓解农业用水缺口、减少地下水超采，同时改善区域土壤盐碱化、水土流失问题。</w:t>
            </w:r>
          </w:p>
          <w:p w14:paraId="7BB0FF9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snapToGrid w:val="0"/>
                <w:kern w:val="0"/>
                <w:sz w:val="24"/>
              </w:rPr>
            </w:pPr>
            <w:r>
              <w:rPr>
                <w:rFonts w:hint="eastAsia" w:ascii="Segoe UI" w:hAnsi="Segoe UI" w:eastAsia="Segoe UI" w:cs="Segoe UI"/>
                <w:sz w:val="24"/>
                <w:shd w:val="clear" w:color="auto" w:fill="FFFFFF"/>
              </w:rPr>
              <w:t>项目施工期各类污染及生态影响均为暂时性，落实本报告提出的各项环保、水保、生态修复措施后，环境影响可得到有效控制。从生态环境保护角度分析，本项目建设可行</w:t>
            </w:r>
            <w:r>
              <w:rPr>
                <w:rFonts w:ascii="Segoe UI" w:hAnsi="Segoe UI" w:eastAsia="Segoe UI" w:cs="Segoe UI"/>
                <w:sz w:val="24"/>
                <w:shd w:val="clear" w:color="auto" w:fill="FFFFFF"/>
              </w:rPr>
              <w:t>。</w:t>
            </w:r>
          </w:p>
          <w:p w14:paraId="324C4792">
            <w:pPr>
              <w:adjustRightInd w:val="0"/>
              <w:snapToGrid w:val="0"/>
              <w:ind w:firstLine="315"/>
              <w:jc w:val="both"/>
              <w:rPr>
                <w:rFonts w:ascii="宋体" w:hAnsi="宋体" w:cs="宋体"/>
                <w:szCs w:val="21"/>
              </w:rPr>
            </w:pPr>
          </w:p>
        </w:tc>
      </w:tr>
    </w:tbl>
    <w:p w14:paraId="1A2E1944">
      <w:pPr>
        <w:widowControl/>
        <w:adjustRightInd w:val="0"/>
        <w:snapToGrid w:val="0"/>
        <w:spacing w:before="192" w:beforeLines="80"/>
        <w:jc w:val="left"/>
        <w:rPr>
          <w:rFonts w:ascii="宋体"/>
        </w:rPr>
      </w:pPr>
    </w:p>
    <w:sectPr>
      <w:pgSz w:w="11906" w:h="16838"/>
      <w:pgMar w:top="1440" w:right="1800" w:bottom="1440" w:left="1800" w:header="851" w:footer="10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714F6E6-8E73-490C-8B80-2714A449FD5C}"/>
  </w:font>
  <w:font w:name="黑体">
    <w:panose1 w:val="02010609060101010101"/>
    <w:charset w:val="86"/>
    <w:family w:val="auto"/>
    <w:pitch w:val="default"/>
    <w:sig w:usb0="800002BF" w:usb1="38CF7CFA" w:usb2="00000016" w:usb3="00000000" w:csb0="00040001" w:csb1="00000000"/>
    <w:embedRegular r:id="rId2" w:fontKey="{76E4AB8B-A85D-4DBE-9C9D-F4D421EBB6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212B530-E8A2-490A-99E1-DAE025072F9F}"/>
  </w:font>
  <w:font w:name="仿宋">
    <w:panose1 w:val="02010609060101010101"/>
    <w:charset w:val="86"/>
    <w:family w:val="modern"/>
    <w:pitch w:val="default"/>
    <w:sig w:usb0="800002BF" w:usb1="38CF7CFA" w:usb2="00000016" w:usb3="00000000" w:csb0="00040001" w:csb1="00000000"/>
    <w:embedRegular r:id="rId4" w:fontKey="{244E14D0-9D12-4874-B132-CC82A3D6D70E}"/>
  </w:font>
  <w:font w:name="仿宋_GB2312">
    <w:panose1 w:val="02010609030101010101"/>
    <w:charset w:val="86"/>
    <w:family w:val="modern"/>
    <w:pitch w:val="default"/>
    <w:sig w:usb0="00000001" w:usb1="080E0000" w:usb2="00000000" w:usb3="00000000" w:csb0="00040000" w:csb1="00000000"/>
    <w:embedRegular r:id="rId5" w:fontKey="{5DE3B643-886F-4CD5-A2C9-D89A850A62AC}"/>
  </w:font>
  <w:font w:name="方正小标宋_GBK">
    <w:panose1 w:val="03000509000000000000"/>
    <w:charset w:val="86"/>
    <w:family w:val="script"/>
    <w:pitch w:val="default"/>
    <w:sig w:usb0="00000001" w:usb1="080E0000" w:usb2="00000000" w:usb3="00000000" w:csb0="00040000" w:csb1="00000000"/>
    <w:embedRegular r:id="rId6" w:fontKey="{3D699592-1CAE-4EF2-BCA3-D7B55219A70B}"/>
  </w:font>
  <w:font w:name="楷体_GB2312">
    <w:panose1 w:val="02010609030101010101"/>
    <w:charset w:val="86"/>
    <w:family w:val="modern"/>
    <w:pitch w:val="default"/>
    <w:sig w:usb0="00000001" w:usb1="080E0000" w:usb2="00000000" w:usb3="00000000" w:csb0="00040000" w:csb1="00000000"/>
    <w:embedRegular r:id="rId7" w:fontKey="{6FBC7A8A-BE61-438E-907D-91C7473EBB06}"/>
  </w:font>
  <w:font w:name="华文仿宋">
    <w:panose1 w:val="02010600040101010101"/>
    <w:charset w:val="86"/>
    <w:family w:val="auto"/>
    <w:pitch w:val="default"/>
    <w:sig w:usb0="00000287" w:usb1="080F0000" w:usb2="00000000" w:usb3="00000000" w:csb0="0004009F" w:csb1="DFD70000"/>
    <w:embedRegular r:id="rId8" w:fontKey="{D1395E64-5C30-445B-B16F-F6A13CEC5D93}"/>
  </w:font>
  <w:font w:name="Segoe UI">
    <w:panose1 w:val="020B0502040204020203"/>
    <w:charset w:val="00"/>
    <w:family w:val="swiss"/>
    <w:pitch w:val="default"/>
    <w:sig w:usb0="E4002EFF" w:usb1="C000E47F" w:usb2="00000009" w:usb3="00000000" w:csb0="200001FF" w:csb1="00000000"/>
    <w:embedRegular r:id="rId9" w:fontKey="{D29DCF3B-92FF-4694-871C-8C5ED30DBAD0}"/>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61FB">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25584">
    <w:pPr>
      <w:pStyle w:val="17"/>
      <w:framePr w:wrap="around" w:vAnchor="text" w:hAnchor="margin" w:xAlign="outside" w:y="1"/>
      <w:rPr>
        <w:rStyle w:val="26"/>
      </w:rPr>
    </w:pPr>
    <w:r>
      <w:rPr>
        <w:rStyle w:val="26"/>
      </w:rPr>
      <w:fldChar w:fldCharType="begin"/>
    </w:r>
    <w:r>
      <w:rPr>
        <w:rStyle w:val="26"/>
      </w:rPr>
      <w:instrText xml:space="preserve">PAGE  </w:instrText>
    </w:r>
    <w:r>
      <w:rPr>
        <w:rStyle w:val="26"/>
      </w:rPr>
      <w:fldChar w:fldCharType="end"/>
    </w:r>
  </w:p>
  <w:p w14:paraId="4E8C5786">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60BDE">
    <w:pPr>
      <w:pStyle w:val="17"/>
      <w:framePr w:wrap="around" w:vAnchor="text" w:hAnchor="margin" w:xAlign="outside" w:y="1"/>
      <w:rPr>
        <w:rStyle w:val="26"/>
        <w:rFonts w:ascii="宋体" w:hAnsi="宋体"/>
        <w:sz w:val="28"/>
        <w:szCs w:val="28"/>
      </w:rPr>
    </w:pPr>
    <w:r>
      <w:rPr>
        <w:rStyle w:val="26"/>
        <w:rFonts w:hint="eastAsia" w:ascii="宋体" w:hAnsi="宋体"/>
        <w:sz w:val="28"/>
        <w:szCs w:val="28"/>
      </w:rPr>
      <w:t>—</w:t>
    </w:r>
    <w:r>
      <w:rPr>
        <w:rStyle w:val="26"/>
        <w:rFonts w:hint="eastAsia" w:ascii="宋体" w:hAnsi="宋体"/>
        <w:sz w:val="20"/>
        <w:szCs w:val="20"/>
      </w:rPr>
      <w:t xml:space="preserve">  </w:t>
    </w:r>
    <w:r>
      <w:rPr>
        <w:rStyle w:val="26"/>
        <w:rFonts w:ascii="宋体" w:hAnsi="宋体"/>
        <w:sz w:val="26"/>
        <w:szCs w:val="26"/>
      </w:rPr>
      <w:fldChar w:fldCharType="begin"/>
    </w:r>
    <w:r>
      <w:rPr>
        <w:rStyle w:val="26"/>
        <w:rFonts w:ascii="宋体" w:hAnsi="宋体"/>
        <w:sz w:val="26"/>
        <w:szCs w:val="26"/>
      </w:rPr>
      <w:instrText xml:space="preserve">PAGE  </w:instrText>
    </w:r>
    <w:r>
      <w:rPr>
        <w:rStyle w:val="26"/>
        <w:rFonts w:ascii="宋体" w:hAnsi="宋体"/>
        <w:sz w:val="26"/>
        <w:szCs w:val="26"/>
      </w:rPr>
      <w:fldChar w:fldCharType="separate"/>
    </w:r>
    <w:r>
      <w:rPr>
        <w:rStyle w:val="26"/>
        <w:rFonts w:ascii="宋体" w:hAnsi="宋体"/>
        <w:sz w:val="26"/>
        <w:szCs w:val="26"/>
      </w:rPr>
      <w:t>22</w:t>
    </w:r>
    <w:r>
      <w:rPr>
        <w:rStyle w:val="26"/>
        <w:rFonts w:ascii="宋体" w:hAnsi="宋体"/>
        <w:sz w:val="26"/>
        <w:szCs w:val="26"/>
      </w:rPr>
      <w:fldChar w:fldCharType="end"/>
    </w:r>
    <w:r>
      <w:rPr>
        <w:rStyle w:val="26"/>
        <w:rFonts w:hint="eastAsia" w:ascii="宋体" w:hAnsi="宋体"/>
        <w:sz w:val="20"/>
        <w:szCs w:val="20"/>
      </w:rPr>
      <w:t xml:space="preserve">  </w:t>
    </w:r>
    <w:r>
      <w:rPr>
        <w:rStyle w:val="26"/>
        <w:rFonts w:hint="eastAsia" w:ascii="宋体" w:hAnsi="宋体"/>
        <w:sz w:val="28"/>
        <w:szCs w:val="28"/>
      </w:rPr>
      <w:t>—</w:t>
    </w:r>
  </w:p>
  <w:p w14:paraId="2AECB250">
    <w:pPr>
      <w:pStyle w:val="17"/>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9E248"/>
    <w:multiLevelType w:val="singleLevel"/>
    <w:tmpl w:val="B849E248"/>
    <w:lvl w:ilvl="0" w:tentative="0">
      <w:start w:val="1"/>
      <w:numFmt w:val="decimal"/>
      <w:suff w:val="nothing"/>
      <w:lvlText w:val="（%1）"/>
      <w:lvlJc w:val="left"/>
    </w:lvl>
  </w:abstractNum>
  <w:abstractNum w:abstractNumId="1">
    <w:nsid w:val="6B1A137E"/>
    <w:multiLevelType w:val="multilevel"/>
    <w:tmpl w:val="6B1A137E"/>
    <w:lvl w:ilvl="0" w:tentative="0">
      <w:start w:val="1"/>
      <w:numFmt w:val="decimal"/>
      <w:suff w:val="space"/>
      <w:lvlText w:val="%1."/>
      <w:lvlJc w:val="left"/>
      <w:pPr>
        <w:ind w:left="0" w:firstLine="0"/>
      </w:pPr>
      <w:rPr>
        <w:rFonts w:hint="eastAsia"/>
      </w:rPr>
    </w:lvl>
    <w:lvl w:ilvl="1" w:tentative="0">
      <w:start w:val="1"/>
      <w:numFmt w:val="decimal"/>
      <w:pStyle w:val="56"/>
      <w:suff w:val="space"/>
      <w:lvlText w:val="%1.%2"/>
      <w:lvlJc w:val="left"/>
      <w:pPr>
        <w:ind w:left="420" w:firstLine="0"/>
      </w:pPr>
      <w:rPr>
        <w:rFonts w:hint="eastAsia"/>
      </w:rPr>
    </w:lvl>
    <w:lvl w:ilvl="2" w:tentative="0">
      <w:start w:val="1"/>
      <w:numFmt w:val="decimal"/>
      <w:pStyle w:val="57"/>
      <w:suff w:val="space"/>
      <w:lvlText w:val="（%3）"/>
      <w:lvlJc w:val="left"/>
      <w:pPr>
        <w:ind w:left="0" w:firstLine="0"/>
      </w:pPr>
      <w:rPr>
        <w:rFonts w:hint="eastAsia"/>
        <w:lang w:val="en-US"/>
      </w:rPr>
    </w:lvl>
    <w:lvl w:ilvl="3" w:tentative="0">
      <w:start w:val="0"/>
      <w:numFmt w:val="decimal"/>
      <w:lvlText w:val=""/>
      <w:lvlJc w:val="left"/>
      <w:pPr>
        <w:ind w:left="0" w:firstLine="0"/>
      </w:pPr>
      <w:rPr>
        <w:rFonts w:hint="eastAsia"/>
      </w:rPr>
    </w:lvl>
    <w:lvl w:ilvl="4" w:tentative="0">
      <w:start w:val="1"/>
      <w:numFmt w:val="decimal"/>
      <w:lvlText w:val=""/>
      <w:lvlJc w:val="left"/>
      <w:pPr>
        <w:ind w:left="0" w:firstLine="0"/>
      </w:pPr>
      <w:rPr>
        <w:rFonts w:hint="eastAsia"/>
      </w:rPr>
    </w:lvl>
    <w:lvl w:ilvl="5" w:tentative="0">
      <w:start w:val="1"/>
      <w:numFmt w:val="decimal"/>
      <w:lvlText w:val=""/>
      <w:lvlJc w:val="left"/>
      <w:pPr>
        <w:ind w:left="0" w:firstLine="0"/>
      </w:pPr>
      <w:rPr>
        <w:rFonts w:hint="eastAsia"/>
      </w:rPr>
    </w:lvl>
    <w:lvl w:ilvl="6" w:tentative="0">
      <w:start w:val="1"/>
      <w:numFmt w:val="decimal"/>
      <w:lvlText w:val=""/>
      <w:lvlJc w:val="left"/>
      <w:pPr>
        <w:ind w:left="0" w:firstLine="0"/>
      </w:pPr>
      <w:rPr>
        <w:rFonts w:hint="eastAsia"/>
      </w:rPr>
    </w:lvl>
    <w:lvl w:ilvl="7" w:tentative="0">
      <w:start w:val="1"/>
      <w:numFmt w:val="decimal"/>
      <w:lvlText w:val=""/>
      <w:lvlJc w:val="left"/>
      <w:pPr>
        <w:ind w:left="0" w:firstLine="0"/>
      </w:pPr>
      <w:rPr>
        <w:rFonts w:hint="eastAsia"/>
      </w:rPr>
    </w:lvl>
    <w:lvl w:ilvl="8" w:tentative="0">
      <w:start w:val="1"/>
      <w:numFmt w:val="decimal"/>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D137C0"/>
    <w:rsid w:val="028A6AB6"/>
    <w:rsid w:val="05742AC8"/>
    <w:rsid w:val="06352F05"/>
    <w:rsid w:val="063E7D85"/>
    <w:rsid w:val="070875E0"/>
    <w:rsid w:val="07293586"/>
    <w:rsid w:val="07295285"/>
    <w:rsid w:val="07770C56"/>
    <w:rsid w:val="092217DD"/>
    <w:rsid w:val="093A7294"/>
    <w:rsid w:val="09D2024C"/>
    <w:rsid w:val="0BD27BF6"/>
    <w:rsid w:val="0BD611E0"/>
    <w:rsid w:val="0C611D52"/>
    <w:rsid w:val="0D98244D"/>
    <w:rsid w:val="0E110D06"/>
    <w:rsid w:val="0F13775A"/>
    <w:rsid w:val="0F9A112B"/>
    <w:rsid w:val="106D2F64"/>
    <w:rsid w:val="10B63710"/>
    <w:rsid w:val="111C2F7A"/>
    <w:rsid w:val="113013DE"/>
    <w:rsid w:val="11E3368C"/>
    <w:rsid w:val="122B06C2"/>
    <w:rsid w:val="13951726"/>
    <w:rsid w:val="14396509"/>
    <w:rsid w:val="1447165C"/>
    <w:rsid w:val="146134C5"/>
    <w:rsid w:val="15C24A67"/>
    <w:rsid w:val="163117FD"/>
    <w:rsid w:val="16A961E3"/>
    <w:rsid w:val="17735226"/>
    <w:rsid w:val="17916276"/>
    <w:rsid w:val="1A1C66C0"/>
    <w:rsid w:val="1A42393B"/>
    <w:rsid w:val="1B046F80"/>
    <w:rsid w:val="1B3267B5"/>
    <w:rsid w:val="1BC25DC8"/>
    <w:rsid w:val="1C5E7925"/>
    <w:rsid w:val="1C887FC8"/>
    <w:rsid w:val="1D5F6196"/>
    <w:rsid w:val="1D6132A5"/>
    <w:rsid w:val="1D8E56D5"/>
    <w:rsid w:val="1DD26E9F"/>
    <w:rsid w:val="1DD540D2"/>
    <w:rsid w:val="1E7A43DA"/>
    <w:rsid w:val="1EB277FE"/>
    <w:rsid w:val="1ED31C4F"/>
    <w:rsid w:val="1FE7539E"/>
    <w:rsid w:val="20963CB8"/>
    <w:rsid w:val="20B07FB6"/>
    <w:rsid w:val="213B74B1"/>
    <w:rsid w:val="215A2310"/>
    <w:rsid w:val="21DE318A"/>
    <w:rsid w:val="21EF5B80"/>
    <w:rsid w:val="22576990"/>
    <w:rsid w:val="229C4EAB"/>
    <w:rsid w:val="252D53FE"/>
    <w:rsid w:val="25EC2D81"/>
    <w:rsid w:val="264528BD"/>
    <w:rsid w:val="26A12104"/>
    <w:rsid w:val="27413069"/>
    <w:rsid w:val="27D15DD1"/>
    <w:rsid w:val="28226A0A"/>
    <w:rsid w:val="28A76295"/>
    <w:rsid w:val="28D57048"/>
    <w:rsid w:val="29206EB8"/>
    <w:rsid w:val="29E325E0"/>
    <w:rsid w:val="29EE4493"/>
    <w:rsid w:val="2A452503"/>
    <w:rsid w:val="2BA936A8"/>
    <w:rsid w:val="2C315A5A"/>
    <w:rsid w:val="2D9E56F5"/>
    <w:rsid w:val="2E667F96"/>
    <w:rsid w:val="2E8226AB"/>
    <w:rsid w:val="2F832C79"/>
    <w:rsid w:val="2FEF2D58"/>
    <w:rsid w:val="30580BC9"/>
    <w:rsid w:val="311E2ED7"/>
    <w:rsid w:val="315C449C"/>
    <w:rsid w:val="31B82709"/>
    <w:rsid w:val="32400B34"/>
    <w:rsid w:val="329E6876"/>
    <w:rsid w:val="33D934D4"/>
    <w:rsid w:val="33FE2F6A"/>
    <w:rsid w:val="36074A7F"/>
    <w:rsid w:val="36923549"/>
    <w:rsid w:val="36B75FBF"/>
    <w:rsid w:val="36FB4891"/>
    <w:rsid w:val="38A2163D"/>
    <w:rsid w:val="38F12CD3"/>
    <w:rsid w:val="38F94775"/>
    <w:rsid w:val="3908621E"/>
    <w:rsid w:val="392971ED"/>
    <w:rsid w:val="39495149"/>
    <w:rsid w:val="3B1B65CE"/>
    <w:rsid w:val="3B3763D1"/>
    <w:rsid w:val="3B650B97"/>
    <w:rsid w:val="3C31604E"/>
    <w:rsid w:val="3CDA245A"/>
    <w:rsid w:val="3CEE0A37"/>
    <w:rsid w:val="3F660E74"/>
    <w:rsid w:val="407A6407"/>
    <w:rsid w:val="412B2520"/>
    <w:rsid w:val="423A3BCC"/>
    <w:rsid w:val="433A6FE6"/>
    <w:rsid w:val="4350713C"/>
    <w:rsid w:val="436653E0"/>
    <w:rsid w:val="43A61F64"/>
    <w:rsid w:val="44CD14E0"/>
    <w:rsid w:val="458946E9"/>
    <w:rsid w:val="46D955A7"/>
    <w:rsid w:val="47133957"/>
    <w:rsid w:val="4779329E"/>
    <w:rsid w:val="47A07E0C"/>
    <w:rsid w:val="4870272E"/>
    <w:rsid w:val="49DC7715"/>
    <w:rsid w:val="4A023139"/>
    <w:rsid w:val="4A7B576F"/>
    <w:rsid w:val="4BFA4943"/>
    <w:rsid w:val="4C4A0649"/>
    <w:rsid w:val="4CE470D3"/>
    <w:rsid w:val="4D470CD7"/>
    <w:rsid w:val="4D64686B"/>
    <w:rsid w:val="4DEC4FB0"/>
    <w:rsid w:val="4E075D8A"/>
    <w:rsid w:val="4FC62A8C"/>
    <w:rsid w:val="4FE20F0D"/>
    <w:rsid w:val="50504C4B"/>
    <w:rsid w:val="509C6E7C"/>
    <w:rsid w:val="5162104E"/>
    <w:rsid w:val="53A039CC"/>
    <w:rsid w:val="53A1505A"/>
    <w:rsid w:val="54063E08"/>
    <w:rsid w:val="543437E8"/>
    <w:rsid w:val="559B174B"/>
    <w:rsid w:val="55CE0CF4"/>
    <w:rsid w:val="56AE79E7"/>
    <w:rsid w:val="56B22A9C"/>
    <w:rsid w:val="57B72A76"/>
    <w:rsid w:val="5A3C747D"/>
    <w:rsid w:val="5ABE2233"/>
    <w:rsid w:val="5B276D18"/>
    <w:rsid w:val="5BDF5D95"/>
    <w:rsid w:val="5D64184B"/>
    <w:rsid w:val="5DF87A0F"/>
    <w:rsid w:val="5F1A2B43"/>
    <w:rsid w:val="5FB837BB"/>
    <w:rsid w:val="61BC7551"/>
    <w:rsid w:val="62364782"/>
    <w:rsid w:val="63D40BE9"/>
    <w:rsid w:val="63E0211F"/>
    <w:rsid w:val="6439530F"/>
    <w:rsid w:val="65373578"/>
    <w:rsid w:val="673F2C7A"/>
    <w:rsid w:val="681F6961"/>
    <w:rsid w:val="68610A2F"/>
    <w:rsid w:val="68805514"/>
    <w:rsid w:val="694E2071"/>
    <w:rsid w:val="697A3B33"/>
    <w:rsid w:val="699E2456"/>
    <w:rsid w:val="6B322639"/>
    <w:rsid w:val="6C636C38"/>
    <w:rsid w:val="6C6E48EB"/>
    <w:rsid w:val="6D657282"/>
    <w:rsid w:val="6DB34098"/>
    <w:rsid w:val="6DB545B6"/>
    <w:rsid w:val="6E4375A0"/>
    <w:rsid w:val="6E514CED"/>
    <w:rsid w:val="6E79491A"/>
    <w:rsid w:val="6EB563D5"/>
    <w:rsid w:val="6F225983"/>
    <w:rsid w:val="6FFC5590"/>
    <w:rsid w:val="70301DA3"/>
    <w:rsid w:val="706D1DD0"/>
    <w:rsid w:val="70856B87"/>
    <w:rsid w:val="70D527EE"/>
    <w:rsid w:val="715B5300"/>
    <w:rsid w:val="715F4BD7"/>
    <w:rsid w:val="71D27F8A"/>
    <w:rsid w:val="71F744C6"/>
    <w:rsid w:val="71F960CF"/>
    <w:rsid w:val="720A1F98"/>
    <w:rsid w:val="731F5D5E"/>
    <w:rsid w:val="741E793C"/>
    <w:rsid w:val="758D75E2"/>
    <w:rsid w:val="76B40212"/>
    <w:rsid w:val="77762421"/>
    <w:rsid w:val="78081D70"/>
    <w:rsid w:val="780F09F4"/>
    <w:rsid w:val="789C4F47"/>
    <w:rsid w:val="78A90480"/>
    <w:rsid w:val="79811327"/>
    <w:rsid w:val="7A364017"/>
    <w:rsid w:val="7A8265E1"/>
    <w:rsid w:val="7B686D42"/>
    <w:rsid w:val="7B841746"/>
    <w:rsid w:val="7C6F3A07"/>
    <w:rsid w:val="7D0239FF"/>
    <w:rsid w:val="7D5E40CD"/>
    <w:rsid w:val="7D693BED"/>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ocked="1"/>
    <w:lsdException w:qFormat="1" w:unhideWhenUsed="0" w:uiPriority="0" w:semiHidden="0" w:name="heading 3" w:locked="1"/>
    <w:lsdException w:qFormat="1"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qFormat/>
    <w:locked/>
    <w:uiPriority w:val="0"/>
    <w:pPr>
      <w:keepNext/>
      <w:keepLines/>
      <w:spacing w:beforeLines="0" w:beforeAutospacing="0" w:afterLines="0" w:afterAutospacing="0" w:line="520" w:lineRule="exact"/>
      <w:ind w:firstLine="0" w:firstLineChars="0"/>
      <w:jc w:val="center"/>
      <w:outlineLvl w:val="2"/>
    </w:pPr>
    <w:rPr>
      <w:rFonts w:ascii="Times New Roman" w:hAnsi="Times New Roman" w:eastAsia="宋体"/>
      <w:b/>
      <w:bCs/>
    </w:rPr>
  </w:style>
  <w:style w:type="paragraph" w:styleId="4">
    <w:name w:val="heading 4"/>
    <w:basedOn w:val="1"/>
    <w:next w:val="1"/>
    <w:qFormat/>
    <w:locked/>
    <w:uiPriority w:val="0"/>
    <w:pPr>
      <w:keepNext/>
      <w:keepLines/>
      <w:spacing w:beforeLines="0" w:afterLines="0" w:line="240" w:lineRule="auto"/>
      <w:ind w:firstLine="0" w:firstLineChars="0"/>
      <w:jc w:val="center"/>
      <w:outlineLvl w:val="3"/>
    </w:pPr>
    <w:rPr>
      <w:sz w:val="21"/>
      <w:szCs w:val="21"/>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annotation text"/>
    <w:basedOn w:val="1"/>
    <w:link w:val="28"/>
    <w:semiHidden/>
    <w:qFormat/>
    <w:uiPriority w:val="0"/>
    <w:pPr>
      <w:jc w:val="left"/>
    </w:pPr>
    <w:rPr>
      <w:kern w:val="0"/>
      <w:sz w:val="20"/>
    </w:rPr>
  </w:style>
  <w:style w:type="paragraph" w:styleId="7">
    <w:name w:val="Body Text"/>
    <w:basedOn w:val="1"/>
    <w:next w:val="8"/>
    <w:link w:val="29"/>
    <w:qFormat/>
    <w:uiPriority w:val="0"/>
    <w:pPr>
      <w:widowControl/>
      <w:snapToGrid w:val="0"/>
      <w:spacing w:before="60" w:after="160" w:line="259" w:lineRule="auto"/>
      <w:ind w:right="113"/>
    </w:pPr>
    <w:rPr>
      <w:kern w:val="0"/>
      <w:sz w:val="18"/>
      <w:szCs w:val="18"/>
    </w:rPr>
  </w:style>
  <w:style w:type="paragraph" w:styleId="8">
    <w:name w:val="Body Text 2"/>
    <w:basedOn w:val="1"/>
    <w:qFormat/>
    <w:uiPriority w:val="0"/>
    <w:pPr>
      <w:widowControl/>
      <w:spacing w:after="200"/>
      <w:jc w:val="left"/>
    </w:pPr>
    <w:rPr>
      <w:kern w:val="0"/>
      <w:sz w:val="22"/>
      <w:szCs w:val="20"/>
      <w:lang w:eastAsia="en-US" w:bidi="en-US"/>
    </w:rPr>
  </w:style>
  <w:style w:type="paragraph" w:styleId="9">
    <w:name w:val="Body Text Indent"/>
    <w:basedOn w:val="1"/>
    <w:next w:val="10"/>
    <w:link w:val="30"/>
    <w:semiHidden/>
    <w:qFormat/>
    <w:uiPriority w:val="0"/>
    <w:pPr>
      <w:spacing w:after="120"/>
      <w:ind w:left="420" w:leftChars="200"/>
    </w:pPr>
  </w:style>
  <w:style w:type="paragraph" w:styleId="10">
    <w:name w:val="Body Text First Indent 2"/>
    <w:basedOn w:val="1"/>
    <w:next w:val="1"/>
    <w:qFormat/>
    <w:uiPriority w:val="0"/>
    <w:pPr>
      <w:widowControl w:val="0"/>
      <w:adjustRightInd w:val="0"/>
      <w:snapToGrid w:val="0"/>
      <w:spacing w:after="120" w:line="480" w:lineRule="exact"/>
      <w:ind w:left="420" w:leftChars="200" w:firstLine="420" w:firstLineChars="200"/>
      <w:jc w:val="both"/>
    </w:pPr>
    <w:rPr>
      <w:rFonts w:ascii="宋体" w:eastAsia="黑体"/>
      <w:snapToGrid w:val="0"/>
      <w:spacing w:val="12"/>
      <w:sz w:val="28"/>
      <w:szCs w:val="24"/>
      <w:lang w:val="en-US" w:eastAsia="zh-CN" w:bidi="ar-SA"/>
    </w:rPr>
  </w:style>
  <w:style w:type="paragraph" w:styleId="11">
    <w:name w:val="Block Text"/>
    <w:basedOn w:val="1"/>
    <w:next w:val="1"/>
    <w:unhideWhenUsed/>
    <w:qFormat/>
    <w:uiPriority w:val="0"/>
    <w:pPr>
      <w:spacing w:beforeLines="0" w:after="120" w:afterLines="0"/>
      <w:ind w:left="1440" w:leftChars="700" w:right="700" w:rightChars="700"/>
    </w:pPr>
    <w:rPr>
      <w:rFonts w:hint="default" w:ascii="Times New Roman" w:hAnsi="Times New Roman" w:eastAsia="宋体" w:cs="Times New Roman"/>
      <w:sz w:val="21"/>
      <w:szCs w:val="24"/>
    </w:rPr>
  </w:style>
  <w:style w:type="paragraph" w:styleId="12">
    <w:name w:val="Plain Text"/>
    <w:basedOn w:val="1"/>
    <w:next w:val="13"/>
    <w:qFormat/>
    <w:uiPriority w:val="0"/>
    <w:rPr>
      <w:rFonts w:ascii="宋体" w:hAnsi="Courier New"/>
      <w:kern w:val="0"/>
    </w:rPr>
  </w:style>
  <w:style w:type="paragraph" w:customStyle="1" w:styleId="13">
    <w:name w:val="Default"/>
    <w:basedOn w:val="14"/>
    <w:next w:val="1"/>
    <w:unhideWhenUsed/>
    <w:qFormat/>
    <w:uiPriority w:val="0"/>
    <w:pPr>
      <w:tabs>
        <w:tab w:val="left" w:pos="2760"/>
      </w:tabs>
      <w:autoSpaceDE w:val="0"/>
      <w:autoSpaceDN w:val="0"/>
    </w:pPr>
    <w:rPr>
      <w:rFonts w:hint="eastAsia" w:ascii="仿宋" w:eastAsia="仿宋" w:cs="仿宋"/>
      <w:sz w:val="24"/>
      <w:szCs w:val="24"/>
    </w:rPr>
  </w:style>
  <w:style w:type="paragraph" w:customStyle="1" w:styleId="14">
    <w:name w:val="纯文本1"/>
    <w:basedOn w:val="1"/>
    <w:unhideWhenUsed/>
    <w:qFormat/>
    <w:uiPriority w:val="0"/>
    <w:pPr>
      <w:tabs>
        <w:tab w:val="left" w:pos="2760"/>
      </w:tabs>
      <w:adjustRightInd w:val="0"/>
    </w:pPr>
    <w:rPr>
      <w:rFonts w:hint="eastAsia" w:ascii="宋体" w:hAnsi="Courier New"/>
    </w:rPr>
  </w:style>
  <w:style w:type="paragraph" w:styleId="15">
    <w:name w:val="Date"/>
    <w:basedOn w:val="1"/>
    <w:next w:val="1"/>
    <w:link w:val="31"/>
    <w:qFormat/>
    <w:uiPriority w:val="0"/>
    <w:pPr>
      <w:ind w:left="100" w:leftChars="2500"/>
    </w:pPr>
    <w:rPr>
      <w:kern w:val="0"/>
      <w:sz w:val="20"/>
    </w:rPr>
  </w:style>
  <w:style w:type="paragraph" w:styleId="16">
    <w:name w:val="Balloon Text"/>
    <w:basedOn w:val="1"/>
    <w:link w:val="32"/>
    <w:semiHidden/>
    <w:qFormat/>
    <w:uiPriority w:val="0"/>
    <w:rPr>
      <w:sz w:val="18"/>
      <w:szCs w:val="18"/>
    </w:rPr>
  </w:style>
  <w:style w:type="paragraph" w:styleId="17">
    <w:name w:val="footer"/>
    <w:basedOn w:val="1"/>
    <w:link w:val="33"/>
    <w:qFormat/>
    <w:uiPriority w:val="0"/>
    <w:pPr>
      <w:tabs>
        <w:tab w:val="center" w:pos="4153"/>
        <w:tab w:val="right" w:pos="8306"/>
      </w:tabs>
      <w:snapToGrid w:val="0"/>
      <w:jc w:val="left"/>
    </w:pPr>
    <w:rPr>
      <w:sz w:val="18"/>
      <w:szCs w:val="18"/>
    </w:rPr>
  </w:style>
  <w:style w:type="paragraph" w:styleId="1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9">
    <w:name w:val="List"/>
    <w:basedOn w:val="1"/>
    <w:qFormat/>
    <w:uiPriority w:val="0"/>
    <w:pPr>
      <w:spacing w:line="240" w:lineRule="exact"/>
      <w:ind w:firstLine="200" w:firstLineChars="200"/>
      <w:jc w:val="center"/>
    </w:pPr>
    <w:rPr>
      <w:rFonts w:ascii="Arial" w:hAnsi="Arial"/>
      <w:snapToGrid w:val="0"/>
      <w:kern w:val="0"/>
      <w:sz w:val="24"/>
    </w:rPr>
  </w:style>
  <w:style w:type="paragraph" w:styleId="20">
    <w:name w:val="Normal (Web)"/>
    <w:basedOn w:val="1"/>
    <w:link w:val="35"/>
    <w:qFormat/>
    <w:uiPriority w:val="0"/>
    <w:pPr>
      <w:widowControl/>
      <w:spacing w:before="100" w:beforeAutospacing="1" w:after="100" w:afterAutospacing="1"/>
      <w:jc w:val="left"/>
    </w:pPr>
    <w:rPr>
      <w:rFonts w:ascii="宋体" w:hAnsi="宋体"/>
      <w:kern w:val="0"/>
      <w:sz w:val="24"/>
    </w:rPr>
  </w:style>
  <w:style w:type="paragraph" w:styleId="21">
    <w:name w:val="annotation subject"/>
    <w:basedOn w:val="6"/>
    <w:next w:val="6"/>
    <w:link w:val="36"/>
    <w:semiHidden/>
    <w:qFormat/>
    <w:uiPriority w:val="0"/>
    <w:rPr>
      <w:b/>
      <w:bCs/>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uiPriority w:val="0"/>
  </w:style>
  <w:style w:type="character" w:styleId="27">
    <w:name w:val="annotation reference"/>
    <w:basedOn w:val="24"/>
    <w:semiHidden/>
    <w:qFormat/>
    <w:uiPriority w:val="0"/>
    <w:rPr>
      <w:sz w:val="21"/>
    </w:rPr>
  </w:style>
  <w:style w:type="character" w:customStyle="1" w:styleId="28">
    <w:name w:val="Comment Text Char"/>
    <w:link w:val="6"/>
    <w:qFormat/>
    <w:locked/>
    <w:uiPriority w:val="0"/>
    <w:rPr>
      <w:rFonts w:ascii="Times New Roman" w:hAnsi="Times New Roman" w:eastAsia="宋体"/>
      <w:sz w:val="24"/>
    </w:rPr>
  </w:style>
  <w:style w:type="character" w:customStyle="1" w:styleId="29">
    <w:name w:val="Body Text Char"/>
    <w:link w:val="7"/>
    <w:qFormat/>
    <w:locked/>
    <w:uiPriority w:val="0"/>
    <w:rPr>
      <w:sz w:val="18"/>
    </w:rPr>
  </w:style>
  <w:style w:type="character" w:customStyle="1" w:styleId="30">
    <w:name w:val="Body Text Indent Char"/>
    <w:basedOn w:val="24"/>
    <w:link w:val="9"/>
    <w:semiHidden/>
    <w:qFormat/>
    <w:locked/>
    <w:uiPriority w:val="0"/>
    <w:rPr>
      <w:rFonts w:ascii="Times New Roman" w:hAnsi="Times New Roman" w:eastAsia="宋体" w:cs="Times New Roman"/>
      <w:sz w:val="24"/>
      <w:szCs w:val="24"/>
    </w:rPr>
  </w:style>
  <w:style w:type="character" w:customStyle="1" w:styleId="31">
    <w:name w:val="Date Char"/>
    <w:link w:val="15"/>
    <w:qFormat/>
    <w:locked/>
    <w:uiPriority w:val="0"/>
    <w:rPr>
      <w:rFonts w:ascii="Times New Roman" w:hAnsi="Times New Roman" w:eastAsia="宋体"/>
      <w:sz w:val="24"/>
    </w:rPr>
  </w:style>
  <w:style w:type="character" w:customStyle="1" w:styleId="32">
    <w:name w:val="Balloon Text Char"/>
    <w:basedOn w:val="24"/>
    <w:link w:val="16"/>
    <w:semiHidden/>
    <w:qFormat/>
    <w:locked/>
    <w:uiPriority w:val="0"/>
    <w:rPr>
      <w:rFonts w:ascii="Times New Roman" w:hAnsi="Times New Roman" w:eastAsia="宋体" w:cs="Times New Roman"/>
      <w:sz w:val="18"/>
      <w:szCs w:val="18"/>
    </w:rPr>
  </w:style>
  <w:style w:type="character" w:customStyle="1" w:styleId="33">
    <w:name w:val="Footer Char"/>
    <w:basedOn w:val="24"/>
    <w:link w:val="17"/>
    <w:qFormat/>
    <w:locked/>
    <w:uiPriority w:val="0"/>
    <w:rPr>
      <w:rFonts w:cs="Times New Roman"/>
      <w:sz w:val="18"/>
      <w:szCs w:val="18"/>
    </w:rPr>
  </w:style>
  <w:style w:type="character" w:customStyle="1" w:styleId="34">
    <w:name w:val="Header Char"/>
    <w:basedOn w:val="24"/>
    <w:link w:val="18"/>
    <w:qFormat/>
    <w:locked/>
    <w:uiPriority w:val="0"/>
    <w:rPr>
      <w:rFonts w:cs="Times New Roman"/>
      <w:sz w:val="18"/>
      <w:szCs w:val="18"/>
    </w:rPr>
  </w:style>
  <w:style w:type="character" w:customStyle="1" w:styleId="35">
    <w:name w:val="Normal (Web) Char"/>
    <w:link w:val="20"/>
    <w:qFormat/>
    <w:locked/>
    <w:uiPriority w:val="0"/>
    <w:rPr>
      <w:rFonts w:ascii="宋体" w:hAnsi="宋体" w:eastAsia="宋体"/>
      <w:sz w:val="24"/>
    </w:rPr>
  </w:style>
  <w:style w:type="character" w:customStyle="1" w:styleId="36">
    <w:name w:val="Comment Subject Char"/>
    <w:basedOn w:val="28"/>
    <w:link w:val="21"/>
    <w:semiHidden/>
    <w:qFormat/>
    <w:locked/>
    <w:uiPriority w:val="0"/>
    <w:rPr>
      <w:rFonts w:cs="Times New Roman"/>
      <w:b/>
      <w:bCs/>
      <w:kern w:val="2"/>
      <w:szCs w:val="24"/>
    </w:rPr>
  </w:style>
  <w:style w:type="character" w:customStyle="1" w:styleId="37">
    <w:name w:val="日期 字符"/>
    <w:basedOn w:val="24"/>
    <w:semiHidden/>
    <w:qFormat/>
    <w:uiPriority w:val="0"/>
    <w:rPr>
      <w:rFonts w:ascii="Times New Roman" w:hAnsi="Times New Roman" w:eastAsia="宋体" w:cs="Times New Roman"/>
      <w:sz w:val="24"/>
      <w:szCs w:val="24"/>
    </w:rPr>
  </w:style>
  <w:style w:type="character" w:customStyle="1" w:styleId="38">
    <w:name w:val="正文文本 字符1"/>
    <w:basedOn w:val="24"/>
    <w:semiHidden/>
    <w:qFormat/>
    <w:uiPriority w:val="0"/>
    <w:rPr>
      <w:rFonts w:ascii="Times New Roman" w:hAnsi="Times New Roman" w:eastAsia="宋体" w:cs="Times New Roman"/>
      <w:sz w:val="24"/>
      <w:szCs w:val="24"/>
    </w:rPr>
  </w:style>
  <w:style w:type="paragraph" w:customStyle="1" w:styleId="39">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0">
    <w:name w:val="表格 Char"/>
    <w:link w:val="41"/>
    <w:qFormat/>
    <w:locked/>
    <w:uiPriority w:val="0"/>
    <w:rPr>
      <w:rFonts w:ascii="宋体"/>
      <w:sz w:val="21"/>
    </w:rPr>
  </w:style>
  <w:style w:type="paragraph" w:customStyle="1" w:styleId="41">
    <w:name w:val="表格"/>
    <w:basedOn w:val="19"/>
    <w:next w:val="1"/>
    <w:link w:val="40"/>
    <w:qFormat/>
    <w:uiPriority w:val="0"/>
    <w:pPr>
      <w:adjustRightInd w:val="0"/>
      <w:snapToGrid w:val="0"/>
      <w:spacing w:beforeLines="10" w:afterLines="10" w:line="259" w:lineRule="auto"/>
      <w:jc w:val="center"/>
    </w:pPr>
    <w:rPr>
      <w:rFonts w:ascii="宋体"/>
      <w:kern w:val="0"/>
      <w:sz w:val="20"/>
      <w:szCs w:val="21"/>
    </w:rPr>
  </w:style>
  <w:style w:type="character" w:customStyle="1" w:styleId="42">
    <w:name w:val="批注文字 字符1"/>
    <w:basedOn w:val="24"/>
    <w:semiHidden/>
    <w:qFormat/>
    <w:uiPriority w:val="0"/>
    <w:rPr>
      <w:rFonts w:ascii="Times New Roman" w:hAnsi="Times New Roman" w:eastAsia="宋体" w:cs="Times New Roman"/>
      <w:sz w:val="24"/>
      <w:szCs w:val="24"/>
    </w:rPr>
  </w:style>
  <w:style w:type="character" w:customStyle="1" w:styleId="43">
    <w:name w:val="普通(网站) Char"/>
    <w:qFormat/>
    <w:locked/>
    <w:uiPriority w:val="0"/>
    <w:rPr>
      <w:rFonts w:ascii="宋体" w:hAnsi="宋体" w:eastAsia="宋体"/>
      <w:sz w:val="24"/>
    </w:rPr>
  </w:style>
  <w:style w:type="paragraph" w:customStyle="1" w:styleId="44">
    <w:name w:val="msonospacing"/>
    <w:basedOn w:val="1"/>
    <w:unhideWhenUsed/>
    <w:qFormat/>
    <w:uiPriority w:val="0"/>
    <w:pPr>
      <w:widowControl/>
      <w:jc w:val="left"/>
    </w:pPr>
    <w:rPr>
      <w:kern w:val="0"/>
      <w:sz w:val="22"/>
    </w:rPr>
  </w:style>
  <w:style w:type="paragraph" w:customStyle="1" w:styleId="45">
    <w:name w:val="Table Text"/>
    <w:basedOn w:val="1"/>
    <w:unhideWhenUsed/>
    <w:qFormat/>
    <w:uiPriority w:val="0"/>
    <w:rPr>
      <w:rFonts w:hint="eastAsia" w:ascii="宋体" w:hAnsi="宋体" w:cs="宋体"/>
      <w:sz w:val="24"/>
      <w:lang w:eastAsia="en-US"/>
    </w:rPr>
  </w:style>
  <w:style w:type="paragraph" w:customStyle="1" w:styleId="46">
    <w:name w:val="小标题啊啊啊啊啊"/>
    <w:basedOn w:val="1"/>
    <w:qFormat/>
    <w:uiPriority w:val="0"/>
    <w:pPr>
      <w:adjustRightInd w:val="0"/>
      <w:snapToGrid w:val="0"/>
      <w:spacing w:line="520" w:lineRule="exact"/>
      <w:jc w:val="left"/>
    </w:pPr>
    <w:rPr>
      <w:rFonts w:ascii="Times New Roman" w:hAnsi="Times New Roman" w:eastAsia="宋体" w:cs="宋体"/>
      <w:b/>
      <w:kern w:val="0"/>
      <w:sz w:val="24"/>
    </w:rPr>
  </w:style>
  <w:style w:type="paragraph" w:customStyle="1" w:styleId="47">
    <w:name w:val="表内居左"/>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48">
    <w:name w:val="正文格式啊啊啊啊"/>
    <w:basedOn w:val="1"/>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paragraph" w:customStyle="1" w:styleId="49">
    <w:name w:val="Table Paragraph"/>
    <w:basedOn w:val="1"/>
    <w:unhideWhenUsed/>
    <w:qFormat/>
    <w:uiPriority w:val="1"/>
    <w:pPr>
      <w:jc w:val="center"/>
    </w:pPr>
    <w:rPr>
      <w:rFonts w:hint="eastAsia" w:ascii="宋体" w:hAnsi="宋体" w:cs="宋体"/>
      <w:lang w:val="zh-CN" w:bidi="zh-CN"/>
    </w:rPr>
  </w:style>
  <w:style w:type="paragraph" w:customStyle="1" w:styleId="50">
    <w:name w:val="常用正文"/>
    <w:basedOn w:val="1"/>
    <w:qFormat/>
    <w:uiPriority w:val="0"/>
    <w:pPr>
      <w:widowControl/>
      <w:wordWrap w:val="0"/>
      <w:topLinePunct/>
      <w:adjustRightInd w:val="0"/>
      <w:snapToGrid w:val="0"/>
      <w:spacing w:line="360" w:lineRule="auto"/>
      <w:ind w:right="0" w:firstLine="720" w:firstLineChars="200"/>
    </w:pPr>
    <w:rPr>
      <w:szCs w:val="20"/>
    </w:rPr>
  </w:style>
  <w:style w:type="paragraph" w:customStyle="1" w:styleId="51">
    <w:name w:val="正文LLLLLLL"/>
    <w:basedOn w:val="1"/>
    <w:qFormat/>
    <w:uiPriority w:val="0"/>
    <w:pPr>
      <w:spacing w:line="520" w:lineRule="exact"/>
      <w:ind w:firstLine="578" w:firstLineChars="200"/>
      <w:jc w:val="both"/>
    </w:pPr>
    <w:rPr>
      <w:rFonts w:ascii="Times New Roman" w:hAnsi="Times New Roman" w:eastAsia="宋体" w:cs="Times New Roman"/>
      <w:kern w:val="0"/>
      <w:sz w:val="28"/>
      <w:szCs w:val="20"/>
    </w:rPr>
  </w:style>
  <w:style w:type="paragraph" w:customStyle="1" w:styleId="52">
    <w:name w:val="报告正文 + 首行缩进:  2 字符 Char"/>
    <w:basedOn w:val="1"/>
    <w:qFormat/>
    <w:uiPriority w:val="0"/>
    <w:pPr>
      <w:spacing w:line="360" w:lineRule="auto"/>
      <w:ind w:firstLine="578" w:firstLineChars="200"/>
    </w:pPr>
    <w:rPr>
      <w:rFonts w:ascii="Times New Roman" w:hAnsi="Times New Roman" w:eastAsia="宋体"/>
      <w:bCs/>
      <w:sz w:val="24"/>
    </w:rPr>
  </w:style>
  <w:style w:type="paragraph" w:customStyle="1" w:styleId="53">
    <w:name w:val="J表格文字"/>
    <w:qFormat/>
    <w:uiPriority w:val="0"/>
    <w:pPr>
      <w:widowControl w:val="0"/>
      <w:adjustRightInd w:val="0"/>
      <w:snapToGrid w:val="0"/>
      <w:spacing w:before="20" w:line="264" w:lineRule="auto"/>
      <w:jc w:val="center"/>
    </w:pPr>
    <w:rPr>
      <w:rFonts w:ascii="Times New Roman" w:hAnsi="Times New Roman" w:eastAsia="宋体" w:cs="Times New Roman"/>
      <w:snapToGrid w:val="0"/>
      <w:sz w:val="21"/>
      <w:szCs w:val="21"/>
      <w:lang w:val="en-US" w:eastAsia="zh-CN" w:bidi="ar-SA"/>
    </w:rPr>
  </w:style>
  <w:style w:type="paragraph" w:customStyle="1" w:styleId="54">
    <w:name w:val="表内文字啊啊啊"/>
    <w:unhideWhenUsed/>
    <w:qFormat/>
    <w:uiPriority w:val="0"/>
    <w:pPr>
      <w:widowControl w:val="0"/>
      <w:adjustRightInd w:val="0"/>
      <w:snapToGrid w:val="0"/>
      <w:spacing w:beforeLines="0" w:afterLines="0"/>
      <w:jc w:val="center"/>
    </w:pPr>
    <w:rPr>
      <w:rFonts w:hint="eastAsia" w:ascii="Times New Roman" w:hAnsi="Times New Roman" w:eastAsia="宋体" w:cs="宋体"/>
      <w:color w:val="auto"/>
      <w:kern w:val="2"/>
      <w:sz w:val="21"/>
      <w:szCs w:val="21"/>
      <w:lang w:val="en-US" w:eastAsia="zh-CN" w:bidi="ar-SA"/>
    </w:rPr>
  </w:style>
  <w:style w:type="paragraph" w:customStyle="1" w:styleId="55">
    <w:name w:val="04 正文"/>
    <w:basedOn w:val="13"/>
    <w:qFormat/>
    <w:uiPriority w:val="0"/>
    <w:pPr>
      <w:wordWrap/>
      <w:bidi w:val="0"/>
      <w:adjustRightInd w:val="0"/>
      <w:snapToGrid w:val="0"/>
      <w:spacing w:line="500" w:lineRule="exact"/>
      <w:ind w:firstLine="480" w:firstLineChars="200"/>
    </w:pPr>
    <w:rPr>
      <w:rFonts w:hAnsi="宋体" w:eastAsia="宋体"/>
    </w:rPr>
  </w:style>
  <w:style w:type="paragraph" w:customStyle="1" w:styleId="56">
    <w:name w:val="02 标题"/>
    <w:basedOn w:val="1"/>
    <w:qFormat/>
    <w:uiPriority w:val="0"/>
    <w:pPr>
      <w:numPr>
        <w:ilvl w:val="1"/>
        <w:numId w:val="1"/>
      </w:numPr>
      <w:adjustRightInd w:val="0"/>
      <w:snapToGrid w:val="0"/>
      <w:spacing w:before="35" w:beforeLines="35" w:after="25" w:afterLines="25" w:line="520" w:lineRule="atLeast"/>
      <w:ind w:left="0" w:firstLine="480" w:firstLineChars="200"/>
    </w:pPr>
    <w:rPr>
      <w:rFonts w:ascii="宋体" w:hAnsi="宋体" w:eastAsia="宋体"/>
      <w:b/>
      <w:color w:val="000000"/>
      <w:sz w:val="24"/>
    </w:rPr>
  </w:style>
  <w:style w:type="paragraph" w:customStyle="1" w:styleId="57">
    <w:name w:val="03 标题"/>
    <w:basedOn w:val="55"/>
    <w:qFormat/>
    <w:uiPriority w:val="0"/>
    <w:pPr>
      <w:numPr>
        <w:ilvl w:val="2"/>
        <w:numId w:val="1"/>
      </w:numPr>
      <w:ind w:firstLine="200"/>
    </w:pPr>
    <w:rPr>
      <w:rFonts w:hAnsi="宋体" w:eastAsia="宋体"/>
    </w:rPr>
  </w:style>
  <w:style w:type="table" w:customStyle="1" w:styleId="58">
    <w:name w:val="Table Normal"/>
    <w:basedOn w:val="22"/>
    <w:unhideWhenUsed/>
    <w:qFormat/>
    <w:uiPriority w:val="0"/>
    <w:tblPr>
      <w:tblCellMar>
        <w:left w:w="0" w:type="dxa"/>
        <w:right w:w="0" w:type="dxa"/>
      </w:tblCellMar>
    </w:tblPr>
  </w:style>
  <w:style w:type="paragraph" w:styleId="59">
    <w:name w:val="No Spacing"/>
    <w:basedOn w:val="19"/>
    <w:next w:val="1"/>
    <w:qFormat/>
    <w:uiPriority w:val="1"/>
    <w:pPr>
      <w:spacing w:line="240" w:lineRule="auto"/>
      <w:ind w:left="0" w:firstLine="0" w:firstLineChars="0"/>
      <w:jc w:val="center"/>
      <w:textAlignment w:val="center"/>
    </w:pPr>
    <w:rPr>
      <w:sz w:val="21"/>
      <w:szCs w:val="22"/>
    </w:rPr>
  </w:style>
  <w:style w:type="paragraph" w:customStyle="1" w:styleId="60">
    <w:name w:val="样式 样式 正文缩进正文（首行缩进两字）正文2 + 首行缩进:  2 字符 + 首行缩进:  2 字符"/>
    <w:basedOn w:val="1"/>
    <w:unhideWhenUsed/>
    <w:qFormat/>
    <w:uiPriority w:val="0"/>
    <w:pPr>
      <w:spacing w:line="324" w:lineRule="auto"/>
      <w:ind w:firstLine="600"/>
    </w:pPr>
    <w:rPr>
      <w:rFonts w:hAnsi="宋体" w:cs="宋体"/>
      <w:sz w:val="28"/>
      <w:szCs w:val="20"/>
    </w:rPr>
  </w:style>
  <w:style w:type="paragraph" w:customStyle="1" w:styleId="61">
    <w:name w:val="默认段落"/>
    <w:basedOn w:val="1"/>
    <w:qFormat/>
    <w:uiPriority w:val="0"/>
    <w:rPr>
      <w:rFonts w:ascii="Calibri" w:hAnsi="Calibri" w:eastAsia="宋体" w:cs="Times New Roman"/>
      <w:sz w:val="24"/>
      <w:szCs w:val="24"/>
    </w:rPr>
  </w:style>
  <w:style w:type="paragraph" w:customStyle="1" w:styleId="62">
    <w:name w:val="表内文字"/>
    <w:basedOn w:val="1"/>
    <w:qFormat/>
    <w:uiPriority w:val="0"/>
    <w:pPr>
      <w:adjustRightInd w:val="0"/>
      <w:snapToGrid w:val="0"/>
      <w:spacing w:line="240" w:lineRule="auto"/>
      <w:ind w:firstLine="0" w:firstLineChars="0"/>
      <w:jc w:val="center"/>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kxRV05NV0hGNVYyMUZPRE0zTkRrMEpUSXlKVE5CSlRkQ0pUSXlhV1FsTWpJbE0wRWxNakpMUVdOTVdIRjVWMjFGT0RNM05Eaz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cDNhbGxaZDFOSVUxTXlORE0xTWprbE1qSWxOMFFsTWtNbE4wSWxNakp1WVcxbEpUSXlKVE5CSlRJeUpVVTFKVGt3SlRoRUpVVTNKVUUzSlVJd0pUSXlKVEpESlRJeWRIbHdaU1V5TWlVelFTVXlNbk4wY21sdVp5VXlNaVV5UXlVeU1uWmhiSFZsSlRJeUpUTkJKVEl5SlRJeUpUSkRKVEl5WTJGMFpXZHZjbmtsTWpJbE0wRWxNakprWldaaGRXeDBKVEl5SlRKREpUSXlhV1FsTWpJbE0wRWxNakppWVU1M2JrUllTbFp6TURnMk9UZ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FFqY2xRVFVsUlRjbFFUZ2xPRUlsUlRZbE9UUWxRa1VsUlRjbFFrRWxRa1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RZMHR6YkhsVVlWcEhPREV4TVRZMEpUSXlKVE5CSlRkQ0pUSXlhV1FsTWpJbE0wRWxNakpUWTB0emJIbFVZVnBIT0RFeE1UW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MXZabkZQWTNoTFRuUTRPREU1TkRFbE1qSWxOMFFsTWtNbE4wSWxNakp1WVcxbEpUSXlKVE5CSlRJeUpVVTFKVGt3SlRoRUpVVTNKVUUzSlVJd0pUSXlKVEpESlRJeWRIbHdaU1V5TWlVelFTVXlNbk4wY21sdVp5VXlNaVV5UXlVeU1uWmhiSFZsSlRJeUpUTkJKVEl5SlRJeUpUSkRKVEl5WTJGMFpXZHZjbmtsTWpJbE0wRWxNakprWldaaGRXeDBKVEl5SlRKREpUSXlhV1FsTWpJbE0wRWxNakpXVkVkNVRFRkRZVkZDTVRZeU9UW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STRKVUV3SlVVNUpUZ3hKVGt6SlVVMUpVSkRKVGd3SlVVMkpUaERKVG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nB1WTBGV2FtTlBhVGt5TVRFeU1pVXlNaVV6UVNVM1FpVXlNbWxrSlRJeUpUTkJKVEl5WTJwdVkwRldhbU5QYVRreU1URXl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WMEZJUTJsWFZFMVJOak01TURNeUpUSXlKVGRFSlRKREpUZENKVEl5Ym1GdFpTVXlNaVV6UVNVeU1pVkZOU1U1TUNVNFJDVkZOeVZCTnlWQ01DVXlNaVV5UXlVeU1uUjVjR1VsTWpJbE0wRWxNakp6ZEhKcGJtY2xNaklsTWtNbE1qSjJZV3gxWlNVeU1pVXpRU1V5TWlVeU1pVXlReVV5TW1OaGRHVm5iM0o1SlRJeUpUTkJKVEl5WkdWbVlYVnNkQ1V5TWlVeVF5VXlNbWxrSlRJeUpUTkJKVEl5WlVsU1JVWkRSVzF2YVRrME9UUX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mdsUVRBbFJUVWxPVVlsUWtFbFJUVWxRa0VsT1RVbFJUVWxRamtsUWpNbFJUWWxPVFVsUWpRbFJUVWxPRVlsT0VFbFJUVWxPVVVsUVVJbFJUVWxRakVsT0RJbFJUVWxPRGdsT0RZbFJUVWxRakVsT0RJbFJUVWxPVUlsT1VVbFJUVWxRVEVsUVVJbFJUVWxPRVVsT0VJbFJUVWxRVVVsT1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yYVVwM1dHdFlXblZuTWpRME5USTBKVEl5SlROQkpUZENKVEl5YVdRbE1qSWxNMEVsTWpKMmFVcDNXR3RZV25Wbk1qUTBOVEk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pLWTFwemMzbDFhRlkwT0RJNE5Ua2xNaklsTjBRbE1rTWxOMElsTWpKdVlXMWxKVEl5SlROQkpUSXlKVVUxSlRrd0pUaEVKVVUzSlVFM0pVSXdKVEl5SlRKREpUSXlkSGx3WlNVeU1pVXpRU1V5TW5OMGNtbHVaeVV5TWlVeVF5VXlNblpoYkhWbEpUSXlKVE5CSlRJeUpUSXlKVEpESlRJeVkyRjBaV2R2Y25rbE1qSWxNMEVsTWpKa1pXWmhkV3gwSlRJeUpUSkRKVEl5YVdRbE1qSWxNMEVsTWpKVlpWVnVhbFZHWTB0Tk5UazRNalE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ZDT0NWQk1DVkZOeVZDTXlWQ1FpVkZPU1U0TlNVNFJDVkZOU1ZCTlNVNU55VkZOU1ZDUWlWQ1FTVkZOeVZCUkNVNU1TVkZOeVU0T1NWQk9TVkZOeVU0UlNWQ01DVkZOaVZDTlNVNE55VkZOaVU1TmlWQ1JDVkZOU1ZDTnlWQk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dVJWVjFabGRhZEdFNU1qUTRNelFsTWpJbE0wRWxOMElsTWpKcFpDVXlNaVV6UVNVeU1sWnVSVlYxWmxkYWRHRTVNalE0TX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m5GRmVXdGlRa1JTUlRNd01USTFNaVV5TWlVM1JDVXlReVUzUWlVeU1tNWhiV1VsTWpJbE0wRWxNaklsUlRVbE9UQWxPRVFsUlRjbFFUY2xRakFsTWpJbE1rTWxNakowZVhCbEpUSXlKVE5CSlRJeWMzUnlhVzVuSlRJeUpUSkRKVEl5ZG1Gc2RXVWxNaklsTTBFbE1qSWxNaklsTWtNbE1qSmpZWFJsWjI5eWVTVXlNaVV6UVNVeU1tUmxabUYxYkhRbE1qSWxNa01sTWpKcFpDVXlNaVV6UVNVeU1rbDVTV053YzJwQlNFY3dOelF4T0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VFeUpUZzBKVVUxSlRnNEpVSTJWU1ZGTlNVNVJTVTRRaVZGTnlWQk1DVkNReVZGTmlVNVJDVkNSaVZGTlNVNU1DVTRRU1ZGT0NWQk15VTROU1ZGTXlVNE1DVTRNU1ZGTmlVNFFpVkNReVZGTmlVNFJTVkJ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UnlUMFJpVTBwNmIxWTFNekUwTWpBbE1qSWxNMEVsTjBJbE1qSnBaQ1V5TWlVelFTVXlNbFJ5VDBSaVUwcDZiMVkxTXpFME1q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WSjRURmhtZG5kM1pUTXdNakl3TlNVeU1pVTNSQ1V5UXlVM1FpVXlNbTVoYldVbE1qSWxNMEVsTWpJbFJUVWxPVEFsT0VRbFJUY2xRVGNsUWpBbE1qSWxNa01sTWpKMGVYQmxKVEl5SlROQkpUSXljM1J5YVc1bkpUSXlKVEpESlRJeWRtRnNkV1VsTWpJbE0wRWxNaklsTWpJbE1rTWxNakpqWVhSbFoyOXllU1V5TWlVelFTVXlNbVJsWm1GMWJIUWxNaklsTWtNbE1qSnBaQ1V5TWlVelFTVXlNa1JhWW5ac1pXMVlRbkk1TVRRMU56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kJSaVU0TmlWRk5TVkNNQ1U0TVNWRk9DVTRNeVZDTmlWRk5TVkNOU1U0UXlWRk55VkNReVU1UkNWRk5pVTVOaVZDUkNWRk5TVkNOeVZC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lZVjFWbVdHMU5jbEE0TWpBMk9EZ2xNaklsTTBFbE4wSWxNakpwWkNVeU1pVXpRU1V5TWs5WVYxVm1XRzFOY2xBNE1qQTJP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kZxWVU1QmNscEhjekUyTkRFek5TVXlNaVUzUkNVeVF5VTNRaVV5TW01aGJXVWxNaklsTTBFbE1qSWxSVFVsT1RBbE9FUWxSVGNsUVRjbFFqQWxNaklsTWtNbE1qSjBlWEJsSlRJeUpUTkJKVEl5YzNSeWFXNW5KVEl5SlRKREpUSXlkbUZzZFdVbE1qSWxNMEVsTWpJbE1qSWxNa01sTWpKallYUmxaMjl5ZVNVeU1pVXpRU1V5TW1SbFptRjFiSFFsTWpJbE1rTWxNakpwWkNVeU1pVXpRU1V5TWt4TldXZHVRbGxuZVZJeE16RTV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PVGNsUWpnbFJUa2xPVGNsUVRnbFJUa2xPRGNsT1RFbFJUVWxRakVsT1VVbFJUY2xRa0lsT1RNbFJUWWxPVVVsT0RRbFJUVWxRVVVsT0RrbFJUZ2xRVE1sT0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Y1ZORlkxUkVUbXR0T1RBNU5EUXhKVEl5SlROQkpUZENKVEl5YVdRbE1qSWxNMEVsTWpKV2NWTkZZMVJFVG10dE9UQTVORFF4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IYTNKVVdVdEtlV2szTkRnME5EZ2xNaklsTjBRbE1rTWxOMElsTWpKdVlXMWxKVEl5SlROQkpUSXlKVVUxSlRrd0pUaEVKVVUzSlVFM0pVSXdKVEl5SlRKREpUSXlkSGx3WlNVeU1pVXpRU1V5TW5OMGNtbHVaeVV5TWlVeVF5VXlNblpoYkhWbEpUSXlKVE5CSlRJeUpUSXlKVEpESlRJeVkyRjBaV2R2Y25rbE1qSWxNMEVsTWpKa1pXWmhkV3gwSlRJeUpUSkRKVEl5YVdRbE1qSWxNMEVsTWpKUlUycGlXVzl6UWt0a05UWXhNRF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JKVUk0SlRnMUpVVTVKVGs1SlVFMEpVVTJKVGsySlVKRUpVVTFKVUkzSlVFMUpVVTFKVGxGSlRnekpVVTFKVGxESlVK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AxWVpFeEtVVXBuZFRVd09UTTJPU1V5TWlVelFTVTNRaVV5TW1sa0pUSXlKVE5CSlRJeVkwMVlaRXhLVVVwbmRUVXdPVE0yT1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WTA1WFdYVktkVVpKTVRBME56a3pKVEl5SlRkRUpUSkRKVGRDSlRJeWJtRnRaU1V5TWlVelFTVXlNaVZGTlNVNU1DVTRSQ1ZGTnlWQk55VkNNQ1V5TWlVeVF5VXlNblI1Y0dVbE1qSWxNMEVsTWpKemRISnBibWNsTWpJbE1rTWxNakoyWVd4MVpTVXlNaVV6UVNVeU1pVXlNaVV5UXlVeU1tTmhkR1ZuYjNKNUpUSXlKVE5CSlRJeVpHVm1ZWFZzZENVeU1pVXlReVV5TW1sa0pUSXlKVE5CSlRJeVpFVlVWVkY1U1U5YVF6STBNVE16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UkzSlVFMUpVVTNKVUU0SlRoQ0pVVTVKVUZCSlRoREpVVTJKVGswSlVJ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hCc1ZFUm1RVmRuVURNNE16a3pPQ1V5TWlVelFTVTNRaVV5TW1sa0pUSXlKVE5CSlRJeVpYQnNWRVJtUVZkblVETTRNemt6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VmxsMWNVMVBTa1oyTkRReE1USTBKVEl5SlRkRUpUSkRKVGRDSlRJeWJtRnRaU1V5TWlVelFTVXlNaVZGTlNVNU1DVTRSQ1ZGTnlWQk55VkNNQ1V5TWlVeVF5VXlNblI1Y0dVbE1qSWxNMEVsTWpKemRISnBibWNsTWpJbE1rTWxNakoyWVd4MVpTVXlNaVV6UVNVeU1pVXlNaVV5UXlVeU1tTmhkR1ZuYjNKNUpUSXlKVE5CSlRJeVpHVm1ZWFZzZENVeU1pVXlReVV5TW1sa0pUSXlKVE5CSlRJeVVHaHZlbWxZUms5amNESTFNVFkwTl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WpnbFFUQWxSVGtsT0RFbE9UTWxSVFlsUWpnbE9EVWxSVGNsT1RBbE9E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zYmtsaVZrdFVRbHBwTlRneU16SXdKVEl5SlRkRUpUSkRKVGRDSlRJeWJtRnRaU1V5TWlVelFTVXlNaVZGTlNVNU1DVTRSQ1ZGTnlWQk55VkNNQ1V5TWlVeVF5VXlNblI1Y0dVbE1qSWxNMEVsTWpKemRISnBibWNsTWpJbE1rTWxNakoyWVd4MVpTVXlNaVV6UVNVeU1pVXlNaVV5UXlVeU1tTmhkR1ZuYjNKNUpUSXlKVE5CSlRJeVpHVm1ZWFZzZENVeU1pVXlReVV5TW1sa0pUSXlKVE5CSlRJeVNGTmxWbU5WVjNKNGNUSTRNems1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TVRaVZDUVNWRk5TVkNRU1U1U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BDV0hoSVkyZEtTWGMxTVRBek5ERWxNaklsTTBFbE4wSWxNakpwWkNVeU1pVXpRU1V5TW1wQ1dIaElZMmRLU1hjMU1UQXpOR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WmNtcGtkMjUyYjBJMk9Ua3hOak1sTWpJbE4wUWxNa01sTjBJbE1qSnVZVzFsSlRJeUpUTkJKVEl5SlVVMUpUa3dKVGhFSlVVM0pVRTNKVUl3SlRJeUpUSkRKVEl5ZEhsd1pTVXlNaVV6UVNVeU1uTjBjbWx1WnlVeU1pVXlReVV5TW5aaGJIVmxKVEl5SlROQkpUSXlKVEl5SlRKREpUSXlZMkYwWldkdmNua2xNaklsTTBFbE1qSmtaV1poZFd4MEpUSXlKVEpESlRJeWFXUWxNaklsTTBFbE1qSkVZa2RCVjNSRFZsZDROemcyTmpZ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xDSlVKQkpVVTFKVUpCSlRsR0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U1MlVtUnVlVlJKUXpjNE56azJNU1V5TWlVelFTVTNRaVV5TW1sa0pUSXlKVE5CSlRJeWFFNTJVbVJ1ZVZSSlF6YzROemsy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UxTjRRM2RJV1hseVpUTTFNRFUxTWlVeU1pVTNSQ1V5UXlVM1FpVXlNbTVoYldVbE1qSWxNMEVsTWpJbFJUVWxPVEFsT0VRbFJUY2xRVGNsUWpBbE1qSWxNa01sTWpKMGVYQmxKVEl5SlROQkpUSXljM1J5YVc1bkpUSXlKVEpESlRJeWRtRnNkV1VsTWpJbE0wRWxNaklsTWpJbE1rTWxNakpqWVhSbFoyOXllU1V5TWlVelFTVXlNbVJsWm1GMWJIUWxNaklsTWtNbE1qSnBaQ1V5TWlVelFTVXlNa0pDZUhKcVQyTm1kR2N3TURFek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5GRGJrTlNTRlZpYWpVNE9Ea3hNU1V5TWlVelFTVTNRaVV5TW1sa0pUSXlKVE5CSlRJeWFuRkRia05TU0ZWaWFqVTRPRGt4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NrZEhTa2RPZVZGMFV6TXpNalV5TmlVeU1pVTNSQ1V5UXlVM1FpVXlNbTVoYldVbE1qSWxNMEVsTWpJbFJUVWxPVEFsT0VRbFJUY2xRVGNsUWpBbE1qSWxNa01sTWpKMGVYQmxKVEl5SlROQkpUSXljM1J5YVc1bkpUSXlKVEpESlRJeWRtRnNkV1VsTWpJbE0wRWxNaklsTWpJbE1rTWxNakpqWVhSbFoyOXllU1V5TWlVelFTVXlNbVJsWm1GMWJIUWxNaklsTWtNbE1qSnBaQ1V5TWlVelFTVXlNa05rY0dKM2FHOVZabkF6TlRBd05E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UWtFbE9VWWxSVFlsUWpBbFFqUWxSVE1sT0RBbE9ER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1YzZFhaR1phWTNoaE1UazJOamMzSlRJeUpUTkJKVGRDSlRJeWFXUWxNaklsTTBFbE1qSk9WM2RYWkdaYVkzaGhNVGsyTmpj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9ZMnRRUTBaS1luTjVPVE0wTVRjMEpUSXlKVGRFSlRKREpUZENKVEl5Ym1GdFpTVXlNaVV6UVNVeU1pVkZOU1U1TUNVNFJDVkZOeVZCTnlWQ01DVXlNaVV5UXlVeU1uUjVjR1VsTWpJbE0wRWxNakp6ZEhKcGJtY2xNaklsTWtNbE1qSjJZV3gxWlNVeU1pVXpRU1V5TWlVeU1pVXlReVV5TW1OaGRHVm5iM0o1SlRJeUpUTkJKVEl5WkdWbVlYVnNkQ1V5TWlVeVF5VXlNbWxrSlRJeUpUTkJKVEl5V2xWWlJFaDFUM2xUVERneU1UWXh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VJbFFrRWxSVFVsUWtF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1lXTnpaR2RLVUhGRU5qVTNOakF3SlRJeUpUTkJKVGRDSlRJeWFXUWxNaklsTTBFbE1qSjNZV056WkdkS1VIRkVOalUzTmpB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FVVmhNVFVWQ2EwTkdNVEUyTnpRM0pUSXlKVGRFSlRKREpUZENKVEl5Ym1GdFpTVXlNaVV6UVNVeU1pVkZOU1U1TUNVNFJDVkZOeVZCTnlWQ01DVXlNaVV5UXlVeU1uUjVjR1VsTWpJbE0wRWxNakp6ZEhKcGJtY2xNaklsTWtNbE1qSjJZV3gxWlNVeU1pVXpRU1V5TWlVeU1pVXlReVV5TW1OaGRHVm5iM0o1SlRJeUpUTkJKVEl5WkdWbVlYVnNkQ1V5TWlVeVF5VXlNbWxrSlRJeUpUTkJKVEl5UzNoc1prUldXV1JRWXpRMk1qazJ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VRITkVhMWhsUVVwb016RTJNek0zSlRJeUpUTkJKVGRDSlRJeWFXUWxNaklsTTBFbE1qSnFUSE5FYTFobFFVcG9NekUyTXpN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hRmRVU0VkMmIxWnZNelk0TnpjMkpUSXlKVGRFSlRKREpUZENKVEl5Ym1GdFpTVXlNaVV6UVNVeU1pVkZOU1U1TUNVNFJDVkZOeVZCTnlWQ01DVXlNaVV5UXlVeU1uUjVjR1VsTWpJbE0wRWxNakp6ZEhKcGJtY2xNaklsTWtNbE1qSjJZV3gxWlNVeU1pVXpRU1V5TWlVeU1pVXlReVV5TW1OaGRHVm5iM0o1SlRJeUpUTkJKVEl5WkdWbVlYVnNkQ1V5TWlVeVF5VXlNbWxrSlRJeUpUTkJKVEl5VlcxSGFFTnhiRXBHWmpBek5EUTF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RalFsUlRNbE9EQWxPREVsUlRVbE9Ua2xRVUVsUlRVbFFUTWxRakFsUlRNbE9EQWxPREVsUlRVbFFrRWxPVVlsUlRZbFFqQ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TV1JKU2tKRVZFZGtPRFUwT1RReEpUSXlKVE5CSlRkQ0pUSXlhV1FsTWpJbE0wRWxNakpEU1dSSlNrSkVWRWRrT0RVME9UU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ZYjJSbloyZDRTSEI0TXpNMk5EVTFKVEl5SlRkRUpUSkRKVGRDSlRJeWJtRnRaU1V5TWlVelFTVXlNaVZGTlNVNU1DVTRSQ1ZGTnlWQk55VkNNQ1V5TWlVeVF5VXlNblI1Y0dVbE1qSWxNMEVsTWpKemRISnBibWNsTWpJbE1rTWxNakoyWVd4MVpTVXlNaVV6UVNVeU1pVXlNaVV5UXlVeU1tTmhkR1ZuYjNKNUpUSXlKVE5CSlRJeVpHVm1ZWFZzZENVeU1pVXlReVV5TW1sa0pUSXlKVE5CSlRJeVFsaEZZVkp4WmxWeFVEQXlNRGt5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E9Ua2xRVUVsUlRVbFFUTW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2U4Mjc4MDktNWI3OS00MWM3LWE0NGMtOTliYTNjYmFiMmFkIgp9Cg=="/>
    </extobj>
  </extobjs>
</s:customData>
</file>

<file path=customXml/item2.xml><?xml version="1.0" encoding="utf-8"?>
<contractReview xmlns="http://schemas.wps.cn/vas-ai-hub/contract-review">
  <reviewItems>
    <reviewItem>
      <errorID>ddf68406-0b87-467d-a8ce-125aee6d6036</errorID>
      <errorWord>-</errorWord>
      <group>L1_Format</group>
      <groupName>格式问题</groupName>
      <ability>L2_HalfPunc_CN</ability>
      <abilityName>全半角问题</abilityName>
      <candidateList>
        <item>－</item>
      </candidateList>
      <explain>文本全半角错误。</explain>
      <paraID>37DA6463</paraID>
      <start>23</start>
      <end>24</end>
      <status>unmodified</status>
      <modifiedWord/>
      <trackRevisions>false</trackRevisions>
    </reviewItem>
    <reviewItem>
      <errorID>3c8dc691-7846-4d87-9f06-0b29af5f99a0</errorID>
      <errorWord>地下水协同防治</errorWord>
      <group>L1_Political</group>
      <groupName>政治性问题</groupName>
      <ability>L2_Keyword</ability>
      <abilityName>固定表述</abilityName>
      <candidateList>
        <item>地下水污染防治</item>
      </candidateList>
      <explain>词汇“地下水污染防治”在特定场景下为固定表述形式，请确认此处的“地下水协同防治”是否存在不当。</explain>
      <paraID>65889627</paraID>
      <start>14</start>
      <end>21</end>
      <status>unmodified</status>
      <modifiedWord/>
      <trackRevisions>false</trackRevisions>
    </reviewItem>
    <reviewItem>
      <errorID>bd126bed-9b64-4867-87b2-233e44e5bfad</errorID>
      <errorWord>自已</errorWord>
      <group>L1_Other</group>
      <groupName>其他问题</groupName>
      <ability>L2_UserTypo</ability>
      <abilityName>自定义错误</abilityName>
      <candidateList>
        <item>自己</item>
      </candidateList>
      <explain>来自自定义错词库。</explain>
      <paraID>285482D8</paraID>
      <start>21</start>
      <end>23</end>
      <status>unmodified</status>
      <modifiedWord/>
      <trackRevisions>false</trackRevisions>
    </reviewItem>
    <reviewItem>
      <errorID>d5f3639a-6d6c-4ece-8e08-d16594eef676</errorID>
      <errorWord>》</errorWord>
      <group>L1_Word</group>
      <groupName>字词问题</groupName>
      <ability>L2_Typo</ability>
      <abilityName>字词错误</abilityName>
      <candidateList>
        <item>》对</item>
      </candidateList>
      <explain/>
      <paraID>285482D8</paraID>
      <start>128</start>
      <end>130</end>
      <status>modified</status>
      <modifiedWord>》对</modifiedWord>
      <trackRevisions>false</trackRevisions>
    </reviewItem>
    <reviewItem>
      <errorID>172d8004-87b9-4f3d-8253-e9adf1f33def</errorID>
      <errorWord>，</errorWord>
      <group>L1_Format</group>
      <groupName>格式问题</groupName>
      <ability>L2_HalfPunc_CN</ability>
      <abilityName>全半角问题</abilityName>
      <candidateList>
        <item>, </item>
      </candidateList>
      <explain>文本全半角错误。</explain>
      <paraID>6FA0BEFC</paraID>
      <start>14</start>
      <end>15</end>
      <status>unmodified</status>
      <modifiedWord/>
      <trackRevisions>false</trackRevisions>
    </reviewItem>
    <reviewItem>
      <errorID>ce0d1450-c156-4542-85a5-0bbbf8d4a5d4</errorID>
      <errorWord>，</errorWord>
      <group>L1_Format</group>
      <groupName>格式问题</groupName>
      <ability>L2_HalfPunc_CN</ability>
      <abilityName>全半角问题</abilityName>
      <candidateList>
        <item>, </item>
      </candidateList>
      <explain>文本全半角错误。</explain>
      <paraID>3B9B2E28</paraID>
      <start>14</start>
      <end>15</end>
      <status>unmodified</status>
      <modifiedWord/>
      <trackRevisions>false</trackRevisions>
    </reviewItem>
    <reviewItem>
      <errorID>848a28cf-33b4-444e-97b6-57dc06a985d1</errorID>
      <errorWord>，</errorWord>
      <group>L1_Format</group>
      <groupName>格式问题</groupName>
      <ability>L2_HalfPunc_CN</ability>
      <abilityName>全半角问题</abilityName>
      <candidateList>
        <item>, </item>
      </candidateList>
      <explain>文本全半角错误。</explain>
      <paraID>5E54C1FF</paraID>
      <start>14</start>
      <end>15</end>
      <status>unmodified</status>
      <modifiedWord/>
      <trackRevisions>false</trackRevisions>
    </reviewItem>
    <reviewItem>
      <errorID>ba87f489-0570-4638-8569-d15ef2eccc07</errorID>
      <errorWord>，</errorWord>
      <group>L1_Format</group>
      <groupName>格式问题</groupName>
      <ability>L2_HalfPunc_CN</ability>
      <abilityName>全半角问题</abilityName>
      <candidateList>
        <item>, </item>
      </candidateList>
      <explain>文本全半角错误。</explain>
      <paraID>5CB24454</paraID>
      <start>14</start>
      <end>15</end>
      <status>unmodified</status>
      <modifiedWord/>
      <trackRevisions>false</trackRevisions>
    </reviewItem>
    <reviewItem>
      <errorID>ea1be660-7561-4943-84af-f283ed5b8515</errorID>
      <errorWord>，</errorWord>
      <group>L1_Format</group>
      <groupName>格式问题</groupName>
      <ability>L2_HalfPunc_CN</ability>
      <abilityName>全半角问题</abilityName>
      <candidateList>
        <item>, </item>
      </candidateList>
      <explain>文本全半角错误。</explain>
      <paraID>409F4029</paraID>
      <start>14</start>
      <end>15</end>
      <status>unmodified</status>
      <modifiedWord/>
      <trackRevisions>false</trackRevisions>
    </reviewItem>
    <reviewItem>
      <errorID>f9880b8b-70e4-4b28-8e3b-3e9b5e481f00</errorID>
      <errorWord>，</errorWord>
      <group>L1_Format</group>
      <groupName>格式问题</groupName>
      <ability>L2_HalfPunc_CN</ability>
      <abilityName>全半角问题</abilityName>
      <candidateList>
        <item>, </item>
      </candidateList>
      <explain>文本全半角错误。</explain>
      <paraID>  4241E0</paraID>
      <start>14</start>
      <end>15</end>
      <status>unmodified</status>
      <modifiedWord/>
      <trackRevisions>false</trackRevisions>
    </reviewItem>
    <reviewItem>
      <errorID>7bf8684f-d4d8-4f92-a0a2-f5d3f1fadcfa</errorID>
      <errorWord>，</errorWord>
      <group>L1_Format</group>
      <groupName>格式问题</groupName>
      <ability>L2_HalfPunc_CN</ability>
      <abilityName>全半角问题</abilityName>
      <candidateList>
        <item>, </item>
      </candidateList>
      <explain>文本全半角错误。</explain>
      <paraID>4A0A5C3D</paraID>
      <start>14</start>
      <end>15</end>
      <status>unmodified</status>
      <modifiedWord/>
      <trackRevisions>false</trackRevisions>
    </reviewItem>
    <reviewItem>
      <errorID>39f7b02b-b36b-4e1e-a14e-1037fc0045c3</errorID>
      <errorWord>，</errorWord>
      <group>L1_Format</group>
      <groupName>格式问题</groupName>
      <ability>L2_HalfPunc_CN</ability>
      <abilityName>全半角问题</abilityName>
      <candidateList>
        <item>, </item>
      </candidateList>
      <explain>文本全半角错误。</explain>
      <paraID>1706652E</paraID>
      <start>14</start>
      <end>15</end>
      <status>unmodified</status>
      <modifiedWord/>
      <trackRevisions>false</trackRevisions>
    </reviewItem>
    <reviewItem>
      <errorID>ae786b57-82d2-489a-9cd6-eaa8370ebe32</errorID>
      <errorWord>，</errorWord>
      <group>L1_Format</group>
      <groupName>格式问题</groupName>
      <ability>L2_HalfPunc_CN</ability>
      <abilityName>全半角问题</abilityName>
      <candidateList>
        <item>, </item>
      </candidateList>
      <explain>文本全半角错误。</explain>
      <paraID>4C535191</paraID>
      <start>14</start>
      <end>15</end>
      <status>unmodified</status>
      <modifiedWord/>
      <trackRevisions>false</trackRevisions>
    </reviewItem>
    <reviewItem>
      <errorID>d2502fd7-2a5f-4451-9251-61ce52dbef82</errorID>
      <errorWord>，</errorWord>
      <group>L1_Format</group>
      <groupName>格式问题</groupName>
      <ability>L2_HalfPunc_CN</ability>
      <abilityName>全半角问题</abilityName>
      <candidateList>
        <item>, </item>
      </candidateList>
      <explain>文本全半角错误。</explain>
      <paraID> 3317DF9</paraID>
      <start>14</start>
      <end>15</end>
      <status>unmodified</status>
      <modifiedWord/>
      <trackRevisions>false</trackRevisions>
    </reviewItem>
    <reviewItem>
      <errorID>8a2a8ad8-83d9-4065-9b51-e407970fb3ce</errorID>
      <errorWord>，</errorWord>
      <group>L1_Format</group>
      <groupName>格式问题</groupName>
      <ability>L2_HalfPunc_CN</ability>
      <abilityName>全半角问题</abilityName>
      <candidateList>
        <item>, </item>
      </candidateList>
      <explain>文本全半角错误。</explain>
      <paraID>35CB3E78</paraID>
      <start>14</start>
      <end>15</end>
      <status>unmodified</status>
      <modifiedWord/>
      <trackRevisions>false</trackRevisions>
    </reviewItem>
    <reviewItem>
      <errorID>d53fd156-36f5-4fee-aa53-d0dda7f8843f</errorID>
      <errorWord>，</errorWord>
      <group>L1_Format</group>
      <groupName>格式问题</groupName>
      <ability>L2_HalfPunc_CN</ability>
      <abilityName>全半角问题</abilityName>
      <candidateList>
        <item>, </item>
      </candidateList>
      <explain>文本全半角错误。</explain>
      <paraID>3261E0EA</paraID>
      <start>14</start>
      <end>15</end>
      <status>unmodified</status>
      <modifiedWord/>
      <trackRevisions>false</trackRevisions>
    </reviewItem>
    <reviewItem>
      <errorID>9d9edb29-57e3-4186-b58e-65815db3f539</errorID>
      <errorWord>，</errorWord>
      <group>L1_Format</group>
      <groupName>格式问题</groupName>
      <ability>L2_HalfPunc_CN</ability>
      <abilityName>全半角问题</abilityName>
      <candidateList>
        <item>, </item>
      </candidateList>
      <explain>文本全半角错误。</explain>
      <paraID>4067C85F</paraID>
      <start>14</start>
      <end>15</end>
      <status>unmodified</status>
      <modifiedWord/>
      <trackRevisions>false</trackRevisions>
    </reviewItem>
    <reviewItem>
      <errorID>6b88ac1e-8e0b-4ff1-8659-dc658a9b84d7</errorID>
      <errorWord>，</errorWord>
      <group>L1_Format</group>
      <groupName>格式问题</groupName>
      <ability>L2_HalfPunc_CN</ability>
      <abilityName>全半角问题</abilityName>
      <candidateList>
        <item>, </item>
      </candidateList>
      <explain>文本全半角错误。</explain>
      <paraID>55B5E70B</paraID>
      <start>14</start>
      <end>15</end>
      <status>unmodified</status>
      <modifiedWord/>
      <trackRevisions>false</trackRevisions>
    </reviewItem>
    <reviewItem>
      <errorID>21a0c547-a47b-40b9-8b3d-df56c07ab67c</errorID>
      <errorWord>，</errorWord>
      <group>L1_Format</group>
      <groupName>格式问题</groupName>
      <ability>L2_HalfPunc_CN</ability>
      <abilityName>全半角问题</abilityName>
      <candidateList>
        <item>, </item>
      </candidateList>
      <explain>文本全半角错误。</explain>
      <paraID>1058AB57</paraID>
      <start>14</start>
      <end>15</end>
      <status>unmodified</status>
      <modifiedWord/>
      <trackRevisions>false</trackRevisions>
    </reviewItem>
    <reviewItem>
      <errorID>a2a7f762-e538-4991-afea-279233e9e72b</errorID>
      <errorWord>，</errorWord>
      <group>L1_Format</group>
      <groupName>格式问题</groupName>
      <ability>L2_HalfPunc_CN</ability>
      <abilityName>全半角问题</abilityName>
      <candidateList>
        <item>, </item>
      </candidateList>
      <explain>文本全半角错误。</explain>
      <paraID>20DDA9D1</paraID>
      <start>14</start>
      <end>15</end>
      <status>unmodified</status>
      <modifiedWord/>
      <trackRevisions>false</trackRevisions>
    </reviewItem>
    <reviewItem>
      <errorID>411f65e7-fa06-474f-8c71-e37e36439756</errorID>
      <errorWord>，</errorWord>
      <group>L1_Format</group>
      <groupName>格式问题</groupName>
      <ability>L2_HalfPunc_CN</ability>
      <abilityName>全半角问题</abilityName>
      <candidateList>
        <item>, </item>
      </candidateList>
      <explain>文本全半角错误。</explain>
      <paraID>2DD4A1B4</paraID>
      <start>14</start>
      <end>15</end>
      <status>unmodified</status>
      <modifiedWord/>
      <trackRevisions>false</trackRevisions>
    </reviewItem>
    <reviewItem>
      <errorID>b4315386-a626-4969-b822-e2f8d85cfd63</errorID>
      <errorWord>，</errorWord>
      <group>L1_Format</group>
      <groupName>格式问题</groupName>
      <ability>L2_HalfPunc_CN</ability>
      <abilityName>全半角问题</abilityName>
      <candidateList>
        <item>, </item>
      </candidateList>
      <explain>文本全半角错误。</explain>
      <paraID>57E5F77F</paraID>
      <start>14</start>
      <end>15</end>
      <status>unmodified</status>
      <modifiedWord/>
      <trackRevisions>false</trackRevisions>
    </reviewItem>
    <reviewItem>
      <errorID>456692b2-3d3f-4edf-8407-c7d07798473f</errorID>
      <errorWord>，</errorWord>
      <group>L1_Format</group>
      <groupName>格式问题</groupName>
      <ability>L2_HalfPunc_CN</ability>
      <abilityName>全半角问题</abilityName>
      <candidateList>
        <item>, </item>
      </candidateList>
      <explain>文本全半角错误。</explain>
      <paraID>5F02C745</paraID>
      <start>14</start>
      <end>15</end>
      <status>unmodified</status>
      <modifiedWord/>
      <trackRevisions>false</trackRevisions>
    </reviewItem>
    <reviewItem>
      <errorID>b751d1f0-b160-4056-bb49-5721c3585c8e</errorID>
      <errorWord>，</errorWord>
      <group>L1_Format</group>
      <groupName>格式问题</groupName>
      <ability>L2_HalfPunc_CN</ability>
      <abilityName>全半角问题</abilityName>
      <candidateList>
        <item>, </item>
      </candidateList>
      <explain>文本全半角错误。</explain>
      <paraID>41B22095</paraID>
      <start>14</start>
      <end>15</end>
      <status>unmodified</status>
      <modifiedWord/>
      <trackRevisions>false</trackRevisions>
    </reviewItem>
    <reviewItem>
      <errorID>a1765f83-9b8d-4ecc-a9bf-7fe3771a628f</errorID>
      <errorWord>，</errorWord>
      <group>L1_Format</group>
      <groupName>格式问题</groupName>
      <ability>L2_HalfPunc_CN</ability>
      <abilityName>全半角问题</abilityName>
      <candidateList>
        <item>, </item>
      </candidateList>
      <explain>文本全半角错误。</explain>
      <paraID> A5AFAC1</paraID>
      <start>14</start>
      <end>15</end>
      <status>unmodified</status>
      <modifiedWord/>
      <trackRevisions>false</trackRevisions>
    </reviewItem>
    <reviewItem>
      <errorID>d26b9fbb-67bf-45e2-8a7c-8ab1e504c9ac</errorID>
      <errorWord>，</errorWord>
      <group>L1_Format</group>
      <groupName>格式问题</groupName>
      <ability>L2_HalfPunc_CN</ability>
      <abilityName>全半角问题</abilityName>
      <candidateList>
        <item>, </item>
      </candidateList>
      <explain>文本全半角错误。</explain>
      <paraID>26F9A67F</paraID>
      <start>14</start>
      <end>15</end>
      <status>unmodified</status>
      <modifiedWord/>
      <trackRevisions>false</trackRevisions>
    </reviewItem>
    <reviewItem>
      <errorID>76946809-aca8-4817-9b7d-60f23b736034</errorID>
      <errorWord>，</errorWord>
      <group>L1_Format</group>
      <groupName>格式问题</groupName>
      <ability>L2_HalfPunc_CN</ability>
      <abilityName>全半角问题</abilityName>
      <candidateList>
        <item>, </item>
      </candidateList>
      <explain>文本全半角错误。</explain>
      <paraID> E9770AF</paraID>
      <start>14</start>
      <end>15</end>
      <status>unmodified</status>
      <modifiedWord/>
      <trackRevisions>false</trackRevisions>
    </reviewItem>
    <reviewItem>
      <errorID>b1ec1fe4-f6fa-469c-8108-4f5edc1edb55</errorID>
      <errorWord>，</errorWord>
      <group>L1_Format</group>
      <groupName>格式问题</groupName>
      <ability>L2_HalfPunc_CN</ability>
      <abilityName>全半角问题</abilityName>
      <candidateList>
        <item>, </item>
      </candidateList>
      <explain>文本全半角错误。</explain>
      <paraID> 2918B04</paraID>
      <start>13</start>
      <end>14</end>
      <status>unmodified</status>
      <modifiedWord/>
      <trackRevisions>false</trackRevisions>
    </reviewItem>
    <reviewItem>
      <errorID>a4891aa2-95af-45fa-b9af-b55f2be753cb</errorID>
      <errorWord>，</errorWord>
      <group>L1_Format</group>
      <groupName>格式问题</groupName>
      <ability>L2_HalfPunc_CN</ability>
      <abilityName>全半角问题</abilityName>
      <candidateList>
        <item>, </item>
      </candidateList>
      <explain>文本全半角错误。</explain>
      <paraID>4C8EAC40</paraID>
      <start>13</start>
      <end>14</end>
      <status>unmodified</status>
      <modifiedWord/>
      <trackRevisions>false</trackRevisions>
    </reviewItem>
    <reviewItem>
      <errorID>27579f4a-c3f2-42b7-a37b-c5c2e4589723</errorID>
      <errorWord>，</errorWord>
      <group>L1_Format</group>
      <groupName>格式问题</groupName>
      <ability>L2_HalfPunc_CN</ability>
      <abilityName>全半角问题</abilityName>
      <candidateList>
        <item>, </item>
      </candidateList>
      <explain>文本全半角错误。</explain>
      <paraID>6FED7443</paraID>
      <start>13</start>
      <end>14</end>
      <status>unmodified</status>
      <modifiedWord/>
      <trackRevisions>false</trackRevisions>
    </reviewItem>
    <reviewItem>
      <errorID>8311334b-46f4-4da8-a030-624ceb9667f6</errorID>
      <errorWord>，</errorWord>
      <group>L1_Format</group>
      <groupName>格式问题</groupName>
      <ability>L2_HalfPunc_CN</ability>
      <abilityName>全半角问题</abilityName>
      <candidateList>
        <item>, </item>
      </candidateList>
      <explain>文本全半角错误。</explain>
      <paraID>124D8077</paraID>
      <start>13</start>
      <end>14</end>
      <status>unmodified</status>
      <modifiedWord/>
      <trackRevisions>false</trackRevisions>
    </reviewItem>
    <reviewItem>
      <errorID>2c2c9ad6-2812-44ed-bd2e-816cc6e00a98</errorID>
      <errorWord>，</errorWord>
      <group>L1_Format</group>
      <groupName>格式问题</groupName>
      <ability>L2_HalfPunc_CN</ability>
      <abilityName>全半角问题</abilityName>
      <candidateList>
        <item>, </item>
      </candidateList>
      <explain>文本全半角错误。</explain>
      <paraID>12AF068C</paraID>
      <start>13</start>
      <end>14</end>
      <status>unmodified</status>
      <modifiedWord/>
      <trackRevisions>false</trackRevisions>
    </reviewItem>
    <reviewItem>
      <errorID>424de2db-2976-4674-8c1f-80658357b7e9</errorID>
      <errorWord>，</errorWord>
      <group>L1_Format</group>
      <groupName>格式问题</groupName>
      <ability>L2_HalfPunc_CN</ability>
      <abilityName>全半角问题</abilityName>
      <candidateList>
        <item>, </item>
      </candidateList>
      <explain>文本全半角错误。</explain>
      <paraID>5542FDAC</paraID>
      <start>14</start>
      <end>15</end>
      <status>unmodified</status>
      <modifiedWord/>
      <trackRevisions>false</trackRevisions>
    </reviewItem>
    <reviewItem>
      <errorID>f2203173-e5ea-4710-9636-b65e03626204</errorID>
      <errorWord>，</errorWord>
      <group>L1_Format</group>
      <groupName>格式问题</groupName>
      <ability>L2_HalfPunc_CN</ability>
      <abilityName>全半角问题</abilityName>
      <candidateList>
        <item>, </item>
      </candidateList>
      <explain>文本全半角错误。</explain>
      <paraID>217DCBF2</paraID>
      <start>14</start>
      <end>15</end>
      <status>unmodified</status>
      <modifiedWord/>
      <trackRevisions>false</trackRevisions>
    </reviewItem>
    <reviewItem>
      <errorID>9fc048f5-06f6-471b-b036-f5dcd4a450a6</errorID>
      <errorWord>，</errorWord>
      <group>L1_Format</group>
      <groupName>格式问题</groupName>
      <ability>L2_HalfPunc_CN</ability>
      <abilityName>全半角问题</abilityName>
      <candidateList>
        <item>, </item>
      </candidateList>
      <explain>文本全半角错误。</explain>
      <paraID> C95534F</paraID>
      <start>13</start>
      <end>14</end>
      <status>unmodified</status>
      <modifiedWord/>
      <trackRevisions>false</trackRevisions>
    </reviewItem>
    <reviewItem>
      <errorID>bd894f02-4fb3-4f24-9057-b8e4c8c4eea6</errorID>
      <errorWord>，</errorWord>
      <group>L1_Format</group>
      <groupName>格式问题</groupName>
      <ability>L2_HalfPunc_CN</ability>
      <abilityName>全半角问题</abilityName>
      <candidateList>
        <item>, </item>
      </candidateList>
      <explain>文本全半角错误。</explain>
      <paraID> C3B161C</paraID>
      <start>13</start>
      <end>14</end>
      <status>unmodified</status>
      <modifiedWord/>
      <trackRevisions>false</trackRevisions>
    </reviewItem>
    <reviewItem>
      <errorID>fcbc0bb8-3a44-485c-8f59-c731b127ab49</errorID>
      <errorWord>，</errorWord>
      <group>L1_Format</group>
      <groupName>格式问题</groupName>
      <ability>L2_HalfPunc_CN</ability>
      <abilityName>全半角问题</abilityName>
      <candidateList>
        <item>, </item>
      </candidateList>
      <explain>文本全半角错误。</explain>
      <paraID>4F9CB774</paraID>
      <start>14</start>
      <end>15</end>
      <status>unmodified</status>
      <modifiedWord/>
      <trackRevisions>false</trackRevisions>
    </reviewItem>
    <reviewItem>
      <errorID>d7d20616-5e16-49c9-a2ee-1f9ece1f8bb3</errorID>
      <errorWord>，</errorWord>
      <group>L1_Format</group>
      <groupName>格式问题</groupName>
      <ability>L2_HalfPunc_CN</ability>
      <abilityName>全半角问题</abilityName>
      <candidateList>
        <item>, </item>
      </candidateList>
      <explain>文本全半角错误。</explain>
      <paraID>7BE3415F</paraID>
      <start>14</start>
      <end>15</end>
      <status>unmodified</status>
      <modifiedWord/>
      <trackRevisions>false</trackRevisions>
    </reviewItem>
    <reviewItem>
      <errorID>017629f3-2485-47f5-8c84-6b475fb75a8e</errorID>
      <errorWord>，</errorWord>
      <group>L1_Format</group>
      <groupName>格式问题</groupName>
      <ability>L2_HalfPunc_CN</ability>
      <abilityName>全半角问题</abilityName>
      <candidateList>
        <item>, </item>
      </candidateList>
      <explain>文本全半角错误。</explain>
      <paraID>50C0E751</paraID>
      <start>14</start>
      <end>15</end>
      <status>unmodified</status>
      <modifiedWord/>
      <trackRevisions>false</trackRevisions>
    </reviewItem>
    <reviewItem>
      <errorID>8f478721-ddfb-4405-aaf4-0481cbfb56c2</errorID>
      <errorWord>，</errorWord>
      <group>L1_Format</group>
      <groupName>格式问题</groupName>
      <ability>L2_HalfPunc_CN</ability>
      <abilityName>全半角问题</abilityName>
      <candidateList>
        <item>, </item>
      </candidateList>
      <explain>文本全半角错误。</explain>
      <paraID>4C5CB33D</paraID>
      <start>14</start>
      <end>15</end>
      <status>unmodified</status>
      <modifiedWord/>
      <trackRevisions>false</trackRevisions>
    </reviewItem>
    <reviewItem>
      <errorID>2e2e9b48-456f-47c3-ac20-1de6012b5bb7</errorID>
      <errorWord>，</errorWord>
      <group>L1_Format</group>
      <groupName>格式问题</groupName>
      <ability>L2_HalfPunc_CN</ability>
      <abilityName>全半角问题</abilityName>
      <candidateList>
        <item>, </item>
      </candidateList>
      <explain>文本全半角错误。</explain>
      <paraID>1BCACB5C</paraID>
      <start>14</start>
      <end>15</end>
      <status>unmodified</status>
      <modifiedWord/>
      <trackRevisions>false</trackRevisions>
    </reviewItem>
    <reviewItem>
      <errorID>0d296c2c-6cda-4d2c-a346-85fd9a6d7146</errorID>
      <errorWord>，</errorWord>
      <group>L1_Format</group>
      <groupName>格式问题</groupName>
      <ability>L2_HalfPunc_CN</ability>
      <abilityName>全半角问题</abilityName>
      <candidateList>
        <item>, </item>
      </candidateList>
      <explain>文本全半角错误。</explain>
      <paraID>3CD2B26E</paraID>
      <start>14</start>
      <end>15</end>
      <status>unmodified</status>
      <modifiedWord/>
      <trackRevisions>false</trackRevisions>
    </reviewItem>
    <reviewItem>
      <errorID>9ee9b28d-0287-4ead-9f6a-7aa54add1fdb</errorID>
      <errorWord>，</errorWord>
      <group>L1_Format</group>
      <groupName>格式问题</groupName>
      <ability>L2_HalfPunc_CN</ability>
      <abilityName>全半角问题</abilityName>
      <candidateList>
        <item>, </item>
      </candidateList>
      <explain>文本全半角错误。</explain>
      <paraID>4BC11173</paraID>
      <start>14</start>
      <end>15</end>
      <status>unmodified</status>
      <modifiedWord/>
      <trackRevisions>false</trackRevisions>
    </reviewItem>
    <reviewItem>
      <errorID>cfd7271e-4c20-44f4-af4e-232b6f0d7074</errorID>
      <errorWord>，</errorWord>
      <group>L1_Format</group>
      <groupName>格式问题</groupName>
      <ability>L2_HalfPunc_CN</ability>
      <abilityName>全半角问题</abilityName>
      <candidateList>
        <item>, </item>
      </candidateList>
      <explain>文本全半角错误。</explain>
      <paraID>12899CDC</paraID>
      <start>14</start>
      <end>15</end>
      <status>unmodified</status>
      <modifiedWord/>
      <trackRevisions>false</trackRevisions>
    </reviewItem>
    <reviewItem>
      <errorID>eb8414d7-4bdd-4519-b65d-27faed440c74</errorID>
      <errorWord>，</errorWord>
      <group>L1_Format</group>
      <groupName>格式问题</groupName>
      <ability>L2_HalfPunc_CN</ability>
      <abilityName>全半角问题</abilityName>
      <candidateList>
        <item>, </item>
      </candidateList>
      <explain>文本全半角错误。</explain>
      <paraID>24047616</paraID>
      <start>14</start>
      <end>15</end>
      <status>unmodified</status>
      <modifiedWord/>
      <trackRevisions>false</trackRevisions>
    </reviewItem>
    <reviewItem>
      <errorID>dc446a3f-2074-46dc-a80e-3fb44444fcb5</errorID>
      <errorWord>，</errorWord>
      <group>L1_Format</group>
      <groupName>格式问题</groupName>
      <ability>L2_HalfPunc_CN</ability>
      <abilityName>全半角问题</abilityName>
      <candidateList>
        <item>, </item>
      </candidateList>
      <explain>文本全半角错误。</explain>
      <paraID> 84A00D5</paraID>
      <start>14</start>
      <end>15</end>
      <status>unmodified</status>
      <modifiedWord/>
      <trackRevisions>false</trackRevisions>
    </reviewItem>
    <reviewItem>
      <errorID>8dd7571b-d1e7-4dc0-b8b1-0b3faaa65c52</errorID>
      <errorWord>-</errorWord>
      <group>L1_Format</group>
      <groupName>格式问题</groupName>
      <ability>L2_HalfPunc_CN</ability>
      <abilityName>全半角问题</abilityName>
      <candidateList>
        <item>－</item>
      </candidateList>
      <explain>文本全半角错误。</explain>
      <paraID>6933033A</paraID>
      <start>85</start>
      <end>86</end>
      <status>unmodified</status>
      <modifiedWord/>
      <trackRevisions>false</trackRevisions>
    </reviewItem>
    <reviewItem>
      <errorID>afdcfcd8-1ec0-430e-abbc-032db9f8651b</errorID>
      <errorWord>拌合站</errorWord>
      <group>L1_Word</group>
      <groupName>字词问题</groupName>
      <ability>L2_Typo</ability>
      <abilityName>字词错误</abilityName>
      <candidateList>
        <item>拌和站</item>
      </candidateList>
      <explain/>
      <paraID>388405EC</paraID>
      <start>37</start>
      <end>40</end>
      <status>unmodified</status>
      <modifiedWord/>
      <trackRevisions>false</trackRevisions>
    </reviewItem>
    <reviewItem>
      <errorID>66da3ca4-e685-4022-8de1-1fae7da5a712</errorID>
      <errorWord>“U”型</errorWord>
      <group>L1_Word</group>
      <groupName>字词问题</groupName>
      <ability>L2_Typo</ability>
      <abilityName>字词错误</abilityName>
      <candidateList>
        <item>“U”形</item>
      </candidateList>
      <explain/>
      <paraID>4C57E341</paraID>
      <start>3</start>
      <end>7</end>
      <status>unmodified</status>
      <modifiedWord/>
      <trackRevisions>false</trackRevisions>
    </reviewItem>
    <reviewItem>
      <errorID>46b48306-3b6d-4c19-b595-5a757981c4c1</errorID>
      <errorWord>~</errorWord>
      <group>L1_Format</group>
      <groupName>格式问题</groupName>
      <ability>L2_HalfPunc_CN</ability>
      <abilityName>全半角问题</abilityName>
      <candidateList>
        <item>～</item>
      </candidateList>
      <explain>文本全半角错误。</explain>
      <paraID>2788AF3C</paraID>
      <start>95</start>
      <end>96</end>
      <status>unmodified</status>
      <modifiedWord/>
      <trackRevisions>false</trackRevisions>
    </reviewItem>
    <reviewItem>
      <errorID>4fc70b11-b66b-4055-a4c4-1d743d74e638</errorID>
      <errorWord>~</errorWord>
      <group>L1_Format</group>
      <groupName>格式问题</groupName>
      <ability>L2_HalfPunc_CN</ability>
      <abilityName>全半角问题</abilityName>
      <candidateList>
        <item>～</item>
      </candidateList>
      <explain>文本全半角错误。</explain>
      <paraID>2788AF3C</paraID>
      <start>107</start>
      <end>108</end>
      <status>unmodified</status>
      <modifiedWord/>
      <trackRevisions>false</trackRevisions>
    </reviewItem>
    <reviewItem>
      <errorID>b0857fa1-96d4-4acb-8a0b-e0e96afb810e</errorID>
      <errorWord>~</errorWord>
      <group>L1_Format</group>
      <groupName>格式问题</groupName>
      <ability>L2_HalfPunc_CN</ability>
      <abilityName>全半角问题</abilityName>
      <candidateList>
        <item>～</item>
      </candidateList>
      <explain>文本全半角错误。</explain>
      <paraID>2788AF3C</paraID>
      <start>159</start>
      <end>160</end>
      <status>unmodified</status>
      <modifiedWord/>
      <trackRevisions>false</trackRevisions>
    </reviewItem>
    <reviewItem>
      <errorID>ab04a6a1-9ba2-4b20-8eff-b4d79729f9d2</errorID>
      <errorWord>拌合站</errorWord>
      <group>L1_Word</group>
      <groupName>字词问题</groupName>
      <ability>L2_Typo</ability>
      <abilityName>字词错误</abilityName>
      <candidateList>
        <item>拌和站</item>
      </candidateList>
      <explain>存在发音相同字词的误用。</explain>
      <paraID>3BFE8D7E</paraID>
      <start>34</start>
      <end>37</end>
      <status>unmodified</status>
      <modifiedWord/>
      <trackRevisions>false</trackRevisions>
    </reviewItem>
    <reviewItem>
      <errorID>4a60c8bf-d00d-49f9-b2b9-9a5e5e81e392</errorID>
      <errorWord>拌合站</errorWord>
      <group>L1_Word</group>
      <groupName>字词问题</groupName>
      <ability>L2_Typo</ability>
      <abilityName>字词错误</abilityName>
      <candidateList>
        <item>拌和站</item>
      </candidateList>
      <explain>存在发音相同字词的误用。</explain>
      <paraID>3BFE8D7E</paraID>
      <start>64</start>
      <end>67</end>
      <status>unmodified</status>
      <modifiedWord/>
      <trackRevisions>false</trackRevisions>
    </reviewItem>
    <reviewItem>
      <errorID>1a547520-7930-47d3-b408-a2d73a39590a</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6EE93645</paraID>
      <start>66</start>
      <end>76</end>
      <status>unmodified</status>
      <modifiedWord/>
      <trackRevisions>false</trackRevisions>
    </reviewItem>
    <reviewItem>
      <errorID>f719081f-d493-4698-8fd5-71b94c212ef7</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 D1473FF</paraID>
      <start>12</start>
      <end>22</end>
      <status>unmodified</status>
      <modifiedWord/>
      <trackRevisions>false</trackRevisions>
    </reviewItem>
    <reviewItem>
      <errorID>02735c5f-0064-4418-9db7-77a9998a663e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770B2BF1</paraID>
      <start>22</start>
      <end>23</end>
      <status>unmodified</status>
      <modifiedWord/>
      <trackRevisions>false</trackRevisions>
    </reviewItem>
    <reviewItem>
      <errorID>87430408-df23-43ae-bcdd-8cb1748106c7</errorID>
      <errorWord>新疆自治区</errorWord>
      <group>L1_Other</group>
      <groupName>其他问题</groupName>
      <ability>L2_UserTypo</ability>
      <abilityName>自定义错误</abilityName>
      <candidateList>
        <item>新疆维吾尔自治区</item>
      </candidateList>
      <explain>来自自定义错词库。</explain>
      <paraID>770B2BF1</paraID>
      <start>35</start>
      <end>40</end>
      <status>unmodified</status>
      <modifiedWord/>
      <trackRevisions>false</trackRevisions>
    </reviewItem>
    <reviewItem>
      <errorID>230b37db-a627-40ae-a5ce-a78c46effe9c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1B41ED7C</paraID>
      <start>135</start>
      <end>136</end>
      <status>unmodified</status>
      <modifiedWord/>
      <trackRevisions>false</trackRevisions>
    </reviewItem>
    <reviewItem>
      <errorID>b57490e5-6672-479f-b020-f82b2eef9633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7A7EFDF1</paraID>
      <start>156</start>
      <end>157</end>
      <status>unmodified</status>
      <modifiedWord/>
      <trackRevisions>false</trackRevisions>
    </reviewItem>
    <reviewItem>
      <errorID>0ded3cd6-3b0b-4b95-bdf0-880cdcc7a23f</errorID>
      <errorWord>)</errorWord>
      <group>L1_Format</group>
      <groupName>格式问题</groupName>
      <ability>L2_HalfPunc_CN</ability>
      <abilityName>全半角问题</abilityName>
      <candidateList>
        <item>）</item>
      </candidateList>
      <explain>文本全半角错误。</explain>
      <paraID>6821B335</paraID>
      <start>6</start>
      <end>7</end>
      <status>unmodified</status>
      <modifiedWord/>
      <trackRevisions>false</trackRevisions>
    </reviewItem>
    <reviewItem>
      <errorID>b5c15bc3-a5e1-475e-8f16-0a040c213fe2</errorID>
      <errorWord>，</errorWord>
      <group>L1_Format</group>
      <groupName>格式问题</groupName>
      <ability>L2_HalfPunc_CN</ability>
      <abilityName>全半角问题</abilityName>
      <candidateList>
        <item>, </item>
      </candidateList>
      <explain>文本全半角错误。</explain>
      <paraID>445CABE1</paraID>
      <start>15</start>
      <end>16</end>
      <status>unmodified</status>
      <modifiedWord/>
      <trackRevisions>false</trackRevisions>
    </reviewItem>
    <reviewItem>
      <errorID>d24cdc3d-9386-4ab5-b07e-1129aaefba62</errorID>
      <errorWord>，</errorWord>
      <group>L1_Format</group>
      <groupName>格式问题</groupName>
      <ability>L2_HalfPunc_CN</ability>
      <abilityName>全半角问题</abilityName>
      <candidateList>
        <item>, </item>
      </candidateList>
      <explain>文本全半角错误。</explain>
      <paraID>708CF20D</paraID>
      <start>14</start>
      <end>15</end>
      <status>unmodified</status>
      <modifiedWord/>
      <trackRevisions>false</trackRevisions>
    </reviewItem>
    <reviewItem>
      <errorID>ef703915-1cb9-42bd-8c55-82a793963b7d</errorID>
      <errorWord>，</errorWord>
      <group>L1_Format</group>
      <groupName>格式问题</groupName>
      <ability>L2_HalfPunc_CN</ability>
      <abilityName>全半角问题</abilityName>
      <candidateList>
        <item>, </item>
      </candidateList>
      <explain>文本全半角错误。</explain>
      <paraID>6537D9E3</paraID>
      <start>15</start>
      <end>16</end>
      <status>unmodified</status>
      <modifiedWord/>
      <trackRevisions>false</trackRevisions>
    </reviewItem>
    <reviewItem>
      <errorID>fad50bff-6805-44ec-a330-fd5c5364ca87</errorID>
      <errorWord>，</errorWord>
      <group>L1_Format</group>
      <groupName>格式问题</groupName>
      <ability>L2_HalfPunc_CN</ability>
      <abilityName>全半角问题</abilityName>
      <candidateList>
        <item>, </item>
      </candidateList>
      <explain>文本全半角错误。</explain>
      <paraID>61D3B578</paraID>
      <start>14</start>
      <end>15</end>
      <status>unmodified</status>
      <modifiedWord/>
      <trackRevisions>false</trackRevisions>
    </reviewItem>
    <reviewItem>
      <errorID>77cf7204-8254-4468-ab97-977acce097f5</errorID>
      <errorWord>（</errorWord>
      <group>L1_Format</group>
      <groupName>格式问题</groupName>
      <ability>L2_HalfPunc_CN</ability>
      <abilityName>全半角问题</abilityName>
      <candidateList>
        <item>(</item>
      </candidateList>
      <explain>文本全半角错误。</explain>
      <paraID> 7F9C92E</paraID>
      <start>2</start>
      <end>3</end>
      <status>unmodified</status>
      <modifiedWord/>
      <trackRevisions>false</trackRevisions>
    </reviewItem>
    <reviewItem>
      <errorID>cf6f3854-55a7-4936-b39e-1603f74f27d8</errorID>
      <errorWord>）</errorWord>
      <group>L1_Format</group>
      <groupName>格式问题</groupName>
      <ability>L2_HalfPunc_CN</ability>
      <abilityName>全半角问题</abilityName>
      <candidateList>
        <item>)</item>
      </candidateList>
      <explain>文本全半角错误。</explain>
      <paraID> 7F9C92E</paraID>
      <start>9</start>
      <end>10</end>
      <status>unmodified</status>
      <modifiedWord/>
      <trackRevisions>false</trackRevisions>
    </reviewItem>
    <reviewItem>
      <errorID>fe72b74b-481a-484f-b7a8-ebc1f07f0369</errorID>
      <errorWord>（</errorWord>
      <group>L1_Format</group>
      <groupName>格式问题</groupName>
      <ability>L2_HalfPunc_CN</ability>
      <abilityName>全半角问题</abilityName>
      <candidateList>
        <item>(</item>
      </candidateList>
      <explain>文本全半角错误。</explain>
      <paraID>2349ABC9</paraID>
      <start>2</start>
      <end>3</end>
      <status>unmodified</status>
      <modifiedWord/>
      <trackRevisions>false</trackRevisions>
    </reviewItem>
    <reviewItem>
      <errorID>35d8663d-2218-4f2a-92e3-bf7ca6d796c0</errorID>
      <errorWord>）</errorWord>
      <group>L1_Format</group>
      <groupName>格式问题</groupName>
      <ability>L2_HalfPunc_CN</ability>
      <abilityName>全半角问题</abilityName>
      <candidateList>
        <item>)</item>
      </candidateList>
      <explain>文本全半角错误。</explain>
      <paraID>2349ABC9</paraID>
      <start>9</start>
      <end>10</end>
      <status>unmodified</status>
      <modifiedWord/>
      <trackRevisions>false</trackRevisions>
    </reviewItem>
    <reviewItem>
      <errorID>b6520fe7-1a9c-4fd6-a45c-8b6c8c22014c</errorID>
      <errorWord>（</errorWord>
      <group>L1_Format</group>
      <groupName>格式问题</groupName>
      <ability>L2_HalfPunc_CN</ability>
      <abilityName>全半角问题</abilityName>
      <candidateList>
        <item>(</item>
      </candidateList>
      <explain>文本全半角错误。</explain>
      <paraID>501AC990</paraID>
      <start>3</start>
      <end>4</end>
      <status>unmodified</status>
      <modifiedWord/>
      <trackRevisions>false</trackRevisions>
    </reviewItem>
    <reviewItem>
      <errorID>319ae986-5b4b-474d-9176-d457a2af959d</errorID>
      <errorWord>）</errorWord>
      <group>L1_Format</group>
      <groupName>格式问题</groupName>
      <ability>L2_HalfPunc_CN</ability>
      <abilityName>全半角问题</abilityName>
      <candidateList>
        <item>)</item>
      </candidateList>
      <explain>文本全半角错误。</explain>
      <paraID>501AC990</paraID>
      <start>10</start>
      <end>11</end>
      <status>unmodified</status>
      <modifiedWord/>
      <trackRevisions>false</trackRevisions>
    </reviewItem>
    <reviewItem>
      <errorID>8c2f25ac-de93-4b09-9d07-39230c892b70</errorID>
      <errorWord>（</errorWord>
      <group>L1_Format</group>
      <groupName>格式问题</groupName>
      <ability>L2_HalfPunc_CN</ability>
      <abilityName>全半角问题</abilityName>
      <candidateList>
        <item>(</item>
      </candidateList>
      <explain>文本全半角错误。</explain>
      <paraID>19035714</paraID>
      <start>6</start>
      <end>7</end>
      <status>unmodified</status>
      <modifiedWord/>
      <trackRevisions>false</trackRevisions>
    </reviewItem>
    <reviewItem>
      <errorID>3e21eb9c-a418-4af2-a2aa-1dad83fd0b2a</errorID>
      <errorWord>）</errorWord>
      <group>L1_Format</group>
      <groupName>格式问题</groupName>
      <ability>L2_HalfPunc_CN</ability>
      <abilityName>全半角问题</abilityName>
      <candidateList>
        <item>)</item>
      </candidateList>
      <explain>文本全半角错误。</explain>
      <paraID>19035714</paraID>
      <start>13</start>
      <end>14</end>
      <status>unmodified</status>
      <modifiedWord/>
      <trackRevisions>false</trackRevisions>
    </reviewItem>
    <reviewItem>
      <errorID>5383718b-1c34-4b8b-a09e-0c3ea1fded86</errorID>
      <errorWord>（</errorWord>
      <group>L1_Format</group>
      <groupName>格式问题</groupName>
      <ability>L2_HalfPunc_CN</ability>
      <abilityName>全半角问题</abilityName>
      <candidateList>
        <item>(</item>
      </candidateList>
      <explain>文本全半角错误。</explain>
      <paraID>33DBD196</paraID>
      <start>2</start>
      <end>3</end>
      <status>unmodified</status>
      <modifiedWord/>
      <trackRevisions>false</trackRevisions>
    </reviewItem>
    <reviewItem>
      <errorID>5ea0bce4-56a5-4257-962c-f7a957809e25</errorID>
      <errorWord>）</errorWord>
      <group>L1_Format</group>
      <groupName>格式问题</groupName>
      <ability>L2_HalfPunc_CN</ability>
      <abilityName>全半角问题</abilityName>
      <candidateList>
        <item>)</item>
      </candidateList>
      <explain>文本全半角错误。</explain>
      <paraID>33DBD196</paraID>
      <start>9</start>
      <end>10</end>
      <status>unmodified</status>
      <modifiedWord/>
      <trackRevisions>false</trackRevisions>
    </reviewItem>
    <reviewItem>
      <errorID>47e6b560-3fad-4351-88c3-25e4cff2f5d3</errorID>
      <errorWord>（</errorWord>
      <group>L1_Format</group>
      <groupName>格式问题</groupName>
      <ability>L2_HalfPunc_CN</ability>
      <abilityName>全半角问题</abilityName>
      <candidateList>
        <item>(</item>
      </candidateList>
      <explain>文本全半角错误。</explain>
      <paraID>310707EB</paraID>
      <start>3</start>
      <end>4</end>
      <status>unmodified</status>
      <modifiedWord/>
      <trackRevisions>false</trackRevisions>
    </reviewItem>
    <reviewItem>
      <errorID>bfd655c7-a321-4a2f-93d1-825dd8e82654</errorID>
      <errorWord>）</errorWord>
      <group>L1_Format</group>
      <groupName>格式问题</groupName>
      <ability>L2_HalfPunc_CN</ability>
      <abilityName>全半角问题</abilityName>
      <candidateList>
        <item>)</item>
      </candidateList>
      <explain>文本全半角错误。</explain>
      <paraID>310707EB</paraID>
      <start>7</start>
      <end>8</end>
      <status>unmodified</status>
      <modifiedWord/>
      <trackRevisions>false</trackRevisions>
    </reviewItem>
    <reviewItem>
      <errorID>7f5ab88e-cab9-46b3-9db5-776237c0e90a</errorID>
      <errorWord>（</errorWord>
      <group>L1_Format</group>
      <groupName>格式问题</groupName>
      <ability>L2_HalfPunc_CN</ability>
      <abilityName>全半角问题</abilityName>
      <candidateList>
        <item>(</item>
      </candidateList>
      <explain>文本全半角错误。</explain>
      <paraID> 99761B3</paraID>
      <start>2</start>
      <end>3</end>
      <status>unmodified</status>
      <modifiedWord/>
      <trackRevisions>false</trackRevisions>
    </reviewItem>
    <reviewItem>
      <errorID>77b12827-8a38-4322-8d53-30466e02e125</errorID>
      <errorWord>）</errorWord>
      <group>L1_Format</group>
      <groupName>格式问题</groupName>
      <ability>L2_HalfPunc_CN</ability>
      <abilityName>全半角问题</abilityName>
      <candidateList>
        <item>)</item>
      </candidateList>
      <explain>文本全半角错误。</explain>
      <paraID> 99761B3</paraID>
      <start>9</start>
      <end>10</end>
      <status>unmodified</status>
      <modifiedWord/>
      <trackRevisions>false</trackRevisions>
    </reviewItem>
    <reviewItem>
      <errorID>f1486b47-a0f9-496b-a426-76bc30418e2f</errorID>
      <errorWord>（</errorWord>
      <group>L1_Format</group>
      <groupName>格式问题</groupName>
      <ability>L2_HalfPunc_CN</ability>
      <abilityName>全半角问题</abilityName>
      <candidateList>
        <item>(</item>
      </candidateList>
      <explain>文本全半角错误。</explain>
      <paraID>7EABC789</paraID>
      <start>4</start>
      <end>5</end>
      <status>unmodified</status>
      <modifiedWord/>
      <trackRevisions>false</trackRevisions>
    </reviewItem>
    <reviewItem>
      <errorID>e53bcdfc-4ad2-403e-b44c-0ac3b884ca3c</errorID>
      <errorWord>）</errorWord>
      <group>L1_Format</group>
      <groupName>格式问题</groupName>
      <ability>L2_HalfPunc_CN</ability>
      <abilityName>全半角问题</abilityName>
      <candidateList>
        <item>)</item>
      </candidateList>
      <explain>文本全半角错误。</explain>
      <paraID>7EABC789</paraID>
      <start>6</start>
      <end>7</end>
      <status>unmodified</status>
      <modifiedWord/>
      <trackRevisions>false</trackRevisions>
    </reviewItem>
    <reviewItem>
      <errorID>97022c52-ec0a-412e-9577-832921051421</errorID>
      <errorWord>（</errorWord>
      <group>L1_Format</group>
      <groupName>格式问题</groupName>
      <ability>L2_HalfPunc_CN</ability>
      <abilityName>全半角问题</abilityName>
      <candidateList>
        <item>(</item>
      </candidateList>
      <explain>文本全半角错误。</explain>
      <paraID>214E3F3D</paraID>
      <start>4</start>
      <end>5</end>
      <status>unmodified</status>
      <modifiedWord/>
      <trackRevisions>false</trackRevisions>
    </reviewItem>
    <reviewItem>
      <errorID>c6b782a6-dc64-4bee-ac4c-da90fc67f5d8</errorID>
      <errorWord>）</errorWord>
      <group>L1_Format</group>
      <groupName>格式问题</groupName>
      <ability>L2_HalfPunc_CN</ability>
      <abilityName>全半角问题</abilityName>
      <candidateList>
        <item>)</item>
      </candidateList>
      <explain>文本全半角错误。</explain>
      <paraID>214E3F3D</paraID>
      <start>6</start>
      <end>7</end>
      <status>unmodified</status>
      <modifiedWord/>
      <trackRevisions>false</trackRevisions>
    </reviewItem>
    <reviewItem>
      <errorID>d4c315fd-3120-4b76-9e1e-126286453b4a</errorID>
      <errorWord>（</errorWord>
      <group>L1_Format</group>
      <groupName>格式问题</groupName>
      <ability>L2_HalfPunc_CN</ability>
      <abilityName>全半角问题</abilityName>
      <candidateList>
        <item>(</item>
      </candidateList>
      <explain>文本全半角错误。</explain>
      <paraID>2BBD66C8</paraID>
      <start>7</start>
      <end>8</end>
      <status>unmodified</status>
      <modifiedWord/>
      <trackRevisions>false</trackRevisions>
    </reviewItem>
    <reviewItem>
      <errorID>285d243c-3d33-4823-afcc-404ce5a08ee3</errorID>
      <errorWord>）（</errorWord>
      <group>L1_Format</group>
      <groupName>格式问题</groupName>
      <ability>L2_HalfPunc_CN</ability>
      <abilityName>全半角问题</abilityName>
      <candidateList>
        <item>)(</item>
      </candidateList>
      <explain>文本全半角错误。</explain>
      <paraID>2BBD66C8</paraID>
      <start>11</start>
      <end>13</end>
      <status>unmodified</status>
      <modifiedWord/>
      <trackRevisions>false</trackRevisions>
    </reviewItem>
    <reviewItem>
      <errorID>062380c6-6dce-445d-a413-a03e3485c502</errorID>
      <errorWord>）</errorWord>
      <group>L1_Format</group>
      <groupName>格式问题</groupName>
      <ability>L2_HalfPunc_CN</ability>
      <abilityName>全半角问题</abilityName>
      <candidateList>
        <item>)</item>
      </candidateList>
      <explain>文本全半角错误。</explain>
      <paraID>2BBD66C8</paraID>
      <start>18</start>
      <end>19</end>
      <status>unmodified</status>
      <modifiedWord/>
      <trackRevisions>false</trackRevisions>
    </reviewItem>
    <reviewItem>
      <errorID>4ccfdeb4-0294-4896-9ecc-3b7f187ca2cd</errorID>
      <errorWord>（</errorWord>
      <group>L1_Format</group>
      <groupName>格式问题</groupName>
      <ability>L2_HalfPunc_CN</ability>
      <abilityName>全半角问题</abilityName>
      <candidateList>
        <item>(</item>
      </candidateList>
      <explain>文本全半角错误。</explain>
      <paraID>2BBD66C8</paraID>
      <start>23</start>
      <end>24</end>
      <status>unmodified</status>
      <modifiedWord/>
      <trackRevisions>false</trackRevisions>
    </reviewItem>
    <reviewItem>
      <errorID>8d2af712-e2d0-4505-b33b-ad0af6128039</errorID>
      <errorWord>）</errorWord>
      <group>L1_Format</group>
      <groupName>格式问题</groupName>
      <ability>L2_HalfPunc_CN</ability>
      <abilityName>全半角问题</abilityName>
      <candidateList>
        <item>)</item>
      </candidateList>
      <explain>文本全半角错误。</explain>
      <paraID>2BBD66C8</paraID>
      <start>29</start>
      <end>30</end>
      <status>unmodified</status>
      <modifiedWord/>
      <trackRevisions>false</trackRevisions>
    </reviewItem>
    <reviewItem>
      <errorID>30441238-84fe-464e-ade6-9056f3b23eb5</errorID>
      <errorWord>（</errorWord>
      <group>L1_Format</group>
      <groupName>格式问题</groupName>
      <ability>L2_HalfPunc_CN</ability>
      <abilityName>全半角问题</abilityName>
      <candidateList>
        <item>(</item>
      </candidateList>
      <explain>文本全半角错误。</explain>
      <paraID>6D0FC285</paraID>
      <start>3</start>
      <end>4</end>
      <status>unmodified</status>
      <modifiedWord/>
      <trackRevisions>false</trackRevisions>
    </reviewItem>
    <reviewItem>
      <errorID>2f709dbd-b9c3-418b-a775-f1a1359dce8d</errorID>
      <errorWord>）</errorWord>
      <group>L1_Format</group>
      <groupName>格式问题</groupName>
      <ability>L2_HalfPunc_CN</ability>
      <abilityName>全半角问题</abilityName>
      <candidateList>
        <item>)</item>
      </candidateList>
      <explain>文本全半角错误。</explain>
      <paraID>6D0FC285</paraID>
      <start>9</start>
      <end>10</end>
      <status>unmodified</status>
      <modifiedWord/>
      <trackRevisions>false</trackRevisions>
    </reviewItem>
    <reviewItem>
      <errorID>39db8de5-698b-4c86-af57-ba673a15d57e</errorID>
      <errorWord>（</errorWord>
      <group>L1_Format</group>
      <groupName>格式问题</groupName>
      <ability>L2_HalfPunc_CN</ability>
      <abilityName>全半角问题</abilityName>
      <candidateList>
        <item>(</item>
      </candidateList>
      <explain>文本全半角错误。</explain>
      <paraID>3DEB2852</paraID>
      <start>3</start>
      <end>4</end>
      <status>unmodified</status>
      <modifiedWord/>
      <trackRevisions>false</trackRevisions>
    </reviewItem>
    <reviewItem>
      <errorID>906e4e53-7db8-4a7e-990f-cd8f15971da1</errorID>
      <errorWord>）</errorWord>
      <group>L1_Format</group>
      <groupName>格式问题</groupName>
      <ability>L2_HalfPunc_CN</ability>
      <abilityName>全半角问题</abilityName>
      <candidateList>
        <item>)</item>
      </candidateList>
      <explain>文本全半角错误。</explain>
      <paraID>3DEB2852</paraID>
      <start>9</start>
      <end>10</end>
      <status>unmodified</status>
      <modifiedWord/>
      <trackRevisions>false</trackRevisions>
    </reviewItem>
    <reviewItem>
      <errorID>1a47f8bc-7ba8-40e0-9b21-999e88b4f7a9</errorID>
      <errorWord>（</errorWord>
      <group>L1_Format</group>
      <groupName>格式问题</groupName>
      <ability>L2_HalfPunc_CN</ability>
      <abilityName>全半角问题</abilityName>
      <candidateList>
        <item>(</item>
      </candidateList>
      <explain>文本全半角错误。</explain>
      <paraID>4E64C948</paraID>
      <start>3</start>
      <end>4</end>
      <status>unmodified</status>
      <modifiedWord/>
      <trackRevisions>false</trackRevisions>
    </reviewItem>
    <reviewItem>
      <errorID>5b221a42-f25c-4c1f-ba6b-be1e87bbccf9</errorID>
      <errorWord>）</errorWord>
      <group>L1_Format</group>
      <groupName>格式问题</groupName>
      <ability>L2_HalfPunc_CN</ability>
      <abilityName>全半角问题</abilityName>
      <candidateList>
        <item>)</item>
      </candidateList>
      <explain>文本全半角错误。</explain>
      <paraID>4E64C948</paraID>
      <start>9</start>
      <end>10</end>
      <status>unmodified</status>
      <modifiedWord/>
      <trackRevisions>false</trackRevisions>
    </reviewItem>
    <reviewItem>
      <errorID>8d39b66b-29bd-4f89-bffa-756b8f2c388a</errorID>
      <errorWord>（</errorWord>
      <group>L1_Format</group>
      <groupName>格式问题</groupName>
      <ability>L2_HalfPunc_CN</ability>
      <abilityName>全半角问题</abilityName>
      <candidateList>
        <item>(</item>
      </candidateList>
      <explain>文本全半角错误。</explain>
      <paraID>135B9332</paraID>
      <start>3</start>
      <end>4</end>
      <status>unmodified</status>
      <modifiedWord/>
      <trackRevisions>false</trackRevisions>
    </reviewItem>
    <reviewItem>
      <errorID>567138e8-29a5-4678-a0a2-bc8de4752f16</errorID>
      <errorWord>）</errorWord>
      <group>L1_Format</group>
      <groupName>格式问题</groupName>
      <ability>L2_HalfPunc_CN</ability>
      <abilityName>全半角问题</abilityName>
      <candidateList>
        <item>)</item>
      </candidateList>
      <explain>文本全半角错误。</explain>
      <paraID>135B9332</paraID>
      <start>9</start>
      <end>10</end>
      <status>unmodified</status>
      <modifiedWord/>
      <trackRevisions>false</trackRevisions>
    </reviewItem>
    <reviewItem>
      <errorID>f3e9207f-5216-4f53-9a8b-4696c414578c</errorID>
      <errorWord>（</errorWord>
      <group>L1_Format</group>
      <groupName>格式问题</groupName>
      <ability>L2_HalfPunc_CN</ability>
      <abilityName>全半角问题</abilityName>
      <candidateList>
        <item>(</item>
      </candidateList>
      <explain>文本全半角错误。</explain>
      <paraID>7444C8FF</paraID>
      <start>3</start>
      <end>4</end>
      <status>unmodified</status>
      <modifiedWord/>
      <trackRevisions>false</trackRevisions>
    </reviewItem>
    <reviewItem>
      <errorID>3d36a6a8-249f-4918-b326-8058f16352f6</errorID>
      <errorWord>）</errorWord>
      <group>L1_Format</group>
      <groupName>格式问题</groupName>
      <ability>L2_HalfPunc_CN</ability>
      <abilityName>全半角问题</abilityName>
      <candidateList>
        <item>)</item>
      </candidateList>
      <explain>文本全半角错误。</explain>
      <paraID>7444C8FF</paraID>
      <start>9</start>
      <end>10</end>
      <status>unmodified</status>
      <modifiedWord/>
      <trackRevisions>false</trackRevisions>
    </reviewItem>
    <reviewItem>
      <errorID>be40803f-7b72-4a41-bc11-20d2b43f31d8</errorID>
      <errorWord>（</errorWord>
      <group>L1_Format</group>
      <groupName>格式问题</groupName>
      <ability>L2_HalfPunc_CN</ability>
      <abilityName>全半角问题</abilityName>
      <candidateList>
        <item>(</item>
      </candidateList>
      <explain>文本全半角错误。</explain>
      <paraID>56CDA695</paraID>
      <start>3</start>
      <end>4</end>
      <status>unmodified</status>
      <modifiedWord/>
      <trackRevisions>false</trackRevisions>
    </reviewItem>
    <reviewItem>
      <errorID>dc2a3608-1831-4273-8351-a241afeff22e</errorID>
      <errorWord>）</errorWord>
      <group>L1_Format</group>
      <groupName>格式问题</groupName>
      <ability>L2_HalfPunc_CN</ability>
      <abilityName>全半角问题</abilityName>
      <candidateList>
        <item>)</item>
      </candidateList>
      <explain>文本全半角错误。</explain>
      <paraID>56CDA695</paraID>
      <start>9</start>
      <end>10</end>
      <status>unmodified</status>
      <modifiedWord/>
      <trackRevisions>false</trackRevisions>
    </reviewItem>
    <reviewItem>
      <errorID>3b838e11-3e94-4552-8925-7dc793556cd3</errorID>
      <errorWord>（</errorWord>
      <group>L1_Format</group>
      <groupName>格式问题</groupName>
      <ability>L2_HalfPunc_CN</ability>
      <abilityName>全半角问题</abilityName>
      <candidateList>
        <item>(</item>
      </candidateList>
      <explain>文本全半角错误。</explain>
      <paraID>36653A41</paraID>
      <start>1</start>
      <end>2</end>
      <status>unmodified</status>
      <modifiedWord/>
      <trackRevisions>false</trackRevisions>
    </reviewItem>
    <reviewItem>
      <errorID>955aee8f-d470-4b32-a4ea-edac4bae6f74</errorID>
      <errorWord>）</errorWord>
      <group>L1_Format</group>
      <groupName>格式问题</groupName>
      <ability>L2_HalfPunc_CN</ability>
      <abilityName>全半角问题</abilityName>
      <candidateList>
        <item>)</item>
      </candidateList>
      <explain>文本全半角错误。</explain>
      <paraID>36653A41</paraID>
      <start>7</start>
      <end>8</end>
      <status>unmodified</status>
      <modifiedWord/>
      <trackRevisions>false</trackRevisions>
    </reviewItem>
    <reviewItem>
      <errorID>ac1f06c7-23c5-447b-844a-008684bceaf6</errorID>
      <errorWord>（</errorWord>
      <group>L1_Format</group>
      <groupName>格式问题</groupName>
      <ability>L2_HalfPunc_CN</ability>
      <abilityName>全半角问题</abilityName>
      <candidateList>
        <item>(</item>
      </candidateList>
      <explain>文本全半角错误。</explain>
      <paraID>41EA1C1A</paraID>
      <start>2</start>
      <end>3</end>
      <status>unmodified</status>
      <modifiedWord/>
      <trackRevisions>false</trackRevisions>
    </reviewItem>
    <reviewItem>
      <errorID>600714d1-d20d-411f-9b5a-c8eb6010f0fa</errorID>
      <errorWord>）</errorWord>
      <group>L1_Format</group>
      <groupName>格式问题</groupName>
      <ability>L2_HalfPunc_CN</ability>
      <abilityName>全半角问题</abilityName>
      <candidateList>
        <item>)</item>
      </candidateList>
      <explain>文本全半角错误。</explain>
      <paraID>41EA1C1A</paraID>
      <start>8</start>
      <end>9</end>
      <status>unmodified</status>
      <modifiedWord/>
      <trackRevisions>false</trackRevisions>
    </reviewItem>
    <reviewItem>
      <errorID>2b3d34e4-b090-48c8-9eb8-85d661558b47</errorID>
      <errorWord>（</errorWord>
      <group>L1_Format</group>
      <groupName>格式问题</groupName>
      <ability>L2_HalfPunc_CN</ability>
      <abilityName>全半角问题</abilityName>
      <candidateList>
        <item>(</item>
      </candidateList>
      <explain>文本全半角错误。</explain>
      <paraID>30C653EA</paraID>
      <start>2</start>
      <end>3</end>
      <status>unmodified</status>
      <modifiedWord/>
      <trackRevisions>false</trackRevisions>
    </reviewItem>
    <reviewItem>
      <errorID>fc51d68e-e40e-493c-917f-72087577bf8b</errorID>
      <errorWord>）</errorWord>
      <group>L1_Format</group>
      <groupName>格式问题</groupName>
      <ability>L2_HalfPunc_CN</ability>
      <abilityName>全半角问题</abilityName>
      <candidateList>
        <item>)</item>
      </candidateList>
      <explain>文本全半角错误。</explain>
      <paraID>30C653EA</paraID>
      <start>8</start>
      <end>9</end>
      <status>unmodified</status>
      <modifiedWord/>
      <trackRevisions>false</trackRevisions>
    </reviewItem>
    <reviewItem>
      <errorID>6f028bff-9ef1-440e-99bb-4a5e01209d31</errorID>
      <errorWord>（</errorWord>
      <group>L1_Format</group>
      <groupName>格式问题</groupName>
      <ability>L2_HalfPunc_CN</ability>
      <abilityName>全半角问题</abilityName>
      <candidateList>
        <item>(</item>
      </candidateList>
      <explain>文本全半角错误。</explain>
      <paraID>1824D94E</paraID>
      <start>2</start>
      <end>3</end>
      <status>unmodified</status>
      <modifiedWord/>
      <trackRevisions>false</trackRevisions>
    </reviewItem>
    <reviewItem>
      <errorID>73664166-e962-4066-802a-a4d28bc6c7bb</errorID>
      <errorWord>）</errorWord>
      <group>L1_Format</group>
      <groupName>格式问题</groupName>
      <ability>L2_HalfPunc_CN</ability>
      <abilityName>全半角问题</abilityName>
      <candidateList>
        <item>)</item>
      </candidateList>
      <explain>文本全半角错误。</explain>
      <paraID>1824D94E</paraID>
      <start>8</start>
      <end>9</end>
      <status>unmodified</status>
      <modifiedWord/>
      <trackRevisions>false</trackRevisions>
    </reviewItem>
    <reviewItem>
      <errorID>f0b3a90b-41f5-46c7-9a91-2c9cdc0b8c57</errorID>
      <errorWord>，</errorWord>
      <group>L1_Word</group>
      <groupName>字词问题</groupName>
      <ability>L2_Typo</ability>
      <abilityName>字词错误</abilityName>
      <candidateList>
        <item>，在</item>
      </candidateList>
      <explain/>
      <paraID>72540997</paraID>
      <start>200</start>
      <end>202</end>
      <status>modified</status>
      <modifiedWord>，在</modifiedWord>
      <trackRevisions>false</trackRevisions>
    </reviewItem>
    <reviewItem>
      <errorID>d054c813-dd4a-4946-8126-53a7210d4d4f</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3BE3DA14</paraID>
      <start>116</start>
      <end>124</end>
      <status>modified</status>
      <modifiedWord>饮用水水源保护区</modifiedWord>
      <trackRevisions>false</trackRevisions>
    </reviewItem>
    <reviewItem>
      <errorID>c508cbe5-8181-4ccb-9b97-181f8ece65c4</errorID>
      <errorWord>对对</errorWord>
      <group>L1_Word</group>
      <groupName>字词问题</groupName>
      <ability>L2_Typo</ability>
      <abilityName>字词错误</abilityName>
      <candidateList>
        <item>对</item>
      </candidateList>
      <explain/>
      <paraID>69D619D4</paraID>
      <start>48</start>
      <end>49</end>
      <status>modified</status>
      <modifiedWord>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de06c9-3632-4e1f-b28e-3e1a15eb248e}">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51</Pages>
  <Words>11603</Words>
  <Characters>11972</Characters>
  <Lines>9</Lines>
  <Paragraphs>2</Paragraphs>
  <TotalTime>4</TotalTime>
  <ScaleCrop>false</ScaleCrop>
  <LinksUpToDate>false</LinksUpToDate>
  <CharactersWithSpaces>12056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白歇</cp:lastModifiedBy>
  <cp:lastPrinted>2020-12-24T01:50:00Z</cp:lastPrinted>
  <dcterms:modified xsi:type="dcterms:W3CDTF">2026-09-22T15:44:48Z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eyJoZGlkIjoiYmYxOTllZGU5YWU2ZWYwNGQ5NjA4MWIwMTBlN2M1NjQiLCJ1c2VySWQiOiI5NzUxNzYyNjQifQ==</vt:lpwstr>
  </property>
  <property fmtid="{D5CDD505-2E9C-101B-9397-08002B2CF9AE}" pid="4" name="ICV">
    <vt:lpwstr>13B7C70AD87C41B6BEA82EE91B3A71FC_13</vt:lpwstr>
  </property>
</Properties>
</file>