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720"/>
        <w:jc w:val="center"/>
        <w:rPr>
          <w:rFonts w:hint="eastAsia" w:eastAsia="仿宋_GB2312"/>
          <w:color w:val="auto"/>
          <w:spacing w:val="0"/>
          <w:sz w:val="36"/>
          <w:szCs w:val="36"/>
          <w:lang w:val="en-US" w:eastAsia="zh-CN"/>
        </w:rPr>
      </w:pPr>
    </w:p>
    <w:p>
      <w:pPr>
        <w:ind w:firstLine="720"/>
        <w:jc w:val="center"/>
        <w:rPr>
          <w:rFonts w:eastAsia="仿宋_GB2312"/>
          <w:color w:val="auto"/>
          <w:spacing w:val="0"/>
          <w:sz w:val="36"/>
          <w:szCs w:val="36"/>
        </w:rPr>
      </w:pPr>
    </w:p>
    <w:p>
      <w:pPr>
        <w:ind w:firstLine="0" w:firstLineChars="0"/>
        <w:jc w:val="center"/>
        <w:outlineLvl w:val="0"/>
        <w:rPr>
          <w:rFonts w:ascii="宋体" w:hAnsi="宋体" w:eastAsia="宋体"/>
          <w:b/>
          <w:color w:val="auto"/>
          <w:spacing w:val="-23"/>
          <w:w w:val="98"/>
          <w:sz w:val="72"/>
          <w:szCs w:val="72"/>
        </w:rPr>
      </w:pPr>
      <w:r>
        <w:rPr>
          <w:rFonts w:hint="eastAsia" w:ascii="宋体" w:hAnsi="宋体" w:eastAsia="宋体"/>
          <w:b/>
          <w:color w:val="auto"/>
          <w:spacing w:val="-23"/>
          <w:w w:val="98"/>
          <w:sz w:val="72"/>
          <w:szCs w:val="72"/>
        </w:rPr>
        <w:t>建设项目</w:t>
      </w:r>
      <w:r>
        <w:rPr>
          <w:rFonts w:hint="eastAsia" w:ascii="宋体" w:hAnsi="宋体" w:eastAsia="宋体"/>
          <w:b/>
          <w:color w:val="auto"/>
          <w:spacing w:val="-23"/>
          <w:w w:val="98"/>
          <w:sz w:val="72"/>
          <w:szCs w:val="72"/>
          <w:lang w:val="en-US" w:eastAsia="zh-CN"/>
        </w:rPr>
        <w:t>生态</w:t>
      </w:r>
      <w:r>
        <w:rPr>
          <w:rFonts w:hint="eastAsia" w:ascii="宋体" w:hAnsi="宋体" w:eastAsia="宋体"/>
          <w:b/>
          <w:color w:val="auto"/>
          <w:spacing w:val="-23"/>
          <w:w w:val="98"/>
          <w:sz w:val="72"/>
          <w:szCs w:val="72"/>
        </w:rPr>
        <w:t>环境影响报告表</w:t>
      </w:r>
    </w:p>
    <w:p>
      <w:pPr>
        <w:ind w:firstLine="0" w:firstLineChars="0"/>
        <w:jc w:val="center"/>
        <w:outlineLvl w:val="0"/>
        <w:rPr>
          <w:rFonts w:ascii="宋体" w:hAnsi="宋体" w:eastAsia="宋体"/>
          <w:b/>
          <w:color w:val="auto"/>
          <w:spacing w:val="0"/>
          <w:sz w:val="52"/>
          <w:szCs w:val="52"/>
        </w:rPr>
      </w:pPr>
      <w:r>
        <w:rPr>
          <w:rFonts w:hint="eastAsia" w:ascii="宋体" w:hAnsi="宋体" w:eastAsia="宋体"/>
          <w:b/>
          <w:color w:val="auto"/>
          <w:spacing w:val="0"/>
          <w:sz w:val="52"/>
          <w:szCs w:val="52"/>
        </w:rPr>
        <w:t>（污染影响类）</w:t>
      </w:r>
    </w:p>
    <w:p>
      <w:pPr>
        <w:ind w:firstLine="880"/>
        <w:jc w:val="center"/>
        <w:rPr>
          <w:rFonts w:eastAsia="华文仿宋"/>
          <w:color w:val="auto"/>
          <w:spacing w:val="0"/>
          <w:kern w:val="44"/>
          <w:sz w:val="44"/>
          <w:szCs w:val="44"/>
        </w:rPr>
      </w:pPr>
    </w:p>
    <w:p>
      <w:pPr>
        <w:ind w:firstLine="880"/>
        <w:jc w:val="center"/>
        <w:rPr>
          <w:rFonts w:eastAsia="仿宋"/>
          <w:color w:val="auto"/>
          <w:spacing w:val="0"/>
          <w:sz w:val="44"/>
          <w:szCs w:val="44"/>
        </w:rPr>
      </w:pPr>
    </w:p>
    <w:p>
      <w:pPr>
        <w:ind w:firstLine="880"/>
        <w:jc w:val="center"/>
        <w:rPr>
          <w:rFonts w:eastAsia="仿宋"/>
          <w:color w:val="auto"/>
          <w:spacing w:val="0"/>
          <w:sz w:val="44"/>
          <w:szCs w:val="44"/>
        </w:rPr>
      </w:pPr>
    </w:p>
    <w:p>
      <w:pPr>
        <w:pStyle w:val="2"/>
        <w:ind w:firstLine="880"/>
        <w:rPr>
          <w:rFonts w:eastAsia="仿宋"/>
          <w:color w:val="auto"/>
          <w:spacing w:val="0"/>
          <w:sz w:val="44"/>
          <w:szCs w:val="44"/>
        </w:rPr>
      </w:pPr>
    </w:p>
    <w:tbl>
      <w:tblPr>
        <w:tblStyle w:val="55"/>
        <w:tblpPr w:leftFromText="180" w:rightFromText="180" w:vertAnchor="text" w:horzAnchor="page" w:tblpX="1818" w:tblpY="200"/>
        <w:tblOverlap w:val="never"/>
        <w:tblW w:w="4736" w:type="pct"/>
        <w:jc w:val="center"/>
        <w:tblLayout w:type="autofit"/>
        <w:tblCellMar>
          <w:top w:w="0" w:type="dxa"/>
          <w:left w:w="108" w:type="dxa"/>
          <w:bottom w:w="0" w:type="dxa"/>
          <w:right w:w="108" w:type="dxa"/>
        </w:tblCellMar>
      </w:tblPr>
      <w:tblGrid>
        <w:gridCol w:w="2872"/>
        <w:gridCol w:w="5710"/>
      </w:tblGrid>
      <w:tr>
        <w:trPr>
          <w:trHeight w:val="680" w:hRule="atLeast"/>
          <w:jc w:val="center"/>
        </w:trPr>
        <w:tc>
          <w:tcPr>
            <w:tcW w:w="1673" w:type="pct"/>
            <w:vAlign w:val="center"/>
          </w:tcPr>
          <w:p>
            <w:pPr>
              <w:pStyle w:val="393"/>
              <w:adjustRightInd w:val="0"/>
              <w:snapToGrid w:val="0"/>
              <w:spacing w:before="0" w:line="240" w:lineRule="auto"/>
              <w:ind w:firstLine="0" w:firstLineChars="0"/>
              <w:jc w:val="distribute"/>
              <w:rPr>
                <w:rFonts w:eastAsia="仿宋"/>
                <w:color w:val="auto"/>
                <w:spacing w:val="0"/>
                <w:sz w:val="30"/>
                <w:szCs w:val="30"/>
              </w:rPr>
            </w:pPr>
            <w:bookmarkStart w:id="0" w:name="_Hlk57884087"/>
            <w:r>
              <w:rPr>
                <w:b/>
                <w:bCs/>
                <w:color w:val="auto"/>
                <w:spacing w:val="0"/>
                <w:sz w:val="30"/>
                <w:szCs w:val="30"/>
              </w:rPr>
              <w:t>项目名称：</w:t>
            </w:r>
          </w:p>
        </w:tc>
        <w:tc>
          <w:tcPr>
            <w:tcW w:w="3326" w:type="pct"/>
            <w:vAlign w:val="center"/>
          </w:tcPr>
          <w:p>
            <w:pPr>
              <w:pStyle w:val="393"/>
              <w:adjustRightInd w:val="0"/>
              <w:snapToGrid w:val="0"/>
              <w:spacing w:before="0" w:line="240" w:lineRule="auto"/>
              <w:ind w:left="904" w:hanging="904" w:hangingChars="300"/>
              <w:rPr>
                <w:b/>
                <w:color w:val="auto"/>
                <w:spacing w:val="0"/>
                <w:sz w:val="30"/>
                <w:szCs w:val="30"/>
                <w:u w:val="single"/>
              </w:rPr>
            </w:pPr>
            <w:r>
              <w:rPr>
                <w:rFonts w:hint="eastAsia"/>
                <w:b/>
                <w:color w:val="auto"/>
                <w:spacing w:val="0"/>
                <w:sz w:val="30"/>
                <w:szCs w:val="30"/>
                <w:u w:val="single"/>
                <w:lang w:val="en-US" w:eastAsia="zh-CN"/>
              </w:rPr>
              <w:t>巴州博湖县建筑垃圾资源化利用建设</w:t>
            </w:r>
            <w:r>
              <w:rPr>
                <w:rFonts w:hint="eastAsia"/>
                <w:b/>
                <w:color w:val="auto"/>
                <w:spacing w:val="0"/>
                <w:sz w:val="30"/>
                <w:szCs w:val="30"/>
                <w:u w:val="single"/>
              </w:rPr>
              <w:t>项目</w:t>
            </w:r>
          </w:p>
        </w:tc>
      </w:tr>
      <w:tr>
        <w:tblPrEx>
          <w:tblCellMar>
            <w:top w:w="0" w:type="dxa"/>
            <w:left w:w="108" w:type="dxa"/>
            <w:bottom w:w="0" w:type="dxa"/>
            <w:right w:w="108" w:type="dxa"/>
          </w:tblCellMar>
        </w:tblPrEx>
        <w:trPr>
          <w:trHeight w:val="680" w:hRule="atLeast"/>
          <w:jc w:val="center"/>
        </w:trPr>
        <w:tc>
          <w:tcPr>
            <w:tcW w:w="1673" w:type="pct"/>
            <w:vAlign w:val="center"/>
          </w:tcPr>
          <w:p>
            <w:pPr>
              <w:pStyle w:val="393"/>
              <w:adjustRightInd w:val="0"/>
              <w:snapToGrid w:val="0"/>
              <w:spacing w:before="0" w:line="240" w:lineRule="auto"/>
              <w:ind w:firstLine="0" w:firstLineChars="0"/>
              <w:jc w:val="distribute"/>
              <w:rPr>
                <w:rFonts w:eastAsia="仿宋"/>
                <w:color w:val="auto"/>
                <w:spacing w:val="0"/>
                <w:sz w:val="30"/>
                <w:szCs w:val="30"/>
              </w:rPr>
            </w:pPr>
            <w:r>
              <w:rPr>
                <w:b/>
                <w:bCs/>
                <w:color w:val="auto"/>
                <w:spacing w:val="0"/>
                <w:sz w:val="30"/>
                <w:szCs w:val="30"/>
              </w:rPr>
              <w:t>建设单位（盖章）：</w:t>
            </w:r>
          </w:p>
        </w:tc>
        <w:tc>
          <w:tcPr>
            <w:tcW w:w="3326" w:type="pct"/>
            <w:vAlign w:val="center"/>
          </w:tcPr>
          <w:p>
            <w:pPr>
              <w:pStyle w:val="393"/>
              <w:adjustRightInd w:val="0"/>
              <w:snapToGrid w:val="0"/>
              <w:spacing w:before="0" w:line="240" w:lineRule="auto"/>
              <w:ind w:firstLine="0" w:firstLineChars="0"/>
              <w:rPr>
                <w:color w:val="auto"/>
                <w:spacing w:val="0"/>
                <w:sz w:val="30"/>
                <w:szCs w:val="30"/>
              </w:rPr>
            </w:pPr>
            <w:r>
              <w:rPr>
                <w:b/>
                <w:bCs/>
                <w:color w:val="auto"/>
                <w:spacing w:val="0"/>
                <w:sz w:val="30"/>
                <w:szCs w:val="30"/>
                <w:u w:val="single"/>
              </w:rPr>
              <w:t xml:space="preserve"> </w:t>
            </w:r>
            <w:r>
              <w:rPr>
                <w:rFonts w:hint="eastAsia"/>
                <w:b/>
                <w:color w:val="auto"/>
                <w:spacing w:val="0"/>
                <w:sz w:val="30"/>
                <w:szCs w:val="30"/>
                <w:u w:val="single"/>
                <w:lang w:val="en-US" w:eastAsia="zh-CN"/>
              </w:rPr>
              <w:t>博湖县住房和城乡建设局</w:t>
            </w:r>
            <w:r>
              <w:rPr>
                <w:b/>
                <w:bCs/>
                <w:color w:val="auto"/>
                <w:spacing w:val="0"/>
                <w:sz w:val="30"/>
                <w:szCs w:val="30"/>
                <w:u w:val="single"/>
              </w:rPr>
              <w:t xml:space="preserve">     </w:t>
            </w:r>
          </w:p>
        </w:tc>
      </w:tr>
      <w:tr>
        <w:tblPrEx>
          <w:tblCellMar>
            <w:top w:w="0" w:type="dxa"/>
            <w:left w:w="108" w:type="dxa"/>
            <w:bottom w:w="0" w:type="dxa"/>
            <w:right w:w="108" w:type="dxa"/>
          </w:tblCellMar>
        </w:tblPrEx>
        <w:trPr>
          <w:trHeight w:val="680" w:hRule="atLeast"/>
          <w:jc w:val="center"/>
        </w:trPr>
        <w:tc>
          <w:tcPr>
            <w:tcW w:w="1673" w:type="pct"/>
            <w:vAlign w:val="center"/>
          </w:tcPr>
          <w:p>
            <w:pPr>
              <w:pStyle w:val="393"/>
              <w:adjustRightInd w:val="0"/>
              <w:snapToGrid w:val="0"/>
              <w:spacing w:before="0" w:line="240" w:lineRule="auto"/>
              <w:ind w:firstLine="0" w:firstLineChars="0"/>
              <w:jc w:val="distribute"/>
              <w:rPr>
                <w:rFonts w:eastAsia="仿宋"/>
                <w:color w:val="auto"/>
                <w:spacing w:val="0"/>
                <w:sz w:val="30"/>
                <w:szCs w:val="30"/>
              </w:rPr>
            </w:pPr>
            <w:r>
              <w:rPr>
                <w:b/>
                <w:bCs/>
                <w:color w:val="auto"/>
                <w:spacing w:val="0"/>
                <w:sz w:val="30"/>
                <w:szCs w:val="30"/>
              </w:rPr>
              <w:t>编制日期：</w:t>
            </w:r>
          </w:p>
        </w:tc>
        <w:tc>
          <w:tcPr>
            <w:tcW w:w="3326" w:type="pct"/>
            <w:vAlign w:val="center"/>
          </w:tcPr>
          <w:p>
            <w:pPr>
              <w:pStyle w:val="393"/>
              <w:adjustRightInd w:val="0"/>
              <w:snapToGrid w:val="0"/>
              <w:spacing w:before="0" w:line="240" w:lineRule="auto"/>
              <w:ind w:firstLine="0" w:firstLineChars="0"/>
              <w:rPr>
                <w:b/>
                <w:color w:val="auto"/>
                <w:spacing w:val="0"/>
                <w:sz w:val="30"/>
                <w:szCs w:val="30"/>
              </w:rPr>
            </w:pPr>
            <w:r>
              <w:rPr>
                <w:b/>
                <w:bCs/>
                <w:color w:val="auto"/>
                <w:spacing w:val="0"/>
                <w:sz w:val="30"/>
                <w:szCs w:val="30"/>
                <w:u w:val="single"/>
              </w:rPr>
              <w:t xml:space="preserve">      </w:t>
            </w:r>
            <w:r>
              <w:rPr>
                <w:rFonts w:hint="eastAsia"/>
                <w:b/>
                <w:bCs/>
                <w:color w:val="auto"/>
                <w:spacing w:val="0"/>
                <w:sz w:val="30"/>
                <w:szCs w:val="30"/>
                <w:u w:val="single"/>
              </w:rPr>
              <w:t xml:space="preserve">    </w:t>
            </w:r>
            <w:r>
              <w:rPr>
                <w:b/>
                <w:bCs/>
                <w:color w:val="auto"/>
                <w:spacing w:val="0"/>
                <w:sz w:val="30"/>
                <w:szCs w:val="30"/>
                <w:u w:val="single"/>
              </w:rPr>
              <w:t>202</w:t>
            </w:r>
            <w:r>
              <w:rPr>
                <w:rFonts w:hint="eastAsia"/>
                <w:b/>
                <w:bCs/>
                <w:color w:val="auto"/>
                <w:spacing w:val="0"/>
                <w:sz w:val="30"/>
                <w:szCs w:val="30"/>
                <w:u w:val="single"/>
                <w:lang w:val="en-US" w:eastAsia="zh-CN"/>
              </w:rPr>
              <w:t>6</w:t>
            </w:r>
            <w:r>
              <w:rPr>
                <w:b/>
                <w:bCs/>
                <w:color w:val="auto"/>
                <w:spacing w:val="0"/>
                <w:sz w:val="30"/>
                <w:szCs w:val="30"/>
                <w:u w:val="single"/>
              </w:rPr>
              <w:t>年</w:t>
            </w:r>
            <w:r>
              <w:rPr>
                <w:rFonts w:hint="eastAsia"/>
                <w:b/>
                <w:bCs/>
                <w:color w:val="auto"/>
                <w:spacing w:val="0"/>
                <w:sz w:val="30"/>
                <w:szCs w:val="30"/>
                <w:u w:val="single"/>
                <w:lang w:val="en-US" w:eastAsia="zh-CN"/>
              </w:rPr>
              <w:t>10</w:t>
            </w:r>
            <w:r>
              <w:rPr>
                <w:b/>
                <w:bCs/>
                <w:color w:val="auto"/>
                <w:spacing w:val="0"/>
                <w:sz w:val="30"/>
                <w:szCs w:val="30"/>
                <w:u w:val="single"/>
              </w:rPr>
              <w:t xml:space="preserve">月 </w:t>
            </w:r>
            <w:r>
              <w:rPr>
                <w:rFonts w:hint="eastAsia"/>
                <w:b/>
                <w:bCs/>
                <w:color w:val="auto"/>
                <w:spacing w:val="0"/>
                <w:sz w:val="30"/>
                <w:szCs w:val="30"/>
                <w:u w:val="single"/>
              </w:rPr>
              <w:t xml:space="preserve">   </w:t>
            </w:r>
            <w:r>
              <w:rPr>
                <w:b/>
                <w:bCs/>
                <w:color w:val="auto"/>
                <w:spacing w:val="0"/>
                <w:sz w:val="30"/>
                <w:szCs w:val="30"/>
                <w:u w:val="single"/>
              </w:rPr>
              <w:t xml:space="preserve">  </w:t>
            </w:r>
            <w:r>
              <w:rPr>
                <w:rFonts w:hint="eastAsia"/>
                <w:b/>
                <w:bCs/>
                <w:color w:val="auto"/>
                <w:spacing w:val="0"/>
                <w:sz w:val="30"/>
                <w:szCs w:val="30"/>
                <w:u w:val="single"/>
              </w:rPr>
              <w:t xml:space="preserve">  </w:t>
            </w:r>
            <w:r>
              <w:rPr>
                <w:b/>
                <w:bCs/>
                <w:color w:val="auto"/>
                <w:spacing w:val="0"/>
                <w:sz w:val="30"/>
                <w:szCs w:val="30"/>
                <w:u w:val="single"/>
              </w:rPr>
              <w:t xml:space="preserve">     </w:t>
            </w:r>
          </w:p>
        </w:tc>
      </w:tr>
    </w:tbl>
    <w:p>
      <w:pPr>
        <w:spacing w:line="288" w:lineRule="auto"/>
        <w:ind w:firstLine="0" w:firstLineChars="0"/>
        <w:rPr>
          <w:rFonts w:ascii="仿宋_GB2312" w:hAnsi="Times New Roman" w:eastAsia="仿宋_GB2312" w:cs="Times New Roman"/>
          <w:color w:val="auto"/>
          <w:spacing w:val="0"/>
          <w:kern w:val="2"/>
          <w:sz w:val="36"/>
          <w:szCs w:val="36"/>
        </w:rPr>
      </w:pPr>
    </w:p>
    <w:p>
      <w:pPr>
        <w:spacing w:line="288" w:lineRule="auto"/>
        <w:ind w:left="0" w:leftChars="0" w:firstLine="0" w:firstLineChars="0"/>
        <w:rPr>
          <w:rFonts w:ascii="仿宋_GB2312" w:hAnsi="Times New Roman" w:eastAsia="仿宋_GB2312" w:cs="Times New Roman"/>
          <w:color w:val="auto"/>
          <w:spacing w:val="0"/>
          <w:kern w:val="2"/>
          <w:sz w:val="36"/>
          <w:szCs w:val="36"/>
        </w:rPr>
      </w:pPr>
    </w:p>
    <w:bookmarkEnd w:id="0"/>
    <w:p>
      <w:pPr>
        <w:pStyle w:val="393"/>
        <w:adjustRightInd w:val="0"/>
        <w:snapToGrid w:val="0"/>
        <w:spacing w:before="0"/>
        <w:jc w:val="both"/>
        <w:rPr>
          <w:color w:val="auto"/>
          <w:spacing w:val="0"/>
        </w:rPr>
      </w:pPr>
    </w:p>
    <w:p>
      <w:pPr>
        <w:pStyle w:val="393"/>
        <w:adjustRightInd w:val="0"/>
        <w:snapToGrid w:val="0"/>
        <w:spacing w:before="0"/>
        <w:jc w:val="both"/>
        <w:rPr>
          <w:color w:val="auto"/>
          <w:spacing w:val="0"/>
        </w:rPr>
      </w:pPr>
    </w:p>
    <w:p>
      <w:pPr>
        <w:spacing w:line="288" w:lineRule="auto"/>
        <w:ind w:firstLine="0" w:firstLineChars="0"/>
        <w:jc w:val="both"/>
        <w:rPr>
          <w:rFonts w:ascii="宋体" w:hAnsi="宋体" w:eastAsia="宋体"/>
          <w:b/>
          <w:bCs/>
          <w:color w:val="auto"/>
          <w:spacing w:val="0"/>
          <w:sz w:val="36"/>
          <w:szCs w:val="36"/>
        </w:rPr>
      </w:pPr>
    </w:p>
    <w:p>
      <w:pPr>
        <w:spacing w:line="288" w:lineRule="auto"/>
        <w:ind w:firstLine="0" w:firstLineChars="0"/>
        <w:jc w:val="center"/>
        <w:rPr>
          <w:rFonts w:ascii="宋体" w:hAnsi="宋体" w:eastAsia="宋体"/>
          <w:b/>
          <w:bCs/>
          <w:color w:val="auto"/>
          <w:spacing w:val="0"/>
          <w:sz w:val="36"/>
          <w:szCs w:val="36"/>
        </w:rPr>
      </w:pPr>
      <w:r>
        <w:rPr>
          <w:rFonts w:hint="eastAsia" w:ascii="宋体" w:hAnsi="宋体" w:eastAsia="宋体"/>
          <w:b/>
          <w:bCs/>
          <w:color w:val="auto"/>
          <w:spacing w:val="0"/>
          <w:sz w:val="36"/>
          <w:szCs w:val="36"/>
        </w:rPr>
        <w:t>中华人民共和国生态环境部制</w:t>
      </w:r>
    </w:p>
    <w:p>
      <w:pPr>
        <w:pStyle w:val="2"/>
        <w:ind w:firstLine="723"/>
        <w:rPr>
          <w:rFonts w:ascii="宋体" w:hAnsi="宋体" w:eastAsia="宋体"/>
          <w:b/>
          <w:bCs/>
          <w:color w:val="auto"/>
          <w:spacing w:val="0"/>
          <w:sz w:val="36"/>
          <w:szCs w:val="36"/>
        </w:rPr>
      </w:pPr>
    </w:p>
    <w:p>
      <w:pPr>
        <w:pStyle w:val="2"/>
        <w:ind w:firstLine="560"/>
        <w:rPr>
          <w:color w:val="auto"/>
          <w:spacing w:val="0"/>
        </w:rPr>
        <w:sectPr>
          <w:footerReference r:id="rId5" w:type="default"/>
          <w:footerReference r:id="rId6" w:type="even"/>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p>
      <w:pPr>
        <w:pStyle w:val="2"/>
        <w:adjustRightInd/>
        <w:snapToGrid/>
        <w:spacing w:line="360" w:lineRule="auto"/>
        <w:ind w:firstLine="0" w:firstLineChars="0"/>
        <w:rPr>
          <w:rFonts w:ascii="黑体" w:hAnsi="黑体" w:eastAsia="黑体" w:cs="黑体"/>
          <w:color w:val="auto"/>
          <w:spacing w:val="0"/>
          <w:sz w:val="30"/>
          <w:szCs w:val="30"/>
        </w:rPr>
        <w:sectPr>
          <w:headerReference r:id="rId7" w:type="default"/>
          <w:footerReference r:id="rId8" w:type="default"/>
          <w:pgSz w:w="11906" w:h="16838"/>
          <w:pgMar w:top="1440" w:right="1797" w:bottom="1440" w:left="1797"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pStyle w:val="2"/>
        <w:adjustRightInd/>
        <w:snapToGrid/>
        <w:spacing w:line="240" w:lineRule="auto"/>
        <w:ind w:firstLine="0" w:firstLineChars="0"/>
        <w:jc w:val="center"/>
        <w:outlineLvl w:val="0"/>
        <w:rPr>
          <w:rFonts w:ascii="黑体" w:hAnsi="黑体" w:eastAsia="黑体" w:cs="黑体"/>
          <w:snapToGrid w:val="0"/>
          <w:color w:val="auto"/>
          <w:spacing w:val="0"/>
          <w:sz w:val="30"/>
          <w:szCs w:val="30"/>
        </w:rPr>
      </w:pPr>
      <w:r>
        <w:rPr>
          <w:rFonts w:hint="eastAsia" w:ascii="黑体" w:hAnsi="黑体" w:eastAsia="黑体" w:cs="黑体"/>
          <w:b/>
          <w:bCs/>
          <w:color w:val="auto"/>
          <w:spacing w:val="0"/>
          <w:sz w:val="30"/>
          <w:szCs w:val="30"/>
        </w:rPr>
        <w:t>一、</w:t>
      </w:r>
      <w:r>
        <w:rPr>
          <w:rFonts w:hint="eastAsia" w:ascii="黑体" w:hAnsi="黑体" w:eastAsia="黑体" w:cs="黑体"/>
          <w:b/>
          <w:bCs/>
          <w:snapToGrid w:val="0"/>
          <w:color w:val="auto"/>
          <w:spacing w:val="0"/>
          <w:sz w:val="30"/>
          <w:szCs w:val="30"/>
        </w:rPr>
        <w:t>建设项目基本情况</w:t>
      </w:r>
    </w:p>
    <w:tbl>
      <w:tblPr>
        <w:tblStyle w:val="55"/>
        <w:tblW w:w="499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135"/>
        <w:gridCol w:w="1991"/>
        <w:gridCol w:w="2141"/>
        <w:gridCol w:w="306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73" w:hRule="atLeast"/>
          <w:jc w:val="center"/>
        </w:trPr>
        <w:tc>
          <w:tcPr>
            <w:tcW w:w="681" w:type="pct"/>
            <w:tcBorders>
              <w:tl2br w:val="nil"/>
              <w:tr2bl w:val="nil"/>
            </w:tcBorders>
            <w:tcMar>
              <w:top w:w="16" w:type="dxa"/>
              <w:left w:w="16" w:type="dxa"/>
              <w:right w:w="16" w:type="dxa"/>
            </w:tcMar>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建设项目名称</w:t>
            </w:r>
          </w:p>
        </w:tc>
        <w:tc>
          <w:tcPr>
            <w:tcW w:w="4318" w:type="pct"/>
            <w:gridSpan w:val="3"/>
            <w:tcBorders>
              <w:tl2br w:val="nil"/>
              <w:tr2bl w:val="nil"/>
            </w:tcBorders>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lang w:val="en-US" w:eastAsia="zh-CN"/>
              </w:rPr>
              <w:t>巴州博湖县建筑垃圾资源化利用建设</w:t>
            </w:r>
            <w:r>
              <w:rPr>
                <w:rFonts w:hint="eastAsia" w:ascii="Times New Roman" w:hAnsi="Times New Roman" w:eastAsia="宋体" w:cs="Times New Roman"/>
                <w:color w:val="auto"/>
                <w:spacing w:val="0"/>
                <w:sz w:val="24"/>
                <w:szCs w:val="24"/>
              </w:rPr>
              <w:t>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49" w:hRule="atLeast"/>
          <w:jc w:val="center"/>
        </w:trPr>
        <w:tc>
          <w:tcPr>
            <w:tcW w:w="681" w:type="pct"/>
            <w:tcBorders>
              <w:tl2br w:val="nil"/>
              <w:tr2bl w:val="nil"/>
            </w:tcBorders>
            <w:tcMar>
              <w:top w:w="16" w:type="dxa"/>
              <w:left w:w="16" w:type="dxa"/>
              <w:right w:w="16" w:type="dxa"/>
            </w:tcMar>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项</w:t>
            </w:r>
            <w:r>
              <w:rPr>
                <w:rFonts w:ascii="Times New Roman" w:hAnsi="Times New Roman" w:eastAsia="宋体" w:cs="Times New Roman"/>
                <w:color w:val="auto"/>
                <w:spacing w:val="0"/>
                <w:sz w:val="24"/>
                <w:szCs w:val="24"/>
                <w:highlight w:val="none"/>
                <w:shd w:val="clear"/>
              </w:rPr>
              <w:t>目代</w:t>
            </w:r>
            <w:r>
              <w:rPr>
                <w:rFonts w:ascii="Times New Roman" w:hAnsi="Times New Roman" w:eastAsia="宋体" w:cs="Times New Roman"/>
                <w:color w:val="auto"/>
                <w:spacing w:val="0"/>
                <w:sz w:val="24"/>
                <w:szCs w:val="24"/>
              </w:rPr>
              <w:t>码</w:t>
            </w:r>
          </w:p>
        </w:tc>
        <w:tc>
          <w:tcPr>
            <w:tcW w:w="4318" w:type="pct"/>
            <w:gridSpan w:val="3"/>
            <w:tcBorders>
              <w:tl2br w:val="nil"/>
              <w:tr2bl w:val="nil"/>
            </w:tcBorders>
            <w:vAlign w:val="center"/>
          </w:tcPr>
          <w:p>
            <w:pPr>
              <w:spacing w:line="240" w:lineRule="auto"/>
              <w:ind w:firstLine="0" w:firstLineChars="0"/>
              <w:jc w:val="center"/>
              <w:rPr>
                <w:rFonts w:hint="default"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2508-652829-04-01-279706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681" w:type="pct"/>
            <w:tcBorders>
              <w:tl2br w:val="nil"/>
              <w:tr2bl w:val="nil"/>
            </w:tcBorders>
            <w:tcMar>
              <w:top w:w="16" w:type="dxa"/>
              <w:left w:w="16" w:type="dxa"/>
              <w:right w:w="16" w:type="dxa"/>
            </w:tcMar>
            <w:vAlign w:val="center"/>
          </w:tcPr>
          <w:p>
            <w:pPr>
              <w:spacing w:line="240" w:lineRule="auto"/>
              <w:ind w:firstLine="0" w:firstLineChars="0"/>
              <w:jc w:val="center"/>
              <w:rPr>
                <w:rFonts w:ascii="Times New Roman" w:hAnsi="Times New Roman" w:eastAsia="宋体" w:cs="Times New Roman"/>
                <w:color w:val="auto"/>
                <w:spacing w:val="0"/>
                <w:sz w:val="24"/>
                <w:szCs w:val="24"/>
                <w:highlight w:val="none"/>
              </w:rPr>
            </w:pPr>
            <w:r>
              <w:rPr>
                <w:rFonts w:ascii="Times New Roman" w:hAnsi="Times New Roman" w:eastAsia="宋体" w:cs="Times New Roman"/>
                <w:color w:val="auto"/>
                <w:spacing w:val="0"/>
                <w:sz w:val="24"/>
                <w:szCs w:val="24"/>
                <w:highlight w:val="none"/>
              </w:rPr>
              <w:t>建设单位</w:t>
            </w:r>
          </w:p>
          <w:p>
            <w:pPr>
              <w:spacing w:line="240" w:lineRule="auto"/>
              <w:ind w:firstLine="0" w:firstLineChars="0"/>
              <w:jc w:val="center"/>
              <w:rPr>
                <w:rFonts w:ascii="Times New Roman" w:hAnsi="Times New Roman" w:eastAsia="宋体" w:cs="Times New Roman"/>
                <w:color w:val="auto"/>
                <w:spacing w:val="0"/>
                <w:sz w:val="24"/>
                <w:szCs w:val="24"/>
                <w:highlight w:val="none"/>
              </w:rPr>
            </w:pPr>
            <w:r>
              <w:rPr>
                <w:rFonts w:ascii="Times New Roman" w:hAnsi="Times New Roman" w:eastAsia="宋体" w:cs="Times New Roman"/>
                <w:color w:val="auto"/>
                <w:spacing w:val="0"/>
                <w:sz w:val="24"/>
                <w:szCs w:val="24"/>
                <w:highlight w:val="none"/>
              </w:rPr>
              <w:t>联系人</w:t>
            </w:r>
          </w:p>
        </w:tc>
        <w:tc>
          <w:tcPr>
            <w:tcW w:w="1195" w:type="pct"/>
            <w:tcBorders>
              <w:tl2br w:val="nil"/>
              <w:tr2bl w:val="nil"/>
            </w:tcBorders>
            <w:vAlign w:val="center"/>
          </w:tcPr>
          <w:p>
            <w:pPr>
              <w:spacing w:line="240" w:lineRule="auto"/>
              <w:ind w:firstLine="0" w:firstLineChars="0"/>
              <w:jc w:val="center"/>
              <w:rPr>
                <w:rFonts w:ascii="Times New Roman" w:hAnsi="Times New Roman" w:eastAsia="宋体" w:cs="Times New Roman"/>
                <w:color w:val="auto"/>
                <w:spacing w:val="0"/>
                <w:sz w:val="24"/>
                <w:szCs w:val="24"/>
                <w:highlight w:val="none"/>
              </w:rPr>
            </w:pPr>
            <w:r>
              <w:rPr>
                <w:rFonts w:hint="eastAsia" w:ascii="Times New Roman" w:hAnsi="Times New Roman" w:eastAsia="宋体" w:cs="Times New Roman"/>
                <w:color w:val="auto"/>
                <w:spacing w:val="0"/>
                <w:sz w:val="24"/>
                <w:szCs w:val="24"/>
                <w:highlight w:val="none"/>
              </w:rPr>
              <w:t>李威</w:t>
            </w:r>
          </w:p>
        </w:tc>
        <w:tc>
          <w:tcPr>
            <w:tcW w:w="1285" w:type="pct"/>
            <w:tcBorders>
              <w:tl2br w:val="nil"/>
              <w:tr2bl w:val="nil"/>
            </w:tcBorders>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联系方式</w:t>
            </w:r>
          </w:p>
        </w:tc>
        <w:tc>
          <w:tcPr>
            <w:tcW w:w="1837" w:type="pct"/>
            <w:tcBorders>
              <w:tl2br w:val="nil"/>
              <w:tr2bl w:val="nil"/>
            </w:tcBorders>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rPr>
              <w:t>18139089637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5" w:hRule="atLeast"/>
          <w:jc w:val="center"/>
        </w:trPr>
        <w:tc>
          <w:tcPr>
            <w:tcW w:w="681" w:type="pct"/>
            <w:tcBorders>
              <w:tl2br w:val="nil"/>
              <w:tr2bl w:val="nil"/>
            </w:tcBorders>
            <w:tcMar>
              <w:top w:w="16" w:type="dxa"/>
              <w:left w:w="16" w:type="dxa"/>
              <w:right w:w="16" w:type="dxa"/>
            </w:tcMar>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建设地点</w:t>
            </w:r>
          </w:p>
        </w:tc>
        <w:tc>
          <w:tcPr>
            <w:tcW w:w="4318" w:type="pct"/>
            <w:gridSpan w:val="3"/>
            <w:tcBorders>
              <w:tl2br w:val="nil"/>
              <w:tr2bl w:val="nil"/>
            </w:tcBorders>
            <w:vAlign w:val="center"/>
          </w:tcPr>
          <w:p>
            <w:pPr>
              <w:spacing w:line="240" w:lineRule="auto"/>
              <w:ind w:firstLine="0" w:firstLineChars="0"/>
              <w:jc w:val="center"/>
              <w:rPr>
                <w:rFonts w:hint="default" w:ascii="Times New Roman" w:hAnsi="Times New Roman" w:eastAsia="宋体" w:cs="Times New Roman"/>
                <w:color w:val="auto"/>
                <w:spacing w:val="0"/>
                <w:sz w:val="24"/>
                <w:szCs w:val="24"/>
                <w:highlight w:val="yellow"/>
                <w:lang w:val="en-US" w:eastAsia="zh-CN"/>
              </w:rPr>
            </w:pPr>
            <w:r>
              <w:rPr>
                <w:rFonts w:hint="eastAsia" w:ascii="Times New Roman" w:hAnsi="Times New Roman" w:eastAsia="宋体" w:cs="Times New Roman"/>
                <w:color w:val="auto"/>
                <w:spacing w:val="0"/>
                <w:sz w:val="24"/>
                <w:szCs w:val="24"/>
                <w:highlight w:val="none"/>
                <w:lang w:val="en-US" w:eastAsia="zh-CN"/>
              </w:rPr>
              <w:t>博湖县G218国道南侧鸿发CNG加气站西南，鑫新建材以东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681" w:type="pct"/>
            <w:tcBorders>
              <w:tl2br w:val="nil"/>
              <w:tr2bl w:val="nil"/>
            </w:tcBorders>
            <w:tcMar>
              <w:top w:w="16" w:type="dxa"/>
              <w:left w:w="16" w:type="dxa"/>
              <w:right w:w="16" w:type="dxa"/>
            </w:tcMar>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地理坐标</w:t>
            </w:r>
          </w:p>
        </w:tc>
        <w:tc>
          <w:tcPr>
            <w:tcW w:w="4318" w:type="pct"/>
            <w:gridSpan w:val="3"/>
            <w:tcBorders>
              <w:tl2br w:val="nil"/>
              <w:tr2bl w:val="nil"/>
            </w:tcBorders>
            <w:vAlign w:val="center"/>
          </w:tcPr>
          <w:p>
            <w:pPr>
              <w:spacing w:line="240" w:lineRule="auto"/>
              <w:ind w:firstLine="0" w:firstLineChars="0"/>
              <w:jc w:val="center"/>
              <w:rPr>
                <w:rFonts w:ascii="Times New Roman" w:hAnsi="Times New Roman" w:eastAsia="宋体" w:cs="Times New Roman"/>
                <w:color w:val="auto"/>
                <w:spacing w:val="0"/>
                <w:sz w:val="24"/>
                <w:szCs w:val="24"/>
                <w:highlight w:val="yellow"/>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681" w:type="pct"/>
            <w:tcBorders>
              <w:tl2br w:val="nil"/>
              <w:tr2bl w:val="nil"/>
            </w:tcBorders>
            <w:tcMar>
              <w:top w:w="16" w:type="dxa"/>
              <w:left w:w="16" w:type="dxa"/>
              <w:right w:w="16" w:type="dxa"/>
            </w:tcMar>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国民经济</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行业类别</w:t>
            </w:r>
          </w:p>
        </w:tc>
        <w:tc>
          <w:tcPr>
            <w:tcW w:w="1195" w:type="pct"/>
            <w:tcBorders>
              <w:tl2br w:val="nil"/>
              <w:tr2bl w:val="nil"/>
            </w:tcBorders>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hint="default" w:ascii="Times New Roman" w:hAnsi="Times New Roman" w:eastAsia="宋体" w:cs="宋体"/>
                <w:color w:val="auto"/>
                <w:kern w:val="2"/>
                <w:sz w:val="24"/>
                <w:szCs w:val="21"/>
                <w:lang w:val="en-US" w:eastAsia="zh-CN" w:bidi="ar-SA"/>
              </w:rPr>
              <w:t>N7723固体废物治理</w:t>
            </w:r>
          </w:p>
        </w:tc>
        <w:tc>
          <w:tcPr>
            <w:tcW w:w="1285" w:type="pct"/>
            <w:tcBorders>
              <w:tl2br w:val="nil"/>
              <w:tr2bl w:val="nil"/>
            </w:tcBorders>
            <w:vAlign w:val="center"/>
          </w:tcPr>
          <w:p>
            <w:pPr>
              <w:spacing w:line="240" w:lineRule="auto"/>
              <w:ind w:firstLine="0" w:firstLineChars="0"/>
              <w:jc w:val="center"/>
              <w:rPr>
                <w:rFonts w:ascii="Times New Roman" w:hAnsi="Times New Roman" w:eastAsia="宋体" w:cs="Times New Roman"/>
                <w:color w:val="auto"/>
                <w:spacing w:val="0"/>
                <w:sz w:val="24"/>
                <w:szCs w:val="24"/>
              </w:rPr>
            </w:pPr>
            <w:bookmarkStart w:id="1" w:name="_Hlk49843745"/>
            <w:r>
              <w:rPr>
                <w:rFonts w:ascii="Times New Roman" w:hAnsi="Times New Roman" w:eastAsia="宋体" w:cs="Times New Roman"/>
                <w:color w:val="auto"/>
                <w:spacing w:val="0"/>
                <w:sz w:val="24"/>
                <w:szCs w:val="24"/>
              </w:rPr>
              <w:t>建设项目</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行业类别</w:t>
            </w:r>
            <w:bookmarkEnd w:id="1"/>
          </w:p>
        </w:tc>
        <w:tc>
          <w:tcPr>
            <w:tcW w:w="1837" w:type="pct"/>
            <w:tcBorders>
              <w:tl2br w:val="nil"/>
              <w:tr2bl w:val="nil"/>
            </w:tcBorders>
            <w:vAlign w:val="center"/>
          </w:tcPr>
          <w:p>
            <w:pPr>
              <w:spacing w:line="240" w:lineRule="auto"/>
              <w:ind w:firstLine="0" w:firstLineChars="0"/>
              <w:rPr>
                <w:rFonts w:hint="default" w:ascii="Times New Roman" w:hAnsi="Times New Roman" w:eastAsia="宋体" w:cs="Times New Roman"/>
                <w:color w:val="auto"/>
                <w:spacing w:val="0"/>
                <w:sz w:val="24"/>
                <w:szCs w:val="24"/>
                <w:lang w:val="en-US" w:eastAsia="zh-CN"/>
              </w:rPr>
            </w:pPr>
            <w:r>
              <w:rPr>
                <w:rFonts w:hint="eastAsia" w:ascii="Times New Roman" w:hAnsi="Times New Roman" w:eastAsia="宋体" w:cs="宋体"/>
                <w:color w:val="auto"/>
                <w:kern w:val="2"/>
                <w:sz w:val="24"/>
                <w:szCs w:val="21"/>
                <w:lang w:val="en-US" w:eastAsia="zh-CN" w:bidi="ar-SA"/>
              </w:rPr>
              <w:t>四十七、生态保护和环境治理业——103一般工业固体废物（含污水处理污泥）、建筑施工废弃物处置及综合利用——其他</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681" w:type="pct"/>
            <w:tcBorders>
              <w:tl2br w:val="nil"/>
              <w:tr2bl w:val="nil"/>
            </w:tcBorders>
            <w:tcMar>
              <w:top w:w="16" w:type="dxa"/>
              <w:left w:w="16" w:type="dxa"/>
              <w:right w:w="16" w:type="dxa"/>
            </w:tcMar>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建设性质</w:t>
            </w:r>
          </w:p>
        </w:tc>
        <w:tc>
          <w:tcPr>
            <w:tcW w:w="1195" w:type="pct"/>
            <w:tcBorders>
              <w:tl2br w:val="nil"/>
              <w:tr2bl w:val="nil"/>
            </w:tcBorders>
            <w:vAlign w:val="center"/>
          </w:tcPr>
          <w:p>
            <w:pPr>
              <w:spacing w:line="240" w:lineRule="auto"/>
              <w:ind w:firstLine="0" w:firstLineChars="0"/>
              <w:jc w:val="left"/>
              <w:rPr>
                <w:rFonts w:ascii="Times New Roman" w:hAnsi="Times New Roman" w:eastAsia="宋体" w:cs="Times New Roman"/>
                <w:color w:val="auto"/>
                <w:spacing w:val="0"/>
                <w:sz w:val="24"/>
                <w:szCs w:val="24"/>
              </w:rPr>
            </w:pPr>
            <w:r>
              <w:rPr>
                <w:rFonts w:hint="eastAsia" w:ascii="Times New Roman" w:hAnsi="Times New Roman" w:cs="Times New Roman"/>
                <w:color w:val="auto"/>
                <w:spacing w:val="0"/>
                <w:sz w:val="24"/>
                <w:szCs w:val="24"/>
                <w:lang w:eastAsia="zh-CN"/>
              </w:rPr>
              <w:t>☑</w:t>
            </w:r>
            <w:r>
              <w:rPr>
                <w:rFonts w:ascii="Times New Roman" w:hAnsi="Times New Roman" w:eastAsia="宋体" w:cs="Times New Roman"/>
                <w:color w:val="auto"/>
                <w:spacing w:val="0"/>
                <w:sz w:val="24"/>
                <w:szCs w:val="24"/>
              </w:rPr>
              <w:t>新建（迁建）</w:t>
            </w:r>
          </w:p>
          <w:p>
            <w:pPr>
              <w:spacing w:line="240" w:lineRule="auto"/>
              <w:ind w:firstLine="0" w:firstLineChars="0"/>
              <w:jc w:val="left"/>
              <w:rPr>
                <w:rFonts w:ascii="Times New Roman" w:hAnsi="Times New Roman" w:eastAsia="宋体" w:cs="Times New Roman"/>
                <w:color w:val="auto"/>
                <w:spacing w:val="0"/>
                <w:sz w:val="24"/>
                <w:szCs w:val="24"/>
              </w:rPr>
            </w:pPr>
            <w:r>
              <w:rPr>
                <w:rFonts w:hint="eastAsia" w:ascii="Times New Roman" w:hAnsi="Times New Roman" w:cs="Times New Roman"/>
                <w:color w:val="auto"/>
                <w:spacing w:val="0"/>
                <w:sz w:val="24"/>
                <w:szCs w:val="24"/>
              </w:rPr>
              <w:t>□</w:t>
            </w:r>
            <w:r>
              <w:rPr>
                <w:rFonts w:ascii="Times New Roman" w:hAnsi="Times New Roman" w:eastAsia="宋体" w:cs="Times New Roman"/>
                <w:color w:val="auto"/>
                <w:spacing w:val="0"/>
                <w:sz w:val="24"/>
                <w:szCs w:val="24"/>
              </w:rPr>
              <w:t>改建</w:t>
            </w:r>
          </w:p>
          <w:p>
            <w:pPr>
              <w:spacing w:line="240" w:lineRule="auto"/>
              <w:ind w:firstLine="0" w:firstLineChars="0"/>
              <w:jc w:val="left"/>
              <w:rPr>
                <w:rFonts w:ascii="Times New Roman" w:hAnsi="Times New Roman" w:eastAsia="宋体" w:cs="Times New Roman"/>
                <w:color w:val="auto"/>
                <w:spacing w:val="0"/>
                <w:sz w:val="24"/>
                <w:szCs w:val="24"/>
              </w:rPr>
            </w:pPr>
            <w:r>
              <w:rPr>
                <w:rFonts w:hint="eastAsia" w:ascii="Times New Roman" w:hAnsi="Times New Roman" w:cs="Times New Roman"/>
                <w:color w:val="auto"/>
                <w:spacing w:val="0"/>
                <w:sz w:val="24"/>
                <w:szCs w:val="24"/>
              </w:rPr>
              <w:t>□</w:t>
            </w:r>
            <w:r>
              <w:rPr>
                <w:rFonts w:ascii="Times New Roman" w:hAnsi="Times New Roman" w:eastAsia="宋体" w:cs="Times New Roman"/>
                <w:color w:val="auto"/>
                <w:spacing w:val="0"/>
                <w:sz w:val="24"/>
                <w:szCs w:val="24"/>
              </w:rPr>
              <w:t>扩建</w:t>
            </w:r>
          </w:p>
          <w:p>
            <w:pPr>
              <w:spacing w:line="240" w:lineRule="auto"/>
              <w:ind w:firstLine="0" w:firstLineChars="0"/>
              <w:jc w:val="left"/>
              <w:rPr>
                <w:rFonts w:ascii="Times New Roman" w:hAnsi="Times New Roman" w:eastAsia="宋体" w:cs="Times New Roman"/>
                <w:color w:val="auto"/>
                <w:spacing w:val="0"/>
                <w:sz w:val="24"/>
                <w:szCs w:val="24"/>
              </w:rPr>
            </w:pPr>
            <w:r>
              <w:rPr>
                <w:rFonts w:hint="eastAsia" w:ascii="Times New Roman" w:hAnsi="Times New Roman" w:cs="Times New Roman"/>
                <w:color w:val="auto"/>
                <w:spacing w:val="0"/>
                <w:sz w:val="24"/>
                <w:szCs w:val="24"/>
                <w:lang w:eastAsia="zh-CN"/>
              </w:rPr>
              <w:t>□</w:t>
            </w:r>
            <w:r>
              <w:rPr>
                <w:rFonts w:ascii="Times New Roman" w:hAnsi="Times New Roman" w:eastAsia="宋体" w:cs="Times New Roman"/>
                <w:color w:val="auto"/>
                <w:spacing w:val="0"/>
                <w:sz w:val="24"/>
                <w:szCs w:val="24"/>
              </w:rPr>
              <w:t>技术改造</w:t>
            </w:r>
          </w:p>
        </w:tc>
        <w:tc>
          <w:tcPr>
            <w:tcW w:w="1285" w:type="pct"/>
            <w:tcBorders>
              <w:tl2br w:val="nil"/>
              <w:tr2bl w:val="nil"/>
            </w:tcBorders>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建设项目</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申报情形</w:t>
            </w:r>
          </w:p>
        </w:tc>
        <w:tc>
          <w:tcPr>
            <w:tcW w:w="1837" w:type="pct"/>
            <w:tcBorders>
              <w:tl2br w:val="nil"/>
              <w:tr2bl w:val="nil"/>
            </w:tcBorders>
            <w:vAlign w:val="center"/>
          </w:tcPr>
          <w:p>
            <w:pPr>
              <w:spacing w:line="240" w:lineRule="auto"/>
              <w:ind w:firstLine="0" w:firstLineChars="0"/>
              <w:jc w:val="left"/>
              <w:rPr>
                <w:rFonts w:ascii="Times New Roman" w:hAnsi="Times New Roman" w:eastAsia="宋体" w:cs="Times New Roman"/>
                <w:color w:val="auto"/>
                <w:spacing w:val="0"/>
                <w:sz w:val="24"/>
                <w:szCs w:val="24"/>
              </w:rPr>
            </w:pPr>
            <w:r>
              <w:rPr>
                <w:rFonts w:hint="eastAsia" w:ascii="Times New Roman" w:hAnsi="Times New Roman" w:cs="Times New Roman"/>
                <w:color w:val="auto"/>
                <w:spacing w:val="0"/>
                <w:sz w:val="24"/>
                <w:szCs w:val="24"/>
              </w:rPr>
              <w:t>☑</w:t>
            </w:r>
            <w:r>
              <w:rPr>
                <w:rFonts w:ascii="Times New Roman" w:hAnsi="Times New Roman" w:eastAsia="宋体" w:cs="Times New Roman"/>
                <w:color w:val="auto"/>
                <w:spacing w:val="0"/>
                <w:sz w:val="24"/>
                <w:szCs w:val="24"/>
              </w:rPr>
              <w:t>首次申报项目</w:t>
            </w:r>
          </w:p>
          <w:p>
            <w:pPr>
              <w:spacing w:line="240" w:lineRule="auto"/>
              <w:ind w:firstLine="0" w:firstLineChars="0"/>
              <w:jc w:val="left"/>
              <w:rPr>
                <w:rFonts w:ascii="Times New Roman" w:hAnsi="Times New Roman" w:eastAsia="宋体" w:cs="Times New Roman"/>
                <w:color w:val="auto"/>
                <w:spacing w:val="0"/>
                <w:sz w:val="24"/>
                <w:szCs w:val="24"/>
              </w:rPr>
            </w:pPr>
            <w:r>
              <w:rPr>
                <w:rFonts w:hint="eastAsia" w:ascii="Times New Roman" w:hAnsi="Times New Roman" w:cs="Times New Roman"/>
                <w:color w:val="auto"/>
                <w:spacing w:val="0"/>
                <w:sz w:val="24"/>
                <w:szCs w:val="24"/>
              </w:rPr>
              <w:t>□</w:t>
            </w:r>
            <w:r>
              <w:rPr>
                <w:rFonts w:ascii="Times New Roman" w:hAnsi="Times New Roman" w:eastAsia="宋体" w:cs="Times New Roman"/>
                <w:color w:val="auto"/>
                <w:spacing w:val="0"/>
                <w:sz w:val="24"/>
                <w:szCs w:val="24"/>
              </w:rPr>
              <w:t>不予批准后再次申报项目</w:t>
            </w:r>
          </w:p>
          <w:p>
            <w:pPr>
              <w:spacing w:line="240" w:lineRule="auto"/>
              <w:ind w:firstLine="0" w:firstLineChars="0"/>
              <w:jc w:val="left"/>
              <w:rPr>
                <w:rFonts w:ascii="Times New Roman" w:hAnsi="Times New Roman" w:eastAsia="宋体" w:cs="Times New Roman"/>
                <w:color w:val="auto"/>
                <w:spacing w:val="0"/>
                <w:sz w:val="24"/>
                <w:szCs w:val="24"/>
              </w:rPr>
            </w:pPr>
            <w:r>
              <w:rPr>
                <w:rFonts w:hint="eastAsia" w:ascii="Times New Roman" w:hAnsi="Times New Roman" w:cs="Times New Roman"/>
                <w:color w:val="auto"/>
                <w:spacing w:val="0"/>
                <w:sz w:val="24"/>
                <w:szCs w:val="24"/>
              </w:rPr>
              <w:t>□</w:t>
            </w:r>
            <w:r>
              <w:rPr>
                <w:rFonts w:ascii="Times New Roman" w:hAnsi="Times New Roman" w:eastAsia="宋体" w:cs="Times New Roman"/>
                <w:color w:val="auto"/>
                <w:spacing w:val="0"/>
                <w:sz w:val="24"/>
                <w:szCs w:val="24"/>
              </w:rPr>
              <w:t>超五年重新审核项目</w:t>
            </w:r>
          </w:p>
          <w:p>
            <w:pPr>
              <w:spacing w:line="240" w:lineRule="auto"/>
              <w:ind w:firstLine="0" w:firstLineChars="0"/>
              <w:jc w:val="left"/>
              <w:rPr>
                <w:rFonts w:ascii="Times New Roman" w:hAnsi="Times New Roman" w:eastAsia="宋体" w:cs="Times New Roman"/>
                <w:color w:val="auto"/>
                <w:spacing w:val="0"/>
                <w:sz w:val="24"/>
                <w:szCs w:val="24"/>
              </w:rPr>
            </w:pPr>
            <w:r>
              <w:rPr>
                <w:rFonts w:hint="eastAsia" w:ascii="Times New Roman" w:hAnsi="Times New Roman" w:cs="Times New Roman"/>
                <w:color w:val="auto"/>
                <w:spacing w:val="0"/>
                <w:sz w:val="24"/>
                <w:szCs w:val="24"/>
              </w:rPr>
              <w:t>□</w:t>
            </w:r>
            <w:r>
              <w:rPr>
                <w:rFonts w:ascii="Times New Roman" w:hAnsi="Times New Roman" w:eastAsia="宋体" w:cs="Times New Roman"/>
                <w:color w:val="auto"/>
                <w:spacing w:val="0"/>
                <w:sz w:val="24"/>
                <w:szCs w:val="24"/>
              </w:rPr>
              <w:t>重大变动重新报批项目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681" w:type="pct"/>
            <w:tcBorders>
              <w:tl2br w:val="nil"/>
              <w:tr2bl w:val="nil"/>
            </w:tcBorders>
            <w:tcMar>
              <w:top w:w="16" w:type="dxa"/>
              <w:left w:w="16" w:type="dxa"/>
              <w:right w:w="16" w:type="dxa"/>
            </w:tcMar>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项目审批</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（核准/备案）部门（选填）</w:t>
            </w:r>
          </w:p>
        </w:tc>
        <w:tc>
          <w:tcPr>
            <w:tcW w:w="1195" w:type="pct"/>
            <w:tcBorders>
              <w:tl2br w:val="nil"/>
              <w:tr2bl w:val="nil"/>
            </w:tcBorders>
            <w:vAlign w:val="center"/>
          </w:tcPr>
          <w:p>
            <w:pPr>
              <w:spacing w:line="240" w:lineRule="auto"/>
              <w:ind w:firstLine="0" w:firstLineChars="0"/>
              <w:jc w:val="center"/>
              <w:rPr>
                <w:rFonts w:hint="default"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博湖县发展和改革委员会</w:t>
            </w:r>
          </w:p>
        </w:tc>
        <w:tc>
          <w:tcPr>
            <w:tcW w:w="1285" w:type="pct"/>
            <w:tcBorders>
              <w:tl2br w:val="nil"/>
              <w:tr2bl w:val="nil"/>
            </w:tcBorders>
            <w:vAlign w:val="center"/>
          </w:tcPr>
          <w:p>
            <w:pPr>
              <w:spacing w:line="240" w:lineRule="auto"/>
              <w:ind w:firstLine="0" w:firstLineChars="0"/>
              <w:jc w:val="center"/>
              <w:rPr>
                <w:rFonts w:ascii="Times New Roman" w:hAnsi="Times New Roman" w:eastAsia="宋体" w:cs="Times New Roman"/>
                <w:color w:val="auto"/>
                <w:spacing w:val="0"/>
                <w:sz w:val="24"/>
                <w:szCs w:val="24"/>
                <w:highlight w:val="none"/>
              </w:rPr>
            </w:pPr>
            <w:r>
              <w:rPr>
                <w:rFonts w:ascii="Times New Roman" w:hAnsi="Times New Roman" w:eastAsia="宋体" w:cs="Times New Roman"/>
                <w:color w:val="auto"/>
                <w:spacing w:val="0"/>
                <w:sz w:val="24"/>
                <w:szCs w:val="24"/>
              </w:rPr>
              <w:t>项</w:t>
            </w:r>
            <w:r>
              <w:rPr>
                <w:rFonts w:ascii="Times New Roman" w:hAnsi="Times New Roman" w:eastAsia="宋体" w:cs="Times New Roman"/>
                <w:color w:val="auto"/>
                <w:spacing w:val="0"/>
                <w:sz w:val="24"/>
                <w:szCs w:val="24"/>
                <w:highlight w:val="none"/>
              </w:rPr>
              <w:t>目审批（核准/</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highlight w:val="none"/>
              </w:rPr>
              <w:t>备案）文号（选</w:t>
            </w:r>
            <w:r>
              <w:rPr>
                <w:rFonts w:ascii="Times New Roman" w:hAnsi="Times New Roman" w:eastAsia="宋体" w:cs="Times New Roman"/>
                <w:color w:val="auto"/>
                <w:spacing w:val="0"/>
                <w:sz w:val="24"/>
                <w:szCs w:val="24"/>
              </w:rPr>
              <w:t>填）</w:t>
            </w:r>
          </w:p>
        </w:tc>
        <w:tc>
          <w:tcPr>
            <w:tcW w:w="1837" w:type="pct"/>
            <w:tcBorders>
              <w:tl2br w:val="nil"/>
              <w:tr2bl w:val="nil"/>
            </w:tcBorders>
            <w:vAlign w:val="center"/>
          </w:tcPr>
          <w:p>
            <w:pPr>
              <w:spacing w:line="240" w:lineRule="auto"/>
              <w:ind w:firstLine="0" w:firstLineChars="0"/>
              <w:jc w:val="center"/>
              <w:rPr>
                <w:rFonts w:hint="default"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博发改项目发</w:t>
            </w:r>
            <w:r>
              <w:rPr>
                <w:rFonts w:hint="eastAsia" w:ascii="宋体" w:hAnsi="宋体" w:eastAsia="宋体" w:cs="宋体"/>
                <w:color w:val="auto"/>
                <w:spacing w:val="0"/>
                <w:sz w:val="24"/>
                <w:szCs w:val="24"/>
                <w:lang w:val="en-US" w:eastAsia="zh-CN"/>
              </w:rPr>
              <w:t>〔</w:t>
            </w:r>
            <w:r>
              <w:rPr>
                <w:rFonts w:hint="default" w:ascii="Times New Roman" w:hAnsi="Times New Roman" w:eastAsia="宋体" w:cs="Times New Roman"/>
                <w:color w:val="auto"/>
                <w:spacing w:val="0"/>
                <w:sz w:val="24"/>
                <w:szCs w:val="24"/>
                <w:lang w:val="en-US" w:eastAsia="zh-CN"/>
              </w:rPr>
              <w:t>2025</w:t>
            </w:r>
            <w:r>
              <w:rPr>
                <w:rFonts w:hint="eastAsia" w:ascii="宋体" w:hAnsi="宋体" w:eastAsia="宋体" w:cs="宋体"/>
                <w:color w:val="auto"/>
                <w:spacing w:val="0"/>
                <w:sz w:val="24"/>
                <w:szCs w:val="24"/>
                <w:lang w:val="en-US" w:eastAsia="zh-CN"/>
              </w:rPr>
              <w:t>〕</w:t>
            </w:r>
            <w:r>
              <w:rPr>
                <w:rFonts w:hint="eastAsia" w:ascii="Times New Roman" w:hAnsi="Times New Roman" w:eastAsia="宋体" w:cs="Times New Roman"/>
                <w:color w:val="auto"/>
                <w:spacing w:val="0"/>
                <w:sz w:val="24"/>
                <w:szCs w:val="24"/>
                <w:lang w:val="en-US" w:eastAsia="zh-CN"/>
              </w:rPr>
              <w:t>133号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681" w:type="pct"/>
            <w:tcBorders>
              <w:tl2br w:val="nil"/>
              <w:tr2bl w:val="nil"/>
            </w:tcBorders>
            <w:tcMar>
              <w:top w:w="16" w:type="dxa"/>
              <w:left w:w="16" w:type="dxa"/>
              <w:right w:w="16" w:type="dxa"/>
            </w:tcMar>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总投资（万元）</w:t>
            </w:r>
          </w:p>
        </w:tc>
        <w:tc>
          <w:tcPr>
            <w:tcW w:w="1195" w:type="pct"/>
            <w:tcBorders>
              <w:tl2br w:val="nil"/>
              <w:tr2bl w:val="nil"/>
            </w:tcBorders>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lang w:val="en-US" w:eastAsia="zh-CN"/>
              </w:rPr>
              <w:t>25</w:t>
            </w:r>
            <w:r>
              <w:rPr>
                <w:rFonts w:hint="eastAsia" w:ascii="Times New Roman" w:hAnsi="Times New Roman" w:eastAsia="宋体" w:cs="Times New Roman"/>
                <w:color w:val="auto"/>
                <w:spacing w:val="0"/>
                <w:sz w:val="24"/>
                <w:szCs w:val="24"/>
              </w:rPr>
              <w:t>00</w:t>
            </w:r>
          </w:p>
        </w:tc>
        <w:tc>
          <w:tcPr>
            <w:tcW w:w="1285" w:type="pct"/>
            <w:tcBorders>
              <w:tl2br w:val="nil"/>
              <w:tr2bl w:val="nil"/>
            </w:tcBorders>
            <w:tcMar>
              <w:top w:w="16" w:type="dxa"/>
              <w:left w:w="16" w:type="dxa"/>
              <w:right w:w="16" w:type="dxa"/>
            </w:tcMar>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环保投资（万元）</w:t>
            </w:r>
          </w:p>
        </w:tc>
        <w:tc>
          <w:tcPr>
            <w:tcW w:w="1837" w:type="pct"/>
            <w:tcBorders>
              <w:tl2br w:val="nil"/>
              <w:tr2bl w:val="nil"/>
            </w:tcBorders>
            <w:vAlign w:val="center"/>
          </w:tcPr>
          <w:p>
            <w:pPr>
              <w:spacing w:line="240" w:lineRule="auto"/>
              <w:ind w:firstLine="0" w:firstLineChars="0"/>
              <w:jc w:val="center"/>
              <w:rPr>
                <w:rFonts w:hint="default"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41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681" w:type="pct"/>
            <w:tcBorders>
              <w:tl2br w:val="nil"/>
              <w:tr2bl w:val="nil"/>
            </w:tcBorders>
            <w:tcMar>
              <w:top w:w="16" w:type="dxa"/>
              <w:left w:w="16" w:type="dxa"/>
              <w:right w:w="16" w:type="dxa"/>
            </w:tcMar>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环保投资占比（%）</w:t>
            </w:r>
          </w:p>
        </w:tc>
        <w:tc>
          <w:tcPr>
            <w:tcW w:w="1195" w:type="pct"/>
            <w:tcBorders>
              <w:tl2br w:val="nil"/>
              <w:tr2bl w:val="nil"/>
            </w:tcBorders>
            <w:vAlign w:val="center"/>
          </w:tcPr>
          <w:p>
            <w:pPr>
              <w:spacing w:line="240" w:lineRule="auto"/>
              <w:ind w:firstLine="0" w:firstLineChars="0"/>
              <w:jc w:val="center"/>
              <w:rPr>
                <w:rFonts w:hint="default"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1.64</w:t>
            </w:r>
          </w:p>
        </w:tc>
        <w:tc>
          <w:tcPr>
            <w:tcW w:w="1285" w:type="pct"/>
            <w:tcBorders>
              <w:tl2br w:val="nil"/>
              <w:tr2bl w:val="nil"/>
            </w:tcBorders>
            <w:tcMar>
              <w:top w:w="16" w:type="dxa"/>
              <w:left w:w="16" w:type="dxa"/>
              <w:right w:w="16" w:type="dxa"/>
            </w:tcMar>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施工工期</w:t>
            </w:r>
          </w:p>
        </w:tc>
        <w:tc>
          <w:tcPr>
            <w:tcW w:w="1837" w:type="pct"/>
            <w:tcBorders>
              <w:tl2br w:val="nil"/>
              <w:tr2bl w:val="nil"/>
            </w:tcBorders>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lang w:val="en-US" w:eastAsia="zh-CN"/>
              </w:rPr>
              <w:t>24</w:t>
            </w:r>
            <w:r>
              <w:rPr>
                <w:rFonts w:ascii="Times New Roman" w:hAnsi="Times New Roman" w:eastAsia="宋体" w:cs="Times New Roman"/>
                <w:color w:val="auto"/>
                <w:spacing w:val="0"/>
                <w:sz w:val="24"/>
                <w:szCs w:val="24"/>
              </w:rPr>
              <w:t>个月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681" w:type="pct"/>
            <w:tcBorders>
              <w:tl2br w:val="nil"/>
              <w:tr2bl w:val="nil"/>
            </w:tcBorders>
            <w:tcMar>
              <w:top w:w="16" w:type="dxa"/>
              <w:left w:w="16" w:type="dxa"/>
              <w:right w:w="16" w:type="dxa"/>
            </w:tcMar>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是否开工建设</w:t>
            </w:r>
          </w:p>
        </w:tc>
        <w:tc>
          <w:tcPr>
            <w:tcW w:w="1195" w:type="pct"/>
            <w:tcBorders>
              <w:tl2br w:val="nil"/>
              <w:tr2bl w:val="nil"/>
            </w:tcBorders>
            <w:vAlign w:val="center"/>
          </w:tcPr>
          <w:p>
            <w:pPr>
              <w:spacing w:line="240" w:lineRule="auto"/>
              <w:ind w:firstLine="0" w:firstLineChars="0"/>
              <w:jc w:val="left"/>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rPr>
              <w:sym w:font="Wingdings 2" w:char="0052"/>
            </w:r>
            <w:r>
              <w:rPr>
                <w:rFonts w:ascii="Times New Roman" w:hAnsi="Times New Roman" w:eastAsia="宋体" w:cs="Times New Roman"/>
                <w:color w:val="auto"/>
                <w:spacing w:val="0"/>
                <w:sz w:val="24"/>
                <w:szCs w:val="24"/>
              </w:rPr>
              <w:t>否</w:t>
            </w:r>
          </w:p>
          <w:p>
            <w:pPr>
              <w:spacing w:line="240" w:lineRule="auto"/>
              <w:ind w:firstLine="0" w:firstLineChars="0"/>
              <w:jc w:val="left"/>
              <w:rPr>
                <w:rFonts w:ascii="Times New Roman" w:hAnsi="Times New Roman" w:eastAsia="宋体" w:cs="Times New Roman"/>
                <w:color w:val="auto"/>
                <w:spacing w:val="0"/>
                <w:sz w:val="24"/>
                <w:szCs w:val="24"/>
                <w:u w:val="single"/>
              </w:rPr>
            </w:pPr>
            <w:r>
              <w:rPr>
                <w:rFonts w:hint="eastAsia" w:ascii="Times New Roman" w:hAnsi="Times New Roman" w:eastAsia="宋体" w:cs="Times New Roman"/>
                <w:color w:val="auto"/>
                <w:spacing w:val="0"/>
                <w:sz w:val="24"/>
                <w:szCs w:val="24"/>
              </w:rPr>
              <w:sym w:font="Wingdings 2" w:char="00A3"/>
            </w:r>
            <w:r>
              <w:rPr>
                <w:rFonts w:ascii="Times New Roman" w:hAnsi="Times New Roman" w:eastAsia="宋体" w:cs="Times New Roman"/>
                <w:color w:val="auto"/>
                <w:spacing w:val="0"/>
                <w:sz w:val="24"/>
                <w:szCs w:val="24"/>
              </w:rPr>
              <w:t>是：</w:t>
            </w:r>
            <w:r>
              <w:rPr>
                <w:rFonts w:ascii="Times New Roman" w:hAnsi="Times New Roman" w:eastAsia="宋体" w:cs="Times New Roman"/>
                <w:color w:val="auto"/>
                <w:spacing w:val="0"/>
                <w:sz w:val="24"/>
                <w:szCs w:val="24"/>
                <w:u w:val="single"/>
              </w:rPr>
              <w:t xml:space="preserve">        </w:t>
            </w:r>
          </w:p>
        </w:tc>
        <w:tc>
          <w:tcPr>
            <w:tcW w:w="1285" w:type="pct"/>
            <w:tcBorders>
              <w:tl2br w:val="nil"/>
              <w:tr2bl w:val="nil"/>
            </w:tcBorders>
            <w:tcMar>
              <w:top w:w="16" w:type="dxa"/>
              <w:left w:w="16" w:type="dxa"/>
              <w:right w:w="16" w:type="dxa"/>
            </w:tcMar>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用地（用海）</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面积（m</w:t>
            </w:r>
            <w:r>
              <w:rPr>
                <w:rFonts w:ascii="Times New Roman" w:hAnsi="Times New Roman" w:eastAsia="宋体" w:cs="Times New Roman"/>
                <w:color w:val="auto"/>
                <w:spacing w:val="0"/>
                <w:sz w:val="24"/>
                <w:szCs w:val="24"/>
                <w:vertAlign w:val="superscript"/>
              </w:rPr>
              <w:t>2</w:t>
            </w:r>
            <w:r>
              <w:rPr>
                <w:rFonts w:ascii="Times New Roman" w:hAnsi="Times New Roman" w:eastAsia="宋体" w:cs="Times New Roman"/>
                <w:color w:val="auto"/>
                <w:spacing w:val="0"/>
                <w:sz w:val="24"/>
                <w:szCs w:val="24"/>
              </w:rPr>
              <w:t>）</w:t>
            </w:r>
          </w:p>
        </w:tc>
        <w:tc>
          <w:tcPr>
            <w:tcW w:w="1837" w:type="pct"/>
            <w:tcBorders>
              <w:tl2br w:val="nil"/>
              <w:tr2bl w:val="nil"/>
            </w:tcBorders>
            <w:vAlign w:val="center"/>
          </w:tcPr>
          <w:p>
            <w:pPr>
              <w:spacing w:line="240" w:lineRule="auto"/>
              <w:ind w:firstLine="0" w:firstLineChars="0"/>
              <w:jc w:val="center"/>
              <w:rPr>
                <w:rFonts w:hint="default"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4456.49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681" w:type="pct"/>
            <w:tcBorders>
              <w:tl2br w:val="nil"/>
              <w:tr2bl w:val="nil"/>
            </w:tcBorders>
            <w:vAlign w:val="center"/>
          </w:tcPr>
          <w:p>
            <w:pPr>
              <w:autoSpaceDE w:val="0"/>
              <w:autoSpaceDN w:val="0"/>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专项评价设置情况</w:t>
            </w:r>
          </w:p>
        </w:tc>
        <w:tc>
          <w:tcPr>
            <w:tcW w:w="4318" w:type="pct"/>
            <w:gridSpan w:val="3"/>
            <w:tcBorders>
              <w:tl2br w:val="nil"/>
              <w:tr2bl w:val="nil"/>
            </w:tcBorders>
            <w:vAlign w:val="center"/>
          </w:tcPr>
          <w:p>
            <w:pPr>
              <w:autoSpaceDE w:val="0"/>
              <w:autoSpaceDN w:val="0"/>
              <w:adjustRightInd/>
              <w:snapToGrid/>
              <w:ind w:firstLine="0" w:firstLineChars="0"/>
              <w:jc w:val="center"/>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681" w:type="pct"/>
            <w:tcBorders>
              <w:tl2br w:val="nil"/>
              <w:tr2bl w:val="nil"/>
            </w:tcBorders>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规划</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情况</w:t>
            </w:r>
          </w:p>
        </w:tc>
        <w:tc>
          <w:tcPr>
            <w:tcW w:w="4318" w:type="pct"/>
            <w:gridSpan w:val="3"/>
            <w:tcBorders>
              <w:tl2br w:val="nil"/>
              <w:tr2bl w:val="nil"/>
            </w:tcBorders>
            <w:vAlign w:val="center"/>
          </w:tcPr>
          <w:p>
            <w:pPr>
              <w:pStyle w:val="454"/>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规划名称</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博湖</w:t>
            </w:r>
            <w:r>
              <w:rPr>
                <w:rFonts w:hint="default" w:ascii="Times New Roman" w:hAnsi="Times New Roman" w:cs="Times New Roman"/>
                <w:color w:val="auto"/>
                <w:highlight w:val="none"/>
                <w:lang w:val="en-US" w:eastAsia="zh-CN"/>
              </w:rPr>
              <w:t>县国土空间总体规划（2021—2035年）》</w:t>
            </w:r>
            <w:r>
              <w:rPr>
                <w:rFonts w:hint="eastAsia" w:ascii="Times New Roman" w:hAnsi="Times New Roman" w:cs="Times New Roman"/>
                <w:color w:val="auto"/>
                <w:highlight w:val="none"/>
                <w:lang w:val="en-US" w:eastAsia="zh-CN"/>
              </w:rPr>
              <w:t>；</w:t>
            </w:r>
          </w:p>
          <w:p>
            <w:pPr>
              <w:pStyle w:val="454"/>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审</w:t>
            </w:r>
            <w:r>
              <w:rPr>
                <w:rFonts w:hint="eastAsia" w:ascii="Times New Roman" w:hAnsi="Times New Roman" w:eastAsia="宋体" w:cs="Times New Roman"/>
                <w:color w:val="auto"/>
                <w:highlight w:val="none"/>
                <w:lang w:val="en-US" w:eastAsia="zh-CN"/>
              </w:rPr>
              <w:t>批机关：巴州人民政府；</w:t>
            </w:r>
          </w:p>
          <w:p>
            <w:pPr>
              <w:pStyle w:val="454"/>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Times New Roman" w:hAnsi="Times New Roman" w:cs="Times New Roman"/>
                <w:color w:val="auto"/>
                <w:highlight w:val="none"/>
                <w:lang w:val="en-US" w:eastAsia="zh-CN"/>
              </w:rPr>
            </w:pPr>
            <w:r>
              <w:rPr>
                <w:rFonts w:hint="default" w:ascii="Times New Roman" w:hAnsi="Times New Roman" w:eastAsia="宋体" w:cs="Times New Roman"/>
                <w:color w:val="auto"/>
                <w:highlight w:val="none"/>
                <w:lang w:val="en-US" w:eastAsia="zh-CN"/>
              </w:rPr>
              <w:t>审批文件名称</w:t>
            </w:r>
            <w:r>
              <w:rPr>
                <w:rFonts w:hint="eastAsia" w:ascii="Times New Roman" w:hAnsi="Times New Roman" w:eastAsia="宋体" w:cs="Times New Roman"/>
                <w:color w:val="auto"/>
                <w:highlight w:val="none"/>
                <w:lang w:val="en-US" w:eastAsia="zh-CN"/>
              </w:rPr>
              <w:t>：关于《博湖县国土空间总体规划（2021—2035年）</w:t>
            </w:r>
            <w:r>
              <w:rPr>
                <w:rFonts w:hint="eastAsia" w:ascii="Times New Roman" w:hAnsi="Times New Roman" w:cs="Times New Roman"/>
                <w:color w:val="auto"/>
                <w:highlight w:val="none"/>
                <w:lang w:val="en-US" w:eastAsia="zh-CN"/>
              </w:rPr>
              <w:t>》的批复；</w:t>
            </w:r>
          </w:p>
          <w:p>
            <w:pPr>
              <w:pStyle w:val="454"/>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ascii="Times New Roman" w:hAnsi="Times New Roman" w:eastAsia="宋体" w:cs="Times New Roman"/>
                <w:color w:val="auto"/>
                <w:spacing w:val="0"/>
                <w:sz w:val="24"/>
                <w:szCs w:val="24"/>
              </w:rPr>
            </w:pPr>
            <w:r>
              <w:rPr>
                <w:rFonts w:hint="default" w:ascii="Times New Roman" w:hAnsi="Times New Roman" w:cs="Times New Roman"/>
                <w:color w:val="auto"/>
                <w:highlight w:val="none"/>
                <w:lang w:val="en-US" w:eastAsia="zh-CN"/>
              </w:rPr>
              <w:t>文号</w:t>
            </w:r>
            <w:r>
              <w:rPr>
                <w:rFonts w:hint="eastAsia" w:ascii="Times New Roman" w:hAnsi="Times New Roman" w:cs="Times New Roman"/>
                <w:color w:val="auto"/>
                <w:highlight w:val="none"/>
                <w:lang w:val="en-US" w:eastAsia="zh-CN"/>
              </w:rPr>
              <w:t>：巴政函〔2024〕111号。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681" w:type="pct"/>
            <w:tcBorders>
              <w:tl2br w:val="nil"/>
              <w:tr2bl w:val="nil"/>
            </w:tcBorders>
            <w:vAlign w:val="center"/>
          </w:tcPr>
          <w:p>
            <w:pPr>
              <w:spacing w:line="240" w:lineRule="auto"/>
              <w:ind w:firstLine="0" w:firstLineChars="0"/>
              <w:jc w:val="center"/>
              <w:rPr>
                <w:rFonts w:ascii="Times New Roman" w:hAnsi="Times New Roman" w:eastAsia="宋体" w:cs="Times New Roman"/>
                <w:b/>
                <w:bCs/>
                <w:color w:val="auto"/>
                <w:spacing w:val="0"/>
                <w:sz w:val="24"/>
                <w:szCs w:val="24"/>
              </w:rPr>
            </w:pPr>
            <w:r>
              <w:rPr>
                <w:rFonts w:ascii="Times New Roman" w:hAnsi="Times New Roman" w:eastAsia="宋体" w:cs="Times New Roman"/>
                <w:color w:val="auto"/>
                <w:spacing w:val="0"/>
                <w:sz w:val="24"/>
                <w:szCs w:val="24"/>
              </w:rPr>
              <w:t>规划环境影响评价情况</w:t>
            </w:r>
          </w:p>
        </w:tc>
        <w:tc>
          <w:tcPr>
            <w:tcW w:w="4318" w:type="pct"/>
            <w:gridSpan w:val="3"/>
            <w:tcBorders>
              <w:tl2br w:val="nil"/>
              <w:tr2bl w:val="nil"/>
            </w:tcBorders>
            <w:vAlign w:val="center"/>
          </w:tcPr>
          <w:p>
            <w:pPr>
              <w:adjustRightInd/>
              <w:snapToGrid/>
              <w:ind w:firstLine="0" w:firstLineChars="0"/>
              <w:jc w:val="center"/>
              <w:rPr>
                <w:rFonts w:hint="eastAsia" w:ascii="Times New Roman" w:hAnsi="Times New Roman" w:eastAsia="宋体" w:cs="Times New Roman"/>
                <w:color w:val="auto"/>
                <w:spacing w:val="0"/>
                <w:sz w:val="24"/>
                <w:szCs w:val="24"/>
                <w:lang w:eastAsia="zh-CN"/>
              </w:rPr>
            </w:pPr>
            <w:r>
              <w:rPr>
                <w:rFonts w:hint="eastAsia" w:ascii="Times New Roman" w:hAnsi="Times New Roman" w:eastAsia="宋体" w:cs="Times New Roman"/>
                <w:color w:val="auto"/>
                <w:spacing w:val="0"/>
                <w:sz w:val="24"/>
                <w:szCs w:val="24"/>
                <w:lang w:val="en-US" w:eastAsia="zh-CN"/>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681" w:type="pct"/>
            <w:tcBorders>
              <w:tl2br w:val="nil"/>
              <w:tr2bl w:val="nil"/>
            </w:tcBorders>
            <w:vAlign w:val="center"/>
          </w:tcPr>
          <w:p>
            <w:pPr>
              <w:autoSpaceDE w:val="0"/>
              <w:autoSpaceDN w:val="0"/>
              <w:spacing w:line="240" w:lineRule="auto"/>
              <w:ind w:firstLine="0" w:firstLineChars="0"/>
              <w:jc w:val="center"/>
              <w:rPr>
                <w:rFonts w:ascii="Times New Roman" w:hAnsi="Times New Roman" w:eastAsia="宋体" w:cs="Times New Roman"/>
                <w:b/>
                <w:bCs/>
                <w:color w:val="auto"/>
                <w:spacing w:val="0"/>
                <w:sz w:val="24"/>
                <w:szCs w:val="24"/>
              </w:rPr>
            </w:pPr>
            <w:r>
              <w:rPr>
                <w:rFonts w:ascii="Times New Roman" w:hAnsi="Times New Roman" w:eastAsia="宋体" w:cs="Times New Roman"/>
                <w:color w:val="auto"/>
                <w:spacing w:val="0"/>
                <w:sz w:val="24"/>
                <w:szCs w:val="24"/>
              </w:rPr>
              <w:t>规划及规划环境影响评价符合性分析</w:t>
            </w:r>
          </w:p>
        </w:tc>
        <w:tc>
          <w:tcPr>
            <w:tcW w:w="4318" w:type="pct"/>
            <w:gridSpan w:val="3"/>
            <w:tcBorders>
              <w:tl2br w:val="nil"/>
              <w:tr2bl w:val="nil"/>
            </w:tcBorders>
            <w:vAlign w:val="center"/>
          </w:tcPr>
          <w:p>
            <w:pPr>
              <w:pStyle w:val="454"/>
              <w:keepNext w:val="0"/>
              <w:keepLines w:val="0"/>
              <w:pageBreakBefore w:val="0"/>
              <w:widowControl w:val="0"/>
              <w:kinsoku/>
              <w:wordWrap/>
              <w:overflowPunct/>
              <w:topLinePunct w:val="0"/>
              <w:autoSpaceDE/>
              <w:autoSpaceDN/>
              <w:bidi w:val="0"/>
              <w:adjustRightInd/>
              <w:snapToGrid/>
              <w:spacing w:line="360" w:lineRule="auto"/>
              <w:rPr>
                <w:rFonts w:hint="default" w:ascii="Times New Roman" w:hAnsi="Times New Roman" w:cs="Times New Roman"/>
                <w:b/>
                <w:bCs/>
                <w:color w:val="auto"/>
                <w:highlight w:val="none"/>
                <w:lang w:val="en-US" w:eastAsia="zh-CN"/>
              </w:rPr>
            </w:pPr>
            <w:r>
              <w:rPr>
                <w:rFonts w:ascii="Times New Roman" w:hAnsi="Times New Roman" w:eastAsia="宋体" w:cs="Times New Roman"/>
                <w:b/>
                <w:bCs/>
                <w:color w:val="auto"/>
                <w:spacing w:val="0"/>
                <w:sz w:val="24"/>
                <w:szCs w:val="24"/>
              </w:rPr>
              <w:t>1、</w:t>
            </w:r>
            <w:r>
              <w:rPr>
                <w:rFonts w:hint="default" w:ascii="Times New Roman" w:hAnsi="Times New Roman" w:cs="Times New Roman"/>
                <w:b/>
                <w:bCs/>
                <w:color w:val="auto"/>
                <w:highlight w:val="none"/>
                <w:lang w:val="en-US" w:eastAsia="zh-CN"/>
              </w:rPr>
              <w:t>与《</w:t>
            </w:r>
            <w:r>
              <w:rPr>
                <w:rFonts w:hint="eastAsia" w:ascii="Times New Roman" w:hAnsi="Times New Roman" w:cs="Times New Roman"/>
                <w:b/>
                <w:bCs/>
                <w:color w:val="auto"/>
                <w:highlight w:val="none"/>
                <w:lang w:val="en-US" w:eastAsia="zh-CN"/>
              </w:rPr>
              <w:t>博湖</w:t>
            </w:r>
            <w:r>
              <w:rPr>
                <w:rFonts w:hint="default" w:ascii="Times New Roman" w:hAnsi="Times New Roman" w:cs="Times New Roman"/>
                <w:b/>
                <w:bCs/>
                <w:color w:val="auto"/>
                <w:highlight w:val="none"/>
                <w:lang w:val="en-US" w:eastAsia="zh-CN"/>
              </w:rPr>
              <w:t>县国土空间总体规划（2021—2035年）》符合性分析</w:t>
            </w:r>
          </w:p>
          <w:p>
            <w:pPr>
              <w:pStyle w:val="454"/>
              <w:keepNext w:val="0"/>
              <w:keepLines w:val="0"/>
              <w:pageBreakBefore w:val="0"/>
              <w:widowControl w:val="0"/>
              <w:kinsoku/>
              <w:wordWrap/>
              <w:overflowPunct/>
              <w:topLinePunct w:val="0"/>
              <w:autoSpaceDE/>
              <w:autoSpaceDN/>
              <w:bidi w:val="0"/>
              <w:adjustRightInd/>
              <w:snapToGrid/>
              <w:spacing w:line="360" w:lineRule="auto"/>
              <w:rPr>
                <w:rFonts w:ascii="宋体" w:hAnsi="宋体" w:eastAsia="宋体" w:cs="宋体"/>
                <w:color w:val="auto"/>
                <w:sz w:val="24"/>
                <w:szCs w:val="24"/>
              </w:rPr>
            </w:pPr>
            <w:r>
              <w:rPr>
                <w:rFonts w:hint="default" w:ascii="Times New Roman" w:hAnsi="Times New Roman" w:cs="Times New Roman"/>
                <w:color w:val="auto"/>
                <w:highlight w:val="none"/>
                <w:lang w:val="en-US" w:eastAsia="zh-CN"/>
              </w:rPr>
              <w:t>根据《</w:t>
            </w:r>
            <w:r>
              <w:rPr>
                <w:rFonts w:hint="eastAsia" w:ascii="Times New Roman" w:hAnsi="Times New Roman" w:cs="Times New Roman"/>
                <w:color w:val="auto"/>
                <w:highlight w:val="none"/>
                <w:lang w:val="en-US" w:eastAsia="zh-CN"/>
              </w:rPr>
              <w:t>博湖</w:t>
            </w:r>
            <w:r>
              <w:rPr>
                <w:rFonts w:hint="default" w:ascii="Times New Roman" w:hAnsi="Times New Roman" w:cs="Times New Roman"/>
                <w:color w:val="auto"/>
                <w:highlight w:val="none"/>
                <w:lang w:val="en-US" w:eastAsia="zh-CN"/>
              </w:rPr>
              <w:t>县国土空间总体规划（2021</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2035年）》</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规划采取构建底线严守的保护与开发格局，将旅游业打造为支柱产业，践行绿色发展，推动产业全面升级，</w:t>
            </w:r>
            <w:r>
              <w:rPr>
                <w:rFonts w:hint="eastAsia" w:cs="Times New Roman"/>
                <w:color w:val="auto"/>
                <w:highlight w:val="none"/>
                <w:lang w:val="en-US" w:eastAsia="zh-CN"/>
              </w:rPr>
              <w:t>以打</w:t>
            </w:r>
            <w:r>
              <w:rPr>
                <w:rFonts w:hint="default" w:ascii="Times New Roman" w:hAnsi="Times New Roman" w:cs="Times New Roman"/>
                <w:color w:val="auto"/>
                <w:highlight w:val="none"/>
                <w:lang w:val="en-US" w:eastAsia="zh-CN"/>
              </w:rPr>
              <w:t>造高品质城乡环境</w:t>
            </w:r>
            <w:r>
              <w:rPr>
                <w:rFonts w:hint="eastAsia" w:ascii="Times New Roman" w:hAnsi="Times New Roman" w:cs="Times New Roman"/>
                <w:color w:val="auto"/>
                <w:highlight w:val="none"/>
                <w:lang w:val="en-US" w:eastAsia="zh-CN"/>
              </w:rPr>
              <w:t>为</w:t>
            </w:r>
            <w:r>
              <w:rPr>
                <w:rFonts w:ascii="宋体" w:hAnsi="宋体" w:eastAsia="宋体" w:cs="宋体"/>
                <w:color w:val="auto"/>
                <w:sz w:val="24"/>
                <w:szCs w:val="24"/>
              </w:rPr>
              <w:t>发展目标</w:t>
            </w:r>
            <w:r>
              <w:rPr>
                <w:rFonts w:hint="default" w:ascii="Times New Roman" w:hAnsi="Times New Roman" w:cs="Times New Roman"/>
                <w:color w:val="auto"/>
                <w:highlight w:val="none"/>
                <w:lang w:val="en-US" w:eastAsia="zh-CN"/>
              </w:rPr>
              <w:t>。构筑“一心、四区、多点”的开发保护总体格局</w:t>
            </w:r>
            <w:r>
              <w:rPr>
                <w:rFonts w:hint="eastAsia" w:ascii="Times New Roman" w:hAnsi="Times New Roman" w:cs="Times New Roman"/>
                <w:color w:val="auto"/>
                <w:highlight w:val="none"/>
                <w:lang w:val="en-US" w:eastAsia="zh-CN"/>
              </w:rPr>
              <w:t>。</w:t>
            </w:r>
            <w:r>
              <w:rPr>
                <w:rFonts w:hint="eastAsia" w:cs="Times New Roman"/>
                <w:color w:val="auto"/>
                <w:highlight w:val="none"/>
                <w:lang w:val="en-US" w:eastAsia="zh-CN"/>
              </w:rPr>
              <w:t>一</w:t>
            </w:r>
            <w:r>
              <w:rPr>
                <w:rFonts w:hint="eastAsia" w:ascii="Times New Roman" w:hAnsi="Times New Roman" w:cs="Times New Roman"/>
                <w:color w:val="auto"/>
                <w:highlight w:val="none"/>
                <w:lang w:val="en-US" w:eastAsia="zh-CN"/>
              </w:rPr>
              <w:t>是以博湖县为中心，重点发展旅游服务、生活服务、生产服务等综合服务功能。</w:t>
            </w:r>
            <w:r>
              <w:rPr>
                <w:rFonts w:ascii="宋体" w:hAnsi="宋体" w:eastAsia="宋体" w:cs="宋体"/>
                <w:color w:val="auto"/>
                <w:sz w:val="24"/>
                <w:szCs w:val="24"/>
              </w:rPr>
              <w:t>四区</w:t>
            </w:r>
            <w:r>
              <w:rPr>
                <w:rFonts w:hint="eastAsia" w:ascii="宋体" w:hAnsi="宋体" w:eastAsia="宋体" w:cs="宋体"/>
                <w:color w:val="auto"/>
                <w:sz w:val="24"/>
                <w:szCs w:val="24"/>
                <w:lang w:val="en-US" w:eastAsia="zh-CN"/>
              </w:rPr>
              <w:t>分别为</w:t>
            </w:r>
            <w:r>
              <w:rPr>
                <w:rFonts w:ascii="宋体" w:hAnsi="宋体" w:eastAsia="宋体" w:cs="宋体"/>
                <w:color w:val="auto"/>
                <w:sz w:val="24"/>
                <w:szCs w:val="24"/>
              </w:rPr>
              <w:t>湖泊和湿地区</w:t>
            </w:r>
            <w:r>
              <w:rPr>
                <w:rFonts w:hint="eastAsia" w:ascii="宋体" w:hAnsi="宋体" w:eastAsia="宋体" w:cs="宋体"/>
                <w:color w:val="auto"/>
                <w:sz w:val="24"/>
                <w:szCs w:val="24"/>
                <w:lang w:eastAsia="zh-CN"/>
              </w:rPr>
              <w:t>、</w:t>
            </w:r>
            <w:r>
              <w:rPr>
                <w:rFonts w:ascii="宋体" w:hAnsi="宋体" w:eastAsia="宋体" w:cs="宋体"/>
                <w:color w:val="auto"/>
                <w:sz w:val="24"/>
                <w:szCs w:val="24"/>
              </w:rPr>
              <w:t>南部山区</w:t>
            </w:r>
            <w:r>
              <w:rPr>
                <w:rFonts w:hint="eastAsia" w:ascii="宋体" w:hAnsi="宋体" w:eastAsia="宋体" w:cs="宋体"/>
                <w:color w:val="auto"/>
                <w:sz w:val="24"/>
                <w:szCs w:val="24"/>
                <w:lang w:eastAsia="zh-CN"/>
              </w:rPr>
              <w:t>、</w:t>
            </w:r>
            <w:r>
              <w:rPr>
                <w:rFonts w:ascii="宋体" w:hAnsi="宋体" w:eastAsia="宋体" w:cs="宋体"/>
                <w:color w:val="auto"/>
                <w:sz w:val="24"/>
                <w:szCs w:val="24"/>
              </w:rPr>
              <w:t>沙漠戈壁区</w:t>
            </w:r>
            <w:r>
              <w:rPr>
                <w:rFonts w:hint="eastAsia" w:ascii="宋体" w:hAnsi="宋体" w:eastAsia="宋体" w:cs="宋体"/>
                <w:color w:val="auto"/>
                <w:sz w:val="24"/>
                <w:szCs w:val="24"/>
                <w:lang w:eastAsia="zh-CN"/>
              </w:rPr>
              <w:t>、</w:t>
            </w:r>
            <w:r>
              <w:rPr>
                <w:rFonts w:ascii="宋体" w:hAnsi="宋体" w:eastAsia="宋体" w:cs="宋体"/>
                <w:color w:val="auto"/>
                <w:sz w:val="24"/>
                <w:szCs w:val="24"/>
              </w:rPr>
              <w:t>绿洲区</w:t>
            </w:r>
            <w:r>
              <w:rPr>
                <w:rFonts w:hint="eastAsia" w:ascii="宋体" w:hAnsi="宋体" w:eastAsia="宋体" w:cs="宋体"/>
                <w:color w:val="auto"/>
                <w:sz w:val="24"/>
                <w:szCs w:val="24"/>
                <w:lang w:eastAsia="zh-CN"/>
              </w:rPr>
              <w:t>。</w:t>
            </w:r>
            <w:r>
              <w:rPr>
                <w:rFonts w:ascii="宋体" w:hAnsi="宋体" w:eastAsia="宋体" w:cs="宋体"/>
                <w:color w:val="auto"/>
                <w:sz w:val="24"/>
                <w:szCs w:val="24"/>
              </w:rPr>
              <w:t>多点</w:t>
            </w:r>
            <w:r>
              <w:rPr>
                <w:rFonts w:hint="eastAsia" w:ascii="宋体" w:hAnsi="宋体" w:eastAsia="宋体" w:cs="宋体"/>
                <w:color w:val="auto"/>
                <w:sz w:val="24"/>
                <w:szCs w:val="24"/>
                <w:lang w:val="en-US" w:eastAsia="zh-CN"/>
              </w:rPr>
              <w:t>是</w:t>
            </w:r>
            <w:r>
              <w:rPr>
                <w:rFonts w:ascii="宋体" w:hAnsi="宋体" w:eastAsia="宋体" w:cs="宋体"/>
                <w:color w:val="auto"/>
                <w:sz w:val="24"/>
                <w:szCs w:val="24"/>
              </w:rPr>
              <w:t>县域主要发展点</w:t>
            </w:r>
            <w:r>
              <w:rPr>
                <w:rFonts w:hint="eastAsia" w:ascii="宋体" w:hAnsi="宋体" w:eastAsia="宋体" w:cs="宋体"/>
                <w:color w:val="auto"/>
                <w:sz w:val="24"/>
                <w:szCs w:val="24"/>
                <w:lang w:eastAsia="zh-CN"/>
              </w:rPr>
              <w:t>，</w:t>
            </w:r>
            <w:r>
              <w:rPr>
                <w:rFonts w:ascii="宋体" w:hAnsi="宋体" w:eastAsia="宋体" w:cs="宋体"/>
                <w:color w:val="auto"/>
                <w:sz w:val="24"/>
                <w:szCs w:val="24"/>
              </w:rPr>
              <w:t>包括中心城区外围的</w:t>
            </w:r>
            <w:r>
              <w:rPr>
                <w:rFonts w:hint="default" w:ascii="Times New Roman" w:hAnsi="Times New Roman" w:eastAsia="宋体" w:cs="Times New Roman"/>
                <w:color w:val="auto"/>
                <w:sz w:val="24"/>
                <w:szCs w:val="24"/>
              </w:rPr>
              <w:t>6</w:t>
            </w:r>
            <w:r>
              <w:rPr>
                <w:rFonts w:ascii="宋体" w:hAnsi="宋体" w:eastAsia="宋体" w:cs="宋体"/>
                <w:color w:val="auto"/>
                <w:sz w:val="24"/>
                <w:szCs w:val="24"/>
              </w:rPr>
              <w:t>个乡镇、</w:t>
            </w:r>
            <w:r>
              <w:rPr>
                <w:rFonts w:hint="default" w:ascii="Times New Roman" w:hAnsi="Times New Roman" w:eastAsia="宋体" w:cs="Times New Roman"/>
                <w:color w:val="auto"/>
                <w:sz w:val="24"/>
                <w:szCs w:val="24"/>
              </w:rPr>
              <w:t>1</w:t>
            </w:r>
            <w:r>
              <w:rPr>
                <w:rFonts w:ascii="宋体" w:hAnsi="宋体" w:eastAsia="宋体" w:cs="宋体"/>
                <w:color w:val="auto"/>
                <w:sz w:val="24"/>
                <w:szCs w:val="24"/>
              </w:rPr>
              <w:t>处工业园区和若干处重要景点和村庄。</w:t>
            </w:r>
          </w:p>
          <w:p>
            <w:pPr>
              <w:pStyle w:val="454"/>
              <w:keepNext w:val="0"/>
              <w:keepLines w:val="0"/>
              <w:pageBreakBefore w:val="0"/>
              <w:widowControl w:val="0"/>
              <w:kinsoku/>
              <w:wordWrap/>
              <w:overflowPunct/>
              <w:topLinePunct w:val="0"/>
              <w:autoSpaceDE/>
              <w:autoSpaceDN/>
              <w:bidi w:val="0"/>
              <w:adjustRightInd/>
              <w:snapToGrid/>
              <w:spacing w:line="360" w:lineRule="auto"/>
              <w:rPr>
                <w:rFonts w:ascii="宋体" w:hAnsi="宋体" w:eastAsia="宋体" w:cs="宋体"/>
                <w:color w:val="auto"/>
                <w:sz w:val="24"/>
                <w:szCs w:val="24"/>
              </w:rPr>
            </w:pPr>
            <w:r>
              <w:rPr>
                <w:rFonts w:ascii="宋体" w:hAnsi="宋体" w:eastAsia="宋体" w:cs="宋体"/>
                <w:color w:val="auto"/>
                <w:sz w:val="24"/>
                <w:szCs w:val="24"/>
              </w:rPr>
              <w:t>优化国土空间开发保护格局。落实主体功能区战略，统筹农业、生态和城镇空间。优先保障农业空间，坚持耕地保护优先，落实耕地补充和战略储备，引导村庄分类发展，合理保障农业用地和</w:t>
            </w:r>
            <w:r>
              <w:rPr>
                <w:rFonts w:hint="eastAsia" w:ascii="宋体" w:hAnsi="宋体" w:cs="宋体"/>
                <w:color w:val="auto"/>
                <w:sz w:val="24"/>
                <w:szCs w:val="24"/>
                <w:lang w:eastAsia="zh-CN"/>
              </w:rPr>
              <w:t>一二三产业融合</w:t>
            </w:r>
            <w:r>
              <w:rPr>
                <w:rFonts w:ascii="宋体" w:hAnsi="宋体" w:eastAsia="宋体" w:cs="宋体"/>
                <w:color w:val="auto"/>
                <w:sz w:val="24"/>
                <w:szCs w:val="24"/>
              </w:rPr>
              <w:t>发展空间。严格保护以博斯腾湖为核心的生态空间，加强水体、湿地、林地、沙漠、山体的保护与修复，扎实推进山水林田湖草沙一体化保护和系统治理。合理保障城镇空间，推动城乡融合发展，构建以博湖县中心城区为引领的等级合理、协调有序的城镇体系，合理供给工业、旅游等产业发展空间。</w:t>
            </w:r>
          </w:p>
          <w:p>
            <w:pPr>
              <w:pStyle w:val="2"/>
              <w:keepNext w:val="0"/>
              <w:keepLines w:val="0"/>
              <w:pageBreakBefore w:val="0"/>
              <w:widowControl w:val="0"/>
              <w:kinsoku/>
              <w:wordWrap/>
              <w:overflowPunct/>
              <w:topLinePunct w:val="0"/>
              <w:autoSpaceDE/>
              <w:autoSpaceDN/>
              <w:bidi w:val="0"/>
              <w:adjustRightInd/>
              <w:snapToGrid/>
              <w:spacing w:line="360" w:lineRule="auto"/>
              <w:ind w:firstLine="480"/>
              <w:rPr>
                <w:rFonts w:hint="eastAsia" w:ascii="宋体" w:hAnsi="宋体" w:eastAsia="宋体" w:cs="宋体"/>
                <w:color w:val="auto"/>
                <w:sz w:val="24"/>
                <w:szCs w:val="24"/>
                <w:lang w:val="en-US" w:eastAsia="zh-CN" w:bidi="ar-SA"/>
              </w:rPr>
            </w:pPr>
            <w:r>
              <w:rPr>
                <w:rFonts w:hint="default" w:ascii="宋体" w:hAnsi="宋体" w:eastAsia="宋体" w:cs="宋体"/>
                <w:color w:val="auto"/>
                <w:sz w:val="24"/>
                <w:szCs w:val="24"/>
                <w:lang w:val="en-US" w:eastAsia="zh-CN" w:bidi="ar-SA"/>
              </w:rPr>
              <w:t>本项目选址位于</w:t>
            </w:r>
            <w:r>
              <w:rPr>
                <w:rFonts w:hint="eastAsia" w:ascii="Times New Roman" w:hAnsi="Times New Roman" w:eastAsia="宋体" w:cs="Times New Roman"/>
                <w:color w:val="auto"/>
                <w:spacing w:val="0"/>
                <w:sz w:val="24"/>
                <w:szCs w:val="24"/>
                <w:highlight w:val="none"/>
                <w:lang w:val="en-US" w:eastAsia="zh-CN"/>
              </w:rPr>
              <w:t>博湖县G218国道南侧鸿发CNG加气站西南</w:t>
            </w:r>
            <w:r>
              <w:rPr>
                <w:rFonts w:hint="default" w:ascii="宋体" w:hAnsi="宋体" w:eastAsia="宋体" w:cs="宋体"/>
                <w:color w:val="auto"/>
                <w:sz w:val="24"/>
                <w:szCs w:val="24"/>
                <w:lang w:val="en-US" w:eastAsia="zh-CN" w:bidi="ar-SA"/>
              </w:rPr>
              <w:t>，</w:t>
            </w:r>
            <w:r>
              <w:rPr>
                <w:rFonts w:hint="eastAsia" w:ascii="宋体" w:hAnsi="宋体" w:eastAsia="宋体" w:cs="宋体"/>
                <w:color w:val="auto"/>
                <w:sz w:val="24"/>
                <w:szCs w:val="24"/>
                <w:lang w:val="en-US" w:eastAsia="zh-CN" w:bidi="ar-SA"/>
              </w:rPr>
              <w:t>鑫新建材以东，</w:t>
            </w:r>
            <w:r>
              <w:rPr>
                <w:rFonts w:hint="default" w:ascii="宋体" w:hAnsi="宋体" w:eastAsia="宋体" w:cs="宋体"/>
                <w:color w:val="auto"/>
                <w:sz w:val="24"/>
                <w:szCs w:val="24"/>
                <w:lang w:val="en-US" w:eastAsia="zh-CN" w:bidi="ar-SA"/>
              </w:rPr>
              <w:t>用地类型为工业用地</w:t>
            </w:r>
            <w:r>
              <w:rPr>
                <w:rFonts w:hint="eastAsia" w:ascii="宋体" w:hAnsi="宋体" w:eastAsia="宋体" w:cs="宋体"/>
                <w:color w:val="auto"/>
                <w:sz w:val="24"/>
                <w:szCs w:val="24"/>
                <w:lang w:val="en-US" w:eastAsia="zh-CN" w:bidi="ar-SA"/>
              </w:rPr>
              <w:t>，</w:t>
            </w:r>
            <w:r>
              <w:rPr>
                <w:rFonts w:hint="default" w:ascii="宋体" w:hAnsi="宋体" w:eastAsia="宋体" w:cs="宋体"/>
                <w:color w:val="auto"/>
                <w:sz w:val="24"/>
                <w:szCs w:val="24"/>
                <w:lang w:val="en-US" w:eastAsia="zh-CN" w:bidi="ar-SA"/>
              </w:rPr>
              <w:t>明确本项目建设</w:t>
            </w:r>
            <w:r>
              <w:rPr>
                <w:rFonts w:hint="eastAsia" w:ascii="宋体" w:hAnsi="宋体" w:eastAsia="宋体" w:cs="宋体"/>
                <w:color w:val="auto"/>
                <w:sz w:val="24"/>
                <w:szCs w:val="24"/>
                <w:lang w:val="en-US" w:eastAsia="zh-CN" w:bidi="ar-SA"/>
              </w:rPr>
              <w:t>用地符合国土空间规划和用途管制要求</w:t>
            </w:r>
            <w:r>
              <w:rPr>
                <w:rFonts w:hint="default" w:ascii="宋体" w:hAnsi="宋体" w:eastAsia="宋体" w:cs="宋体"/>
                <w:color w:val="auto"/>
                <w:sz w:val="24"/>
                <w:szCs w:val="24"/>
                <w:lang w:val="en-US" w:eastAsia="zh-CN" w:bidi="ar-SA"/>
              </w:rPr>
              <w:t>（见附件</w:t>
            </w:r>
            <w:r>
              <w:rPr>
                <w:rFonts w:hint="default" w:ascii="Times New Roman" w:hAnsi="Times New Roman" w:eastAsia="宋体" w:cs="Times New Roman"/>
                <w:color w:val="auto"/>
                <w:sz w:val="24"/>
                <w:szCs w:val="24"/>
                <w:lang w:val="en-US" w:eastAsia="zh-CN" w:bidi="ar-SA"/>
              </w:rPr>
              <w:t>6</w:t>
            </w:r>
            <w:r>
              <w:rPr>
                <w:rFonts w:hint="default" w:ascii="宋体" w:hAnsi="宋体" w:eastAsia="宋体" w:cs="宋体"/>
                <w:color w:val="auto"/>
                <w:sz w:val="24"/>
                <w:szCs w:val="24"/>
                <w:lang w:val="en-US" w:eastAsia="zh-CN" w:bidi="ar-SA"/>
              </w:rPr>
              <w:t>）。</w:t>
            </w:r>
          </w:p>
          <w:p>
            <w:pPr>
              <w:pStyle w:val="2"/>
              <w:adjustRightInd/>
              <w:snapToGrid/>
              <w:spacing w:line="360" w:lineRule="auto"/>
              <w:ind w:left="0" w:leftChars="0" w:firstLine="0" w:firstLineChars="0"/>
              <w:rPr>
                <w:rFonts w:hint="eastAsia" w:ascii="Times New Roman" w:hAnsi="Times New Roman" w:eastAsia="宋体" w:cs="Times New Roman"/>
                <w:color w:val="auto"/>
                <w:spacing w:val="0"/>
                <w:sz w:val="24"/>
                <w:szCs w:val="24"/>
              </w:rPr>
            </w:pPr>
            <w:r>
              <w:rPr>
                <w:color w:val="auto"/>
                <w:sz w:val="28"/>
              </w:rPr>
              <mc:AlternateContent>
                <mc:Choice Requires="wps">
                  <w:drawing>
                    <wp:anchor distT="0" distB="0" distL="114300" distR="114300" simplePos="0" relativeHeight="251661312" behindDoc="0" locked="0" layoutInCell="1" allowOverlap="1">
                      <wp:simplePos x="0" y="0"/>
                      <wp:positionH relativeFrom="column">
                        <wp:posOffset>1796415</wp:posOffset>
                      </wp:positionH>
                      <wp:positionV relativeFrom="paragraph">
                        <wp:posOffset>363220</wp:posOffset>
                      </wp:positionV>
                      <wp:extent cx="798830" cy="285750"/>
                      <wp:effectExtent l="431165" t="12700" r="27305" b="349250"/>
                      <wp:wrapNone/>
                      <wp:docPr id="11" name="矩形标注 11"/>
                      <wp:cNvGraphicFramePr/>
                      <a:graphic xmlns:a="http://schemas.openxmlformats.org/drawingml/2006/main">
                        <a:graphicData uri="http://schemas.microsoft.com/office/word/2010/wordprocessingShape">
                          <wps:wsp>
                            <wps:cNvSpPr/>
                            <wps:spPr>
                              <a:xfrm>
                                <a:off x="3985260" y="2258695"/>
                                <a:ext cx="798830" cy="285750"/>
                              </a:xfrm>
                              <a:prstGeom prst="wedgeRectCallout">
                                <a:avLst>
                                  <a:gd name="adj1" fmla="val -102384"/>
                                  <a:gd name="adj2" fmla="val 167555"/>
                                </a:avLst>
                              </a:prstGeom>
                              <a:noFill/>
                            </wps:spPr>
                            <wps:style>
                              <a:lnRef idx="2">
                                <a:schemeClr val="accent1">
                                  <a:lumMod val="75000"/>
                                </a:schemeClr>
                              </a:lnRef>
                              <a:fillRef idx="1">
                                <a:schemeClr val="accent1"/>
                              </a:fillRef>
                              <a:effectRef idx="0">
                                <a:srgbClr val="FFFFFF"/>
                              </a:effectRef>
                              <a:fontRef idx="minor">
                                <a:schemeClr val="lt1"/>
                              </a:fontRef>
                            </wps:style>
                            <wps:txbx>
                              <w:txbxContent>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eastAsia="等线"/>
                                      <w:color w:val="FF0000"/>
                                      <w:lang w:val="en-US" w:eastAsia="zh-CN"/>
                                    </w:rPr>
                                  </w:pPr>
                                  <w:r>
                                    <w:rPr>
                                      <w:rFonts w:hint="eastAsia"/>
                                      <w:color w:val="FF0000"/>
                                      <w:lang w:val="en-US" w:eastAsia="zh-CN"/>
                                    </w:rPr>
                                    <w:t>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41.45pt;margin-top:28.6pt;height:22.5pt;width:62.9pt;z-index:251661312;v-text-anchor:middle;mso-width-relative:page;mso-height-relative:page;" filled="f" stroked="t" coordsize="21600,21600" o:gfxdata="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" adj="-11315,46992">
                      <v:fill on="f" focussize="0,0"/>
                      <v:stroke weight="2pt" color="#376092 [2404]" joinstyle="round"/>
                      <v:imagedata o:title=""/>
                      <o:lock v:ext="edit" aspectratio="f"/>
                      <v:textbox>
                        <w:txbxContent>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eastAsia="等线"/>
                                <w:color w:val="FF0000"/>
                                <w:lang w:val="en-US" w:eastAsia="zh-CN"/>
                              </w:rPr>
                            </w:pPr>
                            <w:r>
                              <w:rPr>
                                <w:rFonts w:hint="eastAsia"/>
                                <w:color w:val="FF0000"/>
                                <w:lang w:val="en-US" w:eastAsia="zh-CN"/>
                              </w:rPr>
                              <w:t>项目位置</w:t>
                            </w:r>
                          </w:p>
                        </w:txbxContent>
                      </v:textbox>
                    </v:shape>
                  </w:pict>
                </mc:Fallback>
              </mc:AlternateContent>
            </w:r>
            <w:r>
              <w:rPr>
                <w:color w:val="auto"/>
              </w:rPr>
              <w:drawing>
                <wp:inline distT="0" distB="0" distL="114300" distR="114300">
                  <wp:extent cx="4425315" cy="2820670"/>
                  <wp:effectExtent l="0" t="0" r="13335" b="17780"/>
                  <wp:docPr id="4"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2"/>
                          <pic:cNvPicPr>
                            <a:picLocks noChangeAspect="1"/>
                          </pic:cNvPicPr>
                        </pic:nvPicPr>
                        <pic:blipFill>
                          <a:blip r:embed="rId12"/>
                          <a:stretch>
                            <a:fillRect/>
                          </a:stretch>
                        </pic:blipFill>
                        <pic:spPr>
                          <a:xfrm>
                            <a:off x="0" y="0"/>
                            <a:ext cx="4425315" cy="2820670"/>
                          </a:xfrm>
                          <a:prstGeom prst="rect">
                            <a:avLst/>
                          </a:prstGeom>
                          <a:noFill/>
                          <a:ln>
                            <a:noFill/>
                          </a:ln>
                        </pic:spPr>
                      </pic:pic>
                    </a:graphicData>
                  </a:graphic>
                </wp:inline>
              </w:drawing>
            </w:r>
          </w:p>
          <w:p>
            <w:pPr>
              <w:keepNext/>
              <w:keepLines/>
              <w:tabs>
                <w:tab w:val="left" w:pos="864"/>
              </w:tabs>
              <w:adjustRightInd/>
              <w:snapToGrid/>
              <w:ind w:firstLine="0" w:firstLineChars="0"/>
              <w:jc w:val="center"/>
              <w:textAlignment w:val="baseline"/>
              <w:rPr>
                <w:color w:val="auto"/>
                <w:spacing w:val="0"/>
              </w:rPr>
            </w:pPr>
            <w:r>
              <w:rPr>
                <w:rFonts w:hint="eastAsia" w:ascii="Times New Roman" w:hAnsi="Times New Roman" w:eastAsia="宋体" w:cs="Times New Roman"/>
                <w:b/>
                <w:bCs/>
                <w:color w:val="auto"/>
                <w:spacing w:val="0"/>
                <w:sz w:val="21"/>
                <w:lang w:val="en-US" w:eastAsia="zh-CN"/>
              </w:rPr>
              <w:t>图1-1  项目选址与国土空间规划位置关系图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1" w:type="pct"/>
            <w:tcBorders>
              <w:tl2br w:val="nil"/>
              <w:tr2bl w:val="nil"/>
            </w:tcBorders>
            <w:vAlign w:val="center"/>
          </w:tcPr>
          <w:p>
            <w:pPr>
              <w:autoSpaceDE w:val="0"/>
              <w:autoSpaceDN w:val="0"/>
              <w:spacing w:line="240" w:lineRule="auto"/>
              <w:ind w:firstLine="0" w:firstLineChars="0"/>
              <w:jc w:val="center"/>
              <w:rPr>
                <w:rFonts w:ascii="Times New Roman" w:hAnsi="Times New Roman" w:eastAsia="宋体" w:cs="Times New Roman"/>
                <w:b/>
                <w:bCs/>
                <w:color w:val="auto"/>
                <w:spacing w:val="0"/>
                <w:sz w:val="24"/>
                <w:szCs w:val="24"/>
              </w:rPr>
            </w:pPr>
            <w:r>
              <w:rPr>
                <w:rFonts w:hint="eastAsia" w:ascii="Times New Roman" w:hAnsi="Times New Roman" w:eastAsia="宋体" w:cs="Times New Roman"/>
                <w:color w:val="auto"/>
                <w:spacing w:val="0"/>
                <w:sz w:val="24"/>
                <w:szCs w:val="24"/>
              </w:rPr>
              <w:t>其他符合性分析</w:t>
            </w:r>
          </w:p>
        </w:tc>
        <w:tc>
          <w:tcPr>
            <w:tcW w:w="4318" w:type="pct"/>
            <w:gridSpan w:val="3"/>
            <w:tcBorders>
              <w:tl2br w:val="nil"/>
              <w:tr2bl w:val="nil"/>
            </w:tcBorders>
            <w:vAlign w:val="center"/>
          </w:tcPr>
          <w:p>
            <w:pPr>
              <w:keepNext w:val="0"/>
              <w:keepLines w:val="0"/>
              <w:pageBreakBefore w:val="0"/>
              <w:widowControl/>
              <w:kinsoku/>
              <w:wordWrap/>
              <w:overflowPunct/>
              <w:topLinePunct w:val="0"/>
              <w:autoSpaceDE/>
              <w:autoSpaceDN/>
              <w:bidi w:val="0"/>
              <w:adjustRightInd/>
              <w:snapToGrid/>
              <w:ind w:firstLine="482"/>
              <w:textAlignment w:val="auto"/>
              <w:rPr>
                <w:rFonts w:hint="eastAsia" w:ascii="Times New Roman" w:hAnsi="Times New Roman" w:eastAsia="宋体" w:cs="Times New Roman"/>
                <w:b/>
                <w:bCs/>
                <w:color w:val="auto"/>
                <w:spacing w:val="0"/>
                <w:sz w:val="24"/>
                <w:szCs w:val="24"/>
              </w:rPr>
            </w:pPr>
            <w:r>
              <w:rPr>
                <w:rFonts w:hint="eastAsia" w:ascii="Times New Roman" w:hAnsi="Times New Roman" w:eastAsia="宋体" w:cs="Times New Roman"/>
                <w:b/>
                <w:bCs/>
                <w:color w:val="auto"/>
                <w:spacing w:val="0"/>
                <w:sz w:val="24"/>
                <w:szCs w:val="24"/>
              </w:rPr>
              <w:t>一、政策符合性分析</w:t>
            </w:r>
          </w:p>
          <w:p>
            <w:pPr>
              <w:pStyle w:val="454"/>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color w:val="auto"/>
                <w:highlight w:val="none"/>
              </w:rPr>
            </w:pPr>
            <w:r>
              <w:rPr>
                <w:rFonts w:hint="eastAsia" w:ascii="Times New Roman" w:hAnsi="Times New Roman" w:eastAsia="宋体" w:cs="Times New Roman"/>
                <w:b w:val="0"/>
                <w:bCs w:val="0"/>
                <w:color w:val="auto"/>
                <w:spacing w:val="0"/>
                <w:sz w:val="24"/>
                <w:szCs w:val="24"/>
                <w:highlight w:val="none"/>
                <w:lang w:val="en-US" w:eastAsia="zh-CN"/>
              </w:rPr>
              <w:t>1、</w:t>
            </w:r>
            <w:r>
              <w:rPr>
                <w:rFonts w:hint="default" w:ascii="Times New Roman" w:hAnsi="Times New Roman" w:cs="Times New Roman"/>
                <w:color w:val="auto"/>
                <w:highlight w:val="none"/>
              </w:rPr>
              <w:t>与《产业结构调整指导目录（20</w:t>
            </w:r>
            <w:r>
              <w:rPr>
                <w:rFonts w:hint="default" w:ascii="Times New Roman" w:hAnsi="Times New Roman" w:cs="Times New Roman"/>
                <w:color w:val="auto"/>
                <w:highlight w:val="none"/>
                <w:lang w:val="en-US" w:eastAsia="zh-CN"/>
              </w:rPr>
              <w:t>24</w:t>
            </w:r>
            <w:r>
              <w:rPr>
                <w:rFonts w:hint="default" w:ascii="Times New Roman" w:hAnsi="Times New Roman" w:cs="Times New Roman"/>
                <w:color w:val="auto"/>
                <w:highlight w:val="none"/>
              </w:rPr>
              <w:t>年</w:t>
            </w:r>
            <w:r>
              <w:rPr>
                <w:rFonts w:hint="default" w:ascii="Times New Roman" w:hAnsi="Times New Roman" w:cs="Times New Roman"/>
                <w:color w:val="auto"/>
                <w:highlight w:val="none"/>
                <w:lang w:val="en-US" w:eastAsia="zh-CN"/>
              </w:rPr>
              <w:t>本</w:t>
            </w:r>
            <w:r>
              <w:rPr>
                <w:rFonts w:hint="default" w:ascii="Times New Roman" w:hAnsi="Times New Roman" w:cs="Times New Roman"/>
                <w:color w:val="auto"/>
                <w:highlight w:val="none"/>
              </w:rPr>
              <w:t>）》符合性分析</w:t>
            </w:r>
          </w:p>
          <w:p>
            <w:pPr>
              <w:keepNext w:val="0"/>
              <w:keepLines w:val="0"/>
              <w:pageBreakBefore w:val="0"/>
              <w:widowControl/>
              <w:kinsoku/>
              <w:wordWrap/>
              <w:overflowPunct/>
              <w:topLinePunct w:val="0"/>
              <w:autoSpaceDE/>
              <w:autoSpaceDN/>
              <w:bidi w:val="0"/>
              <w:adjustRightInd/>
              <w:snapToGrid/>
              <w:ind w:firstLine="482"/>
              <w:textAlignment w:val="auto"/>
              <w:rPr>
                <w:rFonts w:hint="eastAsia" w:ascii="Times New Roman" w:hAnsi="Times New Roman" w:eastAsia="宋体" w:cs="Times New Roman"/>
                <w:b w:val="0"/>
                <w:bCs w:val="0"/>
                <w:color w:val="auto"/>
                <w:spacing w:val="0"/>
                <w:sz w:val="24"/>
                <w:szCs w:val="24"/>
                <w:highlight w:val="none"/>
              </w:rPr>
            </w:pPr>
            <w:r>
              <w:rPr>
                <w:rFonts w:hint="eastAsia" w:ascii="Times New Roman" w:hAnsi="Times New Roman" w:eastAsia="宋体" w:cs="Times New Roman"/>
                <w:b w:val="0"/>
                <w:bCs w:val="0"/>
                <w:color w:val="auto"/>
                <w:spacing w:val="0"/>
                <w:sz w:val="24"/>
                <w:szCs w:val="24"/>
                <w:highlight w:val="none"/>
              </w:rPr>
              <w:t>本项目属于</w:t>
            </w:r>
            <w:r>
              <w:rPr>
                <w:rFonts w:hint="default" w:ascii="Times New Roman" w:hAnsi="Times New Roman" w:eastAsia="宋体" w:cs="宋体"/>
                <w:color w:val="auto"/>
                <w:kern w:val="2"/>
                <w:sz w:val="24"/>
                <w:szCs w:val="24"/>
                <w:lang w:val="en-US" w:eastAsia="zh-CN" w:bidi="ar-SA"/>
              </w:rPr>
              <w:t>N7723</w:t>
            </w:r>
            <w:r>
              <w:rPr>
                <w:rFonts w:hint="default" w:ascii="Times New Roman" w:hAnsi="Times New Roman" w:eastAsia="宋体" w:cs="宋体"/>
                <w:color w:val="auto"/>
                <w:kern w:val="2"/>
                <w:sz w:val="24"/>
                <w:szCs w:val="21"/>
                <w:lang w:val="en-US" w:eastAsia="zh-CN" w:bidi="ar-SA"/>
              </w:rPr>
              <w:t>固体废物治理</w:t>
            </w:r>
            <w:r>
              <w:rPr>
                <w:rFonts w:hint="eastAsia" w:ascii="Times New Roman" w:hAnsi="Times New Roman" w:eastAsia="宋体" w:cs="Times New Roman"/>
                <w:b w:val="0"/>
                <w:bCs w:val="0"/>
                <w:color w:val="auto"/>
                <w:spacing w:val="0"/>
                <w:sz w:val="24"/>
                <w:szCs w:val="24"/>
                <w:highlight w:val="none"/>
              </w:rPr>
              <w:t>项目，</w:t>
            </w:r>
            <w:r>
              <w:rPr>
                <w:rFonts w:hint="eastAsia" w:ascii="Times New Roman" w:hAnsi="Times New Roman" w:eastAsia="宋体" w:cs="Times New Roman"/>
                <w:b w:val="0"/>
                <w:bCs w:val="0"/>
                <w:color w:val="auto"/>
                <w:spacing w:val="0"/>
                <w:sz w:val="24"/>
                <w:szCs w:val="24"/>
                <w:highlight w:val="none"/>
                <w:lang w:val="en-US" w:eastAsia="zh-CN"/>
              </w:rPr>
              <w:t>根据</w:t>
            </w:r>
            <w:r>
              <w:rPr>
                <w:rFonts w:hint="eastAsia" w:ascii="Times New Roman" w:hAnsi="Times New Roman" w:eastAsia="宋体" w:cs="Times New Roman"/>
                <w:b w:val="0"/>
                <w:bCs w:val="0"/>
                <w:color w:val="auto"/>
                <w:spacing w:val="0"/>
                <w:sz w:val="24"/>
                <w:szCs w:val="24"/>
                <w:highlight w:val="none"/>
              </w:rPr>
              <w:t>《产业结构调整指导目录（20</w:t>
            </w:r>
            <w:r>
              <w:rPr>
                <w:rFonts w:hint="eastAsia" w:ascii="Times New Roman" w:hAnsi="Times New Roman" w:eastAsia="宋体" w:cs="Times New Roman"/>
                <w:b w:val="0"/>
                <w:bCs w:val="0"/>
                <w:color w:val="auto"/>
                <w:spacing w:val="0"/>
                <w:sz w:val="24"/>
                <w:szCs w:val="24"/>
                <w:highlight w:val="none"/>
                <w:lang w:val="en-US" w:eastAsia="zh-CN"/>
              </w:rPr>
              <w:t>24</w:t>
            </w:r>
            <w:r>
              <w:rPr>
                <w:rFonts w:hint="eastAsia" w:ascii="Times New Roman" w:hAnsi="Times New Roman" w:eastAsia="宋体" w:cs="Times New Roman"/>
                <w:b w:val="0"/>
                <w:bCs w:val="0"/>
                <w:color w:val="auto"/>
                <w:spacing w:val="0"/>
                <w:sz w:val="24"/>
                <w:szCs w:val="24"/>
                <w:highlight w:val="none"/>
              </w:rPr>
              <w:t>年本）》</w:t>
            </w:r>
            <w:r>
              <w:rPr>
                <w:rFonts w:hint="eastAsia" w:ascii="Times New Roman" w:hAnsi="Times New Roman" w:eastAsia="宋体" w:cs="Times New Roman"/>
                <w:b w:val="0"/>
                <w:bCs w:val="0"/>
                <w:color w:val="auto"/>
                <w:spacing w:val="0"/>
                <w:sz w:val="24"/>
                <w:szCs w:val="24"/>
                <w:highlight w:val="none"/>
                <w:lang w:val="en-US" w:eastAsia="zh-CN"/>
              </w:rPr>
              <w:t>，本项目属于鼓励类第四十二项“环境保护与资源节约综合利用”中第8条“煤矸石、粉煤灰、尾矿（共伴生矿）、冶炼渣、工业副产石膏、赤泥、建筑垃圾等工业废弃物循环利用”。</w:t>
            </w:r>
          </w:p>
          <w:p>
            <w:pPr>
              <w:keepNext w:val="0"/>
              <w:keepLines w:val="0"/>
              <w:pageBreakBefore w:val="0"/>
              <w:widowControl/>
              <w:kinsoku/>
              <w:wordWrap/>
              <w:overflowPunct/>
              <w:topLinePunct w:val="0"/>
              <w:autoSpaceDE/>
              <w:autoSpaceDN/>
              <w:bidi w:val="0"/>
              <w:adjustRightInd/>
              <w:snapToGrid/>
              <w:ind w:firstLine="482"/>
              <w:textAlignment w:val="auto"/>
              <w:rPr>
                <w:rFonts w:hint="eastAsia" w:ascii="Times New Roman" w:hAnsi="Times New Roman" w:eastAsia="宋体" w:cs="Times New Roman"/>
                <w:b w:val="0"/>
                <w:bCs w:val="0"/>
                <w:color w:val="auto"/>
                <w:spacing w:val="0"/>
                <w:sz w:val="24"/>
                <w:szCs w:val="24"/>
                <w:highlight w:val="none"/>
                <w:lang w:val="en-US" w:eastAsia="zh-CN"/>
              </w:rPr>
            </w:pPr>
            <w:r>
              <w:rPr>
                <w:rFonts w:hint="eastAsia" w:ascii="Times New Roman" w:hAnsi="Times New Roman" w:eastAsia="宋体" w:cs="Times New Roman"/>
                <w:b w:val="0"/>
                <w:bCs w:val="0"/>
                <w:color w:val="auto"/>
                <w:spacing w:val="0"/>
                <w:sz w:val="24"/>
                <w:szCs w:val="24"/>
                <w:highlight w:val="none"/>
                <w:lang w:val="en-US" w:eastAsia="zh-CN"/>
              </w:rPr>
              <w:t>2025年12月6日，博湖县发展和改革委员会出具了项目的备案证（备案证号：2508-652829-04-01-279706）。</w:t>
            </w:r>
          </w:p>
          <w:p>
            <w:pPr>
              <w:keepNext w:val="0"/>
              <w:keepLines w:val="0"/>
              <w:pageBreakBefore w:val="0"/>
              <w:widowControl/>
              <w:kinsoku/>
              <w:wordWrap/>
              <w:overflowPunct/>
              <w:topLinePunct w:val="0"/>
              <w:autoSpaceDE/>
              <w:autoSpaceDN/>
              <w:bidi w:val="0"/>
              <w:adjustRightInd/>
              <w:snapToGrid/>
              <w:ind w:firstLine="482"/>
              <w:textAlignment w:val="auto"/>
              <w:rPr>
                <w:rFonts w:hint="eastAsia" w:ascii="Times New Roman" w:hAnsi="Times New Roman" w:eastAsia="宋体" w:cs="Times New Roman"/>
                <w:b w:val="0"/>
                <w:bCs w:val="0"/>
                <w:color w:val="auto"/>
                <w:spacing w:val="0"/>
                <w:sz w:val="24"/>
                <w:szCs w:val="24"/>
                <w:highlight w:val="none"/>
                <w:lang w:val="en-US" w:eastAsia="zh-CN"/>
              </w:rPr>
            </w:pPr>
            <w:r>
              <w:rPr>
                <w:rFonts w:hint="eastAsia" w:ascii="Times New Roman" w:hAnsi="Times New Roman" w:eastAsia="宋体" w:cs="Times New Roman"/>
                <w:b w:val="0"/>
                <w:bCs w:val="0"/>
                <w:color w:val="auto"/>
                <w:spacing w:val="0"/>
                <w:sz w:val="24"/>
                <w:szCs w:val="24"/>
                <w:highlight w:val="none"/>
                <w:lang w:val="en-US" w:eastAsia="zh-CN"/>
              </w:rPr>
              <w:t>综上，本项目建设符合当前国家和地方的产业政策要求。</w:t>
            </w:r>
          </w:p>
          <w:p>
            <w:pPr>
              <w:keepNext w:val="0"/>
              <w:keepLines w:val="0"/>
              <w:pageBreakBefore w:val="0"/>
              <w:widowControl/>
              <w:kinsoku/>
              <w:wordWrap/>
              <w:overflowPunct/>
              <w:topLinePunct w:val="0"/>
              <w:autoSpaceDE/>
              <w:autoSpaceDN/>
              <w:bidi w:val="0"/>
              <w:adjustRightInd/>
              <w:snapToGrid/>
              <w:ind w:firstLine="482"/>
              <w:textAlignment w:val="auto"/>
              <w:rPr>
                <w:rFonts w:hint="default" w:ascii="Times New Roman" w:hAnsi="Times New Roman" w:eastAsia="宋体" w:cs="Times New Roman"/>
                <w:b w:val="0"/>
                <w:bCs w:val="0"/>
                <w:color w:val="auto"/>
                <w:spacing w:val="0"/>
                <w:sz w:val="24"/>
                <w:szCs w:val="24"/>
                <w:highlight w:val="none"/>
                <w:lang w:val="en-US" w:eastAsia="zh-CN"/>
              </w:rPr>
            </w:pPr>
            <w:r>
              <w:rPr>
                <w:rFonts w:hint="eastAsia" w:ascii="Times New Roman" w:hAnsi="Times New Roman" w:eastAsia="宋体" w:cs="Times New Roman"/>
                <w:b w:val="0"/>
                <w:bCs w:val="0"/>
                <w:color w:val="auto"/>
                <w:spacing w:val="0"/>
                <w:sz w:val="24"/>
                <w:szCs w:val="24"/>
                <w:highlight w:val="none"/>
                <w:lang w:val="en-US" w:eastAsia="zh-CN"/>
              </w:rPr>
              <w:t>2、</w:t>
            </w:r>
            <w:r>
              <w:rPr>
                <w:rFonts w:hint="default" w:ascii="Times New Roman" w:hAnsi="Times New Roman" w:eastAsia="宋体" w:cs="Times New Roman"/>
                <w:b w:val="0"/>
                <w:bCs w:val="0"/>
                <w:color w:val="auto"/>
                <w:spacing w:val="0"/>
                <w:sz w:val="24"/>
                <w:szCs w:val="24"/>
                <w:highlight w:val="none"/>
                <w:lang w:val="en-US" w:eastAsia="zh-CN"/>
              </w:rPr>
              <w:t>与《市场准入负面清单（202</w:t>
            </w:r>
            <w:r>
              <w:rPr>
                <w:rFonts w:hint="eastAsia" w:ascii="Times New Roman" w:hAnsi="Times New Roman" w:eastAsia="宋体" w:cs="Times New Roman"/>
                <w:b w:val="0"/>
                <w:bCs w:val="0"/>
                <w:color w:val="auto"/>
                <w:spacing w:val="0"/>
                <w:sz w:val="24"/>
                <w:szCs w:val="24"/>
                <w:highlight w:val="none"/>
                <w:lang w:val="en-US" w:eastAsia="zh-CN"/>
              </w:rPr>
              <w:t>5</w:t>
            </w:r>
            <w:r>
              <w:rPr>
                <w:rFonts w:hint="default" w:ascii="Times New Roman" w:hAnsi="Times New Roman" w:eastAsia="宋体" w:cs="Times New Roman"/>
                <w:b w:val="0"/>
                <w:bCs w:val="0"/>
                <w:color w:val="auto"/>
                <w:spacing w:val="0"/>
                <w:sz w:val="24"/>
                <w:szCs w:val="24"/>
                <w:highlight w:val="none"/>
                <w:lang w:val="en-US" w:eastAsia="zh-CN"/>
              </w:rPr>
              <w:t>年版）》符合性分析</w:t>
            </w:r>
          </w:p>
          <w:p>
            <w:pPr>
              <w:keepNext w:val="0"/>
              <w:keepLines w:val="0"/>
              <w:pageBreakBefore w:val="0"/>
              <w:widowControl/>
              <w:kinsoku/>
              <w:wordWrap/>
              <w:overflowPunct/>
              <w:topLinePunct w:val="0"/>
              <w:autoSpaceDE/>
              <w:autoSpaceDN/>
              <w:bidi w:val="0"/>
              <w:adjustRightInd/>
              <w:snapToGrid/>
              <w:ind w:firstLine="482"/>
              <w:textAlignment w:val="auto"/>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根据《市场准入负面清单（202</w:t>
            </w:r>
            <w:r>
              <w:rPr>
                <w:rFonts w:hint="eastAsia" w:ascii="Times New Roman" w:hAnsi="Times New Roman" w:eastAsia="宋体" w:cs="Times New Roman"/>
                <w:b w:val="0"/>
                <w:bCs w:val="0"/>
                <w:color w:val="auto"/>
                <w:spacing w:val="0"/>
                <w:sz w:val="24"/>
                <w:szCs w:val="24"/>
                <w:highlight w:val="none"/>
                <w:lang w:val="en-US" w:eastAsia="zh-CN"/>
              </w:rPr>
              <w:t>5</w:t>
            </w:r>
            <w:r>
              <w:rPr>
                <w:rFonts w:hint="default" w:ascii="Times New Roman" w:hAnsi="Times New Roman" w:eastAsia="宋体" w:cs="Times New Roman"/>
                <w:b w:val="0"/>
                <w:bCs w:val="0"/>
                <w:color w:val="auto"/>
                <w:spacing w:val="0"/>
                <w:sz w:val="24"/>
                <w:szCs w:val="24"/>
                <w:highlight w:val="none"/>
                <w:lang w:val="en-US" w:eastAsia="zh-CN"/>
              </w:rPr>
              <w:t>年版）》</w:t>
            </w:r>
            <w:r>
              <w:rPr>
                <w:rFonts w:hint="eastAsia" w:ascii="Times New Roman" w:hAnsi="Times New Roman" w:eastAsia="宋体" w:cs="Times New Roman"/>
                <w:b w:val="0"/>
                <w:bCs w:val="0"/>
                <w:color w:val="auto"/>
                <w:spacing w:val="0"/>
                <w:sz w:val="24"/>
                <w:szCs w:val="24"/>
                <w:highlight w:val="none"/>
                <w:lang w:val="en-US" w:eastAsia="zh-CN"/>
              </w:rPr>
              <w:t>（</w:t>
            </w:r>
            <w:r>
              <w:rPr>
                <w:rFonts w:hint="default" w:ascii="Times New Roman" w:hAnsi="Times New Roman" w:eastAsia="宋体" w:cs="Times New Roman"/>
                <w:b w:val="0"/>
                <w:bCs w:val="0"/>
                <w:color w:val="auto"/>
                <w:spacing w:val="0"/>
                <w:sz w:val="24"/>
                <w:szCs w:val="24"/>
                <w:highlight w:val="none"/>
                <w:lang w:val="en-US" w:eastAsia="zh-CN"/>
              </w:rPr>
              <w:t>发改体改规〔202</w:t>
            </w:r>
            <w:r>
              <w:rPr>
                <w:rFonts w:hint="eastAsia" w:ascii="Times New Roman" w:hAnsi="Times New Roman" w:eastAsia="宋体" w:cs="Times New Roman"/>
                <w:b w:val="0"/>
                <w:bCs w:val="0"/>
                <w:color w:val="auto"/>
                <w:spacing w:val="0"/>
                <w:sz w:val="24"/>
                <w:szCs w:val="24"/>
                <w:highlight w:val="none"/>
                <w:lang w:val="en-US" w:eastAsia="zh-CN"/>
              </w:rPr>
              <w:t>5</w:t>
            </w:r>
            <w:r>
              <w:rPr>
                <w:rFonts w:hint="default" w:ascii="Times New Roman" w:hAnsi="Times New Roman" w:eastAsia="宋体" w:cs="Times New Roman"/>
                <w:b w:val="0"/>
                <w:bCs w:val="0"/>
                <w:color w:val="auto"/>
                <w:spacing w:val="0"/>
                <w:sz w:val="24"/>
                <w:szCs w:val="24"/>
                <w:highlight w:val="none"/>
                <w:lang w:val="en-US" w:eastAsia="zh-CN"/>
              </w:rPr>
              <w:t>〕</w:t>
            </w:r>
            <w:r>
              <w:rPr>
                <w:rFonts w:hint="eastAsia" w:ascii="Times New Roman" w:hAnsi="Times New Roman" w:eastAsia="宋体" w:cs="Times New Roman"/>
                <w:b w:val="0"/>
                <w:bCs w:val="0"/>
                <w:color w:val="auto"/>
                <w:spacing w:val="0"/>
                <w:sz w:val="24"/>
                <w:szCs w:val="24"/>
                <w:highlight w:val="none"/>
                <w:lang w:val="en-US" w:eastAsia="zh-CN"/>
              </w:rPr>
              <w:t>466</w:t>
            </w:r>
            <w:r>
              <w:rPr>
                <w:rFonts w:hint="default" w:ascii="Times New Roman" w:hAnsi="Times New Roman" w:eastAsia="宋体" w:cs="Times New Roman"/>
                <w:b w:val="0"/>
                <w:bCs w:val="0"/>
                <w:color w:val="auto"/>
                <w:spacing w:val="0"/>
                <w:sz w:val="24"/>
                <w:szCs w:val="24"/>
                <w:highlight w:val="none"/>
                <w:lang w:val="en-US" w:eastAsia="zh-CN"/>
              </w:rPr>
              <w:t>号</w:t>
            </w:r>
            <w:r>
              <w:rPr>
                <w:rFonts w:hint="eastAsia" w:ascii="Times New Roman" w:hAnsi="Times New Roman" w:eastAsia="宋体" w:cs="Times New Roman"/>
                <w:b w:val="0"/>
                <w:bCs w:val="0"/>
                <w:color w:val="auto"/>
                <w:spacing w:val="0"/>
                <w:sz w:val="24"/>
                <w:szCs w:val="24"/>
                <w:highlight w:val="none"/>
                <w:lang w:val="en-US" w:eastAsia="zh-CN"/>
              </w:rPr>
              <w:t>）</w:t>
            </w:r>
            <w:r>
              <w:rPr>
                <w:rFonts w:hint="default" w:ascii="Times New Roman" w:hAnsi="Times New Roman" w:eastAsia="宋体" w:cs="Times New Roman"/>
                <w:b w:val="0"/>
                <w:bCs w:val="0"/>
                <w:color w:val="auto"/>
                <w:spacing w:val="0"/>
                <w:sz w:val="24"/>
                <w:szCs w:val="24"/>
                <w:highlight w:val="none"/>
                <w:lang w:val="en-US" w:eastAsia="zh-CN"/>
              </w:rPr>
              <w:t>，本项目不涉及</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b w:val="0"/>
                <w:bCs w:val="0"/>
                <w:color w:val="auto"/>
                <w:spacing w:val="0"/>
                <w:sz w:val="24"/>
                <w:szCs w:val="24"/>
                <w:highlight w:val="none"/>
                <w:lang w:val="en-US" w:eastAsia="zh-CN"/>
              </w:rPr>
              <w:t>禁止准入类”清单内容，不涉及“市场准入相关的禁止性规定”，符合该文件要求。</w:t>
            </w:r>
          </w:p>
          <w:p>
            <w:pPr>
              <w:keepNext w:val="0"/>
              <w:keepLines w:val="0"/>
              <w:pageBreakBefore w:val="0"/>
              <w:widowControl/>
              <w:kinsoku/>
              <w:wordWrap/>
              <w:overflowPunct/>
              <w:topLinePunct w:val="0"/>
              <w:autoSpaceDE/>
              <w:autoSpaceDN/>
              <w:bidi w:val="0"/>
              <w:adjustRightInd/>
              <w:snapToGrid/>
              <w:ind w:firstLine="482"/>
              <w:textAlignment w:val="auto"/>
              <w:rPr>
                <w:rFonts w:hint="eastAsia"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同时，本项目所用设备也不在工业和信息化部工业〔2010〕122号《部分行业淘汰落后生产工艺装备和产品指导目录（2010年本）》及《“高污染、高环境风险”产品名录》。本项目建设符合国家相关产业政策的要求</w:t>
            </w:r>
            <w:r>
              <w:rPr>
                <w:rFonts w:hint="eastAsia" w:ascii="Times New Roman" w:hAnsi="Times New Roman" w:eastAsia="宋体" w:cs="Times New Roman"/>
                <w:b w:val="0"/>
                <w:bCs w:val="0"/>
                <w:color w:val="auto"/>
                <w:spacing w:val="0"/>
                <w:sz w:val="24"/>
                <w:szCs w:val="24"/>
                <w:highlight w:val="none"/>
                <w:lang w:val="en-US" w:eastAsia="zh-CN"/>
              </w:rPr>
              <w:t>。</w:t>
            </w:r>
          </w:p>
          <w:p>
            <w:pPr>
              <w:pStyle w:val="454"/>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二、</w:t>
            </w:r>
            <w:r>
              <w:rPr>
                <w:rFonts w:hint="eastAsia" w:ascii="Times New Roman" w:hAnsi="Times New Roman" w:eastAsia="宋体" w:cs="Times New Roman"/>
                <w:b/>
                <w:bCs/>
                <w:color w:val="auto"/>
                <w:highlight w:val="none"/>
                <w:lang w:val="en-US" w:eastAsia="zh-CN"/>
              </w:rPr>
              <w:t>与环境管理相关政策符合性</w:t>
            </w:r>
            <w:r>
              <w:rPr>
                <w:rFonts w:hint="default" w:ascii="Times New Roman" w:hAnsi="Times New Roman" w:eastAsia="宋体" w:cs="Times New Roman"/>
                <w:b/>
                <w:bCs/>
                <w:color w:val="auto"/>
                <w:highlight w:val="none"/>
                <w:lang w:val="en-US" w:eastAsia="zh-CN"/>
              </w:rPr>
              <w:t>分析</w:t>
            </w:r>
          </w:p>
          <w:p>
            <w:pPr>
              <w:pStyle w:val="163"/>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baseline"/>
              <w:rPr>
                <w:rFonts w:hint="default" w:ascii="黑体" w:hAnsi="宋体" w:eastAsia="黑体" w:cs="黑体"/>
                <w:color w:val="auto"/>
                <w:kern w:val="0"/>
                <w:sz w:val="24"/>
                <w:szCs w:val="24"/>
                <w:highlight w:val="none"/>
                <w:lang w:val="en-US" w:eastAsia="zh-CN" w:bidi="ar"/>
              </w:rPr>
            </w:pPr>
            <w:r>
              <w:rPr>
                <w:rFonts w:hint="default" w:ascii="Times New Roman" w:hAnsi="Times New Roman" w:eastAsia="宋体" w:cs="Times New Roman"/>
                <w:b/>
                <w:bCs/>
                <w:color w:val="auto"/>
                <w:spacing w:val="0"/>
                <w:sz w:val="21"/>
                <w:szCs w:val="21"/>
                <w:lang w:val="en-US" w:eastAsia="zh-CN" w:bidi="ar-SA"/>
              </w:rPr>
              <w:t>表1-</w:t>
            </w:r>
            <w:r>
              <w:rPr>
                <w:rFonts w:hint="eastAsia" w:ascii="Times New Roman" w:hAnsi="Times New Roman" w:eastAsia="宋体" w:cs="Times New Roman"/>
                <w:b/>
                <w:bCs/>
                <w:color w:val="auto"/>
                <w:spacing w:val="0"/>
                <w:sz w:val="21"/>
                <w:szCs w:val="21"/>
                <w:lang w:val="en-US" w:eastAsia="zh-CN" w:bidi="ar-SA"/>
              </w:rPr>
              <w:t>1</w:t>
            </w:r>
            <w:r>
              <w:rPr>
                <w:rFonts w:hint="default" w:ascii="Times New Roman" w:hAnsi="Times New Roman" w:eastAsia="宋体" w:cs="Times New Roman"/>
                <w:b/>
                <w:bCs/>
                <w:color w:val="auto"/>
                <w:spacing w:val="0"/>
                <w:sz w:val="21"/>
                <w:szCs w:val="21"/>
                <w:lang w:val="en-US" w:eastAsia="zh-CN" w:bidi="ar-SA"/>
              </w:rPr>
              <w:t xml:space="preserve">  环境管理政策相符性分析</w:t>
            </w:r>
          </w:p>
          <w:tbl>
            <w:tblPr>
              <w:tblStyle w:val="5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7"/>
              <w:gridCol w:w="2457"/>
              <w:gridCol w:w="2673"/>
              <w:gridCol w:w="4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6"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文件</w:t>
                  </w:r>
                </w:p>
              </w:tc>
              <w:tc>
                <w:tcPr>
                  <w:tcW w:w="1763"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环境管理政策要求</w:t>
                  </w:r>
                </w:p>
              </w:tc>
              <w:tc>
                <w:tcPr>
                  <w:tcW w:w="1918"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本项目情况</w:t>
                  </w:r>
                </w:p>
              </w:tc>
              <w:tc>
                <w:tcPr>
                  <w:tcW w:w="350"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6"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《工业料堆场扬尘整治规范》（DB65/T4061-2017）</w:t>
                  </w:r>
                </w:p>
              </w:tc>
              <w:tc>
                <w:tcPr>
                  <w:tcW w:w="1763"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 xml:space="preserve">5.6 </w:t>
                  </w:r>
                  <w:r>
                    <w:rPr>
                      <w:rFonts w:hint="default" w:ascii="Times New Roman" w:hAnsi="Times New Roman" w:eastAsia="宋体" w:cs="Times New Roman"/>
                      <w:color w:val="auto"/>
                      <w:spacing w:val="0"/>
                      <w:sz w:val="21"/>
                      <w:lang w:bidi="zh-CN"/>
                    </w:rPr>
                    <w:t>工业料堆场的污染防治应从源头控制，减少堆存量，通过优化生产原料配置、厂区布置，提高管理水平、改善污染防治技术工艺、加强综合利用等措施减少环境污染。</w:t>
                  </w:r>
                </w:p>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eastAsia="宋体" w:cs="Times New Roman"/>
                      <w:color w:val="auto"/>
                      <w:spacing w:val="0"/>
                      <w:sz w:val="21"/>
                      <w:lang w:bidi="zh-CN"/>
                    </w:rPr>
                  </w:pPr>
                  <w:r>
                    <w:rPr>
                      <w:rFonts w:hint="default" w:ascii="Times New Roman" w:hAnsi="Times New Roman" w:eastAsia="宋体" w:cs="Times New Roman"/>
                      <w:color w:val="auto"/>
                      <w:spacing w:val="0"/>
                      <w:sz w:val="21"/>
                      <w:lang w:bidi="zh-CN"/>
                    </w:rPr>
                    <w:t>5.8 对工业料堆场内装卸、运输等作业过程中，易产生扬尘污染的物料必须采取封闭、遮盖、洒水降尘措施，密闭输送物料必须在装料、卸料处配备吸尘、喷淋防尘措施。</w:t>
                  </w:r>
                </w:p>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eastAsia="宋体" w:cs="Times New Roman"/>
                      <w:color w:val="auto"/>
                      <w:spacing w:val="0"/>
                      <w:sz w:val="21"/>
                      <w:lang w:bidi="zh-CN"/>
                    </w:rPr>
                  </w:pPr>
                  <w:r>
                    <w:rPr>
                      <w:rFonts w:hint="default" w:ascii="Times New Roman" w:hAnsi="Times New Roman" w:eastAsia="宋体" w:cs="Times New Roman"/>
                      <w:color w:val="auto"/>
                      <w:spacing w:val="0"/>
                      <w:sz w:val="21"/>
                      <w:lang w:bidi="zh-CN"/>
                    </w:rPr>
                    <w:t>5.12 在工业料堆场出口处设置车辆清洗的专用场地，配备运输车辆冲洗保洁设施，冲洗沉积物必须及时进行清理和清运，冲洗污水必须经回收系统收集、处理，处理符合GB8978的规定后排放。</w:t>
                  </w:r>
                </w:p>
              </w:tc>
              <w:tc>
                <w:tcPr>
                  <w:tcW w:w="1918"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①</w:t>
                  </w:r>
                  <w:r>
                    <w:rPr>
                      <w:rFonts w:hint="default" w:ascii="Times New Roman" w:hAnsi="Times New Roman" w:eastAsia="宋体" w:cs="Times New Roman"/>
                      <w:color w:val="auto"/>
                      <w:spacing w:val="0"/>
                      <w:sz w:val="21"/>
                      <w:lang w:val="en-US" w:eastAsia="zh-CN" w:bidi="zh-CN"/>
                    </w:rPr>
                    <w:t>本项目位于“</w:t>
                  </w:r>
                  <w:r>
                    <w:rPr>
                      <w:rFonts w:hint="eastAsia" w:ascii="Times New Roman" w:hAnsi="Times New Roman" w:eastAsia="宋体" w:cs="Times New Roman"/>
                      <w:color w:val="auto"/>
                      <w:spacing w:val="0"/>
                      <w:sz w:val="21"/>
                      <w:lang w:val="en-US" w:eastAsia="zh-CN" w:bidi="zh-CN"/>
                    </w:rPr>
                    <w:t>一般</w:t>
                  </w:r>
                  <w:r>
                    <w:rPr>
                      <w:rFonts w:hint="default" w:ascii="Times New Roman" w:hAnsi="Times New Roman" w:eastAsia="宋体" w:cs="Times New Roman"/>
                      <w:color w:val="auto"/>
                      <w:spacing w:val="0"/>
                      <w:sz w:val="21"/>
                      <w:lang w:val="en-US" w:eastAsia="zh-CN" w:bidi="zh-CN"/>
                    </w:rPr>
                    <w:t>控制区”，原料</w:t>
                  </w:r>
                  <w:r>
                    <w:rPr>
                      <w:rFonts w:hint="eastAsia" w:ascii="Times New Roman" w:hAnsi="Times New Roman" w:eastAsia="宋体" w:cs="Times New Roman"/>
                      <w:color w:val="auto"/>
                      <w:spacing w:val="0"/>
                      <w:sz w:val="21"/>
                      <w:lang w:val="en-US" w:eastAsia="zh-CN" w:bidi="zh-CN"/>
                    </w:rPr>
                    <w:t>堆存于密闭原料库</w:t>
                  </w:r>
                  <w:r>
                    <w:rPr>
                      <w:rFonts w:hint="default" w:ascii="Times New Roman" w:hAnsi="Times New Roman" w:eastAsia="宋体" w:cs="Times New Roman"/>
                      <w:color w:val="auto"/>
                      <w:spacing w:val="0"/>
                      <w:sz w:val="21"/>
                      <w:lang w:val="en-US" w:eastAsia="zh-CN" w:bidi="zh-CN"/>
                    </w:rPr>
                    <w:t>。</w:t>
                  </w:r>
                </w:p>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②</w:t>
                  </w:r>
                  <w:r>
                    <w:rPr>
                      <w:rFonts w:hint="default" w:ascii="Times New Roman" w:hAnsi="Times New Roman" w:eastAsia="宋体" w:cs="Times New Roman"/>
                      <w:color w:val="auto"/>
                      <w:spacing w:val="0"/>
                      <w:sz w:val="21"/>
                      <w:lang w:val="en-US" w:eastAsia="zh-CN" w:bidi="zh-CN"/>
                    </w:rPr>
                    <w:t>本环评设计在</w:t>
                  </w:r>
                  <w:r>
                    <w:rPr>
                      <w:rFonts w:hint="eastAsia" w:ascii="Times New Roman" w:hAnsi="Times New Roman" w:eastAsia="宋体" w:cs="Times New Roman"/>
                      <w:color w:val="auto"/>
                      <w:spacing w:val="0"/>
                      <w:sz w:val="21"/>
                      <w:lang w:val="en-US" w:eastAsia="zh-CN" w:bidi="zh-CN"/>
                    </w:rPr>
                    <w:t>建筑垃圾装卸、运输等过程中，采取围挡、苫目网遮盖、雾炮降尘等措施</w:t>
                  </w:r>
                  <w:r>
                    <w:rPr>
                      <w:rFonts w:hint="default" w:ascii="Times New Roman" w:hAnsi="Times New Roman" w:eastAsia="宋体" w:cs="Times New Roman"/>
                      <w:color w:val="auto"/>
                      <w:spacing w:val="0"/>
                      <w:sz w:val="21"/>
                      <w:lang w:val="en-US" w:eastAsia="zh-CN" w:bidi="zh-CN"/>
                    </w:rPr>
                    <w:t>。</w:t>
                  </w:r>
                </w:p>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③厂区出入口设置车辆冲洗装置，</w:t>
                  </w:r>
                  <w:r>
                    <w:rPr>
                      <w:rFonts w:hint="default" w:ascii="Times New Roman" w:hAnsi="Times New Roman" w:eastAsia="宋体" w:cs="Times New Roman"/>
                      <w:color w:val="auto"/>
                      <w:spacing w:val="0"/>
                      <w:sz w:val="21"/>
                      <w:lang w:bidi="zh-CN"/>
                    </w:rPr>
                    <w:t>冲洗沉积物必须及时进行清理和清运，</w:t>
                  </w:r>
                  <w:r>
                    <w:rPr>
                      <w:rFonts w:hint="eastAsia" w:ascii="Times New Roman" w:hAnsi="Times New Roman" w:eastAsia="宋体" w:cs="Times New Roman"/>
                      <w:color w:val="auto"/>
                      <w:spacing w:val="0"/>
                      <w:sz w:val="21"/>
                      <w:lang w:val="en-US" w:eastAsia="zh-CN" w:bidi="zh-CN"/>
                    </w:rPr>
                    <w:t>运输车辆清洗废水</w:t>
                  </w:r>
                  <w:r>
                    <w:rPr>
                      <w:rFonts w:hint="default" w:ascii="Times New Roman" w:hAnsi="Times New Roman" w:eastAsia="宋体" w:cs="Times New Roman"/>
                      <w:color w:val="auto"/>
                      <w:spacing w:val="0"/>
                      <w:sz w:val="21"/>
                      <w:lang w:val="en-US" w:eastAsia="zh-CN" w:bidi="zh-CN"/>
                    </w:rPr>
                    <w:t>设置防渗沉淀池满足GB8978的一般规定处理回用。</w:t>
                  </w:r>
                </w:p>
              </w:tc>
              <w:tc>
                <w:tcPr>
                  <w:tcW w:w="350"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6"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《挥发性有机物无组织排放控制标准》（GB37822-2019</w:t>
                  </w:r>
                  <w:r>
                    <w:rPr>
                      <w:rFonts w:hint="eastAsia" w:ascii="Times New Roman" w:hAnsi="Times New Roman" w:eastAsia="宋体" w:cs="Times New Roman"/>
                      <w:color w:val="auto"/>
                      <w:spacing w:val="0"/>
                      <w:sz w:val="21"/>
                      <w:lang w:val="en-US" w:eastAsia="zh-CN" w:bidi="zh-CN"/>
                    </w:rPr>
                    <w:t>）</w:t>
                  </w:r>
                </w:p>
              </w:tc>
              <w:tc>
                <w:tcPr>
                  <w:tcW w:w="1763"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bidi="zh-CN"/>
                    </w:rPr>
                    <w:t>VOCs 物料应储存于密闭的容器、包装袋、储罐、储库、料仓中。</w:t>
                  </w:r>
                </w:p>
              </w:tc>
              <w:tc>
                <w:tcPr>
                  <w:tcW w:w="1918"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本项目不使用</w:t>
                  </w:r>
                  <w:r>
                    <w:rPr>
                      <w:rFonts w:hint="eastAsia" w:ascii="Times New Roman" w:hAnsi="Times New Roman" w:eastAsia="宋体" w:cs="Times New Roman"/>
                      <w:color w:val="auto"/>
                      <w:spacing w:val="0"/>
                      <w:sz w:val="21"/>
                      <w:lang w:val="en-US" w:eastAsia="zh-CN" w:bidi="zh-CN"/>
                    </w:rPr>
                    <w:t>含有</w:t>
                  </w:r>
                  <w:r>
                    <w:rPr>
                      <w:rFonts w:hint="default" w:ascii="Times New Roman" w:hAnsi="Times New Roman" w:eastAsia="宋体" w:cs="Times New Roman"/>
                      <w:color w:val="auto"/>
                      <w:spacing w:val="0"/>
                      <w:sz w:val="21"/>
                      <w:lang w:val="en-US" w:eastAsia="zh-CN" w:bidi="zh-CN"/>
                    </w:rPr>
                    <w:t>VOCs</w:t>
                  </w:r>
                  <w:r>
                    <w:rPr>
                      <w:rFonts w:hint="eastAsia" w:ascii="Times New Roman" w:hAnsi="Times New Roman" w:eastAsia="宋体" w:cs="Times New Roman"/>
                      <w:color w:val="auto"/>
                      <w:spacing w:val="0"/>
                      <w:sz w:val="21"/>
                      <w:lang w:val="en-US" w:eastAsia="zh-CN" w:bidi="zh-CN"/>
                    </w:rPr>
                    <w:t>的</w:t>
                  </w:r>
                  <w:r>
                    <w:rPr>
                      <w:rFonts w:hint="default" w:ascii="Times New Roman" w:hAnsi="Times New Roman" w:eastAsia="宋体" w:cs="Times New Roman"/>
                      <w:color w:val="auto"/>
                      <w:spacing w:val="0"/>
                      <w:sz w:val="21"/>
                      <w:lang w:val="en-US" w:eastAsia="zh-CN" w:bidi="zh-CN"/>
                    </w:rPr>
                    <w:t>物料，维护保养用</w:t>
                  </w:r>
                  <w:r>
                    <w:rPr>
                      <w:rFonts w:hint="eastAsia" w:ascii="Times New Roman" w:hAnsi="Times New Roman" w:eastAsia="宋体" w:cs="Times New Roman"/>
                      <w:color w:val="auto"/>
                      <w:spacing w:val="0"/>
                      <w:sz w:val="21"/>
                      <w:lang w:val="en-US" w:eastAsia="zh-CN" w:bidi="zh-CN"/>
                    </w:rPr>
                    <w:t>机</w:t>
                  </w:r>
                  <w:r>
                    <w:rPr>
                      <w:rFonts w:hint="default" w:ascii="Times New Roman" w:hAnsi="Times New Roman" w:eastAsia="宋体" w:cs="Times New Roman"/>
                      <w:color w:val="auto"/>
                      <w:spacing w:val="0"/>
                      <w:sz w:val="21"/>
                      <w:lang w:val="en-US" w:eastAsia="zh-CN" w:bidi="zh-CN"/>
                    </w:rPr>
                    <w:t>油等储</w:t>
                  </w:r>
                  <w:r>
                    <w:rPr>
                      <w:rFonts w:hint="eastAsia" w:ascii="Times New Roman" w:hAnsi="Times New Roman" w:eastAsia="宋体" w:cs="Times New Roman"/>
                      <w:color w:val="auto"/>
                      <w:spacing w:val="0"/>
                      <w:sz w:val="21"/>
                      <w:lang w:val="en-US" w:eastAsia="zh-CN" w:bidi="zh-CN"/>
                    </w:rPr>
                    <w:t>存在</w:t>
                  </w:r>
                  <w:r>
                    <w:rPr>
                      <w:rFonts w:hint="default" w:ascii="Times New Roman" w:hAnsi="Times New Roman" w:eastAsia="宋体" w:cs="Times New Roman"/>
                      <w:color w:val="auto"/>
                      <w:spacing w:val="0"/>
                      <w:sz w:val="21"/>
                      <w:lang w:val="en-US" w:eastAsia="zh-CN" w:bidi="zh-CN"/>
                    </w:rPr>
                    <w:t>密闭油桶内，维护保养产生的废</w:t>
                  </w:r>
                  <w:r>
                    <w:rPr>
                      <w:rFonts w:hint="eastAsia" w:ascii="Times New Roman" w:hAnsi="Times New Roman" w:eastAsia="宋体" w:cs="Times New Roman"/>
                      <w:color w:val="auto"/>
                      <w:spacing w:val="0"/>
                      <w:sz w:val="21"/>
                      <w:lang w:val="en-US" w:eastAsia="zh-CN" w:bidi="zh-CN"/>
                    </w:rPr>
                    <w:t>机</w:t>
                  </w:r>
                  <w:r>
                    <w:rPr>
                      <w:rFonts w:hint="default" w:ascii="Times New Roman" w:hAnsi="Times New Roman" w:eastAsia="宋体" w:cs="Times New Roman"/>
                      <w:color w:val="auto"/>
                      <w:spacing w:val="0"/>
                      <w:sz w:val="21"/>
                      <w:lang w:val="en-US" w:eastAsia="zh-CN" w:bidi="zh-CN"/>
                    </w:rPr>
                    <w:t>油桶</w:t>
                  </w:r>
                  <w:r>
                    <w:rPr>
                      <w:rFonts w:hint="eastAsia" w:ascii="Times New Roman" w:hAnsi="Times New Roman" w:eastAsia="宋体" w:cs="Times New Roman"/>
                      <w:color w:val="auto"/>
                      <w:spacing w:val="0"/>
                      <w:sz w:val="21"/>
                      <w:lang w:val="en-US" w:eastAsia="zh-CN" w:bidi="zh-CN"/>
                    </w:rPr>
                    <w:t>装</w:t>
                  </w:r>
                  <w:r>
                    <w:rPr>
                      <w:rFonts w:hint="default" w:ascii="Times New Roman" w:hAnsi="Times New Roman" w:eastAsia="宋体" w:cs="Times New Roman"/>
                      <w:color w:val="auto"/>
                      <w:spacing w:val="0"/>
                      <w:sz w:val="21"/>
                      <w:lang w:val="en-US" w:eastAsia="zh-CN" w:bidi="zh-CN"/>
                    </w:rPr>
                    <w:t>密闭收集暂存至</w:t>
                  </w:r>
                  <w:r>
                    <w:rPr>
                      <w:rFonts w:hint="eastAsia" w:ascii="Times New Roman" w:hAnsi="Times New Roman" w:eastAsia="宋体" w:cs="Times New Roman"/>
                      <w:color w:val="auto"/>
                      <w:spacing w:val="0"/>
                      <w:sz w:val="21"/>
                      <w:lang w:val="en-US" w:eastAsia="zh-CN" w:bidi="zh-CN"/>
                    </w:rPr>
                    <w:t>危废贮存点委托规范处置</w:t>
                  </w:r>
                  <w:r>
                    <w:rPr>
                      <w:rFonts w:hint="default" w:ascii="Times New Roman" w:hAnsi="Times New Roman" w:eastAsia="宋体" w:cs="Times New Roman"/>
                      <w:color w:val="auto"/>
                      <w:spacing w:val="0"/>
                      <w:sz w:val="21"/>
                      <w:lang w:val="en-US" w:eastAsia="zh-CN" w:bidi="zh-CN"/>
                    </w:rPr>
                    <w:t>。</w:t>
                  </w:r>
                </w:p>
              </w:tc>
              <w:tc>
                <w:tcPr>
                  <w:tcW w:w="350"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6"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w:t>
                  </w:r>
                  <w:r>
                    <w:rPr>
                      <w:rFonts w:hint="default" w:ascii="Times New Roman" w:hAnsi="Times New Roman" w:eastAsia="宋体" w:cs="Times New Roman"/>
                      <w:color w:val="auto"/>
                      <w:spacing w:val="0"/>
                      <w:sz w:val="21"/>
                      <w:lang w:val="en-US" w:eastAsia="zh-CN" w:bidi="zh-CN"/>
                    </w:rPr>
                    <w:t>国务院关于深入打好污染防治攻坚战的意见</w:t>
                  </w:r>
                  <w:r>
                    <w:rPr>
                      <w:rFonts w:hint="eastAsia" w:ascii="Times New Roman" w:hAnsi="Times New Roman" w:eastAsia="宋体" w:cs="Times New Roman"/>
                      <w:color w:val="auto"/>
                      <w:spacing w:val="0"/>
                      <w:sz w:val="21"/>
                      <w:lang w:val="en-US" w:eastAsia="zh-CN" w:bidi="zh-CN"/>
                    </w:rPr>
                    <w:t>》</w:t>
                  </w:r>
                  <w:r>
                    <w:rPr>
                      <w:rFonts w:hint="default" w:ascii="Times New Roman" w:hAnsi="Times New Roman" w:eastAsia="宋体" w:cs="Times New Roman"/>
                      <w:color w:val="auto"/>
                      <w:spacing w:val="0"/>
                      <w:sz w:val="21"/>
                      <w:lang w:val="en-US" w:eastAsia="zh-CN" w:bidi="zh-CN"/>
                    </w:rPr>
                    <w:t>（2021年11月2日）</w:t>
                  </w:r>
                </w:p>
              </w:tc>
              <w:tc>
                <w:tcPr>
                  <w:tcW w:w="1763"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eastAsia="宋体" w:cs="Times New Roman"/>
                      <w:color w:val="auto"/>
                      <w:spacing w:val="0"/>
                      <w:sz w:val="21"/>
                      <w:lang w:bidi="zh-CN"/>
                    </w:rPr>
                  </w:pPr>
                  <w:r>
                    <w:rPr>
                      <w:rFonts w:hint="default" w:ascii="Times New Roman" w:hAnsi="Times New Roman" w:eastAsia="宋体" w:cs="Times New Roman"/>
                      <w:color w:val="auto"/>
                      <w:spacing w:val="0"/>
                      <w:sz w:val="21"/>
                      <w:lang w:bidi="zh-CN"/>
                    </w:rPr>
                    <w:t>坚决遏制高耗能高排放项目盲目发展。严把高耗能高排放项目准入关口，严格落实污染物排放区域削减要求，对不符合规定的项目坚决停批停建。依法依规淘汰落后产能和化解过剩产能。推动高炉－转炉长流程炼钢转型为电炉短流程炼钢。重点区域严禁新增钢铁、焦化、水泥熟料、平板玻璃、电解铝、氧化铝、煤化工产能，合理控制煤制油气产能规模，严控新增炼油产能。</w:t>
                  </w:r>
                </w:p>
              </w:tc>
              <w:tc>
                <w:tcPr>
                  <w:tcW w:w="1918"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本项目</w:t>
                  </w:r>
                  <w:r>
                    <w:rPr>
                      <w:rFonts w:hint="eastAsia" w:ascii="Times New Roman" w:hAnsi="Times New Roman" w:eastAsia="宋体" w:cs="Times New Roman"/>
                      <w:color w:val="auto"/>
                      <w:spacing w:val="0"/>
                      <w:sz w:val="21"/>
                      <w:lang w:val="en-US" w:eastAsia="zh-CN" w:bidi="zh-CN"/>
                    </w:rPr>
                    <w:t>建设</w:t>
                  </w:r>
                  <w:r>
                    <w:rPr>
                      <w:rFonts w:hint="default" w:ascii="Times New Roman" w:hAnsi="Times New Roman" w:eastAsia="宋体" w:cs="Times New Roman"/>
                      <w:color w:val="auto"/>
                      <w:spacing w:val="0"/>
                      <w:sz w:val="21"/>
                      <w:lang w:val="en-US" w:eastAsia="zh-CN" w:bidi="zh-CN"/>
                    </w:rPr>
                    <w:t>行业类别属于</w:t>
                  </w:r>
                  <w:r>
                    <w:rPr>
                      <w:rFonts w:hint="eastAsia" w:ascii="Times New Roman" w:hAnsi="Times New Roman" w:eastAsia="宋体" w:cs="Times New Roman"/>
                      <w:color w:val="auto"/>
                      <w:spacing w:val="0"/>
                      <w:sz w:val="21"/>
                      <w:lang w:val="en-US" w:eastAsia="zh-CN" w:bidi="zh-CN"/>
                    </w:rPr>
                    <w:t>固体废物治理</w:t>
                  </w:r>
                  <w:r>
                    <w:rPr>
                      <w:rFonts w:hint="default" w:ascii="Times New Roman" w:hAnsi="Times New Roman" w:eastAsia="宋体" w:cs="Times New Roman"/>
                      <w:color w:val="auto"/>
                      <w:spacing w:val="0"/>
                      <w:sz w:val="21"/>
                      <w:lang w:val="en-US" w:eastAsia="zh-CN" w:bidi="zh-CN"/>
                    </w:rPr>
                    <w:t>，不属于高能耗、高排放项目。</w:t>
                  </w:r>
                </w:p>
              </w:tc>
              <w:tc>
                <w:tcPr>
                  <w:tcW w:w="350"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6"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《空气质量持续改善行动计划》（国发〔2023〕24号）</w:t>
                  </w:r>
                </w:p>
              </w:tc>
              <w:tc>
                <w:tcPr>
                  <w:tcW w:w="1763"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ascii="Times New Roman" w:hAnsi="Times New Roman" w:eastAsia="宋体" w:cs="Times New Roman"/>
                      <w:color w:val="auto"/>
                      <w:spacing w:val="0"/>
                      <w:sz w:val="21"/>
                      <w:lang w:bidi="zh-CN"/>
                    </w:rPr>
                  </w:pPr>
                  <w:r>
                    <w:rPr>
                      <w:rFonts w:ascii="Times New Roman" w:hAnsi="Times New Roman" w:eastAsia="宋体" w:cs="Times New Roman"/>
                      <w:color w:val="auto"/>
                      <w:spacing w:val="0"/>
                      <w:sz w:val="21"/>
                      <w:lang w:bidi="zh-CN"/>
                    </w:rPr>
                    <w:t>（十二）实施工业炉窑清洁能源替代。有序推进以电代煤，积极稳妥推进以气代煤 ……</w:t>
                  </w:r>
                </w:p>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eastAsia="宋体" w:cs="Times New Roman"/>
                      <w:color w:val="auto"/>
                      <w:spacing w:val="0"/>
                      <w:sz w:val="21"/>
                      <w:lang w:val="en-US" w:eastAsia="zh-CN" w:bidi="zh-CN"/>
                    </w:rPr>
                  </w:pPr>
                  <w:r>
                    <w:rPr>
                      <w:rFonts w:ascii="Times New Roman" w:hAnsi="Times New Roman" w:eastAsia="宋体" w:cs="Times New Roman"/>
                      <w:color w:val="auto"/>
                      <w:spacing w:val="0"/>
                      <w:sz w:val="21"/>
                      <w:lang w:bidi="zh-CN"/>
                    </w:rPr>
                    <w:t>（十三）持续推进北方地区清洁取暖。因地制宜成片推进北方地区清洁取暖，确保 ……</w:t>
                  </w:r>
                </w:p>
              </w:tc>
              <w:tc>
                <w:tcPr>
                  <w:tcW w:w="1918"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本项目不涉及工业炉窑，值守人员生活取暖采用电能供暖。</w:t>
                  </w:r>
                </w:p>
              </w:tc>
              <w:tc>
                <w:tcPr>
                  <w:tcW w:w="350"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6" w:type="pct"/>
                  <w:shd w:val="clear" w:color="auto" w:fill="auto"/>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《新疆维吾尔自治区大气污染防治条例》</w:t>
                  </w:r>
                </w:p>
              </w:tc>
              <w:tc>
                <w:tcPr>
                  <w:tcW w:w="1763"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ascii="Times New Roman" w:hAnsi="Times New Roman" w:eastAsia="宋体" w:cs="Times New Roman"/>
                      <w:color w:val="auto"/>
                      <w:spacing w:val="0"/>
                      <w:sz w:val="21"/>
                      <w:lang w:bidi="zh-CN"/>
                    </w:rPr>
                  </w:pPr>
                  <w:r>
                    <w:rPr>
                      <w:rFonts w:hint="eastAsia" w:ascii="Times New Roman" w:hAnsi="Times New Roman" w:eastAsia="宋体" w:cs="Times New Roman"/>
                      <w:color w:val="auto"/>
                      <w:spacing w:val="0"/>
                      <w:sz w:val="21"/>
                      <w:lang w:bidi="zh-CN"/>
                    </w:rPr>
                    <w:t>禁止在自治区行政区域内引进能（水）耗不符合相关国家标准中准入值要求且污染物排放和环境风险防控不符合国家（地方）标准及有关产业准入条件的高污染（排放）、高能（水）耗、高环境风险的工业项目。</w:t>
                  </w:r>
                </w:p>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ascii="Times New Roman" w:hAnsi="Times New Roman" w:eastAsia="宋体" w:cs="Times New Roman"/>
                      <w:color w:val="auto"/>
                      <w:spacing w:val="0"/>
                      <w:sz w:val="21"/>
                      <w:lang w:bidi="zh-CN"/>
                    </w:rPr>
                  </w:pPr>
                  <w:r>
                    <w:rPr>
                      <w:rFonts w:hint="eastAsia" w:ascii="Times New Roman" w:hAnsi="Times New Roman" w:eastAsia="宋体" w:cs="Times New Roman"/>
                      <w:color w:val="auto"/>
                      <w:spacing w:val="0"/>
                      <w:sz w:val="21"/>
                      <w:lang w:bidi="zh-CN"/>
                    </w:rPr>
                    <w:t>禁止新建、改建、扩建列入淘汰类目录的高污染工业项目。禁止使用列入淘汰类目录的工艺、设备、产品。</w:t>
                  </w:r>
                </w:p>
              </w:tc>
              <w:tc>
                <w:tcPr>
                  <w:tcW w:w="1918"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本项目属于产业政策允许类，</w:t>
                  </w:r>
                  <w:r>
                    <w:rPr>
                      <w:rFonts w:hint="default" w:ascii="Times New Roman" w:hAnsi="Times New Roman" w:eastAsia="宋体" w:cs="Times New Roman"/>
                      <w:color w:val="auto"/>
                      <w:spacing w:val="0"/>
                      <w:sz w:val="21"/>
                      <w:lang w:val="en-US" w:eastAsia="zh-CN" w:bidi="zh-CN"/>
                    </w:rPr>
                    <w:t>不属于高能耗、高排放项目</w:t>
                  </w:r>
                  <w:r>
                    <w:rPr>
                      <w:rFonts w:hint="eastAsia" w:ascii="Times New Roman" w:hAnsi="Times New Roman" w:eastAsia="宋体" w:cs="Times New Roman"/>
                      <w:color w:val="auto"/>
                      <w:spacing w:val="0"/>
                      <w:sz w:val="21"/>
                      <w:lang w:val="en-US" w:eastAsia="zh-CN" w:bidi="zh-CN"/>
                    </w:rPr>
                    <w:t>；不属于严重污染大气的工艺、设备、产品；不属于列入淘汰类目录的工艺、设备、产品。</w:t>
                  </w:r>
                </w:p>
              </w:tc>
              <w:tc>
                <w:tcPr>
                  <w:tcW w:w="350"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6" w:type="pct"/>
                  <w:shd w:val="clear" w:color="auto" w:fill="auto"/>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w:t>
                  </w:r>
                  <w:r>
                    <w:rPr>
                      <w:rFonts w:hint="eastAsia" w:ascii="Times New Roman" w:hAnsi="Times New Roman" w:eastAsia="宋体" w:cs="Times New Roman"/>
                      <w:color w:val="auto"/>
                      <w:spacing w:val="0"/>
                      <w:sz w:val="21"/>
                      <w:lang w:val="en-US" w:eastAsia="zh-CN" w:bidi="zh-CN"/>
                    </w:rPr>
                    <w:t>巴音郭楞蒙古自治州大气污染防治办法</w:t>
                  </w:r>
                  <w:r>
                    <w:rPr>
                      <w:rFonts w:hint="default" w:ascii="Times New Roman" w:hAnsi="Times New Roman" w:eastAsia="宋体" w:cs="Times New Roman"/>
                      <w:color w:val="auto"/>
                      <w:spacing w:val="0"/>
                      <w:sz w:val="21"/>
                      <w:lang w:val="en-US" w:eastAsia="zh-CN" w:bidi="zh-CN"/>
                    </w:rPr>
                    <w:t>》</w:t>
                  </w:r>
                </w:p>
              </w:tc>
              <w:tc>
                <w:tcPr>
                  <w:tcW w:w="1763"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ascii="Times New Roman" w:hAnsi="Times New Roman" w:eastAsia="宋体" w:cs="Times New Roman"/>
                      <w:color w:val="auto"/>
                      <w:spacing w:val="0"/>
                      <w:sz w:val="21"/>
                      <w:lang w:bidi="zh-CN"/>
                    </w:rPr>
                  </w:pPr>
                  <w:r>
                    <w:rPr>
                      <w:rFonts w:ascii="Times New Roman" w:hAnsi="Times New Roman" w:eastAsia="宋体" w:cs="Times New Roman"/>
                      <w:color w:val="auto"/>
                      <w:spacing w:val="0"/>
                      <w:sz w:val="21"/>
                      <w:lang w:bidi="zh-CN"/>
                    </w:rPr>
                    <w:t>禁止在自治州行政区域内引进能（水）耗不符合相关国家标准中准入值要求，且污染物排放和环境风险防控不符合国家（地方）标准及有关产业准入条件的高污染（排放）、高能（水）耗、高环境风险的工业项目。</w:t>
                  </w:r>
                </w:p>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ascii="Times New Roman" w:hAnsi="Times New Roman" w:eastAsia="宋体" w:cs="Times New Roman"/>
                      <w:color w:val="auto"/>
                      <w:spacing w:val="0"/>
                      <w:sz w:val="21"/>
                      <w:lang w:bidi="zh-CN"/>
                    </w:rPr>
                  </w:pPr>
                  <w:r>
                    <w:rPr>
                      <w:rFonts w:ascii="Times New Roman" w:hAnsi="Times New Roman" w:eastAsia="宋体" w:cs="Times New Roman"/>
                      <w:color w:val="auto"/>
                      <w:spacing w:val="0"/>
                      <w:sz w:val="21"/>
                      <w:lang w:bidi="zh-CN"/>
                    </w:rPr>
                    <w:t>禁止新建、改建、扩建严重污染大气环境的项目。</w:t>
                  </w:r>
                </w:p>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ascii="Times New Roman" w:hAnsi="Times New Roman" w:eastAsia="宋体" w:cs="Times New Roman"/>
                      <w:color w:val="auto"/>
                      <w:spacing w:val="0"/>
                      <w:sz w:val="21"/>
                      <w:lang w:bidi="zh-CN"/>
                    </w:rPr>
                  </w:pPr>
                  <w:r>
                    <w:rPr>
                      <w:rFonts w:hint="default" w:ascii="Times New Roman" w:hAnsi="Times New Roman" w:eastAsia="宋体" w:cs="Times New Roman"/>
                      <w:color w:val="auto"/>
                      <w:spacing w:val="0"/>
                      <w:sz w:val="21"/>
                      <w:lang w:bidi="zh-CN"/>
                    </w:rPr>
                    <w:t>堆放易产生扬尘污染物料的堆场，以及预拌混凝土和预拌砂浆等生产企业应当符合下列要求：</w:t>
                  </w:r>
                </w:p>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ascii="Times New Roman" w:hAnsi="Times New Roman" w:eastAsia="宋体" w:cs="Times New Roman"/>
                      <w:color w:val="auto"/>
                      <w:spacing w:val="0"/>
                      <w:sz w:val="21"/>
                      <w:lang w:bidi="zh-CN"/>
                    </w:rPr>
                  </w:pPr>
                  <w:r>
                    <w:rPr>
                      <w:rFonts w:hint="default" w:ascii="Times New Roman" w:hAnsi="Times New Roman" w:eastAsia="宋体" w:cs="Times New Roman"/>
                      <w:color w:val="auto"/>
                      <w:spacing w:val="0"/>
                      <w:sz w:val="21"/>
                      <w:lang w:bidi="zh-CN"/>
                    </w:rPr>
                    <w:t>（一）采用围挡或者其他封闭仓储设施，配备喷淋或者其他抑尘设备；（二）生产用原料需要频繁装卸作业的，在密闭</w:t>
                  </w:r>
                  <w:bookmarkStart w:id="3" w:name="_GoBack"/>
                  <w:bookmarkEnd w:id="3"/>
                  <w:r>
                    <w:rPr>
                      <w:rFonts w:hint="default" w:ascii="Times New Roman" w:hAnsi="Times New Roman" w:eastAsia="宋体" w:cs="Times New Roman"/>
                      <w:color w:val="auto"/>
                      <w:spacing w:val="0"/>
                      <w:sz w:val="21"/>
                      <w:lang w:bidi="zh-CN"/>
                    </w:rPr>
                    <w:t>车间进行，堆场露天装卸作业的，采取洒水等抑尘措施；（三）采用密闭输送设备作业的，在装料、卸料处配备吸尘、喷淋等防尘设施，并保持防尘设施的正常使用。</w:t>
                  </w:r>
                </w:p>
              </w:tc>
              <w:tc>
                <w:tcPr>
                  <w:tcW w:w="1918"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本项目</w:t>
                  </w:r>
                  <w:r>
                    <w:rPr>
                      <w:rFonts w:hint="eastAsia" w:ascii="Times New Roman" w:hAnsi="Times New Roman" w:eastAsia="宋体" w:cs="Times New Roman"/>
                      <w:color w:val="auto"/>
                      <w:spacing w:val="0"/>
                      <w:sz w:val="21"/>
                      <w:lang w:val="en-US" w:eastAsia="zh-CN" w:bidi="zh-CN"/>
                    </w:rPr>
                    <w:t>建设</w:t>
                  </w:r>
                  <w:r>
                    <w:rPr>
                      <w:rFonts w:hint="default" w:ascii="Times New Roman" w:hAnsi="Times New Roman" w:eastAsia="宋体" w:cs="Times New Roman"/>
                      <w:color w:val="auto"/>
                      <w:spacing w:val="0"/>
                      <w:sz w:val="21"/>
                      <w:lang w:val="en-US" w:eastAsia="zh-CN" w:bidi="zh-CN"/>
                    </w:rPr>
                    <w:t>行业类别属于</w:t>
                  </w:r>
                  <w:r>
                    <w:rPr>
                      <w:rFonts w:hint="eastAsia" w:ascii="Times New Roman" w:hAnsi="Times New Roman" w:eastAsia="宋体" w:cs="Times New Roman"/>
                      <w:color w:val="auto"/>
                      <w:spacing w:val="0"/>
                      <w:sz w:val="21"/>
                      <w:lang w:val="en-US" w:eastAsia="zh-CN" w:bidi="zh-CN"/>
                    </w:rPr>
                    <w:t>固体废物治理</w:t>
                  </w:r>
                  <w:r>
                    <w:rPr>
                      <w:rFonts w:hint="default" w:ascii="Times New Roman" w:hAnsi="Times New Roman" w:eastAsia="宋体" w:cs="Times New Roman"/>
                      <w:color w:val="auto"/>
                      <w:spacing w:val="0"/>
                      <w:sz w:val="21"/>
                      <w:lang w:val="en-US" w:eastAsia="zh-CN" w:bidi="zh-CN"/>
                    </w:rPr>
                    <w:t>，不属于</w:t>
                  </w:r>
                  <w:r>
                    <w:rPr>
                      <w:rFonts w:ascii="Times New Roman" w:hAnsi="Times New Roman" w:eastAsia="宋体" w:cs="Times New Roman"/>
                      <w:color w:val="auto"/>
                      <w:spacing w:val="0"/>
                      <w:sz w:val="21"/>
                      <w:lang w:bidi="zh-CN"/>
                    </w:rPr>
                    <w:t>高污染（排放）、高能（水）耗、高环境风险的工业项目</w:t>
                  </w:r>
                  <w:r>
                    <w:rPr>
                      <w:rFonts w:hint="eastAsia" w:ascii="Times New Roman" w:hAnsi="Times New Roman" w:eastAsia="宋体" w:cs="Times New Roman"/>
                      <w:color w:val="auto"/>
                      <w:spacing w:val="0"/>
                      <w:sz w:val="21"/>
                      <w:lang w:val="en-US" w:eastAsia="zh-CN" w:bidi="zh-CN"/>
                    </w:rPr>
                    <w:t>。</w:t>
                  </w:r>
                </w:p>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项目物料运输、储存过程采取了扬尘防治措施，原料堆存于密闭原料库，雾炮机进行喷雾降尘。</w:t>
                  </w:r>
                </w:p>
              </w:tc>
              <w:tc>
                <w:tcPr>
                  <w:tcW w:w="350"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6"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《自治州大气污染防治三年攻坚行动方案（2023—2025年）》</w:t>
                  </w:r>
                </w:p>
              </w:tc>
              <w:tc>
                <w:tcPr>
                  <w:tcW w:w="1763"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eastAsia="宋体" w:cs="Times New Roman"/>
                      <w:color w:val="auto"/>
                      <w:spacing w:val="0"/>
                      <w:sz w:val="21"/>
                      <w:lang w:bidi="zh-CN"/>
                    </w:rPr>
                  </w:pPr>
                  <w:r>
                    <w:rPr>
                      <w:rFonts w:hint="default" w:ascii="Times New Roman" w:hAnsi="Times New Roman" w:eastAsia="宋体" w:cs="Times New Roman"/>
                      <w:color w:val="auto"/>
                      <w:spacing w:val="0"/>
                      <w:sz w:val="21"/>
                      <w:lang w:bidi="zh-CN"/>
                    </w:rPr>
                    <w:t>严格项目准入：库尔勒大气污染联防联控区严禁新增钢铁、水泥熟料、平板玻璃、炼油产能。其他地区钢铁、水泥熟料、平板玻璃、炼油、电解铝等新建、扩建项目严格实施产能等量置换要求。</w:t>
                  </w:r>
                </w:p>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bidi="zh-CN"/>
                    </w:rPr>
                    <w:t>扬尘综合整治：各县市加强砂石料场扬尘污染监管，落实破碎、投料、传输、筛分、出料、堆场（物料粒度≤0.5mm）全环节密闭；落实厂区内外扰动区域硬化，进出车辆苫盖冲洗，生产期间定期清尘和洒水降尘，进场道路定期洒水抑尘。库尔勒市、尉犁县周边砂石料场进场道路硬化。2023年底前，库尔勒市、尉犁县、库尔勒经济技术开发区全面完成砂石料场生产区和堆场封闭式改造。库尔勒市、尉犁县联合整治东山矿区扬尘污染源。</w:t>
                  </w:r>
                </w:p>
              </w:tc>
              <w:tc>
                <w:tcPr>
                  <w:tcW w:w="1918"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本项目生产过程在全密闭</w:t>
                  </w:r>
                  <w:r>
                    <w:rPr>
                      <w:rFonts w:hint="eastAsia" w:ascii="Times New Roman" w:hAnsi="Times New Roman" w:eastAsia="宋体" w:cs="Times New Roman"/>
                      <w:color w:val="auto"/>
                      <w:spacing w:val="0"/>
                      <w:sz w:val="21"/>
                      <w:lang w:val="en-US" w:eastAsia="zh-CN" w:bidi="zh-CN"/>
                    </w:rPr>
                    <w:t>生产</w:t>
                  </w:r>
                  <w:r>
                    <w:rPr>
                      <w:rFonts w:hint="default" w:ascii="Times New Roman" w:hAnsi="Times New Roman" w:eastAsia="宋体" w:cs="Times New Roman"/>
                      <w:color w:val="auto"/>
                      <w:spacing w:val="0"/>
                      <w:sz w:val="21"/>
                      <w:lang w:val="en-US" w:eastAsia="zh-CN" w:bidi="zh-CN"/>
                    </w:rPr>
                    <w:t>车间</w:t>
                  </w:r>
                  <w:r>
                    <w:rPr>
                      <w:rFonts w:hint="eastAsia" w:ascii="Times New Roman" w:hAnsi="Times New Roman" w:eastAsia="宋体" w:cs="Times New Roman"/>
                      <w:color w:val="auto"/>
                      <w:spacing w:val="0"/>
                      <w:sz w:val="21"/>
                      <w:lang w:val="en-US" w:eastAsia="zh-CN" w:bidi="zh-CN"/>
                    </w:rPr>
                    <w:t>内</w:t>
                  </w:r>
                  <w:r>
                    <w:rPr>
                      <w:rFonts w:hint="default" w:ascii="Times New Roman" w:hAnsi="Times New Roman" w:eastAsia="宋体" w:cs="Times New Roman"/>
                      <w:color w:val="auto"/>
                      <w:spacing w:val="0"/>
                      <w:sz w:val="21"/>
                      <w:lang w:val="en-US" w:eastAsia="zh-CN" w:bidi="zh-CN"/>
                    </w:rPr>
                    <w:t>，</w:t>
                  </w:r>
                  <w:r>
                    <w:rPr>
                      <w:rFonts w:hint="eastAsia" w:ascii="Times New Roman" w:hAnsi="Times New Roman" w:eastAsia="宋体" w:cs="Times New Roman"/>
                      <w:color w:val="auto"/>
                      <w:spacing w:val="0"/>
                      <w:sz w:val="21"/>
                      <w:lang w:val="en-US" w:eastAsia="zh-CN" w:bidi="zh-CN"/>
                    </w:rPr>
                    <w:t>原料建筑垃圾堆放于密闭原料库并配备雾炮抑尘</w:t>
                  </w:r>
                  <w:r>
                    <w:rPr>
                      <w:rFonts w:hint="default" w:ascii="Times New Roman" w:hAnsi="Times New Roman" w:eastAsia="宋体" w:cs="Times New Roman"/>
                      <w:color w:val="auto"/>
                      <w:spacing w:val="0"/>
                      <w:sz w:val="21"/>
                      <w:lang w:val="en-US" w:eastAsia="zh-CN" w:bidi="zh-CN"/>
                    </w:rPr>
                    <w:t>；</w:t>
                  </w:r>
                  <w:r>
                    <w:rPr>
                      <w:rFonts w:hint="eastAsia" w:ascii="Times New Roman" w:hAnsi="Times New Roman" w:eastAsia="宋体" w:cs="Times New Roman"/>
                      <w:color w:val="auto"/>
                      <w:spacing w:val="0"/>
                      <w:sz w:val="21"/>
                      <w:lang w:val="en-US" w:eastAsia="zh-CN" w:bidi="zh-CN"/>
                    </w:rPr>
                    <w:t>运输过程</w:t>
                  </w:r>
                  <w:r>
                    <w:rPr>
                      <w:rFonts w:hint="default" w:ascii="Times New Roman" w:hAnsi="Times New Roman" w:eastAsia="宋体" w:cs="Times New Roman"/>
                      <w:color w:val="auto"/>
                      <w:spacing w:val="0"/>
                      <w:sz w:val="21"/>
                      <w:lang w:val="en-US" w:eastAsia="zh-CN" w:bidi="zh-CN"/>
                    </w:rPr>
                    <w:t>采用密封运输，</w:t>
                  </w:r>
                  <w:r>
                    <w:rPr>
                      <w:rFonts w:hint="eastAsia" w:ascii="Times New Roman" w:hAnsi="Times New Roman" w:eastAsia="宋体" w:cs="Times New Roman"/>
                      <w:color w:val="auto"/>
                      <w:spacing w:val="0"/>
                      <w:sz w:val="21"/>
                      <w:lang w:val="en-US" w:eastAsia="zh-CN" w:bidi="zh-CN"/>
                    </w:rPr>
                    <w:t>破碎、筛分工序</w:t>
                  </w:r>
                  <w:r>
                    <w:rPr>
                      <w:rFonts w:hint="default" w:ascii="Times New Roman" w:hAnsi="Times New Roman" w:eastAsia="宋体" w:cs="Times New Roman"/>
                      <w:color w:val="auto"/>
                      <w:spacing w:val="0"/>
                      <w:sz w:val="21"/>
                      <w:lang w:val="en-US" w:eastAsia="zh-CN" w:bidi="zh-CN"/>
                    </w:rPr>
                    <w:t>安装集气装置相连布袋除尘器有组织排放。项目区内分区硬化，进出车辆冲洗后上路。本项目主体工程均为全封闭建筑物。</w:t>
                  </w:r>
                </w:p>
              </w:tc>
              <w:tc>
                <w:tcPr>
                  <w:tcW w:w="350"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6"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《自治州工业炉窑大气污染综合治理实施方案》</w:t>
                  </w:r>
                </w:p>
              </w:tc>
              <w:tc>
                <w:tcPr>
                  <w:tcW w:w="1763"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严格建设项目准入。新建涉工业炉窑的建设项目，原则上要入园区，配套建设高效环保治理设施。重点区域严格控制涉工业炉窑建设项目，严禁新增钢铁、焦化、电解铝、水泥和平板玻璃等产能；严格执行钢铁、水泥、平板玻璃等行业产能置换实施办法；原则上禁止新建燃料类煤气发生炉。</w:t>
                  </w:r>
                </w:p>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推进工业炉窑全面达标排放。已有行业排放标准的工业炉窑，严格执行行业排放标准相关规定，配套建设高效脱硫脱硝除尘设施，确保稳定达标排放。重点区域钢铁、水泥、焦化、石化、化工、有色等重点行业，二氧化硫、氮氧化物、颗粒物、挥发性有机物（VOCs）排放全面执行大气污染物特别排放限值。</w:t>
                  </w:r>
                </w:p>
              </w:tc>
              <w:tc>
                <w:tcPr>
                  <w:tcW w:w="1918"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本项目不涉及新建工业炉窑，生产工艺中也不使用工业炉窑，值守人员生活取暖采用电能供暖。</w:t>
                  </w:r>
                </w:p>
              </w:tc>
              <w:tc>
                <w:tcPr>
                  <w:tcW w:w="350"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6" w:type="pct"/>
                  <w:vMerge w:val="restar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《中华人民共和国水法》</w:t>
                  </w:r>
                </w:p>
              </w:tc>
              <w:tc>
                <w:tcPr>
                  <w:tcW w:w="1763"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禁止在江河、湖泊、水库、运河、渠道内弃置、堆放阻碍行洪的物体和种植阻碍行洪的林木及高秆作物；禁止在河道管理范围内建设妨碍行洪的建筑物、构筑物以及从事影响河势稳定、危害河岸堤防安全和其他妨碍河道行洪的活动。</w:t>
                  </w:r>
                </w:p>
              </w:tc>
              <w:tc>
                <w:tcPr>
                  <w:tcW w:w="1918"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项目不在开都河河道管理范围、法定保护范围内，不占用河道岸线管控空间依据《开都河（博湖段）河道岸线管理利用规划》矢量坐标校核：项目厂区西侧用地红线距开都河外缘控制线56m；厂区所有生产车间、沉淀池、危废贮存点全部布置于外缘控制线以外陆域工业用地，不在河道水域、滩涂、护堤地、河道管理范围内，未侵占行洪通道、未建设妨碍行洪构筑物</w:t>
                  </w:r>
                </w:p>
              </w:tc>
              <w:tc>
                <w:tcPr>
                  <w:tcW w:w="350"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6" w:type="pct"/>
                  <w:vMerge w:val="continue"/>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p>
              </w:tc>
              <w:tc>
                <w:tcPr>
                  <w:tcW w:w="1763"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在河道管理范围内建设桥梁、码头和其他拦河、跨河、临河建筑物、构筑物，铺设跨河管道、电缆，应当符合国家规定的防洪标准和其他有关的技术要求，工程建设方案应当依照防洪法的有关规定报经有关水行政主管部门审查同意。</w:t>
                  </w:r>
                </w:p>
              </w:tc>
              <w:tc>
                <w:tcPr>
                  <w:tcW w:w="1918"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固废、危废全封闭防渗贮存，防止渗漏污染河道水体危废贮存点设置重点防渗层，一般固废、危险废物分区密闭存放，无露天随意堆存、渗滤液直渗土壤后汇入河道风险；同步建立汛期巡查、渗漏检测制度，定期清理沉淀池淤泥，不向河道倾倒固废，满足两部法律关于河湖水体、岸线污染防控要求。</w:t>
                  </w:r>
                </w:p>
              </w:tc>
              <w:tc>
                <w:tcPr>
                  <w:tcW w:w="350"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6" w:type="pct"/>
                  <w:vMerge w:val="restar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《中华人民共和国河道管理条例》</w:t>
                  </w:r>
                </w:p>
              </w:tc>
              <w:tc>
                <w:tcPr>
                  <w:tcW w:w="1763"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无堤防河道，管理范围根据历史最高洪水位 / 设计洪水位划定；河湖保护范围在岸线规划中以外缘控制线为基准向外划定，河道管理范围、保护范围不得违规布设生产、固废贮存类工业设施。</w:t>
                  </w:r>
                </w:p>
              </w:tc>
              <w:tc>
                <w:tcPr>
                  <w:tcW w:w="1918"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厂区建设不影响河势稳定、不破坏堤防与行洪安全项目选址位于开都河无堤段外缘控制线外侧56m陆域，厂区地面标高高于开都河历史最高洪水位，不压缩河道行洪断面，不修建阻水围墙、渠道、堆土；厂区临河段无开挖、取土、破坏岸坡行为，不会扰动河道自然河势、不威胁河岸稳定</w:t>
                  </w:r>
                </w:p>
              </w:tc>
              <w:tc>
                <w:tcPr>
                  <w:tcW w:w="350"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6" w:type="pct"/>
                  <w:vMerge w:val="continue"/>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p>
              </w:tc>
              <w:tc>
                <w:tcPr>
                  <w:tcW w:w="1763"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向河道排污口设置必须经河道主管机关同意，严禁未经收集处理的雨水、生产废水直排入河。</w:t>
                  </w:r>
                </w:p>
              </w:tc>
              <w:tc>
                <w:tcPr>
                  <w:tcW w:w="1918"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本项目不设置任何通往开都河的雨水、污水排污口，生产喷淋、洗车废水全部厂内沉淀循环回用，生活污水密闭罐车转运至城镇污水处理厂，无废水直排河道行为；</w:t>
                  </w:r>
                </w:p>
              </w:tc>
              <w:tc>
                <w:tcPr>
                  <w:tcW w:w="350" w:type="pct"/>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符合</w:t>
                  </w:r>
                </w:p>
              </w:tc>
            </w:tr>
          </w:tbl>
          <w:p>
            <w:pPr>
              <w:pStyle w:val="316"/>
              <w:keepNext w:val="0"/>
              <w:keepLines w:val="0"/>
              <w:pageBreakBefore w:val="0"/>
              <w:widowControl w:val="0"/>
              <w:tabs>
                <w:tab w:val="left" w:pos="2760"/>
              </w:tabs>
              <w:kinsoku/>
              <w:wordWrap/>
              <w:overflowPunct/>
              <w:topLinePunct w:val="0"/>
              <w:autoSpaceDE w:val="0"/>
              <w:autoSpaceDN w:val="0"/>
              <w:bidi w:val="0"/>
              <w:adjustRightInd/>
              <w:snapToGrid/>
              <w:spacing w:line="360" w:lineRule="auto"/>
              <w:ind w:firstLine="480" w:firstLineChars="200"/>
              <w:jc w:val="both"/>
              <w:textAlignment w:val="auto"/>
              <w:outlineLvl w:val="9"/>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本项目选址、平面布置、污染防控、防洪缓冲工程均严格遵守《中华人民共和国水法》《中华人民共和国河道管理条例》等各项条款，未占用开都河河道管理范围与法定保护范围，无妨碍行洪、污染水体、破坏岸线的建设行为；建筑垃圾原料全部密闭原料库内堆存，不存在露天堆场雨水淋溶渗滤液风险，配套分区防渗、截流、应急防控体系，能够消除项目对开都河河道行洪、水质、岸线的不利影响，与两部水法律法规相符。</w:t>
            </w:r>
          </w:p>
          <w:p>
            <w:pPr>
              <w:pStyle w:val="454"/>
              <w:keepNext w:val="0"/>
              <w:keepLines w:val="0"/>
              <w:pageBreakBefore w:val="0"/>
              <w:widowControl w:val="0"/>
              <w:kinsoku/>
              <w:wordWrap/>
              <w:overflowPunct/>
              <w:topLinePunct w:val="0"/>
              <w:bidi w:val="0"/>
              <w:adjustRightInd/>
              <w:snapToGrid/>
              <w:jc w:val="both"/>
              <w:textAlignment w:val="auto"/>
              <w:outlineLvl w:val="9"/>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三、</w:t>
            </w:r>
            <w:r>
              <w:rPr>
                <w:rFonts w:hint="eastAsia" w:ascii="Times New Roman" w:hAnsi="Times New Roman" w:cs="Times New Roman"/>
                <w:b/>
                <w:bCs/>
                <w:color w:val="auto"/>
                <w:highlight w:val="none"/>
                <w:lang w:val="en-US" w:eastAsia="zh-CN"/>
              </w:rPr>
              <w:t>环境保护相关</w:t>
            </w:r>
            <w:r>
              <w:rPr>
                <w:rFonts w:hint="default" w:ascii="Times New Roman" w:hAnsi="Times New Roman" w:cs="Times New Roman"/>
                <w:b/>
                <w:bCs/>
                <w:color w:val="auto"/>
                <w:highlight w:val="none"/>
                <w:lang w:val="en-US" w:eastAsia="zh-CN"/>
              </w:rPr>
              <w:t>规划符合性分析</w:t>
            </w:r>
          </w:p>
          <w:p>
            <w:pPr>
              <w:pStyle w:val="316"/>
              <w:keepNext w:val="0"/>
              <w:keepLines w:val="0"/>
              <w:pageBreakBefore w:val="0"/>
              <w:widowControl w:val="0"/>
              <w:tabs>
                <w:tab w:val="left" w:pos="2760"/>
              </w:tabs>
              <w:kinsoku/>
              <w:wordWrap/>
              <w:overflowPunct/>
              <w:topLinePunct w:val="0"/>
              <w:autoSpaceDE w:val="0"/>
              <w:autoSpaceDN w:val="0"/>
              <w:bidi w:val="0"/>
              <w:adjustRightInd/>
              <w:snapToGrid/>
              <w:spacing w:line="360" w:lineRule="auto"/>
              <w:ind w:firstLine="480" w:firstLineChars="200"/>
              <w:jc w:val="both"/>
              <w:textAlignment w:val="auto"/>
              <w:outlineLvl w:val="9"/>
              <w:rPr>
                <w:rFonts w:hint="eastAsia" w:ascii="宋体" w:hAnsi="宋体" w:eastAsia="宋体" w:cs="宋体"/>
                <w:color w:val="auto"/>
                <w:sz w:val="24"/>
                <w:szCs w:val="24"/>
                <w:lang w:val="en-US" w:eastAsia="zh-CN" w:bidi="zh-CN"/>
              </w:rPr>
            </w:pPr>
            <w:r>
              <w:rPr>
                <w:rFonts w:hint="default" w:ascii="宋体" w:hAnsi="宋体" w:eastAsia="宋体" w:cs="宋体"/>
                <w:color w:val="auto"/>
                <w:sz w:val="24"/>
                <w:szCs w:val="24"/>
                <w:lang w:val="en-US" w:eastAsia="zh-CN" w:bidi="zh-CN"/>
              </w:rPr>
              <w:t>1</w:t>
            </w:r>
            <w:r>
              <w:rPr>
                <w:rFonts w:hint="eastAsia" w:ascii="宋体" w:hAnsi="宋体" w:eastAsia="宋体" w:cs="宋体"/>
                <w:color w:val="auto"/>
                <w:sz w:val="24"/>
                <w:szCs w:val="24"/>
                <w:lang w:val="en-US" w:eastAsia="zh-CN" w:bidi="zh-CN"/>
              </w:rPr>
              <w:t>、与《新疆生态环境保护“十四五”规划》的符合性分析</w:t>
            </w:r>
          </w:p>
          <w:p>
            <w:pPr>
              <w:pStyle w:val="322"/>
              <w:keepNext w:val="0"/>
              <w:keepLines w:val="0"/>
              <w:pageBreakBefore w:val="0"/>
              <w:widowControl w:val="0"/>
              <w:kinsoku/>
              <w:wordWrap/>
              <w:overflowPunct/>
              <w:topLinePunct w:val="0"/>
              <w:bidi w:val="0"/>
              <w:adjustRightInd/>
              <w:snapToGrid/>
              <w:spacing w:line="360" w:lineRule="auto"/>
              <w:ind w:firstLine="480" w:firstLineChars="200"/>
              <w:jc w:val="both"/>
              <w:textAlignment w:val="auto"/>
              <w:outlineLvl w:val="9"/>
              <w:rPr>
                <w:rFonts w:hint="default" w:ascii="宋体" w:hAnsi="宋体" w:eastAsia="宋体" w:cs="宋体"/>
                <w:color w:val="auto"/>
                <w:sz w:val="24"/>
                <w:szCs w:val="24"/>
                <w:lang w:val="en-US" w:eastAsia="zh-CN" w:bidi="zh-CN"/>
              </w:rPr>
            </w:pPr>
            <w:r>
              <w:rPr>
                <w:rFonts w:hint="default" w:ascii="宋体" w:hAnsi="宋体" w:eastAsia="宋体" w:cs="宋体"/>
                <w:color w:val="auto"/>
                <w:sz w:val="24"/>
                <w:szCs w:val="24"/>
                <w:lang w:val="en-US" w:eastAsia="zh-CN" w:bidi="zh-CN"/>
              </w:rPr>
              <w:t>根据《新疆生态环境保护 “十四五” 规划》第五章加强协同控制，改善大气环境，第三节持续推进涉气污染源治理：实施重点行业氮氧化物等污染物深度治理。持续推进钢铁、水泥、焦化行业超低排放改造。推进玻璃、陶瓷、铸造、铁合金、有色、煤化和石化等行业采取清洁生产、提标改造、深度治理等综合措施。加强自备燃煤机组污染治理设施运行管控，确保按照超低排放标准运行。针对铸造、铁合金、焦化、水泥、砖瓦、石灰、耐火材料、金属冶炼以及煤化工、石油化工等行业，严格控制物料储存、输送及生产工艺过程无组织排放。重点涉气排放企业逐步取消烟气旁路，因安全生产无法取消的，安装在线监控系统。</w:t>
            </w:r>
          </w:p>
          <w:p>
            <w:pPr>
              <w:pStyle w:val="322"/>
              <w:keepNext w:val="0"/>
              <w:keepLines w:val="0"/>
              <w:pageBreakBefore w:val="0"/>
              <w:widowControl w:val="0"/>
              <w:kinsoku/>
              <w:wordWrap/>
              <w:overflowPunct/>
              <w:topLinePunct w:val="0"/>
              <w:bidi w:val="0"/>
              <w:adjustRightInd/>
              <w:snapToGrid/>
              <w:spacing w:line="360" w:lineRule="auto"/>
              <w:ind w:firstLine="480" w:firstLineChars="200"/>
              <w:jc w:val="both"/>
              <w:textAlignment w:val="auto"/>
              <w:outlineLvl w:val="9"/>
              <w:rPr>
                <w:rFonts w:hint="eastAsia" w:ascii="宋体" w:hAnsi="宋体" w:eastAsia="宋体" w:cs="宋体"/>
                <w:color w:val="auto"/>
                <w:sz w:val="24"/>
                <w:szCs w:val="24"/>
                <w:lang w:val="en-US" w:eastAsia="zh-CN" w:bidi="zh-CN"/>
              </w:rPr>
            </w:pPr>
            <w:r>
              <w:rPr>
                <w:rFonts w:hint="default" w:ascii="宋体" w:hAnsi="宋体" w:eastAsia="宋体" w:cs="宋体"/>
                <w:color w:val="auto"/>
                <w:sz w:val="24"/>
                <w:szCs w:val="24"/>
                <w:lang w:val="en-US" w:eastAsia="zh-CN" w:bidi="zh-CN"/>
              </w:rPr>
              <w:t>本项目建筑垃圾原料全部堆存于全密闭</w:t>
            </w:r>
            <w:r>
              <w:rPr>
                <w:rFonts w:hint="eastAsia" w:ascii="宋体" w:hAnsi="宋体" w:eastAsia="宋体" w:cs="宋体"/>
                <w:color w:val="auto"/>
                <w:sz w:val="24"/>
                <w:szCs w:val="24"/>
                <w:lang w:val="en-US" w:eastAsia="zh-CN" w:bidi="zh-CN"/>
              </w:rPr>
              <w:t>原料库</w:t>
            </w:r>
            <w:r>
              <w:rPr>
                <w:rFonts w:hint="default" w:ascii="宋体" w:hAnsi="宋体" w:eastAsia="宋体" w:cs="宋体"/>
                <w:color w:val="auto"/>
                <w:sz w:val="24"/>
                <w:szCs w:val="24"/>
                <w:lang w:val="en-US" w:eastAsia="zh-CN" w:bidi="zh-CN"/>
              </w:rPr>
              <w:t>内部，无露天原料堆场；卸料、堆存、投料环节在密闭车间内作业并配套雾炮喷雾抑尘；运输过程采用密封运输，设备均采用封闭设备加工，在投料口及出料口设置喷淋降尘装置，破碎、筛分工产尘点安装集气装置相连布袋除尘器有组织排放。项目区内进行分区防渗，进出车辆冲洗后上路。本项目主体工程均为全封闭建筑物。因此，本项目符合《新疆生态环境保护“十四五” 规划》的相关要求。</w:t>
            </w:r>
          </w:p>
          <w:p>
            <w:pPr>
              <w:pStyle w:val="316"/>
              <w:keepNext w:val="0"/>
              <w:keepLines w:val="0"/>
              <w:pageBreakBefore w:val="0"/>
              <w:widowControl w:val="0"/>
              <w:tabs>
                <w:tab w:val="left" w:pos="2760"/>
              </w:tabs>
              <w:kinsoku/>
              <w:wordWrap/>
              <w:overflowPunct/>
              <w:topLinePunct w:val="0"/>
              <w:autoSpaceDE w:val="0"/>
              <w:autoSpaceDN w:val="0"/>
              <w:bidi w:val="0"/>
              <w:adjustRightInd/>
              <w:snapToGrid/>
              <w:spacing w:line="360" w:lineRule="auto"/>
              <w:ind w:firstLine="480" w:firstLineChars="200"/>
              <w:jc w:val="both"/>
              <w:textAlignment w:val="auto"/>
              <w:outlineLvl w:val="9"/>
              <w:rPr>
                <w:rFonts w:hint="eastAsia" w:ascii="宋体" w:hAnsi="宋体" w:eastAsia="宋体" w:cs="宋体"/>
                <w:b/>
                <w:bCs/>
                <w:color w:val="auto"/>
                <w:highlight w:val="none"/>
                <w:lang w:val="en-US" w:eastAsia="zh-CN"/>
              </w:rPr>
            </w:pPr>
            <w:r>
              <w:rPr>
                <w:rFonts w:hint="default" w:ascii="Times New Roman" w:hAnsi="Times New Roman" w:eastAsia="宋体" w:cs="Times New Roman"/>
                <w:b w:val="0"/>
                <w:bCs w:val="0"/>
                <w:color w:val="auto"/>
                <w:highlight w:val="none"/>
                <w:lang w:val="en-US" w:eastAsia="zh-CN"/>
              </w:rPr>
              <w:t>2</w:t>
            </w:r>
            <w:r>
              <w:rPr>
                <w:rFonts w:hint="eastAsia" w:ascii="宋体" w:hAnsi="宋体" w:eastAsia="宋体" w:cs="宋体"/>
                <w:b w:val="0"/>
                <w:bCs w:val="0"/>
                <w:color w:val="auto"/>
                <w:highlight w:val="none"/>
                <w:lang w:val="en-US" w:eastAsia="zh-CN"/>
              </w:rPr>
              <w:t>、与《巴音郭楞蒙古自治州生态环境“十四五”规划(修订版)》符合性分析</w:t>
            </w:r>
          </w:p>
          <w:p>
            <w:pPr>
              <w:pStyle w:val="322"/>
              <w:keepNext w:val="0"/>
              <w:keepLines w:val="0"/>
              <w:pageBreakBefore w:val="0"/>
              <w:widowControl w:val="0"/>
              <w:kinsoku/>
              <w:wordWrap/>
              <w:overflowPunct/>
              <w:topLinePunct w:val="0"/>
              <w:bidi w:val="0"/>
              <w:adjustRightInd/>
              <w:snapToGrid/>
              <w:spacing w:line="360" w:lineRule="auto"/>
              <w:ind w:firstLine="480" w:firstLineChars="200"/>
              <w:jc w:val="both"/>
              <w:textAlignment w:val="auto"/>
              <w:outlineLvl w:val="9"/>
              <w:rPr>
                <w:rFonts w:hint="default" w:ascii="宋体" w:hAnsi="宋体" w:eastAsia="宋体" w:cs="宋体"/>
                <w:color w:val="auto"/>
                <w:sz w:val="24"/>
                <w:szCs w:val="24"/>
                <w:lang w:val="en-US" w:eastAsia="zh-CN" w:bidi="zh-CN"/>
              </w:rPr>
            </w:pPr>
            <w:r>
              <w:rPr>
                <w:rFonts w:hint="default" w:ascii="宋体" w:hAnsi="宋体" w:eastAsia="宋体" w:cs="宋体"/>
                <w:color w:val="auto"/>
                <w:sz w:val="24"/>
                <w:szCs w:val="24"/>
                <w:lang w:val="en-US" w:eastAsia="zh-CN" w:bidi="zh-CN"/>
              </w:rPr>
              <w:t>《</w:t>
            </w:r>
            <w:r>
              <w:rPr>
                <w:rFonts w:hint="eastAsia" w:ascii="宋体" w:hAnsi="宋体" w:eastAsia="宋体" w:cs="宋体"/>
                <w:b w:val="0"/>
                <w:bCs w:val="0"/>
                <w:color w:val="auto"/>
                <w:highlight w:val="none"/>
                <w:lang w:val="en-US" w:eastAsia="zh-CN"/>
              </w:rPr>
              <w:t>巴音郭楞蒙古自治州生态环境“十四五”规划(修订版)</w:t>
            </w:r>
            <w:r>
              <w:rPr>
                <w:rFonts w:hint="default" w:ascii="宋体" w:hAnsi="宋体" w:eastAsia="宋体" w:cs="宋体"/>
                <w:color w:val="auto"/>
                <w:sz w:val="24"/>
                <w:szCs w:val="24"/>
                <w:lang w:val="en-US" w:eastAsia="zh-CN" w:bidi="zh-CN"/>
              </w:rPr>
              <w:t>》提出：加强固体</w:t>
            </w:r>
            <w:r>
              <w:rPr>
                <w:rFonts w:hint="eastAsia" w:ascii="宋体" w:hAnsi="宋体" w:eastAsia="宋体" w:cs="宋体"/>
                <w:color w:val="auto"/>
                <w:sz w:val="24"/>
                <w:szCs w:val="24"/>
                <w:lang w:val="en-US" w:eastAsia="zh-CN" w:bidi="zh-CN"/>
              </w:rPr>
              <w:t xml:space="preserve"> </w:t>
            </w:r>
            <w:r>
              <w:rPr>
                <w:rFonts w:hint="default" w:ascii="宋体" w:hAnsi="宋体" w:eastAsia="宋体" w:cs="宋体"/>
                <w:color w:val="auto"/>
                <w:sz w:val="24"/>
                <w:szCs w:val="24"/>
                <w:lang w:val="en-US" w:eastAsia="zh-CN" w:bidi="zh-CN"/>
              </w:rPr>
              <w:t>废物源头减量和资源化利用，最大限度减少填埋量，持续推进工业固体废物综合利用和环境整治，不断提高大宗工业固体废物资源化利用水平。</w:t>
            </w:r>
          </w:p>
          <w:p>
            <w:pPr>
              <w:pStyle w:val="322"/>
              <w:keepNext w:val="0"/>
              <w:keepLines w:val="0"/>
              <w:pageBreakBefore w:val="0"/>
              <w:widowControl w:val="0"/>
              <w:kinsoku/>
              <w:wordWrap/>
              <w:overflowPunct/>
              <w:topLinePunct w:val="0"/>
              <w:bidi w:val="0"/>
              <w:adjustRightInd/>
              <w:snapToGrid/>
              <w:spacing w:line="360" w:lineRule="auto"/>
              <w:ind w:firstLine="480" w:firstLineChars="200"/>
              <w:jc w:val="both"/>
              <w:textAlignment w:val="auto"/>
              <w:outlineLvl w:val="9"/>
              <w:rPr>
                <w:rFonts w:hint="default" w:ascii="宋体" w:hAnsi="宋体" w:eastAsia="宋体" w:cs="宋体"/>
                <w:color w:val="auto"/>
                <w:sz w:val="24"/>
                <w:szCs w:val="24"/>
                <w:lang w:val="en-US" w:eastAsia="zh-CN" w:bidi="zh-CN"/>
              </w:rPr>
            </w:pPr>
            <w:r>
              <w:rPr>
                <w:rFonts w:hint="default" w:ascii="宋体" w:hAnsi="宋体" w:eastAsia="宋体" w:cs="宋体"/>
                <w:color w:val="auto"/>
                <w:sz w:val="24"/>
                <w:szCs w:val="24"/>
                <w:lang w:val="en-US" w:eastAsia="zh-CN" w:bidi="zh-CN"/>
              </w:rPr>
              <w:t>本项目为建筑垃圾资源化利用项目，年处理建筑垃圾5万t，年产再生砂石骨料3.5万t；废金属、轻物质、渣土、除尘灰、沉淀池沉渣等分类收集后外售综合利用或回收，废机油、废油桶等危险废物暂存于</w:t>
            </w:r>
            <w:r>
              <w:rPr>
                <w:rFonts w:hint="eastAsia" w:ascii="宋体" w:hAnsi="宋体" w:eastAsia="宋体" w:cs="宋体"/>
                <w:color w:val="auto"/>
                <w:sz w:val="24"/>
                <w:szCs w:val="24"/>
                <w:lang w:val="en-US" w:eastAsia="zh-CN" w:bidi="zh-CN"/>
              </w:rPr>
              <w:t>危废贮存点</w:t>
            </w:r>
            <w:r>
              <w:rPr>
                <w:rFonts w:hint="default" w:ascii="宋体" w:hAnsi="宋体" w:eastAsia="宋体" w:cs="宋体"/>
                <w:color w:val="auto"/>
                <w:sz w:val="24"/>
                <w:szCs w:val="24"/>
                <w:lang w:val="en-US" w:eastAsia="zh-CN" w:bidi="zh-CN"/>
              </w:rPr>
              <w:t>并定期交有资质单位处置，生活垃圾由市政环卫部门清运。项目建设符合规划固体废物“减量化、资源化、无害化”要求。</w:t>
            </w:r>
          </w:p>
          <w:p>
            <w:pPr>
              <w:pStyle w:val="322"/>
              <w:keepNext w:val="0"/>
              <w:keepLines w:val="0"/>
              <w:pageBreakBefore w:val="0"/>
              <w:widowControl w:val="0"/>
              <w:numPr>
                <w:ilvl w:val="0"/>
                <w:numId w:val="0"/>
              </w:numPr>
              <w:kinsoku/>
              <w:wordWrap/>
              <w:overflowPunct/>
              <w:topLinePunct w:val="0"/>
              <w:bidi w:val="0"/>
              <w:adjustRightInd/>
              <w:snapToGrid/>
              <w:spacing w:line="360" w:lineRule="auto"/>
              <w:ind w:firstLine="482" w:firstLineChars="200"/>
              <w:jc w:val="both"/>
              <w:textAlignment w:val="auto"/>
              <w:outlineLvl w:val="9"/>
              <w:rPr>
                <w:rFonts w:hint="default"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kern w:val="2"/>
                <w:sz w:val="24"/>
                <w:szCs w:val="24"/>
                <w:highlight w:val="none"/>
                <w:lang w:val="en-US" w:eastAsia="zh-CN" w:bidi="ar-SA"/>
              </w:rPr>
              <w:t>四、与《新疆维吾尔自治区七大片区“三线一单”生态环境分区管控要求》（2021年版）符合性分析</w:t>
            </w:r>
          </w:p>
          <w:p>
            <w:pPr>
              <w:pStyle w:val="322"/>
              <w:keepNext w:val="0"/>
              <w:keepLines w:val="0"/>
              <w:pageBreakBefore w:val="0"/>
              <w:widowControl w:val="0"/>
              <w:numPr>
                <w:ilvl w:val="0"/>
                <w:numId w:val="0"/>
              </w:numPr>
              <w:kinsoku/>
              <w:wordWrap/>
              <w:overflowPunct/>
              <w:topLinePunct w:val="0"/>
              <w:bidi w:val="0"/>
              <w:adjustRightInd/>
              <w:snapToGrid/>
              <w:spacing w:line="360" w:lineRule="auto"/>
              <w:ind w:firstLine="476" w:firstLineChars="200"/>
              <w:jc w:val="both"/>
              <w:textAlignment w:val="auto"/>
              <w:outlineLvl w:val="9"/>
              <w:rPr>
                <w:rFonts w:hint="default" w:ascii="宋体" w:hAnsi="宋体" w:eastAsia="宋体" w:cs="宋体"/>
                <w:color w:val="auto"/>
                <w:sz w:val="24"/>
                <w:lang w:val="en-US" w:eastAsia="zh-CN" w:bidi="zh-CN"/>
              </w:rPr>
            </w:pPr>
            <w:r>
              <w:rPr>
                <w:rFonts w:ascii="新宋体" w:hAnsi="新宋体" w:eastAsia="新宋体" w:cs="新宋体"/>
                <w:color w:val="auto"/>
                <w:spacing w:val="-1"/>
                <w:sz w:val="24"/>
                <w:szCs w:val="24"/>
              </w:rPr>
              <w:t>本项目与自治区七大片区天山南坡管控要求的符合性分</w:t>
            </w:r>
            <w:r>
              <w:rPr>
                <w:rFonts w:ascii="新宋体" w:hAnsi="新宋体" w:eastAsia="新宋体" w:cs="新宋体"/>
                <w:color w:val="auto"/>
                <w:spacing w:val="-3"/>
                <w:sz w:val="24"/>
                <w:szCs w:val="24"/>
              </w:rPr>
              <w:t>析如下：</w:t>
            </w:r>
          </w:p>
          <w:p>
            <w:pPr>
              <w:pStyle w:val="163"/>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baseline"/>
              <w:rPr>
                <w:rFonts w:hint="default" w:ascii="Times New Roman" w:hAnsi="Times New Roman" w:eastAsia="宋体" w:cs="Times New Roman"/>
                <w:b/>
                <w:bCs/>
                <w:color w:val="auto"/>
                <w:spacing w:val="0"/>
                <w:sz w:val="21"/>
                <w:szCs w:val="21"/>
                <w:lang w:val="en-US" w:eastAsia="zh-CN" w:bidi="ar-SA"/>
              </w:rPr>
            </w:pPr>
            <w:r>
              <w:rPr>
                <w:rFonts w:hint="default" w:ascii="Times New Roman" w:hAnsi="Times New Roman" w:eastAsia="宋体" w:cs="Times New Roman"/>
                <w:b/>
                <w:bCs/>
                <w:color w:val="auto"/>
                <w:spacing w:val="0"/>
                <w:sz w:val="21"/>
                <w:szCs w:val="21"/>
                <w:lang w:val="en-US" w:eastAsia="zh-CN" w:bidi="ar-SA"/>
              </w:rPr>
              <w:t>表1-</w:t>
            </w:r>
            <w:r>
              <w:rPr>
                <w:rFonts w:hint="eastAsia" w:ascii="Times New Roman" w:hAnsi="Times New Roman" w:eastAsia="宋体" w:cs="Times New Roman"/>
                <w:b/>
                <w:bCs/>
                <w:color w:val="auto"/>
                <w:spacing w:val="0"/>
                <w:sz w:val="21"/>
                <w:szCs w:val="21"/>
                <w:lang w:val="en-US" w:eastAsia="zh-CN" w:bidi="ar-SA"/>
              </w:rPr>
              <w:t xml:space="preserve">2 </w:t>
            </w:r>
            <w:r>
              <w:rPr>
                <w:rFonts w:hint="default" w:ascii="Times New Roman" w:hAnsi="Times New Roman" w:eastAsia="宋体" w:cs="Times New Roman"/>
                <w:b/>
                <w:bCs/>
                <w:color w:val="auto"/>
                <w:spacing w:val="0"/>
                <w:sz w:val="21"/>
                <w:szCs w:val="21"/>
                <w:lang w:val="en-US" w:eastAsia="zh-CN" w:bidi="ar-SA"/>
              </w:rPr>
              <w:t xml:space="preserve"> 与《自治区生态环境分区管控方案和七大片区管控要求》的符合性分析</w:t>
            </w:r>
          </w:p>
          <w:tbl>
            <w:tblPr>
              <w:tblStyle w:val="427"/>
              <w:tblW w:w="502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8"/>
              <w:gridCol w:w="558"/>
              <w:gridCol w:w="3307"/>
              <w:gridCol w:w="255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420" w:type="pct"/>
                  <w:vMerge w:val="restart"/>
                  <w:tcBorders>
                    <w:top w:val="single" w:color="000000" w:sz="10" w:space="0"/>
                    <w:left w:val="single" w:color="000000" w:sz="4" w:space="0"/>
                    <w:bottom w:val="nil"/>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生态环境分区管控</w:t>
                  </w:r>
                </w:p>
              </w:tc>
              <w:tc>
                <w:tcPr>
                  <w:tcW w:w="398" w:type="pct"/>
                  <w:tcBorders>
                    <w:top w:val="single" w:color="000000" w:sz="10" w:space="0"/>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管控</w:t>
                  </w:r>
                </w:p>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类别</w:t>
                  </w:r>
                </w:p>
              </w:tc>
              <w:tc>
                <w:tcPr>
                  <w:tcW w:w="2360" w:type="pct"/>
                  <w:tcBorders>
                    <w:top w:val="single" w:color="000000" w:sz="10" w:space="0"/>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管控要求</w:t>
                  </w:r>
                </w:p>
              </w:tc>
              <w:tc>
                <w:tcPr>
                  <w:tcW w:w="1821" w:type="pct"/>
                  <w:tcBorders>
                    <w:top w:val="single" w:color="000000" w:sz="10" w:space="0"/>
                    <w:right w:val="single" w:color="000000" w:sz="4" w:space="0"/>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符合性分析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0" w:type="pct"/>
                  <w:vMerge w:val="continue"/>
                  <w:tcBorders>
                    <w:top w:val="nil"/>
                    <w:left w:val="single" w:color="000000" w:sz="4" w:space="0"/>
                    <w:bottom w:val="nil"/>
                  </w:tcBorders>
                  <w:textDirection w:val="tbRlV"/>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p>
              </w:tc>
              <w:tc>
                <w:tcPr>
                  <w:tcW w:w="398" w:type="pct"/>
                  <w:vMerge w:val="restart"/>
                  <w:tcBorders>
                    <w:bottom w:val="nil"/>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空间布局约束</w:t>
                  </w:r>
                </w:p>
              </w:tc>
              <w:tc>
                <w:tcPr>
                  <w:tcW w:w="2360" w:type="pct"/>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严格执行国家、 自治区产业政策和环境准入要求，严禁“三高”项目进新疆，坚决遏制“两高”项目盲目发展。</w:t>
                  </w:r>
                </w:p>
              </w:tc>
              <w:tc>
                <w:tcPr>
                  <w:tcW w:w="1821" w:type="pct"/>
                  <w:tcBorders>
                    <w:right w:val="single" w:color="000000" w:sz="4" w:space="0"/>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符合，本项目为</w:t>
                  </w:r>
                  <w:r>
                    <w:rPr>
                      <w:rFonts w:hint="eastAsia" w:ascii="Times New Roman" w:hAnsi="Times New Roman" w:eastAsia="宋体" w:cs="Times New Roman"/>
                      <w:color w:val="auto"/>
                      <w:spacing w:val="0"/>
                      <w:sz w:val="21"/>
                      <w:lang w:val="en-US" w:eastAsia="zh-CN" w:bidi="zh-CN"/>
                    </w:rPr>
                    <w:t>固体废物治理</w:t>
                  </w:r>
                  <w:r>
                    <w:rPr>
                      <w:rFonts w:hint="default" w:ascii="Times New Roman" w:hAnsi="Times New Roman" w:eastAsia="宋体" w:cs="Times New Roman"/>
                      <w:color w:val="auto"/>
                      <w:spacing w:val="0"/>
                      <w:sz w:val="21"/>
                      <w:lang w:val="en-US" w:eastAsia="zh-CN" w:bidi="zh-CN"/>
                    </w:rPr>
                    <w:t>，不属于“三高（高污染、高能耗、高环境风险）”及“两高”项目。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0" w:type="pct"/>
                  <w:vMerge w:val="continue"/>
                  <w:tcBorders>
                    <w:top w:val="nil"/>
                    <w:left w:val="single" w:color="000000" w:sz="4" w:space="0"/>
                    <w:bottom w:val="nil"/>
                  </w:tcBorders>
                  <w:textDirection w:val="tbRlV"/>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p>
              </w:tc>
              <w:tc>
                <w:tcPr>
                  <w:tcW w:w="398" w:type="pct"/>
                  <w:vMerge w:val="continue"/>
                  <w:tcBorders>
                    <w:top w:val="nil"/>
                    <w:bottom w:val="nil"/>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p>
              </w:tc>
              <w:tc>
                <w:tcPr>
                  <w:tcW w:w="2360" w:type="pct"/>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不得在水源涵养区、饮用水水源保护区内和河流、湖泊、水库周围建设重化工、涉重金属等工业污染项目。</w:t>
                  </w:r>
                </w:p>
              </w:tc>
              <w:tc>
                <w:tcPr>
                  <w:tcW w:w="1821" w:type="pct"/>
                  <w:tcBorders>
                    <w:right w:val="single" w:color="000000" w:sz="4" w:space="0"/>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符合，本项目不属于重化工、涉重金属等工业污染项目。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420" w:type="pct"/>
                  <w:vMerge w:val="continue"/>
                  <w:tcBorders>
                    <w:top w:val="nil"/>
                    <w:left w:val="single" w:color="000000" w:sz="4" w:space="0"/>
                    <w:bottom w:val="nil"/>
                  </w:tcBorders>
                  <w:textDirection w:val="tbRlV"/>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p>
              </w:tc>
              <w:tc>
                <w:tcPr>
                  <w:tcW w:w="398" w:type="pct"/>
                  <w:vMerge w:val="continue"/>
                  <w:tcBorders>
                    <w:top w:val="nil"/>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p>
              </w:tc>
              <w:tc>
                <w:tcPr>
                  <w:tcW w:w="2360" w:type="pct"/>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推动项目集聚发展，新建、改建、扩建工业项目原则上应布置由县级及以上人民政府批准建立、环境保护基础设施完善的产业园区、工业聚集区或规划区，并且符合相关规划和规划环评要求。</w:t>
                  </w:r>
                </w:p>
              </w:tc>
              <w:tc>
                <w:tcPr>
                  <w:tcW w:w="1821" w:type="pct"/>
                  <w:tcBorders>
                    <w:right w:val="single" w:color="000000" w:sz="4" w:space="0"/>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符合，项目用地性质为工业用地，符合《</w:t>
                  </w:r>
                  <w:r>
                    <w:rPr>
                      <w:rFonts w:hint="eastAsia" w:ascii="Times New Roman" w:hAnsi="Times New Roman" w:eastAsia="宋体" w:cs="Times New Roman"/>
                      <w:color w:val="auto"/>
                      <w:spacing w:val="0"/>
                      <w:sz w:val="21"/>
                      <w:lang w:val="en-US" w:eastAsia="zh-CN" w:bidi="zh-CN"/>
                    </w:rPr>
                    <w:t>博湖</w:t>
                  </w:r>
                  <w:r>
                    <w:rPr>
                      <w:rFonts w:hint="default" w:ascii="Times New Roman" w:hAnsi="Times New Roman" w:eastAsia="宋体" w:cs="Times New Roman"/>
                      <w:color w:val="auto"/>
                      <w:spacing w:val="0"/>
                      <w:sz w:val="21"/>
                      <w:lang w:val="en-US" w:eastAsia="zh-CN" w:bidi="zh-CN"/>
                    </w:rPr>
                    <w:t>县国土空间总体规划（2021</w:t>
                  </w:r>
                  <w:r>
                    <w:rPr>
                      <w:rFonts w:hint="eastAsia" w:ascii="Times New Roman" w:hAnsi="Times New Roman" w:eastAsia="宋体" w:cs="Times New Roman"/>
                      <w:color w:val="auto"/>
                      <w:spacing w:val="0"/>
                      <w:sz w:val="21"/>
                      <w:lang w:val="en-US" w:eastAsia="zh-CN" w:bidi="zh-CN"/>
                    </w:rPr>
                    <w:t>—</w:t>
                  </w:r>
                  <w:r>
                    <w:rPr>
                      <w:rFonts w:hint="default" w:ascii="Times New Roman" w:hAnsi="Times New Roman" w:eastAsia="宋体" w:cs="Times New Roman"/>
                      <w:color w:val="auto"/>
                      <w:spacing w:val="0"/>
                      <w:sz w:val="21"/>
                      <w:lang w:val="en-US" w:eastAsia="zh-CN" w:bidi="zh-CN"/>
                    </w:rPr>
                    <w:t>2035年）》要求。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420" w:type="pct"/>
                  <w:vMerge w:val="continue"/>
                  <w:tcBorders>
                    <w:top w:val="nil"/>
                    <w:left w:val="single" w:color="000000" w:sz="4" w:space="0"/>
                    <w:bottom w:val="single" w:color="000000" w:sz="4" w:space="0"/>
                  </w:tcBorders>
                  <w:textDirection w:val="tbRlV"/>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p>
              </w:tc>
              <w:tc>
                <w:tcPr>
                  <w:tcW w:w="398" w:type="pct"/>
                  <w:vMerge w:val="restart"/>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污染</w:t>
                  </w:r>
                </w:p>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物排</w:t>
                  </w:r>
                </w:p>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放管</w:t>
                  </w:r>
                </w:p>
              </w:tc>
              <w:tc>
                <w:tcPr>
                  <w:tcW w:w="2360" w:type="pct"/>
                  <w:tcBorders>
                    <w:bottom w:val="single" w:color="000000" w:sz="4" w:space="0"/>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深化行业污染源头治理，深入开展火电行业减排，全力推进钢铁行业超低排放改造，有序推进石化行业“泄漏检测与修复”技术改造。强化煤化工、石化、有机化工、表面涂装、包装印刷等重点行业挥发性有机物控制。深入开展燃煤锅炉污染综合整治，深化工业炉窑综合治理。加强“散乱污”企业综合整治。优化区域交通运输结构，加快货物运输绿色转型，做好车油联合管控。</w:t>
                  </w:r>
                </w:p>
              </w:tc>
              <w:tc>
                <w:tcPr>
                  <w:tcW w:w="1821" w:type="pct"/>
                  <w:tcBorders>
                    <w:bottom w:val="single" w:color="000000" w:sz="4" w:space="0"/>
                    <w:right w:val="single" w:color="000000" w:sz="4" w:space="0"/>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符合，本项目原料及成品依托社会运输车辆，不涉及所列燃煤锅炉及炉窑。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420" w:type="pct"/>
                  <w:vMerge w:val="continue"/>
                  <w:tcBorders>
                    <w:top w:val="nil"/>
                    <w:left w:val="single" w:color="000000" w:sz="4" w:space="0"/>
                    <w:bottom w:val="nil"/>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p>
              </w:tc>
              <w:tc>
                <w:tcPr>
                  <w:tcW w:w="398" w:type="pct"/>
                  <w:vMerge w:val="continue"/>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p>
              </w:tc>
              <w:tc>
                <w:tcPr>
                  <w:tcW w:w="2360" w:type="pct"/>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以改善流域水环境质量为核心，强化源头控制，“一河（湖）一策”精准施治，减少水污染物排放，持续改善水环境质量。强化园区（工业集聚区）水污染防治，不断提高工业用水重复利用率。加快实施城镇污水处理设施提质增效，补齐生活污水收集和处理设施短板，提高再生水回用比例。持续推进农业农村污染防治。</w:t>
                  </w:r>
                </w:p>
              </w:tc>
              <w:tc>
                <w:tcPr>
                  <w:tcW w:w="1821" w:type="pct"/>
                  <w:tcBorders>
                    <w:right w:val="single" w:color="000000" w:sz="4" w:space="0"/>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符合，项目不涉及饮用水源等环境敏感区域，清洗车辆废水经防渗沉淀池沉淀后回用，无生产废水外排，</w:t>
                  </w:r>
                  <w:r>
                    <w:rPr>
                      <w:rFonts w:hint="eastAsia" w:ascii="Times New Roman" w:hAnsi="Times New Roman" w:eastAsia="宋体" w:cs="Times New Roman"/>
                      <w:color w:val="auto"/>
                      <w:spacing w:val="0"/>
                      <w:sz w:val="21"/>
                      <w:lang w:val="en-US" w:eastAsia="zh-CN" w:bidi="zh-CN"/>
                    </w:rPr>
                    <w:t>抑尘</w:t>
                  </w:r>
                  <w:r>
                    <w:rPr>
                      <w:rFonts w:hint="default" w:ascii="Times New Roman" w:hAnsi="Times New Roman" w:eastAsia="宋体" w:cs="Times New Roman"/>
                      <w:color w:val="auto"/>
                      <w:spacing w:val="0"/>
                      <w:sz w:val="21"/>
                      <w:lang w:val="en-US" w:eastAsia="zh-CN" w:bidi="zh-CN"/>
                    </w:rPr>
                    <w:t>用水</w:t>
                  </w:r>
                  <w:r>
                    <w:rPr>
                      <w:rFonts w:hint="eastAsia" w:ascii="Times New Roman" w:hAnsi="Times New Roman" w:eastAsia="宋体" w:cs="Times New Roman"/>
                      <w:color w:val="auto"/>
                      <w:spacing w:val="0"/>
                      <w:sz w:val="21"/>
                      <w:lang w:val="en-US" w:eastAsia="zh-CN" w:bidi="zh-CN"/>
                    </w:rPr>
                    <w:t>自然蒸发</w:t>
                  </w:r>
                  <w:r>
                    <w:rPr>
                      <w:rFonts w:hint="default" w:ascii="Times New Roman" w:hAnsi="Times New Roman" w:eastAsia="宋体" w:cs="Times New Roman"/>
                      <w:color w:val="auto"/>
                      <w:spacing w:val="0"/>
                      <w:sz w:val="21"/>
                      <w:lang w:val="en-US" w:eastAsia="zh-CN" w:bidi="zh-CN"/>
                    </w:rPr>
                    <w:t>；生活污水</w:t>
                  </w:r>
                  <w:r>
                    <w:rPr>
                      <w:rFonts w:hint="eastAsia" w:ascii="Times New Roman" w:hAnsi="Times New Roman" w:eastAsia="宋体" w:cs="Times New Roman"/>
                      <w:color w:val="auto"/>
                      <w:spacing w:val="0"/>
                      <w:sz w:val="21"/>
                      <w:lang w:val="en-US" w:eastAsia="zh-CN" w:bidi="zh-CN"/>
                    </w:rPr>
                    <w:t>防渗化粪池预处理后定期清运至博湖县城镇污水处理厂进一步处理</w:t>
                  </w:r>
                  <w:r>
                    <w:rPr>
                      <w:rFonts w:hint="default" w:ascii="Times New Roman" w:hAnsi="Times New Roman" w:eastAsia="宋体" w:cs="Times New Roman"/>
                      <w:color w:val="auto"/>
                      <w:spacing w:val="0"/>
                      <w:sz w:val="21"/>
                      <w:lang w:val="en-US" w:eastAsia="zh-CN" w:bidi="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420" w:type="pct"/>
                  <w:vMerge w:val="continue"/>
                  <w:tcBorders>
                    <w:top w:val="nil"/>
                    <w:left w:val="single" w:color="000000" w:sz="4" w:space="0"/>
                    <w:bottom w:val="nil"/>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p>
              </w:tc>
              <w:tc>
                <w:tcPr>
                  <w:tcW w:w="398" w:type="pct"/>
                  <w:vMerge w:val="continue"/>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p>
              </w:tc>
              <w:tc>
                <w:tcPr>
                  <w:tcW w:w="2360" w:type="pct"/>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提升土壤环境监管能力，加强污染地块安全利用监管。强化工矿用地管理，严格建设用地土壤环境风险管控。加强农用地土壤污染源头控制，科学施用化肥农药，提高农膜回收率。</w:t>
                  </w:r>
                </w:p>
              </w:tc>
              <w:tc>
                <w:tcPr>
                  <w:tcW w:w="1821" w:type="pct"/>
                  <w:tcBorders>
                    <w:right w:val="single" w:color="000000" w:sz="4" w:space="0"/>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符合，本项目分区防渗，项目区相邻无农用地。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420" w:type="pct"/>
                  <w:vMerge w:val="continue"/>
                  <w:tcBorders>
                    <w:top w:val="nil"/>
                    <w:left w:val="single" w:color="000000" w:sz="4" w:space="0"/>
                    <w:bottom w:val="nil"/>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p>
              </w:tc>
              <w:tc>
                <w:tcPr>
                  <w:tcW w:w="398" w:type="pct"/>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环境</w:t>
                  </w:r>
                </w:p>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风险</w:t>
                  </w:r>
                </w:p>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防控</w:t>
                  </w:r>
                </w:p>
              </w:tc>
              <w:tc>
                <w:tcPr>
                  <w:tcW w:w="2360" w:type="pct"/>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禁止在化工园区外新建、扩建危险化学品生产项目。严格落实危险废物处置相关要求。加强重点流域水环境风险管控，保障水环境安全。</w:t>
                  </w:r>
                </w:p>
              </w:tc>
              <w:tc>
                <w:tcPr>
                  <w:tcW w:w="1821" w:type="pct"/>
                  <w:tcBorders>
                    <w:right w:val="single" w:color="000000" w:sz="4" w:space="0"/>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符合，本项目不属于危险化学品生产项目。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420" w:type="pct"/>
                  <w:vMerge w:val="continue"/>
                  <w:tcBorders>
                    <w:top w:val="nil"/>
                    <w:left w:val="single" w:color="000000" w:sz="4" w:space="0"/>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p>
              </w:tc>
              <w:tc>
                <w:tcPr>
                  <w:tcW w:w="398" w:type="pct"/>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资源</w:t>
                  </w:r>
                </w:p>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利用</w:t>
                  </w:r>
                </w:p>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效率</w:t>
                  </w:r>
                </w:p>
              </w:tc>
              <w:tc>
                <w:tcPr>
                  <w:tcW w:w="2360" w:type="pct"/>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优化能源结构，控制煤炭等化石能源使用量，鼓励使用清洁能源，协同推进减污降碳。全面实施节水工程，合理开发利用水资源，提升水资源利用效率，保障生态用水，严防地下水超采。</w:t>
                  </w:r>
                </w:p>
              </w:tc>
              <w:tc>
                <w:tcPr>
                  <w:tcW w:w="1821" w:type="pct"/>
                  <w:tcBorders>
                    <w:right w:val="single" w:color="000000" w:sz="4" w:space="0"/>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符合，本项目不涉及地下水开采等。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818" w:type="pct"/>
                  <w:gridSpan w:val="2"/>
                  <w:vMerge w:val="restart"/>
                  <w:tcBorders>
                    <w:top w:val="single" w:color="000000" w:sz="4" w:space="0"/>
                    <w:left w:val="single" w:color="000000" w:sz="4" w:space="0"/>
                    <w:bottom w:val="nil"/>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天山南坡片区</w:t>
                  </w:r>
                </w:p>
              </w:tc>
              <w:tc>
                <w:tcPr>
                  <w:tcW w:w="2360" w:type="pct"/>
                  <w:tcBorders>
                    <w:top w:val="single" w:color="000000" w:sz="4" w:space="0"/>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切实保护托木尔峰和天山南坡中段冰雪水源及生物多样性保护生态功能区内的托木尔峰自然景观、高山冰川、野生动物、森林和草原，合理利用天然草地，稳步推进草原减牧，加强保护区管理，维护自然景观和生物多样性。</w:t>
                  </w:r>
                </w:p>
              </w:tc>
              <w:tc>
                <w:tcPr>
                  <w:tcW w:w="1821" w:type="pct"/>
                  <w:tcBorders>
                    <w:top w:val="single" w:color="000000" w:sz="4" w:space="0"/>
                    <w:right w:val="single" w:color="000000" w:sz="4" w:space="0"/>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符合，本项目不涉及所列情形。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818" w:type="pct"/>
                  <w:gridSpan w:val="2"/>
                  <w:vMerge w:val="continue"/>
                  <w:tcBorders>
                    <w:top w:val="nil"/>
                    <w:left w:val="single" w:color="000000" w:sz="4" w:space="0"/>
                    <w:bottom w:val="nil"/>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p>
              </w:tc>
              <w:tc>
                <w:tcPr>
                  <w:tcW w:w="2360" w:type="pct"/>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重点做好塔里木盆地北缘荒漠化防治。加强荒漠植被及河岸荒漠林保护，规范油气勘探开发作业，建立油田和公路扰动区域工程与生物相结合的防风固沙体系，逐步形成生态屏障。</w:t>
                  </w:r>
                </w:p>
              </w:tc>
              <w:tc>
                <w:tcPr>
                  <w:tcW w:w="1821" w:type="pct"/>
                  <w:tcBorders>
                    <w:right w:val="single" w:color="000000" w:sz="4" w:space="0"/>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符合，本项目不涉及所列情形。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818" w:type="pct"/>
                  <w:gridSpan w:val="2"/>
                  <w:vMerge w:val="continue"/>
                  <w:tcBorders>
                    <w:top w:val="nil"/>
                    <w:left w:val="single" w:color="000000" w:sz="4" w:space="0"/>
                    <w:bottom w:val="nil"/>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p>
              </w:tc>
              <w:tc>
                <w:tcPr>
                  <w:tcW w:w="2360" w:type="pct"/>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推进塔里木河流域用水结构调整，维护塔里木河、博斯腾湖基本生态用水。加强塔里木河流域水环境风险管控。加大博斯腾湖污染源头达标排放治理和监督力度，实施博斯腾湖综合治理。</w:t>
                  </w:r>
                </w:p>
              </w:tc>
              <w:tc>
                <w:tcPr>
                  <w:tcW w:w="1821" w:type="pct"/>
                  <w:tcBorders>
                    <w:right w:val="single" w:color="000000" w:sz="4" w:space="0"/>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符合，本项目清洗车辆废水经防渗沉淀池沉淀后回用。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818" w:type="pct"/>
                  <w:gridSpan w:val="2"/>
                  <w:vMerge w:val="continue"/>
                  <w:tcBorders>
                    <w:top w:val="nil"/>
                    <w:left w:val="single" w:color="000000" w:sz="4" w:space="0"/>
                    <w:bottom w:val="single" w:color="000000" w:sz="10" w:space="0"/>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p>
              </w:tc>
              <w:tc>
                <w:tcPr>
                  <w:tcW w:w="2360" w:type="pct"/>
                  <w:tcBorders>
                    <w:bottom w:val="single" w:color="000000" w:sz="10" w:space="0"/>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加强油（气）资源开发区土壤环境污染综合整治。强化涉重金属行业污染防控与工业废物处理处置。</w:t>
                  </w:r>
                </w:p>
              </w:tc>
              <w:tc>
                <w:tcPr>
                  <w:tcW w:w="1821" w:type="pct"/>
                  <w:tcBorders>
                    <w:bottom w:val="single" w:color="000000" w:sz="10" w:space="0"/>
                    <w:right w:val="single" w:color="000000" w:sz="4" w:space="0"/>
                  </w:tcBorders>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符合，本项目</w:t>
                  </w:r>
                  <w:r>
                    <w:rPr>
                      <w:rFonts w:hint="eastAsia" w:ascii="Times New Roman" w:hAnsi="Times New Roman" w:eastAsia="宋体" w:cs="Times New Roman"/>
                      <w:color w:val="auto"/>
                      <w:spacing w:val="0"/>
                      <w:sz w:val="21"/>
                      <w:lang w:val="en-US" w:eastAsia="zh-CN" w:bidi="zh-CN"/>
                    </w:rPr>
                    <w:t>为固体废物治理</w:t>
                  </w:r>
                  <w:r>
                    <w:rPr>
                      <w:rFonts w:hint="default" w:ascii="Times New Roman" w:hAnsi="Times New Roman" w:eastAsia="宋体" w:cs="Times New Roman"/>
                      <w:color w:val="auto"/>
                      <w:spacing w:val="0"/>
                      <w:sz w:val="21"/>
                      <w:lang w:val="en-US" w:eastAsia="zh-CN" w:bidi="zh-CN"/>
                    </w:rPr>
                    <w:t>，不属于油气资源开发区域和重金属行业。</w:t>
                  </w:r>
                </w:p>
              </w:tc>
            </w:tr>
          </w:tbl>
          <w:p>
            <w:pPr>
              <w:pStyle w:val="322"/>
              <w:keepNext w:val="0"/>
              <w:keepLines w:val="0"/>
              <w:pageBreakBefore w:val="0"/>
              <w:widowControl w:val="0"/>
              <w:numPr>
                <w:ilvl w:val="0"/>
                <w:numId w:val="0"/>
              </w:numPr>
              <w:kinsoku/>
              <w:wordWrap/>
              <w:overflowPunct/>
              <w:topLinePunct w:val="0"/>
              <w:bidi w:val="0"/>
              <w:adjustRightInd/>
              <w:snapToGrid/>
              <w:spacing w:line="360" w:lineRule="auto"/>
              <w:ind w:firstLine="480" w:firstLineChars="200"/>
              <w:jc w:val="both"/>
              <w:textAlignment w:val="auto"/>
              <w:rPr>
                <w:rFonts w:hint="default" w:ascii="宋体" w:hAnsi="宋体" w:eastAsia="宋体" w:cs="宋体"/>
                <w:color w:val="auto"/>
                <w:sz w:val="24"/>
                <w:lang w:val="en-US" w:eastAsia="zh-CN" w:bidi="zh-CN"/>
              </w:rPr>
            </w:pPr>
            <w:r>
              <w:rPr>
                <w:rFonts w:hint="eastAsia" w:ascii="宋体" w:hAnsi="宋体" w:eastAsia="宋体" w:cs="宋体"/>
                <w:color w:val="auto"/>
                <w:sz w:val="24"/>
                <w:lang w:val="en-US" w:eastAsia="zh-CN" w:bidi="zh-CN"/>
              </w:rPr>
              <w:t>由此可见</w:t>
            </w:r>
            <w:r>
              <w:rPr>
                <w:rFonts w:hint="default" w:ascii="宋体" w:hAnsi="宋体" w:eastAsia="宋体" w:cs="宋体"/>
                <w:color w:val="auto"/>
                <w:sz w:val="24"/>
                <w:lang w:val="en-US" w:eastAsia="zh-CN" w:bidi="zh-CN"/>
              </w:rPr>
              <w:t>，项目</w:t>
            </w:r>
            <w:r>
              <w:rPr>
                <w:rFonts w:hint="eastAsia" w:ascii="宋体" w:hAnsi="宋体" w:eastAsia="宋体" w:cs="宋体"/>
                <w:color w:val="auto"/>
                <w:sz w:val="24"/>
                <w:lang w:val="en-US" w:eastAsia="zh-CN" w:bidi="zh-CN"/>
              </w:rPr>
              <w:t>建设</w:t>
            </w:r>
            <w:r>
              <w:rPr>
                <w:rFonts w:hint="default" w:ascii="宋体" w:hAnsi="宋体" w:eastAsia="宋体" w:cs="宋体"/>
                <w:color w:val="auto"/>
                <w:sz w:val="24"/>
                <w:lang w:val="en-US" w:eastAsia="zh-CN" w:bidi="zh-CN"/>
              </w:rPr>
              <w:t>符合《新疆维吾尔自治区七大片区“三线一单”生态环境分区管控要求》。</w:t>
            </w:r>
          </w:p>
          <w:p>
            <w:pPr>
              <w:pStyle w:val="322"/>
              <w:keepNext w:val="0"/>
              <w:keepLines w:val="0"/>
              <w:pageBreakBefore w:val="0"/>
              <w:widowControl w:val="0"/>
              <w:numPr>
                <w:ilvl w:val="0"/>
                <w:numId w:val="0"/>
              </w:numPr>
              <w:kinsoku/>
              <w:wordWrap/>
              <w:overflowPunct/>
              <w:topLinePunct w:val="0"/>
              <w:bidi w:val="0"/>
              <w:adjustRightInd/>
              <w:snapToGrid/>
              <w:spacing w:line="360" w:lineRule="auto"/>
              <w:ind w:firstLine="482" w:firstLineChars="200"/>
              <w:jc w:val="both"/>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kern w:val="2"/>
                <w:sz w:val="24"/>
                <w:szCs w:val="24"/>
                <w:highlight w:val="none"/>
                <w:lang w:val="en-US" w:eastAsia="zh-CN" w:bidi="ar-SA"/>
              </w:rPr>
              <w:t>5.与《关于印发〈新疆维吾尔自治区生态环境分区管控动态更新成果〉的通知》（新环环评发〔2024〕157号）符合性分析</w:t>
            </w:r>
          </w:p>
          <w:p>
            <w:pPr>
              <w:keepNext w:val="0"/>
              <w:keepLines w:val="0"/>
              <w:pageBreakBefore w:val="0"/>
              <w:widowControl/>
              <w:kinsoku/>
              <w:wordWrap/>
              <w:overflowPunct/>
              <w:topLinePunct w:val="0"/>
              <w:bidi w:val="0"/>
              <w:adjustRightInd/>
              <w:snapToGrid/>
              <w:ind w:firstLine="482"/>
              <w:jc w:val="both"/>
              <w:textAlignment w:val="auto"/>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2024年11月，新疆维吾尔自治区生态环境厅发布了《关于印发</w:t>
            </w:r>
            <w:r>
              <w:rPr>
                <w:rFonts w:hint="eastAsia" w:ascii="Times New Roman" w:hAnsi="Times New Roman" w:eastAsia="宋体" w:cs="Times New Roman"/>
                <w:b w:val="0"/>
                <w:bCs w:val="0"/>
                <w:color w:val="auto"/>
                <w:spacing w:val="0"/>
                <w:sz w:val="24"/>
                <w:szCs w:val="24"/>
                <w:highlight w:val="none"/>
                <w:lang w:val="en-US" w:eastAsia="zh-CN"/>
              </w:rPr>
              <w:t>〈</w:t>
            </w:r>
            <w:r>
              <w:rPr>
                <w:rFonts w:hint="default" w:ascii="Times New Roman" w:hAnsi="Times New Roman" w:eastAsia="宋体" w:cs="Times New Roman"/>
                <w:b w:val="0"/>
                <w:bCs w:val="0"/>
                <w:color w:val="auto"/>
                <w:spacing w:val="0"/>
                <w:sz w:val="24"/>
                <w:szCs w:val="24"/>
                <w:highlight w:val="none"/>
                <w:lang w:val="en-US" w:eastAsia="zh-CN"/>
              </w:rPr>
              <w:t>新疆维吾尔自治区生态环境分区管控动态更新成果〉的通知》（新环环评发〔2024〕157号），与其符合性分析内容见表1-</w:t>
            </w:r>
            <w:r>
              <w:rPr>
                <w:rFonts w:hint="eastAsia" w:ascii="Times New Roman" w:hAnsi="Times New Roman" w:eastAsia="宋体" w:cs="Times New Roman"/>
                <w:b w:val="0"/>
                <w:bCs w:val="0"/>
                <w:color w:val="auto"/>
                <w:spacing w:val="0"/>
                <w:sz w:val="24"/>
                <w:szCs w:val="24"/>
                <w:highlight w:val="none"/>
                <w:lang w:val="en-US" w:eastAsia="zh-CN"/>
              </w:rPr>
              <w:t>3</w:t>
            </w:r>
            <w:r>
              <w:rPr>
                <w:rFonts w:hint="default" w:ascii="Times New Roman" w:hAnsi="Times New Roman" w:eastAsia="宋体" w:cs="Times New Roman"/>
                <w:b w:val="0"/>
                <w:bCs w:val="0"/>
                <w:color w:val="auto"/>
                <w:spacing w:val="0"/>
                <w:sz w:val="24"/>
                <w:szCs w:val="24"/>
                <w:highlight w:val="none"/>
                <w:lang w:val="en-US" w:eastAsia="zh-CN"/>
              </w:rPr>
              <w:t>。</w:t>
            </w:r>
          </w:p>
          <w:p>
            <w:pPr>
              <w:pStyle w:val="163"/>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baseline"/>
              <w:rPr>
                <w:rFonts w:hint="default" w:ascii="宋体" w:hAnsi="宋体" w:eastAsia="宋体" w:cs="宋体"/>
                <w:color w:val="auto"/>
                <w:sz w:val="24"/>
                <w:lang w:val="en-US" w:eastAsia="zh-CN" w:bidi="zh-CN"/>
              </w:rPr>
            </w:pPr>
            <w:r>
              <w:rPr>
                <w:rFonts w:hint="default" w:ascii="Times New Roman" w:hAnsi="Times New Roman" w:eastAsia="宋体" w:cs="Times New Roman"/>
                <w:b/>
                <w:bCs/>
                <w:color w:val="auto"/>
                <w:spacing w:val="0"/>
                <w:sz w:val="21"/>
                <w:szCs w:val="21"/>
                <w:lang w:val="en-US" w:eastAsia="zh-CN" w:bidi="ar-SA"/>
              </w:rPr>
              <w:t>表1-</w:t>
            </w:r>
            <w:r>
              <w:rPr>
                <w:rFonts w:hint="eastAsia" w:ascii="Times New Roman" w:hAnsi="Times New Roman" w:eastAsia="宋体" w:cs="Times New Roman"/>
                <w:b/>
                <w:bCs/>
                <w:color w:val="auto"/>
                <w:spacing w:val="0"/>
                <w:sz w:val="21"/>
                <w:szCs w:val="21"/>
                <w:lang w:val="en-US" w:eastAsia="zh-CN" w:bidi="ar-SA"/>
              </w:rPr>
              <w:t xml:space="preserve">3 </w:t>
            </w:r>
            <w:r>
              <w:rPr>
                <w:rFonts w:hint="default" w:ascii="Times New Roman" w:hAnsi="Times New Roman" w:eastAsia="宋体" w:cs="Times New Roman"/>
                <w:b/>
                <w:bCs/>
                <w:color w:val="auto"/>
                <w:spacing w:val="0"/>
                <w:sz w:val="21"/>
                <w:szCs w:val="21"/>
                <w:lang w:val="en-US" w:eastAsia="zh-CN" w:bidi="ar-SA"/>
              </w:rPr>
              <w:t xml:space="preserve"> 与自治区生态环境分区管控动态更新成果符合性分析</w:t>
            </w:r>
          </w:p>
          <w:tbl>
            <w:tblPr>
              <w:tblStyle w:val="427"/>
              <w:tblW w:w="502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5"/>
              <w:gridCol w:w="580"/>
              <w:gridCol w:w="3015"/>
              <w:gridCol w:w="286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803" w:type="pct"/>
                  <w:gridSpan w:val="2"/>
                  <w:tcBorders>
                    <w:top w:val="single" w:color="000000" w:sz="10"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管控维度</w:t>
                  </w:r>
                </w:p>
              </w:tc>
              <w:tc>
                <w:tcPr>
                  <w:tcW w:w="2153" w:type="pct"/>
                  <w:tcBorders>
                    <w:top w:val="single" w:color="000000" w:sz="10"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管控要求</w:t>
                  </w:r>
                </w:p>
              </w:tc>
              <w:tc>
                <w:tcPr>
                  <w:tcW w:w="2043" w:type="pct"/>
                  <w:tcBorders>
                    <w:top w:val="single" w:color="000000" w:sz="10" w:space="0"/>
                    <w:right w:val="single" w:color="000000" w:sz="4"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本项目情况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89" w:type="pct"/>
                  <w:vMerge w:val="restart"/>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A1空</w:t>
                  </w:r>
                </w:p>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间布局约束</w:t>
                  </w:r>
                </w:p>
              </w:tc>
              <w:tc>
                <w:tcPr>
                  <w:tcW w:w="414" w:type="pct"/>
                  <w:vMerge w:val="restart"/>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A1.1禁止开发建设的活动</w:t>
                  </w:r>
                </w:p>
              </w:tc>
              <w:tc>
                <w:tcPr>
                  <w:tcW w:w="2153" w:type="pct"/>
                  <w:tcBorders>
                    <w:bottom w:val="single" w:color="000000" w:sz="4"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【A1.1-1】禁止新建、扩建《产业结构调整指导目录（2024年本）》中淘汰类项目。禁止引入《市场准入负面清单（2022年版）》禁止准入类事项。</w:t>
                  </w:r>
                </w:p>
              </w:tc>
              <w:tc>
                <w:tcPr>
                  <w:tcW w:w="2043" w:type="pct"/>
                  <w:tcBorders>
                    <w:bottom w:val="single" w:color="000000" w:sz="4" w:space="0"/>
                    <w:right w:val="single" w:color="000000" w:sz="4"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符合。本项目属于《产业结构调整指导目录（2024年本）》中</w:t>
                  </w:r>
                  <w:r>
                    <w:rPr>
                      <w:rFonts w:hint="eastAsia" w:ascii="Times New Roman" w:hAnsi="Times New Roman" w:eastAsia="宋体" w:cs="Times New Roman"/>
                      <w:color w:val="auto"/>
                      <w:spacing w:val="0"/>
                      <w:sz w:val="21"/>
                      <w:lang w:val="en-US" w:eastAsia="zh-CN" w:bidi="zh-CN"/>
                    </w:rPr>
                    <w:t>鼓励</w:t>
                  </w:r>
                  <w:r>
                    <w:rPr>
                      <w:rFonts w:hint="default" w:ascii="Times New Roman" w:hAnsi="Times New Roman" w:eastAsia="宋体" w:cs="Times New Roman"/>
                      <w:color w:val="auto"/>
                      <w:spacing w:val="0"/>
                      <w:sz w:val="21"/>
                      <w:lang w:val="en-US" w:eastAsia="zh-CN" w:bidi="zh-CN"/>
                    </w:rPr>
                    <w:t>类项目；同时，生产设备的型号规格不在淘汰类落后生产工艺装备范围内，且也不属于《市场准入负面清单（202</w:t>
                  </w:r>
                  <w:r>
                    <w:rPr>
                      <w:rFonts w:hint="eastAsia" w:ascii="Times New Roman" w:hAnsi="Times New Roman" w:eastAsia="宋体" w:cs="Times New Roman"/>
                      <w:color w:val="auto"/>
                      <w:spacing w:val="0"/>
                      <w:sz w:val="21"/>
                      <w:lang w:val="en-US" w:eastAsia="zh-CN" w:bidi="zh-CN"/>
                    </w:rPr>
                    <w:t>5</w:t>
                  </w:r>
                  <w:r>
                    <w:rPr>
                      <w:rFonts w:hint="default" w:ascii="Times New Roman" w:hAnsi="Times New Roman" w:eastAsia="宋体" w:cs="Times New Roman"/>
                      <w:color w:val="auto"/>
                      <w:spacing w:val="0"/>
                      <w:sz w:val="21"/>
                      <w:lang w:val="en-US" w:eastAsia="zh-CN" w:bidi="zh-CN"/>
                    </w:rPr>
                    <w:t>年版）》（发改体改规〔202</w:t>
                  </w:r>
                  <w:r>
                    <w:rPr>
                      <w:rFonts w:hint="eastAsia" w:ascii="Times New Roman" w:hAnsi="Times New Roman" w:eastAsia="宋体" w:cs="Times New Roman"/>
                      <w:color w:val="auto"/>
                      <w:spacing w:val="0"/>
                      <w:sz w:val="21"/>
                      <w:lang w:val="en-US" w:eastAsia="zh-CN" w:bidi="zh-CN"/>
                    </w:rPr>
                    <w:t>5</w:t>
                  </w:r>
                  <w:r>
                    <w:rPr>
                      <w:rFonts w:hint="default" w:ascii="Times New Roman" w:hAnsi="Times New Roman" w:eastAsia="宋体" w:cs="Times New Roman"/>
                      <w:color w:val="auto"/>
                      <w:spacing w:val="0"/>
                      <w:sz w:val="21"/>
                      <w:lang w:val="en-US" w:eastAsia="zh-CN" w:bidi="zh-CN"/>
                    </w:rPr>
                    <w:t>〕</w:t>
                  </w:r>
                  <w:r>
                    <w:rPr>
                      <w:rFonts w:hint="eastAsia" w:ascii="Times New Roman" w:hAnsi="Times New Roman" w:eastAsia="宋体" w:cs="Times New Roman"/>
                      <w:color w:val="auto"/>
                      <w:spacing w:val="0"/>
                      <w:sz w:val="21"/>
                      <w:lang w:val="en-US" w:eastAsia="zh-CN" w:bidi="zh-CN"/>
                    </w:rPr>
                    <w:t>466</w:t>
                  </w:r>
                  <w:r>
                    <w:rPr>
                      <w:rFonts w:hint="default" w:ascii="Times New Roman" w:hAnsi="Times New Roman" w:eastAsia="宋体" w:cs="Times New Roman"/>
                      <w:color w:val="auto"/>
                      <w:spacing w:val="0"/>
                      <w:sz w:val="21"/>
                      <w:lang w:val="en-US" w:eastAsia="zh-CN" w:bidi="zh-CN"/>
                    </w:rPr>
                    <w:t>号）中的禁止类。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89" w:type="pct"/>
                  <w:vMerge w:val="continue"/>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p>
              </w:tc>
              <w:tc>
                <w:tcPr>
                  <w:tcW w:w="414" w:type="pct"/>
                  <w:vMerge w:val="continue"/>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p>
              </w:tc>
              <w:tc>
                <w:tcPr>
                  <w:tcW w:w="2153" w:type="pct"/>
                  <w:tcBorders>
                    <w:top w:val="single" w:color="000000" w:sz="4"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【A1.1-2】禁止建设不符合国家和自治区环境保护标准的项目。</w:t>
                  </w:r>
                </w:p>
              </w:tc>
              <w:tc>
                <w:tcPr>
                  <w:tcW w:w="2043" w:type="pct"/>
                  <w:tcBorders>
                    <w:top w:val="single" w:color="000000" w:sz="4" w:space="0"/>
                    <w:right w:val="single" w:color="000000" w:sz="4"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符合。本项目营运期污染物执行标准符合国家和自治区环境保护标准。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389" w:type="pct"/>
                  <w:vMerge w:val="continue"/>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p>
              </w:tc>
              <w:tc>
                <w:tcPr>
                  <w:tcW w:w="414" w:type="pct"/>
                  <w:vMerge w:val="restart"/>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A1.1禁止开发建设的活动</w:t>
                  </w:r>
                </w:p>
              </w:tc>
              <w:tc>
                <w:tcPr>
                  <w:tcW w:w="2153" w:type="pct"/>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1.1-6】禁止在自治区行政区域内引进能（水）耗不符合相关国家标准中准入值要求且污染物排放和环境风险防控不符合国家（地方）标准及有关产业准入条件的高污染（排放）、高能（水）耗、高环境风险的工业项目。</w:t>
                  </w:r>
                </w:p>
              </w:tc>
              <w:tc>
                <w:tcPr>
                  <w:tcW w:w="2043" w:type="pct"/>
                  <w:tcBorders>
                    <w:bottom w:val="nil"/>
                    <w:right w:val="single" w:color="000000" w:sz="4"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符合。本项目不属于高污染（排放）、高能（水）耗、高环境风险的工业项目。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389" w:type="pct"/>
                  <w:vMerge w:val="continue"/>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p>
              </w:tc>
              <w:tc>
                <w:tcPr>
                  <w:tcW w:w="414" w:type="pct"/>
                  <w:vMerge w:val="continue"/>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p>
              </w:tc>
              <w:tc>
                <w:tcPr>
                  <w:tcW w:w="2153" w:type="pct"/>
                  <w:tcBorders>
                    <w:top w:val="single" w:color="000000" w:sz="4"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【A1.1-</w:t>
                  </w:r>
                  <w:r>
                    <w:rPr>
                      <w:rFonts w:hint="eastAsia" w:ascii="Times New Roman" w:hAnsi="Times New Roman" w:eastAsia="宋体" w:cs="Times New Roman"/>
                      <w:color w:val="auto"/>
                      <w:spacing w:val="0"/>
                      <w:sz w:val="21"/>
                      <w:lang w:val="en-US" w:eastAsia="zh-CN" w:bidi="zh-CN"/>
                    </w:rPr>
                    <w:t>7</w:t>
                  </w:r>
                  <w:r>
                    <w:rPr>
                      <w:rFonts w:hint="default" w:ascii="Times New Roman" w:hAnsi="Times New Roman" w:eastAsia="宋体" w:cs="Times New Roman"/>
                      <w:color w:val="auto"/>
                      <w:spacing w:val="0"/>
                      <w:sz w:val="21"/>
                      <w:lang w:val="en-US" w:eastAsia="zh-CN" w:bidi="zh-CN"/>
                    </w:rPr>
                    <w:t>】</w:t>
                  </w:r>
                  <w:r>
                    <w:rPr>
                      <w:rFonts w:hint="eastAsia" w:ascii="Times New Roman" w:hAnsi="Times New Roman" w:eastAsia="宋体" w:cs="Times New Roman"/>
                      <w:color w:val="auto"/>
                      <w:spacing w:val="0"/>
                      <w:sz w:val="21"/>
                      <w:lang w:val="en-US" w:eastAsia="zh-CN" w:bidi="zh-CN"/>
                    </w:rPr>
                    <w:t>①坚决遏制高耗能排放低水平</w:t>
                  </w:r>
                  <w:r>
                    <w:rPr>
                      <w:rFonts w:hint="default" w:ascii="Times New Roman" w:hAnsi="Times New Roman" w:eastAsia="宋体" w:cs="Times New Roman"/>
                      <w:color w:val="auto"/>
                      <w:spacing w:val="0"/>
                      <w:sz w:val="21"/>
                      <w:lang w:val="en-US" w:eastAsia="zh-CN" w:bidi="zh-CN"/>
                    </w:rPr>
                    <w:t>……②重点行业企业纳入重污染天气绩效分级……</w:t>
                  </w:r>
                </w:p>
              </w:tc>
              <w:tc>
                <w:tcPr>
                  <w:tcW w:w="2043" w:type="pct"/>
                  <w:tcBorders>
                    <w:top w:val="single" w:color="000000" w:sz="4" w:space="0"/>
                    <w:right w:val="single" w:color="000000" w:sz="4"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符合。本项目不属于高污染（排放）、高能（水）耗、高环境风险的工业项目。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389" w:type="pct"/>
                  <w:vMerge w:val="continue"/>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p>
              </w:tc>
              <w:tc>
                <w:tcPr>
                  <w:tcW w:w="414" w:type="pct"/>
                  <w:vMerge w:val="restart"/>
                  <w:tcBorders>
                    <w:bottom w:val="nil"/>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A1.2 限制开发建设的活动</w:t>
                  </w:r>
                </w:p>
              </w:tc>
              <w:tc>
                <w:tcPr>
                  <w:tcW w:w="2153" w:type="pct"/>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【A1.2-1】严格控制缺水地区、水污染严重区域和敏感区域高耗水高污染行业发展。</w:t>
                  </w:r>
                </w:p>
              </w:tc>
              <w:tc>
                <w:tcPr>
                  <w:tcW w:w="2043" w:type="pct"/>
                  <w:tcBorders>
                    <w:right w:val="single" w:color="000000" w:sz="4"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符合。本项目不属于高耗水高污染行业。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389" w:type="pct"/>
                  <w:vMerge w:val="continue"/>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p>
              </w:tc>
              <w:tc>
                <w:tcPr>
                  <w:tcW w:w="414" w:type="pct"/>
                  <w:vMerge w:val="continue"/>
                  <w:tcBorders>
                    <w:top w:val="nil"/>
                    <w:bottom w:val="nil"/>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p>
              </w:tc>
              <w:tc>
                <w:tcPr>
                  <w:tcW w:w="2153" w:type="pct"/>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【A1.2-2】建设项目用地原则上不得占用永久基本农田……</w:t>
                  </w:r>
                </w:p>
              </w:tc>
              <w:tc>
                <w:tcPr>
                  <w:tcW w:w="2043" w:type="pct"/>
                  <w:tcBorders>
                    <w:right w:val="single" w:color="000000" w:sz="4"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符合。本项目不占用基本农田。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389" w:type="pct"/>
                  <w:vMerge w:val="continue"/>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p>
              </w:tc>
              <w:tc>
                <w:tcPr>
                  <w:tcW w:w="414" w:type="pct"/>
                  <w:vMerge w:val="continue"/>
                  <w:tcBorders>
                    <w:top w:val="nil"/>
                    <w:bottom w:val="nil"/>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p>
              </w:tc>
              <w:tc>
                <w:tcPr>
                  <w:tcW w:w="2153" w:type="pct"/>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【A1.2-3】 以用途变更为住宅、公共管理与公共服务用地的地块为重点，严格建设用地准入管理和风险管控，未依法完成土壤污染状况调查或风险评估的地块，不得开工建设与风险管控和修复无关的项目。</w:t>
                  </w:r>
                </w:p>
              </w:tc>
              <w:tc>
                <w:tcPr>
                  <w:tcW w:w="2043" w:type="pct"/>
                  <w:tcBorders>
                    <w:right w:val="single" w:color="000000" w:sz="4"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符合。本地块不涉及用地性质变更等。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389" w:type="pct"/>
                  <w:vMerge w:val="continue"/>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p>
              </w:tc>
              <w:tc>
                <w:tcPr>
                  <w:tcW w:w="414" w:type="pct"/>
                  <w:vMerge w:val="continue"/>
                  <w:tcBorders>
                    <w:top w:val="nil"/>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p>
              </w:tc>
              <w:tc>
                <w:tcPr>
                  <w:tcW w:w="2153" w:type="pct"/>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【A1.3-2】对不符合国家产业政策、严重污染水环境的生产项目全部予以取缔。</w:t>
                  </w:r>
                </w:p>
              </w:tc>
              <w:tc>
                <w:tcPr>
                  <w:tcW w:w="2043" w:type="pct"/>
                  <w:tcBorders>
                    <w:right w:val="single" w:color="000000" w:sz="4"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符合。本项目不涉及所列情形，营运期废水与地表水无水力联系。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389" w:type="pct"/>
                  <w:vMerge w:val="continue"/>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p>
              </w:tc>
              <w:tc>
                <w:tcPr>
                  <w:tcW w:w="414" w:type="pct"/>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A1.4</w:t>
                  </w:r>
                  <w:r>
                    <w:rPr>
                      <w:rFonts w:hint="eastAsia" w:ascii="Times New Roman" w:hAnsi="Times New Roman" w:eastAsia="宋体" w:cs="Times New Roman"/>
                      <w:color w:val="auto"/>
                      <w:spacing w:val="0"/>
                      <w:sz w:val="21"/>
                      <w:lang w:val="en-US" w:eastAsia="zh-CN" w:bidi="zh-CN"/>
                    </w:rPr>
                    <w:t>其他</w:t>
                  </w:r>
                  <w:r>
                    <w:rPr>
                      <w:rFonts w:hint="default" w:ascii="Times New Roman" w:hAnsi="Times New Roman" w:eastAsia="宋体" w:cs="Times New Roman"/>
                      <w:color w:val="auto"/>
                      <w:spacing w:val="0"/>
                      <w:sz w:val="21"/>
                      <w:lang w:val="en-US" w:eastAsia="zh-CN" w:bidi="zh-CN"/>
                    </w:rPr>
                    <w:t>布局要求</w:t>
                  </w:r>
                </w:p>
              </w:tc>
              <w:tc>
                <w:tcPr>
                  <w:tcW w:w="2153" w:type="pct"/>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【A1.4-1】一切开发建设活动应符合国家、 自治区主体功能区规</w:t>
                  </w:r>
                  <w:r>
                    <w:rPr>
                      <w:rFonts w:hint="eastAsia" w:ascii="Times New Roman" w:hAnsi="Times New Roman" w:eastAsia="宋体" w:cs="Times New Roman"/>
                      <w:color w:val="auto"/>
                      <w:spacing w:val="0"/>
                      <w:sz w:val="21"/>
                      <w:lang w:val="en-US" w:eastAsia="zh-CN" w:bidi="zh-CN"/>
                    </w:rPr>
                    <w:t>划和</w:t>
                  </w:r>
                  <w:r>
                    <w:rPr>
                      <w:rFonts w:hint="default" w:ascii="Times New Roman" w:hAnsi="Times New Roman" w:eastAsia="宋体" w:cs="Times New Roman"/>
                      <w:color w:val="auto"/>
                      <w:spacing w:val="0"/>
                      <w:sz w:val="21"/>
                      <w:lang w:val="en-US" w:eastAsia="zh-CN" w:bidi="zh-CN"/>
                    </w:rPr>
                    <w:t>自治区和各地颁布实施的生态环境功能区划、国民经济发展规划、产业发展规划、国土空间规划等相关规划及重点生态功能区负面清单要求，符合区域或产业规划环评要求。</w:t>
                  </w:r>
                </w:p>
              </w:tc>
              <w:tc>
                <w:tcPr>
                  <w:tcW w:w="2043" w:type="pct"/>
                  <w:tcBorders>
                    <w:right w:val="single" w:color="000000" w:sz="4"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符合。本项目与自治区区域主体功能区划目标相协调，符合</w:t>
                  </w:r>
                  <w:r>
                    <w:rPr>
                      <w:rFonts w:hint="eastAsia" w:ascii="Times New Roman" w:hAnsi="Times New Roman" w:eastAsia="宋体" w:cs="Times New Roman"/>
                      <w:color w:val="auto"/>
                      <w:spacing w:val="0"/>
                      <w:sz w:val="21"/>
                      <w:lang w:val="en-US" w:eastAsia="zh-CN" w:bidi="zh-CN"/>
                    </w:rPr>
                    <w:t>博湖</w:t>
                  </w:r>
                  <w:r>
                    <w:rPr>
                      <w:rFonts w:hint="default" w:ascii="Times New Roman" w:hAnsi="Times New Roman" w:eastAsia="宋体" w:cs="Times New Roman"/>
                      <w:color w:val="auto"/>
                      <w:spacing w:val="0"/>
                      <w:sz w:val="21"/>
                      <w:lang w:val="en-US" w:eastAsia="zh-CN" w:bidi="zh-CN"/>
                    </w:rPr>
                    <w:t>县国土空间总体规划要求。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389" w:type="pct"/>
                  <w:vMerge w:val="restart"/>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A2污染物排放管控</w:t>
                  </w:r>
                </w:p>
              </w:tc>
              <w:tc>
                <w:tcPr>
                  <w:tcW w:w="414" w:type="pct"/>
                  <w:tcBorders>
                    <w:bottom w:val="single" w:color="000000" w:sz="4"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A2.1污染物削减/替代要求</w:t>
                  </w:r>
                </w:p>
              </w:tc>
              <w:tc>
                <w:tcPr>
                  <w:tcW w:w="2153" w:type="pct"/>
                  <w:tcBorders>
                    <w:bottom w:val="single" w:color="000000" w:sz="4"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【A2.1-1】新、改、扩建重点行业建设项目应符合“</w:t>
                  </w:r>
                  <w:r>
                    <w:rPr>
                      <w:rFonts w:hint="eastAsia" w:ascii="Times New Roman" w:hAnsi="Times New Roman" w:eastAsia="宋体" w:cs="Times New Roman"/>
                      <w:color w:val="auto"/>
                      <w:spacing w:val="0"/>
                      <w:sz w:val="21"/>
                      <w:lang w:val="en-US" w:eastAsia="zh-CN" w:bidi="zh-CN"/>
                    </w:rPr>
                    <w:t>‘三线一单’</w:t>
                  </w:r>
                  <w:r>
                    <w:rPr>
                      <w:rFonts w:hint="default" w:ascii="Times New Roman" w:hAnsi="Times New Roman" w:eastAsia="宋体" w:cs="Times New Roman"/>
                      <w:color w:val="auto"/>
                      <w:spacing w:val="0"/>
                      <w:sz w:val="21"/>
                      <w:lang w:val="en-US" w:eastAsia="zh-CN" w:bidi="zh-CN"/>
                    </w:rPr>
                    <w:t>”、产业政策、区域环评、规划环评和行业环境准入管控要求。重点区域的新、改、 扩建重点行业建设项目应遵循重点重金属污染物排放“减量替代”原则。</w:t>
                  </w:r>
                </w:p>
              </w:tc>
              <w:tc>
                <w:tcPr>
                  <w:tcW w:w="2043" w:type="pct"/>
                  <w:tcBorders>
                    <w:bottom w:val="single" w:color="000000" w:sz="4" w:space="0"/>
                    <w:right w:val="single" w:color="000000" w:sz="4"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符合。本项目属于</w:t>
                  </w:r>
                  <w:r>
                    <w:rPr>
                      <w:rFonts w:hint="eastAsia" w:ascii="Times New Roman" w:hAnsi="Times New Roman" w:eastAsia="宋体" w:cs="Times New Roman"/>
                      <w:color w:val="auto"/>
                      <w:spacing w:val="0"/>
                      <w:sz w:val="21"/>
                      <w:lang w:val="en-US" w:eastAsia="zh-CN" w:bidi="zh-CN"/>
                    </w:rPr>
                    <w:t>固体废物治理</w:t>
                  </w:r>
                  <w:r>
                    <w:rPr>
                      <w:rFonts w:hint="default" w:ascii="Times New Roman" w:hAnsi="Times New Roman" w:eastAsia="宋体" w:cs="Times New Roman"/>
                      <w:color w:val="auto"/>
                      <w:spacing w:val="0"/>
                      <w:sz w:val="21"/>
                      <w:lang w:val="en-US" w:eastAsia="zh-CN" w:bidi="zh-CN"/>
                    </w:rPr>
                    <w:t>，不属于重点行业建设项目。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389" w:type="pct"/>
                  <w:vMerge w:val="continue"/>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p>
              </w:tc>
              <w:tc>
                <w:tcPr>
                  <w:tcW w:w="414" w:type="pct"/>
                  <w:tcBorders>
                    <w:top w:val="single" w:color="000000" w:sz="4"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A2.2污染控制措施要求</w:t>
                  </w:r>
                </w:p>
              </w:tc>
              <w:tc>
                <w:tcPr>
                  <w:tcW w:w="2153" w:type="pct"/>
                  <w:tcBorders>
                    <w:top w:val="single" w:color="000000" w:sz="4"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【A2.2-4】强化用水定额管理。推进地下水超采综合治理。开展河湖生态流量（水量）确定工作，强化生态用水保障。</w:t>
                  </w:r>
                </w:p>
              </w:tc>
              <w:tc>
                <w:tcPr>
                  <w:tcW w:w="2043" w:type="pct"/>
                  <w:tcBorders>
                    <w:top w:val="single" w:color="000000" w:sz="4" w:space="0"/>
                    <w:right w:val="single" w:color="000000" w:sz="4"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符合。本项目不涉及地下水开采及地表水体用水。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389" w:type="pct"/>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A3环境风险防控</w:t>
                  </w:r>
                </w:p>
              </w:tc>
              <w:tc>
                <w:tcPr>
                  <w:tcW w:w="414" w:type="pct"/>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A3.2联防联控要求</w:t>
                  </w:r>
                </w:p>
              </w:tc>
              <w:tc>
                <w:tcPr>
                  <w:tcW w:w="2153" w:type="pct"/>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【A3.2-4】加强环境风险预警防控。加强涉危险</w:t>
                  </w:r>
                  <w:r>
                    <w:rPr>
                      <w:rFonts w:hint="eastAsia" w:ascii="Times New Roman" w:hAnsi="Times New Roman" w:eastAsia="宋体" w:cs="Times New Roman"/>
                      <w:color w:val="auto"/>
                      <w:spacing w:val="0"/>
                      <w:sz w:val="21"/>
                      <w:lang w:val="en-US" w:eastAsia="zh-CN" w:bidi="zh-CN"/>
                    </w:rPr>
                    <w:t>物品</w:t>
                  </w:r>
                  <w:r>
                    <w:rPr>
                      <w:rFonts w:hint="default" w:ascii="Times New Roman" w:hAnsi="Times New Roman" w:eastAsia="宋体" w:cs="Times New Roman"/>
                      <w:color w:val="auto"/>
                      <w:spacing w:val="0"/>
                      <w:sz w:val="21"/>
                      <w:lang w:val="en-US" w:eastAsia="zh-CN" w:bidi="zh-CN"/>
                    </w:rPr>
                    <w:t>企业、涉重金属企业、化工园区、集中式饮用水水源地及重点流域环境风险调查评估，实施分类分级风险管控，协同推进重点区域、流域生态环境污染综合防治、风险防控与生态修复。</w:t>
                  </w:r>
                </w:p>
              </w:tc>
              <w:tc>
                <w:tcPr>
                  <w:tcW w:w="2043" w:type="pct"/>
                  <w:tcBorders>
                    <w:right w:val="single" w:color="000000" w:sz="4"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符合。本项目环境风险程度较低，本环评已针对营运期风险事件提出防范措施，本环评建设内容纳入环境应急预案风险评估</w:t>
                  </w:r>
                  <w:r>
                    <w:rPr>
                      <w:rFonts w:hint="eastAsia" w:ascii="Times New Roman" w:hAnsi="Times New Roman" w:eastAsia="宋体" w:cs="Times New Roman"/>
                      <w:color w:val="auto"/>
                      <w:spacing w:val="0"/>
                      <w:sz w:val="21"/>
                      <w:lang w:val="en-US" w:eastAsia="zh-CN" w:bidi="zh-CN"/>
                    </w:rPr>
                    <w:t>，在</w:t>
                  </w:r>
                  <w:r>
                    <w:rPr>
                      <w:rFonts w:hint="default" w:ascii="Times New Roman" w:hAnsi="Times New Roman" w:eastAsia="宋体" w:cs="Times New Roman"/>
                      <w:color w:val="auto"/>
                      <w:spacing w:val="0"/>
                      <w:sz w:val="21"/>
                      <w:lang w:val="en-US" w:eastAsia="zh-CN" w:bidi="zh-CN"/>
                    </w:rPr>
                    <w:t>营运期定期按照应急预案内容进行应急演练，逐步提高应急演练范围与级别。</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89" w:type="pct"/>
                  <w:vMerge w:val="restart"/>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A4资源利用要求</w:t>
                  </w:r>
                </w:p>
              </w:tc>
              <w:tc>
                <w:tcPr>
                  <w:tcW w:w="414" w:type="pct"/>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A4.2土地资源</w:t>
                  </w:r>
                </w:p>
              </w:tc>
              <w:tc>
                <w:tcPr>
                  <w:tcW w:w="2153" w:type="pct"/>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【A4.2-1】土地资源</w:t>
                  </w:r>
                  <w:r>
                    <w:rPr>
                      <w:rFonts w:hint="eastAsia" w:ascii="Times New Roman" w:hAnsi="Times New Roman" w:eastAsia="宋体" w:cs="Times New Roman"/>
                      <w:color w:val="auto"/>
                      <w:spacing w:val="0"/>
                      <w:sz w:val="21"/>
                      <w:lang w:val="en-US" w:eastAsia="zh-CN" w:bidi="zh-CN"/>
                    </w:rPr>
                    <w:t>上限</w:t>
                  </w:r>
                  <w:r>
                    <w:rPr>
                      <w:rFonts w:hint="default" w:ascii="Times New Roman" w:hAnsi="Times New Roman" w:eastAsia="宋体" w:cs="Times New Roman"/>
                      <w:color w:val="auto"/>
                      <w:spacing w:val="0"/>
                      <w:sz w:val="21"/>
                      <w:lang w:val="en-US" w:eastAsia="zh-CN" w:bidi="zh-CN"/>
                    </w:rPr>
                    <w:t>指标控制在最终批复的国土空间规划控制指标内。</w:t>
                  </w:r>
                </w:p>
              </w:tc>
              <w:tc>
                <w:tcPr>
                  <w:tcW w:w="2043" w:type="pct"/>
                  <w:tcBorders>
                    <w:right w:val="single" w:color="000000" w:sz="4"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符合。本项目已取得</w:t>
                  </w:r>
                  <w:r>
                    <w:rPr>
                      <w:rFonts w:hint="eastAsia" w:ascii="Times New Roman" w:hAnsi="Times New Roman" w:eastAsia="宋体" w:cs="Times New Roman"/>
                      <w:color w:val="auto"/>
                      <w:spacing w:val="0"/>
                      <w:sz w:val="21"/>
                      <w:lang w:val="en-US" w:eastAsia="zh-CN" w:bidi="zh-CN"/>
                    </w:rPr>
                    <w:t>建设</w:t>
                  </w:r>
                  <w:r>
                    <w:rPr>
                      <w:rFonts w:hint="default" w:ascii="Times New Roman" w:hAnsi="Times New Roman" w:eastAsia="宋体" w:cs="Times New Roman"/>
                      <w:color w:val="auto"/>
                      <w:spacing w:val="0"/>
                      <w:sz w:val="21"/>
                      <w:lang w:val="en-US" w:eastAsia="zh-CN" w:bidi="zh-CN"/>
                    </w:rPr>
                    <w:t>用地规划许可证。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89" w:type="pct"/>
                  <w:vMerge w:val="continue"/>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p>
              </w:tc>
              <w:tc>
                <w:tcPr>
                  <w:tcW w:w="414" w:type="pct"/>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A4.5资源综合</w:t>
                  </w:r>
                </w:p>
              </w:tc>
              <w:tc>
                <w:tcPr>
                  <w:tcW w:w="2153" w:type="pct"/>
                  <w:tcBorders>
                    <w:bottom w:val="single" w:color="000000" w:sz="4"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A4.5-1】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逆向回收 ”模式。以尾矿和共伴生矿、煤矸石、炉渣、粉煤灰、脱硫石膏、冶炼渣、建筑垃圾等为重点，持续推进固体废物综合利用和环境整治不断提高大宗固体废物资源化利用水平。推行生活垃圾分类，加快建设县</w:t>
                  </w:r>
                  <w:r>
                    <w:rPr>
                      <w:rFonts w:hint="eastAsia" w:ascii="Times New Roman" w:hAnsi="Times New Roman" w:eastAsia="宋体" w:cs="Times New Roman"/>
                      <w:color w:val="auto"/>
                      <w:spacing w:val="0"/>
                      <w:sz w:val="21"/>
                      <w:lang w:val="en-US" w:eastAsia="zh-CN" w:bidi="zh-CN"/>
                    </w:rPr>
                    <w:t>（</w:t>
                  </w:r>
                  <w:r>
                    <w:rPr>
                      <w:rFonts w:hint="default" w:ascii="Times New Roman" w:hAnsi="Times New Roman" w:eastAsia="宋体" w:cs="Times New Roman"/>
                      <w:color w:val="auto"/>
                      <w:spacing w:val="0"/>
                      <w:sz w:val="21"/>
                      <w:lang w:val="en-US" w:eastAsia="zh-CN" w:bidi="zh-CN"/>
                    </w:rPr>
                    <w:t>市</w:t>
                  </w:r>
                  <w:r>
                    <w:rPr>
                      <w:rFonts w:hint="eastAsia" w:ascii="Times New Roman" w:hAnsi="Times New Roman" w:eastAsia="宋体" w:cs="Times New Roman"/>
                      <w:color w:val="auto"/>
                      <w:spacing w:val="0"/>
                      <w:sz w:val="21"/>
                      <w:lang w:val="en-US" w:eastAsia="zh-CN" w:bidi="zh-CN"/>
                    </w:rPr>
                    <w:t>）</w:t>
                  </w:r>
                  <w:r>
                    <w:rPr>
                      <w:rFonts w:hint="default" w:ascii="Times New Roman" w:hAnsi="Times New Roman" w:eastAsia="宋体" w:cs="Times New Roman"/>
                      <w:color w:val="auto"/>
                      <w:spacing w:val="0"/>
                      <w:sz w:val="21"/>
                      <w:lang w:val="en-US" w:eastAsia="zh-CN" w:bidi="zh-CN"/>
                    </w:rPr>
                    <w:t>生活垃圾处理设施，到2025年，全疆城市生活垃圾无害化处理率达到99%以上。</w:t>
                  </w:r>
                </w:p>
              </w:tc>
              <w:tc>
                <w:tcPr>
                  <w:tcW w:w="2043" w:type="pct"/>
                  <w:tcBorders>
                    <w:bottom w:val="single" w:color="000000" w:sz="4" w:space="0"/>
                    <w:right w:val="single" w:color="000000" w:sz="4" w:space="0"/>
                  </w:tcBorders>
                  <w:tcMar>
                    <w:top w:w="0" w:type="dxa"/>
                    <w:left w:w="57" w:type="dxa"/>
                    <w:bottom w:w="0"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符合。本项目营运期除尘灰</w:t>
                  </w:r>
                  <w:r>
                    <w:rPr>
                      <w:rFonts w:hint="eastAsia" w:ascii="Times New Roman" w:hAnsi="Times New Roman" w:eastAsia="宋体" w:cs="Times New Roman"/>
                      <w:color w:val="auto"/>
                      <w:spacing w:val="0"/>
                      <w:sz w:val="21"/>
                      <w:lang w:val="en-US" w:eastAsia="zh-CN" w:bidi="zh-CN"/>
                    </w:rPr>
                    <w:t>经收集后混入产品内外售综合利用；渣土收集后定期外售综合利用；废金属、轻物质收集后定期外售综合利用；沉淀池沉渣定期清掏外运综合利用；废布袋不在厂区贮存，由厂家回收带走；废油桶、废机油为危险废物，暂存于危废贮存点内，定期交有危废处理资质的单位处置；生活垃圾收集后依托博湖县市政环卫部门定期清运处置</w:t>
                  </w:r>
                  <w:r>
                    <w:rPr>
                      <w:rFonts w:hint="default" w:ascii="Times New Roman" w:hAnsi="Times New Roman" w:eastAsia="宋体" w:cs="Times New Roman"/>
                      <w:color w:val="auto"/>
                      <w:spacing w:val="0"/>
                      <w:sz w:val="21"/>
                      <w:lang w:val="en-US" w:eastAsia="zh-CN" w:bidi="zh-CN"/>
                    </w:rPr>
                    <w:t>。各类固体废物去向合理，生产固废已落实“</w:t>
                  </w:r>
                  <w:r>
                    <w:rPr>
                      <w:rFonts w:hint="eastAsia" w:ascii="Times New Roman" w:hAnsi="Times New Roman" w:eastAsia="宋体" w:cs="Times New Roman"/>
                      <w:color w:val="auto"/>
                      <w:spacing w:val="0"/>
                      <w:sz w:val="21"/>
                      <w:lang w:val="en-US" w:eastAsia="zh-CN" w:bidi="zh-CN"/>
                    </w:rPr>
                    <w:t>减量化、资源化、无害化</w:t>
                  </w:r>
                  <w:r>
                    <w:rPr>
                      <w:rFonts w:hint="default" w:ascii="Times New Roman" w:hAnsi="Times New Roman" w:eastAsia="宋体" w:cs="Times New Roman"/>
                      <w:color w:val="auto"/>
                      <w:spacing w:val="0"/>
                      <w:sz w:val="21"/>
                      <w:lang w:val="en-US" w:eastAsia="zh-CN" w:bidi="zh-CN"/>
                    </w:rPr>
                    <w:t xml:space="preserve"> ”处置原则。</w:t>
                  </w:r>
                </w:p>
              </w:tc>
            </w:tr>
          </w:tbl>
          <w:p>
            <w:pPr>
              <w:keepNext w:val="0"/>
              <w:keepLines w:val="0"/>
              <w:pageBreakBefore w:val="0"/>
              <w:widowControl/>
              <w:kinsoku/>
              <w:wordWrap/>
              <w:overflowPunct/>
              <w:topLinePunct w:val="0"/>
              <w:autoSpaceDE/>
              <w:autoSpaceDN/>
              <w:bidi w:val="0"/>
              <w:adjustRightInd/>
              <w:snapToGrid/>
              <w:ind w:firstLine="482"/>
              <w:textAlignment w:val="auto"/>
              <w:rPr>
                <w:rFonts w:hint="default" w:ascii="Times New Roman" w:hAnsi="Times New Roman" w:eastAsia="宋体" w:cs="Times New Roman"/>
                <w:b w:val="0"/>
                <w:bCs w:val="0"/>
                <w:color w:val="auto"/>
                <w:spacing w:val="0"/>
                <w:sz w:val="24"/>
                <w:szCs w:val="24"/>
                <w:highlight w:val="none"/>
                <w:lang w:val="en-US" w:eastAsia="zh-CN"/>
              </w:rPr>
            </w:pPr>
            <w:r>
              <w:rPr>
                <w:rFonts w:hint="eastAsia" w:ascii="Times New Roman" w:hAnsi="Times New Roman" w:eastAsia="宋体" w:cs="Times New Roman"/>
                <w:b w:val="0"/>
                <w:bCs w:val="0"/>
                <w:color w:val="auto"/>
                <w:spacing w:val="0"/>
                <w:sz w:val="24"/>
                <w:szCs w:val="24"/>
                <w:highlight w:val="none"/>
                <w:lang w:val="en-US" w:eastAsia="zh-CN"/>
              </w:rPr>
              <w:t>由此可见</w:t>
            </w:r>
            <w:r>
              <w:rPr>
                <w:rFonts w:hint="default" w:ascii="Times New Roman" w:hAnsi="Times New Roman" w:eastAsia="宋体" w:cs="Times New Roman"/>
                <w:b w:val="0"/>
                <w:bCs w:val="0"/>
                <w:color w:val="auto"/>
                <w:spacing w:val="0"/>
                <w:sz w:val="24"/>
                <w:szCs w:val="24"/>
                <w:highlight w:val="none"/>
                <w:lang w:val="en-US" w:eastAsia="zh-CN"/>
              </w:rPr>
              <w:t>，项目</w:t>
            </w:r>
            <w:r>
              <w:rPr>
                <w:rFonts w:hint="eastAsia" w:ascii="Times New Roman" w:hAnsi="Times New Roman" w:eastAsia="宋体" w:cs="Times New Roman"/>
                <w:b w:val="0"/>
                <w:bCs w:val="0"/>
                <w:color w:val="auto"/>
                <w:spacing w:val="0"/>
                <w:sz w:val="24"/>
                <w:szCs w:val="24"/>
                <w:highlight w:val="none"/>
                <w:lang w:val="en-US" w:eastAsia="zh-CN"/>
              </w:rPr>
              <w:t>建设</w:t>
            </w:r>
            <w:r>
              <w:rPr>
                <w:rFonts w:hint="default" w:ascii="Times New Roman" w:hAnsi="Times New Roman" w:eastAsia="宋体" w:cs="Times New Roman"/>
                <w:b w:val="0"/>
                <w:bCs w:val="0"/>
                <w:color w:val="auto"/>
                <w:spacing w:val="0"/>
                <w:sz w:val="24"/>
                <w:szCs w:val="24"/>
                <w:highlight w:val="none"/>
                <w:lang w:val="en-US" w:eastAsia="zh-CN"/>
              </w:rPr>
              <w:t>符合《新疆维吾尔自治区生态环境分区管控动态更新成果》的要求。</w:t>
            </w:r>
          </w:p>
          <w:p>
            <w:pPr>
              <w:pStyle w:val="454"/>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b/>
                <w:bCs/>
                <w:color w:val="auto"/>
                <w:highlight w:val="none"/>
              </w:rPr>
            </w:pPr>
            <w:r>
              <w:rPr>
                <w:rFonts w:hint="eastAsia" w:cs="Times New Roman"/>
                <w:b/>
                <w:bCs/>
                <w:color w:val="auto"/>
                <w:highlight w:val="none"/>
                <w:lang w:val="en-US" w:eastAsia="zh-CN"/>
              </w:rPr>
              <w:t>6</w:t>
            </w:r>
            <w:r>
              <w:rPr>
                <w:rFonts w:hint="default" w:ascii="Times New Roman" w:hAnsi="Times New Roman" w:cs="Times New Roman"/>
                <w:b/>
                <w:bCs/>
                <w:color w:val="auto"/>
                <w:highlight w:val="none"/>
                <w:lang w:val="en-US" w:eastAsia="zh-CN"/>
              </w:rPr>
              <w:t>.</w:t>
            </w:r>
            <w:r>
              <w:rPr>
                <w:rFonts w:hint="default" w:ascii="Times New Roman" w:hAnsi="Times New Roman" w:cs="Times New Roman"/>
                <w:b/>
                <w:bCs/>
                <w:color w:val="auto"/>
                <w:highlight w:val="none"/>
              </w:rPr>
              <w:t>与</w:t>
            </w:r>
            <w:r>
              <w:rPr>
                <w:rFonts w:hint="default" w:ascii="Times New Roman" w:hAnsi="Times New Roman" w:cs="Times New Roman"/>
                <w:b/>
                <w:bCs/>
                <w:color w:val="auto"/>
                <w:highlight w:val="none"/>
                <w:lang w:val="zh-TW" w:eastAsia="zh-CN"/>
              </w:rPr>
              <w:t>《关于印发巴音郭楞蒙古自治州“三线一单”生态环境分区管控动态更新成果（2023年）的通知》</w:t>
            </w:r>
            <w:r>
              <w:rPr>
                <w:rFonts w:hint="default" w:ascii="Times New Roman" w:hAnsi="Times New Roman" w:cs="Times New Roman"/>
                <w:b/>
                <w:bCs/>
                <w:color w:val="auto"/>
                <w:highlight w:val="none"/>
              </w:rPr>
              <w:t>的符合性分析</w:t>
            </w:r>
          </w:p>
          <w:p>
            <w:pPr>
              <w:keepNext w:val="0"/>
              <w:keepLines w:val="0"/>
              <w:pageBreakBefore w:val="0"/>
              <w:widowControl/>
              <w:kinsoku/>
              <w:wordWrap/>
              <w:overflowPunct/>
              <w:topLinePunct w:val="0"/>
              <w:autoSpaceDE/>
              <w:autoSpaceDN/>
              <w:bidi w:val="0"/>
              <w:adjustRightInd/>
              <w:snapToGrid/>
              <w:ind w:firstLine="482"/>
              <w:textAlignment w:val="auto"/>
              <w:rPr>
                <w:rFonts w:hint="default"/>
                <w:color w:val="auto"/>
                <w:lang w:val="zh-TW" w:eastAsia="zh-CN"/>
              </w:rPr>
            </w:pPr>
            <w:r>
              <w:rPr>
                <w:rFonts w:hint="default" w:ascii="Times New Roman" w:hAnsi="Times New Roman" w:eastAsia="宋体" w:cs="Times New Roman"/>
                <w:b w:val="0"/>
                <w:bCs w:val="0"/>
                <w:color w:val="auto"/>
                <w:spacing w:val="0"/>
                <w:sz w:val="24"/>
                <w:szCs w:val="24"/>
                <w:highlight w:val="none"/>
                <w:lang w:val="zh-TW" w:eastAsia="zh-CN"/>
              </w:rPr>
              <w:t>根据《关于印发巴音郭楞蒙古自治州</w:t>
            </w:r>
            <w:r>
              <w:rPr>
                <w:rFonts w:hint="eastAsia" w:ascii="Times New Roman" w:hAnsi="Times New Roman" w:eastAsia="宋体" w:cs="Times New Roman"/>
                <w:b w:val="0"/>
                <w:bCs w:val="0"/>
                <w:color w:val="auto"/>
                <w:spacing w:val="0"/>
                <w:sz w:val="24"/>
                <w:szCs w:val="24"/>
                <w:highlight w:val="none"/>
                <w:lang w:val="zh-TW" w:eastAsia="zh-CN"/>
              </w:rPr>
              <w:t>“</w:t>
            </w:r>
            <w:r>
              <w:rPr>
                <w:rFonts w:hint="default" w:ascii="Times New Roman" w:hAnsi="Times New Roman" w:eastAsia="宋体" w:cs="Times New Roman"/>
                <w:b w:val="0"/>
                <w:bCs w:val="0"/>
                <w:color w:val="auto"/>
                <w:spacing w:val="0"/>
                <w:sz w:val="24"/>
                <w:szCs w:val="24"/>
                <w:highlight w:val="none"/>
                <w:lang w:val="zh-TW" w:eastAsia="zh-CN"/>
              </w:rPr>
              <w:t>三线一单</w:t>
            </w:r>
            <w:r>
              <w:rPr>
                <w:rFonts w:hint="eastAsia" w:ascii="Times New Roman" w:hAnsi="Times New Roman" w:eastAsia="宋体" w:cs="Times New Roman"/>
                <w:b w:val="0"/>
                <w:bCs w:val="0"/>
                <w:color w:val="auto"/>
                <w:spacing w:val="0"/>
                <w:sz w:val="24"/>
                <w:szCs w:val="24"/>
                <w:highlight w:val="none"/>
                <w:lang w:val="zh-TW" w:eastAsia="zh-CN"/>
              </w:rPr>
              <w:t>”</w:t>
            </w:r>
            <w:r>
              <w:rPr>
                <w:rFonts w:hint="default" w:ascii="Times New Roman" w:hAnsi="Times New Roman" w:eastAsia="宋体" w:cs="Times New Roman"/>
                <w:b w:val="0"/>
                <w:bCs w:val="0"/>
                <w:color w:val="auto"/>
                <w:spacing w:val="0"/>
                <w:sz w:val="24"/>
                <w:szCs w:val="24"/>
                <w:highlight w:val="none"/>
                <w:lang w:val="zh-TW" w:eastAsia="zh-CN"/>
              </w:rPr>
              <w:t>生态环境分区管控动态更新成果（2023年）的通知》（巴政办发〔2024〕32号）以及新疆维吾尔自治区</w:t>
            </w:r>
            <w:r>
              <w:rPr>
                <w:rFonts w:hint="eastAsia" w:ascii="Times New Roman" w:hAnsi="Times New Roman" w:eastAsia="宋体" w:cs="Times New Roman"/>
                <w:b w:val="0"/>
                <w:bCs w:val="0"/>
                <w:color w:val="auto"/>
                <w:spacing w:val="0"/>
                <w:sz w:val="24"/>
                <w:szCs w:val="24"/>
                <w:highlight w:val="none"/>
                <w:lang w:val="zh-TW" w:eastAsia="zh-CN"/>
              </w:rPr>
              <w:t>“</w:t>
            </w:r>
            <w:r>
              <w:rPr>
                <w:rFonts w:hint="default" w:ascii="Times New Roman" w:hAnsi="Times New Roman" w:eastAsia="宋体" w:cs="Times New Roman"/>
                <w:b w:val="0"/>
                <w:bCs w:val="0"/>
                <w:color w:val="auto"/>
                <w:spacing w:val="0"/>
                <w:sz w:val="24"/>
                <w:szCs w:val="24"/>
                <w:highlight w:val="none"/>
                <w:lang w:val="zh-TW" w:eastAsia="zh-CN"/>
              </w:rPr>
              <w:t>三线一单</w:t>
            </w:r>
            <w:r>
              <w:rPr>
                <w:rFonts w:hint="eastAsia" w:ascii="Times New Roman" w:hAnsi="Times New Roman" w:eastAsia="宋体" w:cs="Times New Roman"/>
                <w:b w:val="0"/>
                <w:bCs w:val="0"/>
                <w:color w:val="auto"/>
                <w:spacing w:val="0"/>
                <w:sz w:val="24"/>
                <w:szCs w:val="24"/>
                <w:highlight w:val="none"/>
                <w:lang w:val="zh-TW" w:eastAsia="zh-CN"/>
              </w:rPr>
              <w:t>”</w:t>
            </w:r>
            <w:r>
              <w:rPr>
                <w:rFonts w:hint="default" w:ascii="Times New Roman" w:hAnsi="Times New Roman" w:eastAsia="宋体" w:cs="Times New Roman"/>
                <w:b w:val="0"/>
                <w:bCs w:val="0"/>
                <w:color w:val="auto"/>
                <w:spacing w:val="0"/>
                <w:sz w:val="24"/>
                <w:szCs w:val="24"/>
                <w:highlight w:val="none"/>
                <w:lang w:val="zh-TW" w:eastAsia="zh-CN"/>
              </w:rPr>
              <w:t>信息应用平台，</w:t>
            </w:r>
            <w:r>
              <w:rPr>
                <w:rFonts w:hint="eastAsia" w:ascii="Times New Roman" w:hAnsi="Times New Roman" w:eastAsia="宋体" w:cs="Times New Roman"/>
                <w:b w:val="0"/>
                <w:bCs w:val="0"/>
                <w:color w:val="auto"/>
                <w:spacing w:val="0"/>
                <w:sz w:val="24"/>
                <w:szCs w:val="24"/>
                <w:highlight w:val="none"/>
                <w:lang w:val="en-US" w:eastAsia="zh-CN"/>
              </w:rPr>
              <w:t>项目用地</w:t>
            </w:r>
            <w:r>
              <w:rPr>
                <w:rFonts w:hint="default" w:ascii="Times New Roman" w:hAnsi="Times New Roman" w:eastAsia="宋体" w:cs="Times New Roman"/>
                <w:b w:val="0"/>
                <w:bCs w:val="0"/>
                <w:color w:val="auto"/>
                <w:spacing w:val="0"/>
                <w:sz w:val="24"/>
                <w:szCs w:val="24"/>
                <w:highlight w:val="none"/>
                <w:lang w:val="zh-TW" w:eastAsia="zh-CN"/>
              </w:rPr>
              <w:t>涉及博湖县查干诺尔乡东南农业水污染重点管控区</w:t>
            </w:r>
            <w:r>
              <w:rPr>
                <w:rFonts w:hint="eastAsia" w:ascii="Times New Roman" w:hAnsi="Times New Roman" w:eastAsia="宋体" w:cs="Times New Roman"/>
                <w:b w:val="0"/>
                <w:bCs w:val="0"/>
                <w:color w:val="auto"/>
                <w:spacing w:val="0"/>
                <w:sz w:val="24"/>
                <w:szCs w:val="24"/>
                <w:highlight w:val="none"/>
                <w:lang w:val="zh-TW" w:eastAsia="zh-CN"/>
              </w:rPr>
              <w:t>（ZH65282920008），</w:t>
            </w:r>
            <w:r>
              <w:rPr>
                <w:rFonts w:hint="default" w:ascii="Times New Roman" w:hAnsi="Times New Roman" w:eastAsia="宋体" w:cs="Times New Roman"/>
                <w:b w:val="0"/>
                <w:bCs w:val="0"/>
                <w:color w:val="auto"/>
                <w:spacing w:val="0"/>
                <w:sz w:val="24"/>
                <w:szCs w:val="24"/>
                <w:highlight w:val="none"/>
                <w:lang w:val="zh-TW" w:eastAsia="zh-CN"/>
              </w:rPr>
              <w:t>项目与巴音郭楞蒙古自治州</w:t>
            </w:r>
            <w:r>
              <w:rPr>
                <w:rFonts w:hint="eastAsia" w:ascii="Times New Roman" w:hAnsi="Times New Roman" w:eastAsia="宋体" w:cs="Times New Roman"/>
                <w:b w:val="0"/>
                <w:bCs w:val="0"/>
                <w:color w:val="auto"/>
                <w:spacing w:val="0"/>
                <w:sz w:val="24"/>
                <w:szCs w:val="24"/>
                <w:highlight w:val="none"/>
                <w:lang w:val="zh-TW" w:eastAsia="zh-CN"/>
              </w:rPr>
              <w:t>“</w:t>
            </w:r>
            <w:r>
              <w:rPr>
                <w:rFonts w:hint="default" w:ascii="Times New Roman" w:hAnsi="Times New Roman" w:eastAsia="宋体" w:cs="Times New Roman"/>
                <w:b w:val="0"/>
                <w:bCs w:val="0"/>
                <w:color w:val="auto"/>
                <w:spacing w:val="0"/>
                <w:sz w:val="24"/>
                <w:szCs w:val="24"/>
                <w:highlight w:val="none"/>
                <w:lang w:val="zh-TW" w:eastAsia="zh-CN"/>
              </w:rPr>
              <w:t>三线一单</w:t>
            </w:r>
            <w:r>
              <w:rPr>
                <w:rFonts w:hint="eastAsia" w:ascii="Times New Roman" w:hAnsi="Times New Roman" w:eastAsia="宋体" w:cs="Times New Roman"/>
                <w:b w:val="0"/>
                <w:bCs w:val="0"/>
                <w:color w:val="auto"/>
                <w:spacing w:val="0"/>
                <w:sz w:val="24"/>
                <w:szCs w:val="24"/>
                <w:highlight w:val="none"/>
                <w:lang w:val="zh-TW" w:eastAsia="zh-CN"/>
              </w:rPr>
              <w:t>”</w:t>
            </w:r>
            <w:r>
              <w:rPr>
                <w:rFonts w:hint="default" w:ascii="Times New Roman" w:hAnsi="Times New Roman" w:eastAsia="宋体" w:cs="Times New Roman"/>
                <w:b w:val="0"/>
                <w:bCs w:val="0"/>
                <w:color w:val="auto"/>
                <w:spacing w:val="0"/>
                <w:sz w:val="24"/>
                <w:szCs w:val="24"/>
                <w:highlight w:val="none"/>
                <w:lang w:val="zh-TW" w:eastAsia="zh-CN"/>
              </w:rPr>
              <w:t>生态环境分区管控动态更新成果（2023年）管控要求的符合性分析详见下表。</w:t>
            </w:r>
          </w:p>
          <w:p>
            <w:pPr>
              <w:pStyle w:val="163"/>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baseline"/>
              <w:rPr>
                <w:rFonts w:hint="default" w:ascii="Times New Roman" w:hAnsi="Times New Roman" w:eastAsia="宋体" w:cs="Times New Roman"/>
                <w:b/>
                <w:bCs/>
                <w:color w:val="auto"/>
                <w:spacing w:val="0"/>
                <w:sz w:val="21"/>
                <w:szCs w:val="21"/>
                <w:lang w:val="en-US" w:eastAsia="zh-CN" w:bidi="ar-SA"/>
              </w:rPr>
            </w:pPr>
            <w:r>
              <w:rPr>
                <w:rFonts w:hint="default" w:ascii="Times New Roman" w:hAnsi="Times New Roman" w:eastAsia="宋体" w:cs="Times New Roman"/>
                <w:b/>
                <w:bCs/>
                <w:color w:val="auto"/>
                <w:spacing w:val="0"/>
                <w:sz w:val="21"/>
                <w:szCs w:val="21"/>
                <w:lang w:val="en-US" w:eastAsia="zh-CN" w:bidi="ar-SA"/>
              </w:rPr>
              <w:t>表1</w:t>
            </w:r>
            <w:r>
              <w:rPr>
                <w:rFonts w:hint="eastAsia" w:ascii="Times New Roman" w:hAnsi="Times New Roman" w:eastAsia="宋体" w:cs="Times New Roman"/>
                <w:b/>
                <w:bCs/>
                <w:color w:val="auto"/>
                <w:spacing w:val="0"/>
                <w:sz w:val="21"/>
                <w:szCs w:val="21"/>
                <w:lang w:val="en-US" w:eastAsia="zh-CN" w:bidi="ar-SA"/>
              </w:rPr>
              <w:t xml:space="preserve">-4   </w:t>
            </w:r>
            <w:r>
              <w:rPr>
                <w:rFonts w:hint="default" w:ascii="Times New Roman" w:hAnsi="Times New Roman" w:eastAsia="宋体" w:cs="Times New Roman"/>
                <w:b/>
                <w:bCs/>
                <w:color w:val="auto"/>
                <w:spacing w:val="0"/>
                <w:sz w:val="21"/>
                <w:szCs w:val="21"/>
                <w:lang w:val="en-US" w:eastAsia="zh-CN" w:bidi="ar-SA"/>
              </w:rPr>
              <w:t>项目与巴州生态环境分区管控要求符合性分析</w:t>
            </w:r>
            <w:r>
              <w:rPr>
                <w:rFonts w:hint="eastAsia" w:ascii="Times New Roman" w:hAnsi="Times New Roman" w:eastAsia="宋体" w:cs="Times New Roman"/>
                <w:b/>
                <w:bCs/>
                <w:color w:val="auto"/>
                <w:spacing w:val="0"/>
                <w:sz w:val="21"/>
                <w:szCs w:val="21"/>
                <w:lang w:val="en-US" w:eastAsia="zh-CN" w:bidi="ar-SA"/>
              </w:rPr>
              <w:t>一览表</w:t>
            </w:r>
          </w:p>
          <w:tbl>
            <w:tblPr>
              <w:tblStyle w:val="455"/>
              <w:tblW w:w="499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29"/>
              <w:gridCol w:w="518"/>
              <w:gridCol w:w="2839"/>
              <w:gridCol w:w="1634"/>
              <w:gridCol w:w="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06" w:type="pct"/>
                  <w:gridSpan w:val="3"/>
                  <w:tcBorders>
                    <w:tl2br w:val="nil"/>
                    <w:tr2bl w:val="nil"/>
                  </w:tcBorders>
                  <w:noWrap w:val="0"/>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“三线一单”的具体要求</w:t>
                  </w:r>
                </w:p>
              </w:tc>
              <w:tc>
                <w:tcPr>
                  <w:tcW w:w="1172" w:type="pct"/>
                  <w:vMerge w:val="restart"/>
                  <w:tcBorders>
                    <w:tl2br w:val="nil"/>
                    <w:tr2bl w:val="nil"/>
                  </w:tcBorders>
                  <w:noWrap w:val="0"/>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项目对应情况分析</w:t>
                  </w:r>
                </w:p>
              </w:tc>
              <w:tc>
                <w:tcPr>
                  <w:tcW w:w="320" w:type="pct"/>
                  <w:vMerge w:val="restart"/>
                  <w:tcBorders>
                    <w:tl2br w:val="nil"/>
                    <w:tr2bl w:val="nil"/>
                  </w:tcBorders>
                  <w:noWrap w:val="0"/>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符合性分析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469" w:type="pct"/>
                  <w:gridSpan w:val="2"/>
                  <w:tcBorders>
                    <w:tl2br w:val="nil"/>
                    <w:tr2bl w:val="nil"/>
                  </w:tcBorders>
                  <w:noWrap w:val="0"/>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类别</w:t>
                  </w:r>
                </w:p>
              </w:tc>
              <w:tc>
                <w:tcPr>
                  <w:tcW w:w="2037" w:type="pct"/>
                  <w:tcBorders>
                    <w:tl2br w:val="nil"/>
                    <w:tr2bl w:val="nil"/>
                  </w:tcBorders>
                  <w:noWrap w:val="0"/>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对应管控要求</w:t>
                  </w:r>
                </w:p>
              </w:tc>
              <w:tc>
                <w:tcPr>
                  <w:tcW w:w="1172" w:type="pct"/>
                  <w:vMerge w:val="continue"/>
                  <w:tcBorders>
                    <w:tl2br w:val="nil"/>
                    <w:tr2bl w:val="nil"/>
                  </w:tcBorders>
                  <w:noWrap w:val="0"/>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p>
              </w:tc>
              <w:tc>
                <w:tcPr>
                  <w:tcW w:w="320" w:type="pct"/>
                  <w:vMerge w:val="continue"/>
                  <w:tcBorders>
                    <w:tl2br w:val="nil"/>
                    <w:tr2bl w:val="nil"/>
                  </w:tcBorders>
                  <w:noWrap w:val="0"/>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97" w:type="pct"/>
                  <w:vMerge w:val="restart"/>
                  <w:tcBorders>
                    <w:tl2br w:val="nil"/>
                    <w:tr2bl w:val="nil"/>
                  </w:tcBorders>
                  <w:noWrap w:val="0"/>
                  <w:vAlign w:val="center"/>
                </w:tcPr>
                <w:p>
                  <w:pPr>
                    <w:autoSpaceDE w:val="0"/>
                    <w:autoSpaceDN w:val="0"/>
                    <w:spacing w:line="240" w:lineRule="auto"/>
                    <w:ind w:firstLine="0" w:firstLineChars="0"/>
                    <w:jc w:val="center"/>
                    <w:rPr>
                      <w:rFonts w:hint="eastAsia"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管控单元编码：ZH65282920008</w:t>
                  </w:r>
                  <w:r>
                    <w:rPr>
                      <w:rFonts w:hint="eastAsia" w:ascii="Times New Roman" w:hAnsi="Times New Roman" w:eastAsia="宋体" w:cs="Times New Roman"/>
                      <w:color w:val="auto"/>
                      <w:spacing w:val="0"/>
                      <w:sz w:val="21"/>
                      <w:lang w:val="en-US" w:eastAsia="zh-CN" w:bidi="zh-CN"/>
                    </w:rPr>
                    <w:t>；</w:t>
                  </w:r>
                </w:p>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管控单元名称：</w:t>
                  </w:r>
                </w:p>
                <w:p>
                  <w:pPr>
                    <w:autoSpaceDE w:val="0"/>
                    <w:autoSpaceDN w:val="0"/>
                    <w:spacing w:line="240" w:lineRule="auto"/>
                    <w:ind w:firstLine="0" w:firstLineChars="0"/>
                    <w:jc w:val="center"/>
                    <w:rPr>
                      <w:rFonts w:hint="eastAsia"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博湖县查干诺尔乡东南农业水污染重点管控区；</w:t>
                  </w:r>
                </w:p>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管控单元类别：</w:t>
                  </w:r>
                </w:p>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重点管控单元</w:t>
                  </w:r>
                </w:p>
              </w:tc>
              <w:tc>
                <w:tcPr>
                  <w:tcW w:w="371" w:type="pct"/>
                  <w:tcBorders>
                    <w:tl2br w:val="nil"/>
                    <w:tr2bl w:val="nil"/>
                  </w:tcBorders>
                  <w:noWrap w:val="0"/>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空间布局</w:t>
                  </w:r>
                </w:p>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约束</w:t>
                  </w:r>
                </w:p>
              </w:tc>
              <w:tc>
                <w:tcPr>
                  <w:tcW w:w="2037" w:type="pct"/>
                  <w:tcBorders>
                    <w:tl2br w:val="nil"/>
                    <w:tr2bl w:val="nil"/>
                  </w:tcBorders>
                  <w:noWrap w:val="0"/>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1.项目用水达到行业先进水平，节水设施与主体工程同时设计、同时施工、同时投运。</w:t>
                  </w:r>
                </w:p>
              </w:tc>
              <w:tc>
                <w:tcPr>
                  <w:tcW w:w="1172" w:type="pct"/>
                  <w:tcBorders>
                    <w:tl2br w:val="nil"/>
                    <w:tr2bl w:val="nil"/>
                  </w:tcBorders>
                  <w:noWrap w:val="0"/>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项目用水达到行业先进水平，节水设施与主体工程同时设计、同时施工、同时投运</w:t>
                  </w:r>
                  <w:r>
                    <w:rPr>
                      <w:rFonts w:hint="eastAsia" w:ascii="Times New Roman" w:hAnsi="Times New Roman" w:eastAsia="宋体" w:cs="Times New Roman"/>
                      <w:color w:val="auto"/>
                      <w:spacing w:val="0"/>
                      <w:sz w:val="21"/>
                      <w:lang w:val="en-US" w:eastAsia="zh-CN" w:bidi="zh-CN"/>
                    </w:rPr>
                    <w:t>。</w:t>
                  </w:r>
                </w:p>
              </w:tc>
              <w:tc>
                <w:tcPr>
                  <w:tcW w:w="320" w:type="pct"/>
                  <w:tcBorders>
                    <w:tl2br w:val="nil"/>
                    <w:tr2bl w:val="nil"/>
                  </w:tcBorders>
                  <w:noWrap w:val="0"/>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97" w:type="pct"/>
                  <w:vMerge w:val="continue"/>
                  <w:tcBorders>
                    <w:tl2br w:val="nil"/>
                    <w:tr2bl w:val="nil"/>
                  </w:tcBorders>
                  <w:noWrap w:val="0"/>
                  <w:vAlign w:val="center"/>
                </w:tcPr>
                <w:p>
                  <w:pPr>
                    <w:autoSpaceDE w:val="0"/>
                    <w:autoSpaceDN w:val="0"/>
                    <w:spacing w:line="240" w:lineRule="auto"/>
                    <w:ind w:firstLine="0" w:firstLineChars="0"/>
                    <w:jc w:val="center"/>
                    <w:rPr>
                      <w:rFonts w:hint="eastAsia" w:ascii="Times New Roman" w:hAnsi="Times New Roman" w:eastAsia="宋体" w:cs="Times New Roman"/>
                      <w:color w:val="auto"/>
                      <w:spacing w:val="0"/>
                      <w:sz w:val="21"/>
                      <w:lang w:val="en-US" w:eastAsia="zh-CN" w:bidi="zh-CN"/>
                    </w:rPr>
                  </w:pPr>
                </w:p>
              </w:tc>
              <w:tc>
                <w:tcPr>
                  <w:tcW w:w="371" w:type="pct"/>
                  <w:tcBorders>
                    <w:tl2br w:val="nil"/>
                    <w:tr2bl w:val="nil"/>
                  </w:tcBorders>
                  <w:noWrap w:val="0"/>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污染物排放管控</w:t>
                  </w:r>
                </w:p>
              </w:tc>
              <w:tc>
                <w:tcPr>
                  <w:tcW w:w="2037" w:type="pct"/>
                  <w:tcBorders>
                    <w:tl2br w:val="nil"/>
                    <w:tr2bl w:val="nil"/>
                  </w:tcBorders>
                  <w:noWrap w:val="0"/>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1.加强规模化畜禽养殖污染防治工作，筛选、推广经济适用的污染防治和养殖废物利用技术。</w:t>
                  </w:r>
                </w:p>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2.实施农村人居环境整治提升行动，开展农村环境综合整治，重点抓好改厕和污水、垃圾处理；开展美丽宜居村庄示范创建活动，深入推进村庄清洁和绿化行动。</w:t>
                  </w:r>
                </w:p>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3.开展无公害农产品认证工作，严格控制农药、化肥施用量。推广使用有机肥及易降解、低残留的农药与化肥。推广绿色食品和有机食品基地建设。</w:t>
                  </w:r>
                </w:p>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4.加大农业面源污染防治力度。开展农田废旧地膜污染集中整治。</w:t>
                  </w:r>
                </w:p>
              </w:tc>
              <w:tc>
                <w:tcPr>
                  <w:tcW w:w="1172" w:type="pct"/>
                  <w:tcBorders>
                    <w:tl2br w:val="nil"/>
                    <w:tr2bl w:val="nil"/>
                  </w:tcBorders>
                  <w:noWrap w:val="0"/>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本项目</w:t>
                  </w:r>
                  <w:r>
                    <w:rPr>
                      <w:rFonts w:hint="eastAsia" w:ascii="Times New Roman" w:hAnsi="Times New Roman" w:eastAsia="宋体" w:cs="Times New Roman"/>
                      <w:color w:val="auto"/>
                      <w:spacing w:val="0"/>
                      <w:sz w:val="21"/>
                      <w:lang w:val="en-US" w:eastAsia="zh-CN" w:bidi="zh-CN"/>
                    </w:rPr>
                    <w:t>建设</w:t>
                  </w:r>
                  <w:r>
                    <w:rPr>
                      <w:rFonts w:hint="default" w:ascii="Times New Roman" w:hAnsi="Times New Roman" w:eastAsia="宋体" w:cs="Times New Roman"/>
                      <w:color w:val="auto"/>
                      <w:spacing w:val="0"/>
                      <w:sz w:val="21"/>
                      <w:lang w:val="en-US" w:eastAsia="zh-CN" w:bidi="zh-CN"/>
                    </w:rPr>
                    <w:t>行业类别属于</w:t>
                  </w:r>
                  <w:r>
                    <w:rPr>
                      <w:rFonts w:hint="eastAsia" w:ascii="Times New Roman" w:hAnsi="Times New Roman" w:eastAsia="宋体" w:cs="Times New Roman"/>
                      <w:color w:val="auto"/>
                      <w:spacing w:val="0"/>
                      <w:sz w:val="21"/>
                      <w:lang w:val="en-US" w:eastAsia="zh-CN" w:bidi="zh-CN"/>
                    </w:rPr>
                    <w:t>固体废物治理，不涉及</w:t>
                  </w:r>
                  <w:r>
                    <w:rPr>
                      <w:rFonts w:hint="default" w:ascii="Times New Roman" w:hAnsi="Times New Roman" w:eastAsia="宋体" w:cs="Times New Roman"/>
                      <w:color w:val="auto"/>
                      <w:spacing w:val="0"/>
                      <w:sz w:val="21"/>
                      <w:lang w:val="en-US" w:eastAsia="zh-CN" w:bidi="zh-CN"/>
                    </w:rPr>
                    <w:t>畜禽养殖</w:t>
                  </w:r>
                  <w:r>
                    <w:rPr>
                      <w:rFonts w:hint="eastAsia" w:ascii="Times New Roman" w:hAnsi="Times New Roman" w:eastAsia="宋体" w:cs="Times New Roman"/>
                      <w:color w:val="auto"/>
                      <w:spacing w:val="0"/>
                      <w:sz w:val="21"/>
                      <w:lang w:val="en-US" w:eastAsia="zh-CN" w:bidi="zh-CN"/>
                    </w:rPr>
                    <w:t>、不使用</w:t>
                  </w:r>
                  <w:r>
                    <w:rPr>
                      <w:rFonts w:hint="default" w:ascii="Times New Roman" w:hAnsi="Times New Roman" w:eastAsia="宋体" w:cs="Times New Roman"/>
                      <w:color w:val="auto"/>
                      <w:spacing w:val="0"/>
                      <w:sz w:val="21"/>
                      <w:lang w:val="en-US" w:eastAsia="zh-CN" w:bidi="zh-CN"/>
                    </w:rPr>
                    <w:t>农药、化肥</w:t>
                  </w:r>
                  <w:r>
                    <w:rPr>
                      <w:rFonts w:hint="eastAsia" w:ascii="Times New Roman" w:hAnsi="Times New Roman" w:eastAsia="宋体" w:cs="Times New Roman"/>
                      <w:color w:val="auto"/>
                      <w:spacing w:val="0"/>
                      <w:sz w:val="21"/>
                      <w:lang w:val="en-US" w:eastAsia="zh-CN" w:bidi="zh-CN"/>
                    </w:rPr>
                    <w:t>。不属于污染物</w:t>
                  </w:r>
                  <w:r>
                    <w:rPr>
                      <w:rFonts w:hint="default" w:ascii="Times New Roman" w:hAnsi="Times New Roman" w:eastAsia="宋体" w:cs="Times New Roman"/>
                      <w:color w:val="auto"/>
                      <w:spacing w:val="0"/>
                      <w:sz w:val="21"/>
                      <w:lang w:val="en-US" w:eastAsia="zh-CN" w:bidi="zh-CN"/>
                    </w:rPr>
                    <w:t>排放管控</w:t>
                  </w:r>
                  <w:r>
                    <w:rPr>
                      <w:rFonts w:hint="eastAsia" w:ascii="Times New Roman" w:hAnsi="Times New Roman" w:eastAsia="宋体" w:cs="Times New Roman"/>
                      <w:color w:val="auto"/>
                      <w:spacing w:val="0"/>
                      <w:sz w:val="21"/>
                      <w:lang w:val="en-US" w:eastAsia="zh-CN" w:bidi="zh-CN"/>
                    </w:rPr>
                    <w:t>要求中禁止或限制的生产活动。</w:t>
                  </w:r>
                </w:p>
              </w:tc>
              <w:tc>
                <w:tcPr>
                  <w:tcW w:w="320" w:type="pct"/>
                  <w:tcBorders>
                    <w:tl2br w:val="nil"/>
                    <w:tr2bl w:val="nil"/>
                  </w:tcBorders>
                  <w:noWrap w:val="0"/>
                  <w:vAlign w:val="center"/>
                </w:tcPr>
                <w:p>
                  <w:pPr>
                    <w:autoSpaceDE w:val="0"/>
                    <w:autoSpaceDN w:val="0"/>
                    <w:spacing w:line="240" w:lineRule="auto"/>
                    <w:ind w:firstLine="0" w:firstLineChars="0"/>
                    <w:jc w:val="center"/>
                    <w:rPr>
                      <w:rFonts w:hint="eastAsia"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97" w:type="pct"/>
                  <w:vMerge w:val="continue"/>
                  <w:tcBorders>
                    <w:tl2br w:val="nil"/>
                    <w:tr2bl w:val="nil"/>
                  </w:tcBorders>
                  <w:noWrap w:val="0"/>
                  <w:vAlign w:val="center"/>
                </w:tcPr>
                <w:p>
                  <w:pPr>
                    <w:autoSpaceDE w:val="0"/>
                    <w:autoSpaceDN w:val="0"/>
                    <w:spacing w:line="240" w:lineRule="auto"/>
                    <w:ind w:firstLine="0" w:firstLineChars="0"/>
                    <w:jc w:val="center"/>
                    <w:rPr>
                      <w:rFonts w:hint="eastAsia" w:ascii="Times New Roman" w:hAnsi="Times New Roman" w:eastAsia="宋体" w:cs="Times New Roman"/>
                      <w:color w:val="auto"/>
                      <w:spacing w:val="0"/>
                      <w:sz w:val="21"/>
                      <w:lang w:val="en-US" w:eastAsia="zh-CN" w:bidi="zh-CN"/>
                    </w:rPr>
                  </w:pPr>
                </w:p>
              </w:tc>
              <w:tc>
                <w:tcPr>
                  <w:tcW w:w="371" w:type="pct"/>
                  <w:tcBorders>
                    <w:tl2br w:val="nil"/>
                    <w:tr2bl w:val="nil"/>
                  </w:tcBorders>
                  <w:noWrap w:val="0"/>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环境风险</w:t>
                  </w:r>
                </w:p>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防控</w:t>
                  </w:r>
                </w:p>
              </w:tc>
              <w:tc>
                <w:tcPr>
                  <w:tcW w:w="2037" w:type="pct"/>
                  <w:tcBorders>
                    <w:tl2br w:val="nil"/>
                    <w:tr2bl w:val="nil"/>
                  </w:tcBorders>
                  <w:noWrap w:val="0"/>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1.建立健全现有农田和果园防护林网格体系，加大对老残次断林带更新改造力度，进一步完善农田和果园防护林网，构建完善的绿洲生态体系</w:t>
                  </w:r>
                  <w:r>
                    <w:rPr>
                      <w:rFonts w:hint="eastAsia" w:ascii="Times New Roman" w:hAnsi="Times New Roman" w:eastAsia="宋体" w:cs="Times New Roman"/>
                      <w:color w:val="auto"/>
                      <w:spacing w:val="0"/>
                      <w:sz w:val="21"/>
                      <w:lang w:val="en-US" w:eastAsia="zh-CN" w:bidi="zh-CN"/>
                    </w:rPr>
                    <w:t>，</w:t>
                  </w:r>
                  <w:r>
                    <w:rPr>
                      <w:rFonts w:hint="default" w:ascii="Times New Roman" w:hAnsi="Times New Roman" w:eastAsia="宋体" w:cs="Times New Roman"/>
                      <w:color w:val="auto"/>
                      <w:spacing w:val="0"/>
                      <w:sz w:val="21"/>
                      <w:lang w:val="en-US" w:eastAsia="zh-CN" w:bidi="zh-CN"/>
                    </w:rPr>
                    <w:t>增强果园和农田抵御病虫害、低温冻害、大风沙尘等自然灾害的能力，增加绿洲对自然灾害的防御能力。</w:t>
                  </w:r>
                </w:p>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2.以减轻林业生物灾害、促进特色林果业健康发展、确保生态安全为目标，政府主导、部门协作、社会参与，完善防控体系，强化能力建设，健全管理制度，创新防控机制，落实政策法规，突出科学防治，</w:t>
                  </w:r>
                  <w:r>
                    <w:rPr>
                      <w:rFonts w:hint="eastAsia" w:ascii="Times New Roman" w:hAnsi="Times New Roman" w:eastAsia="宋体" w:cs="Times New Roman"/>
                      <w:color w:val="auto"/>
                      <w:spacing w:val="0"/>
                      <w:sz w:val="21"/>
                      <w:lang w:val="en-US" w:eastAsia="zh-CN" w:bidi="zh-CN"/>
                    </w:rPr>
                    <w:t>增强</w:t>
                  </w:r>
                  <w:r>
                    <w:rPr>
                      <w:rFonts w:hint="default" w:ascii="Times New Roman" w:hAnsi="Times New Roman" w:eastAsia="宋体" w:cs="Times New Roman"/>
                      <w:color w:val="auto"/>
                      <w:spacing w:val="0"/>
                      <w:sz w:val="21"/>
                      <w:lang w:val="en-US" w:eastAsia="zh-CN" w:bidi="zh-CN"/>
                    </w:rPr>
                    <w:t>公众防范意识，开展群防群治、联防联治，为实现特色林果产业持续健康发展和新疆生态文明建设提供重要保障。</w:t>
                  </w:r>
                </w:p>
              </w:tc>
              <w:tc>
                <w:tcPr>
                  <w:tcW w:w="1172" w:type="pct"/>
                  <w:tcBorders>
                    <w:tl2br w:val="nil"/>
                    <w:tr2bl w:val="nil"/>
                  </w:tcBorders>
                  <w:noWrap w:val="0"/>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本项目</w:t>
                  </w:r>
                  <w:r>
                    <w:rPr>
                      <w:rFonts w:hint="eastAsia" w:ascii="Times New Roman" w:hAnsi="Times New Roman" w:eastAsia="宋体" w:cs="Times New Roman"/>
                      <w:color w:val="auto"/>
                      <w:spacing w:val="0"/>
                      <w:sz w:val="21"/>
                      <w:lang w:val="en-US" w:eastAsia="zh-CN" w:bidi="zh-CN"/>
                    </w:rPr>
                    <w:t>建设</w:t>
                  </w:r>
                  <w:r>
                    <w:rPr>
                      <w:rFonts w:hint="default" w:ascii="Times New Roman" w:hAnsi="Times New Roman" w:eastAsia="宋体" w:cs="Times New Roman"/>
                      <w:color w:val="auto"/>
                      <w:spacing w:val="0"/>
                      <w:sz w:val="21"/>
                      <w:lang w:val="en-US" w:eastAsia="zh-CN" w:bidi="zh-CN"/>
                    </w:rPr>
                    <w:t>行业类别属于</w:t>
                  </w:r>
                  <w:r>
                    <w:rPr>
                      <w:rFonts w:hint="eastAsia" w:ascii="Times New Roman" w:hAnsi="Times New Roman" w:eastAsia="宋体" w:cs="Times New Roman"/>
                      <w:color w:val="auto"/>
                      <w:spacing w:val="0"/>
                      <w:sz w:val="21"/>
                      <w:lang w:val="en-US" w:eastAsia="zh-CN" w:bidi="zh-CN"/>
                    </w:rPr>
                    <w:t>固体废物治理，不涉及</w:t>
                  </w:r>
                  <w:r>
                    <w:rPr>
                      <w:rFonts w:hint="default" w:ascii="Times New Roman" w:hAnsi="Times New Roman" w:eastAsia="宋体" w:cs="Times New Roman"/>
                      <w:color w:val="auto"/>
                      <w:spacing w:val="0"/>
                      <w:sz w:val="21"/>
                      <w:lang w:val="en-US" w:eastAsia="zh-CN" w:bidi="zh-CN"/>
                    </w:rPr>
                    <w:t>特色林果产业</w:t>
                  </w:r>
                  <w:r>
                    <w:rPr>
                      <w:rFonts w:hint="eastAsia" w:ascii="Times New Roman" w:hAnsi="Times New Roman" w:eastAsia="宋体" w:cs="Times New Roman"/>
                      <w:color w:val="auto"/>
                      <w:spacing w:val="0"/>
                      <w:sz w:val="21"/>
                      <w:lang w:val="en-US" w:eastAsia="zh-CN" w:bidi="zh-CN"/>
                    </w:rPr>
                    <w:t>、</w:t>
                  </w:r>
                  <w:r>
                    <w:rPr>
                      <w:rFonts w:hint="default" w:ascii="Times New Roman" w:hAnsi="Times New Roman" w:eastAsia="宋体" w:cs="Times New Roman"/>
                      <w:color w:val="auto"/>
                      <w:spacing w:val="0"/>
                      <w:sz w:val="21"/>
                      <w:lang w:val="en-US" w:eastAsia="zh-CN" w:bidi="zh-CN"/>
                    </w:rPr>
                    <w:t>农田和果园防控</w:t>
                  </w:r>
                  <w:r>
                    <w:rPr>
                      <w:rFonts w:hint="eastAsia" w:ascii="Times New Roman" w:hAnsi="Times New Roman" w:eastAsia="宋体" w:cs="Times New Roman"/>
                      <w:color w:val="auto"/>
                      <w:spacing w:val="0"/>
                      <w:sz w:val="21"/>
                      <w:lang w:val="en-US" w:eastAsia="zh-CN" w:bidi="zh-CN"/>
                    </w:rPr>
                    <w:t>体系建设情形。</w:t>
                  </w:r>
                </w:p>
              </w:tc>
              <w:tc>
                <w:tcPr>
                  <w:tcW w:w="320" w:type="pct"/>
                  <w:tcBorders>
                    <w:tl2br w:val="nil"/>
                    <w:tr2bl w:val="nil"/>
                  </w:tcBorders>
                  <w:noWrap w:val="0"/>
                  <w:vAlign w:val="center"/>
                </w:tcPr>
                <w:p>
                  <w:pPr>
                    <w:autoSpaceDE w:val="0"/>
                    <w:autoSpaceDN w:val="0"/>
                    <w:spacing w:line="240" w:lineRule="auto"/>
                    <w:ind w:firstLine="0" w:firstLineChars="0"/>
                    <w:jc w:val="center"/>
                    <w:rPr>
                      <w:rFonts w:hint="eastAsia"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97" w:type="pct"/>
                  <w:vMerge w:val="continue"/>
                  <w:tcBorders>
                    <w:tl2br w:val="nil"/>
                    <w:tr2bl w:val="nil"/>
                  </w:tcBorders>
                  <w:noWrap w:val="0"/>
                  <w:vAlign w:val="center"/>
                </w:tcPr>
                <w:p>
                  <w:pPr>
                    <w:autoSpaceDE w:val="0"/>
                    <w:autoSpaceDN w:val="0"/>
                    <w:spacing w:line="240" w:lineRule="auto"/>
                    <w:ind w:firstLine="0" w:firstLineChars="0"/>
                    <w:jc w:val="center"/>
                    <w:rPr>
                      <w:rFonts w:hint="eastAsia" w:ascii="Times New Roman" w:hAnsi="Times New Roman" w:eastAsia="宋体" w:cs="Times New Roman"/>
                      <w:color w:val="auto"/>
                      <w:spacing w:val="0"/>
                      <w:sz w:val="21"/>
                      <w:lang w:val="en-US" w:eastAsia="zh-CN" w:bidi="zh-CN"/>
                    </w:rPr>
                  </w:pPr>
                </w:p>
              </w:tc>
              <w:tc>
                <w:tcPr>
                  <w:tcW w:w="371" w:type="pct"/>
                  <w:tcBorders>
                    <w:tl2br w:val="nil"/>
                    <w:tr2bl w:val="nil"/>
                  </w:tcBorders>
                  <w:noWrap w:val="0"/>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资源利用效率</w:t>
                  </w:r>
                </w:p>
              </w:tc>
              <w:tc>
                <w:tcPr>
                  <w:tcW w:w="2037" w:type="pct"/>
                  <w:tcBorders>
                    <w:tl2br w:val="nil"/>
                    <w:tr2bl w:val="nil"/>
                  </w:tcBorders>
                  <w:noWrap w:val="0"/>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default" w:ascii="Times New Roman" w:hAnsi="Times New Roman" w:eastAsia="宋体" w:cs="Times New Roman"/>
                      <w:color w:val="auto"/>
                      <w:spacing w:val="0"/>
                      <w:sz w:val="21"/>
                      <w:lang w:val="en-US" w:eastAsia="zh-CN" w:bidi="zh-CN"/>
                    </w:rPr>
                    <w:t>优化用水结构，推广高标准节水灌溉，减少农业用水量，严格执行用水总量控制，提高农业用水使用效率。</w:t>
                  </w:r>
                </w:p>
              </w:tc>
              <w:tc>
                <w:tcPr>
                  <w:tcW w:w="1172" w:type="pct"/>
                  <w:tcBorders>
                    <w:tl2br w:val="nil"/>
                    <w:tr2bl w:val="nil"/>
                  </w:tcBorders>
                  <w:noWrap w:val="0"/>
                  <w:vAlign w:val="center"/>
                </w:tcPr>
                <w:p>
                  <w:pPr>
                    <w:autoSpaceDE w:val="0"/>
                    <w:autoSpaceDN w:val="0"/>
                    <w:spacing w:line="240" w:lineRule="auto"/>
                    <w:ind w:firstLine="0" w:firstLineChars="0"/>
                    <w:jc w:val="center"/>
                    <w:rPr>
                      <w:rFonts w:hint="default"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不涉及</w:t>
                  </w:r>
                </w:p>
              </w:tc>
              <w:tc>
                <w:tcPr>
                  <w:tcW w:w="320" w:type="pct"/>
                  <w:tcBorders>
                    <w:tl2br w:val="nil"/>
                    <w:tr2bl w:val="nil"/>
                  </w:tcBorders>
                  <w:noWrap w:val="0"/>
                  <w:vAlign w:val="center"/>
                </w:tcPr>
                <w:p>
                  <w:pPr>
                    <w:autoSpaceDE w:val="0"/>
                    <w:autoSpaceDN w:val="0"/>
                    <w:spacing w:line="240" w:lineRule="auto"/>
                    <w:ind w:firstLine="0" w:firstLineChars="0"/>
                    <w:jc w:val="center"/>
                    <w:rPr>
                      <w:rFonts w:hint="eastAsia" w:ascii="Times New Roman" w:hAnsi="Times New Roman" w:eastAsia="宋体" w:cs="Times New Roman"/>
                      <w:color w:val="auto"/>
                      <w:spacing w:val="0"/>
                      <w:sz w:val="21"/>
                      <w:lang w:val="en-US" w:eastAsia="zh-CN" w:bidi="zh-CN"/>
                    </w:rPr>
                  </w:pPr>
                  <w:r>
                    <w:rPr>
                      <w:rFonts w:hint="eastAsia" w:ascii="Times New Roman" w:hAnsi="Times New Roman" w:eastAsia="宋体" w:cs="Times New Roman"/>
                      <w:color w:val="auto"/>
                      <w:spacing w:val="0"/>
                      <w:sz w:val="21"/>
                      <w:lang w:val="en-US" w:eastAsia="zh-CN" w:bidi="zh-CN"/>
                    </w:rPr>
                    <w:t>—</w:t>
                  </w:r>
                </w:p>
              </w:tc>
            </w:tr>
          </w:tbl>
          <w:p>
            <w:pPr>
              <w:pStyle w:val="454"/>
              <w:keepNext w:val="0"/>
              <w:keepLines w:val="0"/>
              <w:pageBreakBefore w:val="0"/>
              <w:kinsoku/>
              <w:wordWrap/>
              <w:overflowPunct/>
              <w:topLinePunct w:val="0"/>
              <w:autoSpaceDE/>
              <w:autoSpaceDN/>
              <w:bidi w:val="0"/>
              <w:adjustRightInd/>
              <w:snapToGrid/>
              <w:jc w:val="both"/>
              <w:textAlignment w:val="auto"/>
              <w:rPr>
                <w:rFonts w:hint="default" w:ascii="Times New Roman" w:hAnsi="Times New Roman" w:cs="Times New Roman"/>
                <w:color w:val="auto"/>
                <w:highlight w:val="none"/>
              </w:rPr>
            </w:pPr>
            <w:r>
              <w:rPr>
                <w:rFonts w:hint="eastAsia"/>
                <w:color w:val="auto"/>
                <w:lang w:eastAsia="zh-CN"/>
              </w:rPr>
              <w:t>综上，本项目符</w:t>
            </w:r>
            <w:r>
              <w:rPr>
                <w:rFonts w:hint="eastAsia"/>
                <w:color w:val="auto"/>
                <w:lang w:val="en-US" w:eastAsia="zh-CN"/>
              </w:rPr>
              <w:t>合</w:t>
            </w:r>
            <w:r>
              <w:rPr>
                <w:rFonts w:hint="eastAsia"/>
                <w:color w:val="auto"/>
                <w:lang w:val="zh-TW" w:eastAsia="zh-CN"/>
              </w:rPr>
              <w:t>《关于印发巴音郭楞蒙古自治州“三线一单”生态环境分区管控动态更新成果（2023年）的通知》（巴政办发〔2024〕32号）</w:t>
            </w:r>
            <w:r>
              <w:rPr>
                <w:rFonts w:hint="eastAsia"/>
                <w:color w:val="auto"/>
                <w:lang w:eastAsia="zh-CN"/>
              </w:rPr>
              <w:t>中“三线一单”要求。</w:t>
            </w:r>
            <w:r>
              <w:rPr>
                <w:rFonts w:hint="eastAsia"/>
                <w:color w:val="auto"/>
                <w:lang w:val="en-US" w:eastAsia="zh-CN"/>
              </w:rPr>
              <w:t>根据发布的新疆维吾尔自治区“三线一单”信息应用平台，本项目在巴州环境管控单元中位置示意见附图1。</w:t>
            </w:r>
          </w:p>
          <w:p>
            <w:pPr>
              <w:pStyle w:val="454"/>
              <w:keepNext w:val="0"/>
              <w:keepLines w:val="0"/>
              <w:pageBreakBefore w:val="0"/>
              <w:kinsoku/>
              <w:wordWrap/>
              <w:overflowPunct/>
              <w:topLinePunct w:val="0"/>
              <w:autoSpaceDE/>
              <w:autoSpaceDN/>
              <w:bidi w:val="0"/>
              <w:adjustRightInd/>
              <w:snapToGrid/>
              <w:jc w:val="both"/>
              <w:textAlignment w:val="auto"/>
              <w:rPr>
                <w:rFonts w:hint="default" w:ascii="Times New Roman" w:hAnsi="Times New Roman" w:cs="Times New Roman"/>
                <w:b/>
                <w:bCs/>
                <w:color w:val="auto"/>
                <w:highlight w:val="none"/>
              </w:rPr>
            </w:pPr>
            <w:r>
              <w:rPr>
                <w:rFonts w:hint="eastAsia" w:cs="Times New Roman"/>
                <w:b/>
                <w:bCs/>
                <w:color w:val="auto"/>
                <w:highlight w:val="none"/>
                <w:lang w:val="en-US" w:eastAsia="zh-CN"/>
              </w:rPr>
              <w:t>七、</w:t>
            </w:r>
            <w:r>
              <w:rPr>
                <w:rFonts w:hint="default" w:ascii="Times New Roman" w:hAnsi="Times New Roman" w:cs="Times New Roman"/>
                <w:b/>
                <w:bCs/>
                <w:color w:val="auto"/>
                <w:highlight w:val="none"/>
              </w:rPr>
              <w:t>项目选址合理性分析</w:t>
            </w:r>
          </w:p>
          <w:p>
            <w:pPr>
              <w:pStyle w:val="454"/>
              <w:keepNext w:val="0"/>
              <w:keepLines w:val="0"/>
              <w:pageBreakBefore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①本项目位于博湖县G218国道南侧鸿发CNG加气站西南，鑫新建材以东，根据博湖县自然资源局出具的关于巴州博湖县建筑垃圾资源化利用建设项目符合《博湖县国土空间总体规划（2021</w:t>
            </w:r>
            <w:r>
              <w:rPr>
                <w:rFonts w:hint="eastAsia" w:cs="Times New Roman"/>
                <w:color w:val="auto"/>
                <w:highlight w:val="none"/>
                <w:lang w:val="en-US" w:eastAsia="zh-CN"/>
              </w:rPr>
              <w:noBreakHyphen/>
            </w:r>
            <w:r>
              <w:rPr>
                <w:rFonts w:hint="eastAsia" w:cs="Times New Roman"/>
                <w:color w:val="auto"/>
                <w:highlight w:val="none"/>
                <w:lang w:val="en-US" w:eastAsia="zh-CN"/>
              </w:rPr>
              <w:t>2035年）》的说明，项目所在地属于工业用地。项目所在区域供水、供电设施齐全，交通便利，有利于原料及产品的运输；建筑垃圾原料全部存放于密闭原料库内部，消除露天堆存带来的雨水淋溶渗滤液环境风险，项目生产过程中产生的废气、生活污水、噪声、固废等采取有效的治理措施，对周围环境影响较小。</w:t>
            </w:r>
          </w:p>
          <w:p>
            <w:pPr>
              <w:pStyle w:val="454"/>
              <w:keepNext w:val="0"/>
              <w:keepLines w:val="0"/>
              <w:pageBreakBefore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②根据现场勘查及博湖县自然资源局出具的关于巴州博湖县建筑垃圾资源化利用建设项目符合《博湖县国土空间总体规划（2021</w:t>
            </w:r>
            <w:r>
              <w:rPr>
                <w:rFonts w:hint="eastAsia" w:cs="Times New Roman"/>
                <w:color w:val="auto"/>
                <w:highlight w:val="none"/>
                <w:lang w:val="en-US" w:eastAsia="zh-CN"/>
              </w:rPr>
              <w:noBreakHyphen/>
            </w:r>
            <w:r>
              <w:rPr>
                <w:rFonts w:hint="eastAsia" w:cs="Times New Roman"/>
                <w:color w:val="auto"/>
                <w:highlight w:val="none"/>
                <w:lang w:val="en-US" w:eastAsia="zh-CN"/>
              </w:rPr>
              <w:t>2035年）》的说明，场址所在地不属于永久基本农田，所在地及附近不涉及生态保护红线管控范围、永久基本农田、基本草原、自然公园等，本项目厂区内及周边不存在集中居民住宅区、学校、医院等环境敏感保护目标，本项目总平面布置充分考虑了避开环境敏感保护目标，从环境保护角度分析，区域环境质量较好，具有一定容量，本项目总平面布置具有较高的环境合理性。</w:t>
            </w:r>
          </w:p>
          <w:p>
            <w:pPr>
              <w:pStyle w:val="454"/>
              <w:keepNext w:val="0"/>
              <w:keepLines w:val="0"/>
              <w:pageBreakBefore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③通过将高噪声设备集中布置在厂区内部，并采取隔音、减振等措施，降低了噪声对厂区周边环境的影响。同时，合理规划厂区内道路和运输路线，避免了运输车辆噪声对周边环境的干扰；一般工业固体废物暂存间和危险废物贮存点的设置符合相关规范要求，远离厂区办公区，减少了固体废物对人员和环境的影响，合理的布局便于固体废物的分类存放、运输和处理处置。在污染源分布控制方面，总平面布置有利于污染物的收集、处理和排放，降低了污染风险。本项目污染源分布具有较高的环境合理性。</w:t>
            </w:r>
          </w:p>
          <w:p>
            <w:pPr>
              <w:pStyle w:val="454"/>
              <w:keepNext w:val="0"/>
              <w:keepLines w:val="0"/>
              <w:pageBreakBefore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④办公区设置在厂区东南部，生产区位于厂区西南部，年主导风向为西北风。原料堆存于密闭原料库，破碎筛分布置在密闭生产车间内，生产过程中产生的粉尘废气能够顺着风向远离东南侧的办公区，减少对厂区职工办公环境的影响。生产车间布局使得场内转运活动和运行过程中可能产生的污染物，在不同季节的主导风向作用下，能够尽量减少对周边环境的影响。</w:t>
            </w:r>
          </w:p>
          <w:p>
            <w:pPr>
              <w:pStyle w:val="454"/>
              <w:keepNext w:val="0"/>
              <w:keepLines w:val="0"/>
              <w:pageBreakBefore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⑤与开都河河湖管控符合性论证</w:t>
            </w:r>
          </w:p>
          <w:p>
            <w:pPr>
              <w:pStyle w:val="454"/>
              <w:keepNext w:val="0"/>
              <w:keepLines w:val="0"/>
              <w:pageBreakBefore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本项目全部建构筑物用地红线均布置于开都河外缘控制线外侧，不在法定河道管理范围之内。项目不占用开都河河道管理范围，不存在妨碍行洪、侵占岸线的建设行为；原料堆存于密闭原料库，破碎筛分布置在密闭生产车间内，无露天原料堆场，从根源上消除建筑垃圾雨水淋溶渗滤液产生风险，满足巴政办发〔2019〕20号河湖管控硬性要求。</w:t>
            </w:r>
          </w:p>
          <w:p>
            <w:pPr>
              <w:pStyle w:val="454"/>
              <w:keepNext w:val="0"/>
              <w:keepLines w:val="0"/>
              <w:pageBreakBefore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⑥国土空间用地约束：博湖县全域工业用地稀缺，县域工业集中区距离县城建筑垃圾产生源超过18km，运输成本大幅提升且长距离运输会显著增加道路扬尘、交通噪声污染；本选址为博湖县自然资源局划定合规工业用地，县域内无其他连片、配套完善的闲置工业地块可满足5万吨/年建筑垃圾资源化生产线建设需求。</w:t>
            </w:r>
          </w:p>
          <w:p>
            <w:pPr>
              <w:pStyle w:val="454"/>
              <w:keepNext w:val="0"/>
              <w:keepLines w:val="0"/>
              <w:pageBreakBefore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原料收运区位约束：县域建筑垃圾主要产生于本布图镇、博湖县城片区，本选址地处G218国道旁，是县域建筑垃圾运输必经节点，若远迁选址将大幅增加重型运输车辆通行频次，加剧县域道路扬尘与交通压力。周边敏感点约束：县域其余可选工业地块周边分布集中居民点、养殖区，本厂区500m范围内无居住区、学校、医院等人群敏感目标，相比其他备选地块环境相容性更优。产业配套约束：选址北侧紧邻鑫新建材、西侧博林木业，区域供水、供电、硬化道路配套齐全，无需新增配套管网，减少土地开挖与水土流失；异地选址需新建供水、供电专线，施工期对区域生态扰动更大。河道管控合规性兜底：建筑垃圾全部密闭原料库内堆存，不存在露天堆场雨水冲刷产生高SS淋溶废水风险。综合用地、运输、敏感目标、配套、河湖管控多重限制，本项目无更优替代选址，属于不可避让选址。项目北侧紧邻现状已投产的鑫新建材有限公司，本项目全部再生骨料可供给该企业生产使用，产品消纳依托条件好，进一步提升选址合理性。</w:t>
            </w:r>
          </w:p>
          <w:p>
            <w:pPr>
              <w:pStyle w:val="454"/>
              <w:keepNext w:val="0"/>
              <w:keepLines w:val="0"/>
              <w:pageBreakBefore w:val="0"/>
              <w:kinsoku/>
              <w:wordWrap/>
              <w:overflowPunct/>
              <w:topLinePunct w:val="0"/>
              <w:autoSpaceDE/>
              <w:autoSpaceDN/>
              <w:bidi w:val="0"/>
              <w:adjustRightInd/>
              <w:snapToGrid/>
              <w:jc w:val="both"/>
              <w:textAlignment w:val="auto"/>
              <w:rPr>
                <w:rFonts w:hint="default" w:cs="Times New Roman"/>
                <w:color w:val="auto"/>
                <w:highlight w:val="none"/>
                <w:lang w:val="en-US" w:eastAsia="zh-CN"/>
              </w:rPr>
            </w:pPr>
            <w:r>
              <w:rPr>
                <w:rFonts w:hint="eastAsia" w:cs="Times New Roman"/>
                <w:color w:val="auto"/>
                <w:highlight w:val="none"/>
                <w:lang w:val="en-US" w:eastAsia="zh-CN"/>
              </w:rPr>
              <w:t>⑦原料贮存说明：本项目租用厂区旁侧现有闲置厂房改造作为建筑垃圾原料库使用。租赁厂房改造完成后，建筑垃圾原料全部堆存于改造后的租赁厂房（原料库）内部；原料库内划分原料堆存区；原料卸料、堆存暂存全部在原料库内完成；破碎、筛分、成品骨料堆存布置于本项目资源化利用生产车间内。租赁厂房地面按照一般防渗区标准进行改造，防渗标准：等效黏土防渗层Mb≥1.5m，地面采用20cm厚C30抗渗混凝土（抗渗等级P6），混凝土下层铺设 1.5mmHDPE防渗土工膜；建筑垃圾全程在改造后的租赁原料库贮存，转运至生产车间开展加工处理，彻底消除露天堆放受降雨冲刷产生淋溶渗滤液的环境风险。原料库出入口设置密闭卷帘大门，车辆进出时关闭，抑制粉尘外逸；原料库内卸料、堆存点位配套雾炮喷淋抑尘。建设单位需落实租赁厂房改造工程，改造内容、防渗、密闭、抑尘措施纳入项目竣工环保验收核查内容。本项目与博湖县国土空间总体规划相符，综上，本项目的选址较为合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default" w:ascii="Times New Roman" w:hAnsi="Times New Roman" w:eastAsia="宋体" w:cs="Times New Roman"/>
                <w:b/>
                <w:bCs/>
                <w:color w:val="auto"/>
                <w:sz w:val="24"/>
                <w:szCs w:val="21"/>
                <w:highlight w:val="none"/>
                <w:lang w:val="en-US" w:eastAsia="zh-CN" w:bidi="ar-SA"/>
              </w:rPr>
            </w:pPr>
            <w:r>
              <w:rPr>
                <w:rFonts w:hint="eastAsia" w:ascii="Times New Roman" w:hAnsi="Times New Roman" w:eastAsia="宋体" w:cs="Times New Roman"/>
                <w:b/>
                <w:bCs/>
                <w:color w:val="auto"/>
                <w:sz w:val="24"/>
                <w:szCs w:val="21"/>
                <w:highlight w:val="none"/>
                <w:lang w:val="en-US" w:eastAsia="zh-CN" w:bidi="ar-SA"/>
              </w:rPr>
              <w:t>八、与《新疆维吾尔自治区2025年空气质量持续改善行动实施方案》（新政办发〔2024〕58号）符合性分析</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根据《新疆维吾尔自治区2025年空气质量持续改善行动实施方案》（新政办发〔2024〕58号）：“坚决遏制高耗能、高排放、低水平项目盲目上马。新改扩建项目严格落实国家和自治区产业规划、产业政策、生态环境分区管控方案、规划环评、项目环评、节能审查、产能置换、重点污染物总量控制、污染物排放区域削减、碳排放达峰目标等相关要求，原则上采用清洁运输方式，达到能效标杆水平、环保绩效A级水平。涉及产能置换的项目，被置换产能及设备关停后，新建项目方可投产”。</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1）项目产业定位：本项目为建筑垃圾资源化循环利用项目，属于《产业结构调整指导目录（2024年本）》鼓励类项目，不属于高耗能、高排放、低水平项目，无产能置换要求。</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2）密闭生产对标环保绩效A级相关管控要求：项目全部破碎、筛分、风选、投料、出料、成品堆存工序布置于全密闭钢结构生产车间；破碎筛分点位设置密闭集气罩，废气经布袋除尘器处理；原料堆存于密闭原料库，成品骨料均在密闭车间内部分区存放，不设置露天堆场；各产尘点位配套喷雾加湿抑尘；厂区道路硬化、出入口洗车平台，常态化洒水保洁；厂区无露天破碎筛分、无露天建筑垃圾堆存作业。上述措施对标建材行业环保绩效A级无组织排放管控要求；本项目不属于高耗能高排放项目，无产能置换，项目建成后企业可按照生态环境部门通知，申报重污染天气绩效分级，力争达到环保绩效A级水平。</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3）清洁运输落实情况：本项目原料、再生骨料均为县域内短距离属地运输，不具备铁路运输接入条件，落实方案“短距离优先采用密闭运输”的清洁运输管控。①全部货运车辆必须密闭篷布全覆盖，严禁抛洒滴漏；②车辆出厂区必须经过洗车平台冲洗轮胎底盘，杜绝带泥上路；③运输车辆优先选用国六及以上排放标准车辆，逐步替换新能源货运车辆；严禁国三及以下老旧车辆进厂；④厂区限速10km/h，厂区道路每日洒水清扫，降低道路运输扬尘。</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综上，项目落实实施方案密闭生产、清洁运输相关管控要求。综上，本项目建设符合《新疆维吾尔自治区2025年空气质量持续改善行动实施方案》（新政办发〔2024〕58号）相关管控要求。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bCs/>
                <w:color w:val="auto"/>
                <w:sz w:val="24"/>
                <w:szCs w:val="21"/>
                <w:highlight w:val="none"/>
                <w:lang w:val="en-US" w:eastAsia="zh-CN" w:bidi="ar-SA"/>
              </w:rPr>
              <w:t>九、与《自治区“十五五”建筑垃圾污染环境防治工作规划》（新建城〔2026〕46号）符合性分析</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为统筹推进建筑垃圾减量化、资源化、无害化治理，自治区住房和城乡建设厅印发《自治区 “十五五”建筑垃圾污染环境防治工作规划》（新建城〔2026〕46号，规划期限2026</w:t>
            </w:r>
            <w:r>
              <w:rPr>
                <w:rFonts w:hint="eastAsia" w:cs="Times New Roman"/>
                <w:color w:val="auto"/>
                <w:highlight w:val="none"/>
                <w:lang w:val="en-US" w:eastAsia="zh-CN"/>
              </w:rPr>
              <w:noBreakHyphen/>
            </w:r>
            <w:r>
              <w:rPr>
                <w:rFonts w:hint="eastAsia" w:cs="Times New Roman"/>
                <w:color w:val="auto"/>
                <w:highlight w:val="none"/>
                <w:lang w:val="en-US" w:eastAsia="zh-CN"/>
              </w:rPr>
              <w:t>2030年），规划提出县（市、区）建筑垃圾处置设施力争全覆盖；推动建筑垃圾资源化利用，打通再生建材产销链条，将再生产品纳入政府绿色采购清单；规范建筑垃圾收运、贮存、处置全过程环境管控，强化扬尘、渗滤液污染防控，建立建筑垃圾进厂、产品出厂台账；规范运输管理，实施密闭运输等重点任务要求。</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1、设施布局方面本项目为博湖县新建建筑垃圾资源化利用建设项目，填补博湖县建筑垃圾规范化处置设施短板，落实规划“县（市、区）配齐建筑垃圾处置设施”的任务要求。项目选址位于G218国道旁合规工业用地，避开生态保护红线、永久基本农田，不在河道管理范围内，选址衔接国土空间总体规划，符合规划中“衔接国土空间规划统筹布局综合利用厂”的布局原则。项目设计处理规模5万t/a，匹配博湖县建筑垃圾实际产生量，优先消纳县域本地建筑垃圾，原则上不跨区域大量处置外县建筑垃圾，与规划就地就近处置的导向保持一致。</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2、资源化利用及产品消纳方面项目年处置建筑垃圾5万t/a，年产再生砂石骨料3.5万t/a，渣土、废金属、轻物质全部综合回收处置。再生骨料全部供给北侧紧邻、现状已投产的鑫新建材有限公司作为制砖、预制砌块原料消纳。建设单位对接住建部门，将再生骨料纳入本地绿色建材采购备选清单，落实规划“将再生骨料等再生产品纳入政府绿色采购清单，打通再生建材产销产业链”的要求。项目建立完整进厂原料台账、产物出厂销售转运台账，登记物料来源、数量、种类、接收单位，满足规划对建筑垃圾全流程台账管理要求。</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3、本项目建筑垃圾原料全部贮存于密闭原料库，成品骨料贮存于资源化利用生产车间内部。密闭原料库落实防风、防雨、抑尘、渗滤液收集导排；从源头杜绝降雨冲刷物料产生淋溶渗滤液风险；密闭原料库地面按一般防渗区标准建设，库内卸料、堆存点位配套雾炮抑尘；破碎、筛分布置于全密闭资源化利用生产车间；破碎筛分产尘点设置集气罩+布袋除尘器处理；卸料、堆存、装车点位配套喷雾抑尘；厂区出入口设置洗车平台；落实规划对资源化利用项目扬尘、渗滤液污染防控要求。</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4、运输管控方面规划要求规范建筑垃圾运输，落实车辆密闭运输管理。本项目建筑垃圾原料、成品骨料运输全部采用密闭篷布全覆盖运输车辆；车辆出厂区必须经洗车平台冲洗；优先选用国六及以上排放标准车辆，严禁老旧高排放车辆进厂；厂区限速、道路常态化洒水清扫，落实规划 “规范全程运输管理，落实密闭运输” 的管控要求。</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5、管理约束项目严禁接收生活垃圾、危险废物、有毒有害废弃物；渣土、轻物质、废金属分类暂存，不得随意露天丢弃倾倒；一般固废、危险废物严格按照国家标准分区贮存处置。</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综上，本项目建设补齐博湖县建筑垃圾资源化处置设施短板，在选址布局、资源化利用、再生产品本地消纳、密闭车间贮存、密闭生产、运输管控、台账管理等方面均符合《自治区 “十五五”建筑垃圾污染环境防治工作规划》（新建城〔2026〕46号）相关任务与管控要求。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bCs/>
                <w:color w:val="auto"/>
                <w:sz w:val="24"/>
                <w:szCs w:val="21"/>
                <w:highlight w:val="none"/>
                <w:lang w:val="en-US" w:eastAsia="zh-CN" w:bidi="ar-SA"/>
              </w:rPr>
              <w:t>十、与《建筑垃圾污染控制技术规范》（HJ 1462</w:t>
            </w:r>
            <w:r>
              <w:rPr>
                <w:rFonts w:hint="eastAsia" w:ascii="Times New Roman" w:hAnsi="Times New Roman" w:eastAsia="宋体" w:cs="Times New Roman"/>
                <w:b/>
                <w:bCs/>
                <w:color w:val="auto"/>
                <w:sz w:val="24"/>
                <w:szCs w:val="21"/>
                <w:highlight w:val="none"/>
                <w:lang w:val="en-US" w:eastAsia="zh-CN" w:bidi="ar-SA"/>
              </w:rPr>
              <w:noBreakHyphen/>
            </w:r>
            <w:r>
              <w:rPr>
                <w:rFonts w:hint="eastAsia" w:ascii="Times New Roman" w:hAnsi="Times New Roman" w:eastAsia="宋体" w:cs="Times New Roman"/>
                <w:b/>
                <w:bCs/>
                <w:color w:val="auto"/>
                <w:sz w:val="24"/>
                <w:szCs w:val="21"/>
                <w:highlight w:val="none"/>
                <w:lang w:val="en-US" w:eastAsia="zh-CN" w:bidi="ar-SA"/>
              </w:rPr>
              <w:t>2026）符合性分析</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《建筑垃圾污染控制技术规范》（HJ 1462</w:t>
            </w:r>
            <w:r>
              <w:rPr>
                <w:rFonts w:hint="eastAsia" w:cs="Times New Roman"/>
                <w:color w:val="auto"/>
                <w:highlight w:val="none"/>
                <w:lang w:val="en-US" w:eastAsia="zh-CN"/>
              </w:rPr>
              <w:noBreakHyphen/>
            </w:r>
            <w:r>
              <w:rPr>
                <w:rFonts w:hint="eastAsia" w:cs="Times New Roman"/>
                <w:color w:val="auto"/>
                <w:highlight w:val="none"/>
                <w:lang w:val="en-US" w:eastAsia="zh-CN"/>
              </w:rPr>
              <w:t>2026）适用于建筑垃圾产生、收集、贮存、运输、利用、处置全过程污染控制，可作为建筑垃圾资源化项目环评、工程设计、竣工环保验收及运营管理的技术依据。本项目为建筑垃圾资源化利用项目，对照规范总体要求、收运贮存、生产利用、废水废气固废、监测及环境管理逐条符合性分析如下：</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1、总体及进厂物料管控规范要求：建筑垃圾源头分类，危险废物单独收集处置；资源化设施严禁接收生活垃圾、危险废物、有毒有害废弃物；选址避开生态保护红线、永久基本农田等敏感区域。本项目管控：①项目明确严禁接收生活垃圾、危险废物、有毒有害废弃物进厂，仅接收博湖县混凝土、砖石类建筑拆除垃圾；②项目选址为规划工业用地，不占用生态保护红线、永久基本农田、基本草原；不在开都河河道法定管理范围内，建筑垃圾全部密闭车间内贮存，无露天堆场，符合选址总体要求；③建立建筑垃圾进厂台账，记录来源、类别、数量，落实源头分类管控。</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结论：符合《建筑垃圾污染控制技术规范》（HJ 1462</w:t>
            </w:r>
            <w:r>
              <w:rPr>
                <w:rFonts w:hint="eastAsia" w:cs="Times New Roman"/>
                <w:color w:val="auto"/>
                <w:highlight w:val="none"/>
                <w:lang w:val="en-US" w:eastAsia="zh-CN"/>
              </w:rPr>
              <w:noBreakHyphen/>
            </w:r>
            <w:r>
              <w:rPr>
                <w:rFonts w:hint="eastAsia" w:cs="Times New Roman"/>
                <w:color w:val="auto"/>
                <w:highlight w:val="none"/>
                <w:lang w:val="en-US" w:eastAsia="zh-CN"/>
              </w:rPr>
              <w:t>2026）总体及物料准入要求。</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2、贮存设施污染控制规范要求：本项目建筑垃圾原料存放于厂区旁侧租用改造的现有厂房（原料库）内，成品骨料全部分区存放于资源化利用生产车间内部，不再设置露天原料堆场。租用厂房改造后的原料库实现全封闭防雨，彻底消除降雨直接冲刷建筑垃圾产生淋溶渗滤液风险；原料库地面按照一般防渗区改造建设，采用20cmC30抗渗混凝土+1.5mmHDPE防渗土工膜防渗。原料卸料、堆存点位设置雾炮喷雾抑尘；原料在原料库内分区存放，避免混堆。</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结论：贮存场所防雨、防渗、抑尘、分区堆放满足《建筑垃圾污染控制技术规范》（HJ 1462</w:t>
            </w:r>
            <w:r>
              <w:rPr>
                <w:rFonts w:hint="eastAsia" w:cs="Times New Roman"/>
                <w:color w:val="auto"/>
                <w:highlight w:val="none"/>
                <w:lang w:val="en-US" w:eastAsia="zh-CN"/>
              </w:rPr>
              <w:noBreakHyphen/>
            </w:r>
            <w:r>
              <w:rPr>
                <w:rFonts w:hint="eastAsia" w:cs="Times New Roman"/>
                <w:color w:val="auto"/>
                <w:highlight w:val="none"/>
                <w:lang w:val="en-US" w:eastAsia="zh-CN"/>
              </w:rPr>
              <w:t>2026）贮存污染控制要求。</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3、运输过程污染控制规范要求：建筑垃圾运输采取防扬散、防遗撒、防渗漏；车辆密闭篷布全覆盖；出场冲洗轮胎底盘，鼓励使用新能源、国六及以上运输车辆。</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本项目落实：①原料、再生骨料运输车辆全部密闭篷布全覆盖，严禁抛洒滴漏；厂区出入口设置洗车平台，所有货运车辆出厂必须冲洗轮胎底盘。②优先选用国六及以上排放标准车辆，严禁国三及以下老旧车辆进厂；厂区限速10km/h，厂区道路定期洒水清扫。</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结论：运输环节符合《建筑垃圾污染控制技术规范》（HJ1462</w:t>
            </w:r>
            <w:r>
              <w:rPr>
                <w:rFonts w:hint="eastAsia" w:cs="Times New Roman"/>
                <w:color w:val="auto"/>
                <w:highlight w:val="none"/>
                <w:lang w:val="en-US" w:eastAsia="zh-CN"/>
              </w:rPr>
              <w:noBreakHyphen/>
            </w:r>
            <w:r>
              <w:rPr>
                <w:rFonts w:hint="eastAsia" w:cs="Times New Roman"/>
                <w:color w:val="auto"/>
                <w:highlight w:val="none"/>
                <w:lang w:val="en-US" w:eastAsia="zh-CN"/>
              </w:rPr>
              <w:t>2026）运输污染控制要求。</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4、资源化利用生产过程污染控制规范要求：破碎、筛分等产尘工序采取密闭、集气、除尘抑尘措施；高噪声设备采取减振、隔声降噪；生产过程产生金属、轻物质、渣土等副产物分类收集，分别综合利用；危险废物单独规范暂存处置。</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本项目落实：①破碎、筛分、风选全部布置在全密闭钢结构生产车间；破碎、筛分产尘点位设置密闭集气罩，废气统一进入布袋除尘器处理后20m排气筒DA001排放；投料、出料、转载点位配套喷雾抑尘。②破碎机、筛分机、风机等高噪声设备布置于密闭厂房内部，设置减振基础，风机配置消声器，通过厂房隔声、距离衰减实现厂界噪声达标。③生产分选产出废金属、轻物质、渣土分类收集；废金属外售回收企业，轻物质外售综合回收，渣土外售综合利用；设备维保产生废机油、破损废油桶，作为危险废物，密闭存放于危废贮存点，定期委托资质单位处置。结论：本项目生产废气、噪声、副产物、危废管控符合《建筑垃圾污染控制技术规范》（HJ 1462</w:t>
            </w:r>
            <w:r>
              <w:rPr>
                <w:rFonts w:hint="eastAsia" w:cs="Times New Roman"/>
                <w:color w:val="auto"/>
                <w:highlight w:val="none"/>
                <w:lang w:val="en-US" w:eastAsia="zh-CN"/>
              </w:rPr>
              <w:noBreakHyphen/>
            </w:r>
            <w:r>
              <w:rPr>
                <w:rFonts w:hint="eastAsia" w:cs="Times New Roman"/>
                <w:color w:val="auto"/>
                <w:highlight w:val="none"/>
                <w:lang w:val="en-US" w:eastAsia="zh-CN"/>
              </w:rPr>
              <w:t>2026）利用处置污染控制要求。</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5、废水、渗滤液管控规范要求：建筑垃圾贮存、生产产生的渗滤液、冲洗废水应收集处理，优先回用，禁止未经处理外排；临近河湖的资源化设施要严防渗滤液流入地表水体。</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本项目落实：①本项目建筑垃圾全部密闭车间内存放，无露天堆场，不存在原料露天堆放产生的雨水淋溶渗滤液；车辆冲洗废水经沉淀池沉淀后100%循环回用，不外排。②生产喷雾抑尘用水全部蒸发损耗。③生活污水经防渗化粪池预处理后，密闭罐车转运至博湖县城镇污水处理厂处置，不直排地表水体。</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结论：废水收集处置满足《建筑垃圾污染控制技术规范》（HJ 1462</w:t>
            </w:r>
            <w:r>
              <w:rPr>
                <w:rFonts w:hint="eastAsia" w:cs="Times New Roman"/>
                <w:color w:val="auto"/>
                <w:highlight w:val="none"/>
                <w:lang w:val="en-US" w:eastAsia="zh-CN"/>
              </w:rPr>
              <w:noBreakHyphen/>
            </w:r>
            <w:r>
              <w:rPr>
                <w:rFonts w:hint="eastAsia" w:cs="Times New Roman"/>
                <w:color w:val="auto"/>
                <w:highlight w:val="none"/>
                <w:lang w:val="en-US" w:eastAsia="zh-CN"/>
              </w:rPr>
              <w:t>2026）废水污染控制要求。</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6、监测与环境管理规范要求：运营单位建立完整台账（进厂量、类别、产物去向、外运接收单位），台账保存不少于5年；开展废气例行监测；完善防渗、截排水设施巡检维护制度。</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本项目落实：①要求建设单位建立完整台账，包含建筑垃圾进厂台账、各类产物出厂转运销售台账，台账资料保存≥5年，可供生态环境主管部门核查。②落实自行监测计划：有组织废气、厂界无组织废气、厂界噪声定期监测；定期对车间防渗地面开展完整性检查。③建立巡检制度：定期检查沉淀池、危废贮存点防渗设施，汛期加密巡检。</w:t>
            </w:r>
          </w:p>
          <w:p>
            <w:pPr>
              <w:pStyle w:val="454"/>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综上，本项目从物料准入、密闭车间贮存、运输、资源化生产、废水防控、固废危废处置、监测台账管理等各个环节均满足《建筑垃圾污染控制技术规范》（HJ 1462</w:t>
            </w:r>
            <w:r>
              <w:rPr>
                <w:rFonts w:hint="eastAsia" w:cs="Times New Roman"/>
                <w:color w:val="auto"/>
                <w:highlight w:val="none"/>
                <w:lang w:val="en-US" w:eastAsia="zh-CN"/>
              </w:rPr>
              <w:noBreakHyphen/>
            </w:r>
            <w:r>
              <w:rPr>
                <w:rFonts w:hint="eastAsia" w:cs="Times New Roman"/>
                <w:color w:val="auto"/>
                <w:highlight w:val="none"/>
                <w:lang w:val="en-US" w:eastAsia="zh-CN"/>
              </w:rPr>
              <w:t>2026）各项污染控制技术要求。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default"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bCs/>
                <w:color w:val="auto"/>
                <w:sz w:val="24"/>
                <w:szCs w:val="21"/>
                <w:highlight w:val="none"/>
                <w:lang w:val="en-US" w:eastAsia="zh-CN" w:bidi="ar-SA"/>
              </w:rPr>
              <w:t>十三、与农业水污染重点管控区管控要求符合性分析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（1）管控要求1：</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严控生产、生活、淋溶废水向外环境排放，防止污水、渗滤液汇入开都河、博斯腾湖①生产用水：车辆冲洗废水经沉淀池沉淀后100%循环回用；破碎、车间喷雾抑尘用水全部自然蒸发，无生产废水产生；本项目取消露天原料堆场，建筑垃圾全部密闭原料库内存放，不存在建筑垃圾露天堆放产生的雨水淋溶废水；②生活污水：生活污水经10m³防渗化粪池预处理，定期密闭罐车转运至博湖县城镇污水处理厂，不设置雨水、污水合流管网，无生活污水直排河道通道；③全厂雨污分流：厂区建设两套独立管网</w:t>
            </w:r>
            <w:r>
              <w:rPr>
                <w:rFonts w:hint="eastAsia" w:ascii="Times New Roman" w:hAnsi="Times New Roman" w:eastAsia="宋体" w:cs="Times New Roman"/>
                <w:b w:val="0"/>
                <w:color w:val="auto"/>
                <w:sz w:val="24"/>
                <w:szCs w:val="21"/>
                <w:highlight w:val="none"/>
                <w:lang w:val="en-US" w:eastAsia="zh-CN" w:bidi="ar-SA"/>
              </w:rPr>
              <w:noBreakHyphen/>
            </w:r>
            <w:r>
              <w:rPr>
                <w:rFonts w:hint="eastAsia" w:ascii="Times New Roman" w:hAnsi="Times New Roman" w:eastAsia="宋体" w:cs="Times New Roman"/>
                <w:b w:val="0"/>
                <w:color w:val="auto"/>
                <w:sz w:val="24"/>
                <w:szCs w:val="21"/>
                <w:highlight w:val="none"/>
                <w:lang w:val="en-US" w:eastAsia="zh-CN" w:bidi="ar-SA"/>
              </w:rPr>
              <w:t>生产污水管网、雨水截流管网；生产污水全封闭循环，厂区雨水（不含建筑垃圾淋溶水）通过雨水截流管网导排；厂区无任何直排开都河的雨水口、排污口。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（2）管控要求2：</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管控区内工业项目必须完善分区防渗体系，防范固废渗滤液、物料渗漏污染土壤及地下水，间接汇入水系针对农业水污染重点管控区防渗升级要求，分级落实防渗标准，高于普通工业地块要求：①重点防渗区（危废贮存点）：等效黏土防渗层Mb≥6.0m，防渗层采用2mmHDPE防渗膜+防渗混凝土，防止废机油渗漏下渗、随地下水流入开都河流域；②一般防渗区（化粪池、沉淀池、原料库）：等效黏土防渗层Mb≥1.5m，采用双层防渗结构（膨润土防渗毯+抗渗混凝土）；③简单防渗区（厂区道路、生产车间）：全部20cm厚抗渗硬化地面，车间内墙设置30cm高防渗止水坎，防止物料、污水地面漫流；④固废全流程防渗暂存：一般固废分区封闭堆放，底部硬化防渗；除尘灰、渣土、金属全部密闭暂存，无露天散落渗滤条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（3）管控要求3：</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重点管控区临近河湖区域，需设置多级地表径流拦截缓冲设施，降低暴雨期面源水污染风险项目增设管控区强制缓冲防控工程：①厂区西侧临河设置15m宽本土植被生态缓冲带，拦截厂区地表径流泥沙、悬浮物；②全厂连续闭合截洪防渗沟贯通所有产污单元，暴雨天气全部厂区洁净雨水统一收集；③沉淀池增设两级溢流缓冲池，极端暴雨超容水体静置沉淀后回用，不存在泥水溢流进入开都河通道。</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（4）管控要求4：</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建立水污染突发风险全过程防控机制，管控区内企业需配套专项水环境应急物资、应急处置流程匹配农业水污染重点管控区风险管控硬性要求，新增专项管控措施：①厂区临河区域常备吸油毡、防渗沙袋、防渗薄膜、应急抽水泵，单独存放；②汛期执行每日2次厂区防渗、截沟巡检制度；③建立水环境台账：每月记录沉淀池、化粪池运行情况，每季度留存防渗层检修记录，生态环境部门可随时核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（5）叠加管控单元硬性指标约束及叠加环境影响分析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本管控单元本身存在农业化肥、泥沙等农业面源本底污染压力。本项目虽不属于农业污染源，但选址落在管控单元内；本项目取消露天建筑垃圾堆场，从源头消除建筑垃圾雨水淋溶带来SS污染风险；仅存环境风险为危废机油泄漏，若发生泄漏，石油类污染物；地下水自东向西补给开都河，渗漏污染物会随地下水流迁移，叠加区域地下水农业面源本底污染。管控单元硬性约束指标：污染物不出单元、径流不入河湖，不得新增直接/间接入河湖污染途径，控制入湖污染物通量。本项目从源头</w:t>
            </w:r>
            <w:r>
              <w:rPr>
                <w:rFonts w:hint="eastAsia" w:ascii="Times New Roman" w:hAnsi="Times New Roman" w:eastAsia="宋体" w:cs="Times New Roman"/>
                <w:b w:val="0"/>
                <w:color w:val="auto"/>
                <w:sz w:val="24"/>
                <w:szCs w:val="21"/>
                <w:highlight w:val="none"/>
                <w:lang w:val="en-US" w:eastAsia="zh-CN" w:bidi="ar-SA"/>
              </w:rPr>
              <w:noBreakHyphen/>
            </w:r>
            <w:r>
              <w:rPr>
                <w:rFonts w:hint="eastAsia" w:ascii="Times New Roman" w:hAnsi="Times New Roman" w:eastAsia="宋体" w:cs="Times New Roman"/>
                <w:b w:val="0"/>
                <w:color w:val="auto"/>
                <w:sz w:val="24"/>
                <w:szCs w:val="21"/>
                <w:highlight w:val="none"/>
                <w:lang w:val="en-US" w:eastAsia="zh-CN" w:bidi="ar-SA"/>
              </w:rPr>
              <w:t>过程</w:t>
            </w:r>
            <w:r>
              <w:rPr>
                <w:rFonts w:hint="eastAsia" w:ascii="Times New Roman" w:hAnsi="Times New Roman" w:eastAsia="宋体" w:cs="Times New Roman"/>
                <w:b w:val="0"/>
                <w:color w:val="auto"/>
                <w:sz w:val="24"/>
                <w:szCs w:val="21"/>
                <w:highlight w:val="none"/>
                <w:lang w:val="en-US" w:eastAsia="zh-CN" w:bidi="ar-SA"/>
              </w:rPr>
              <w:noBreakHyphen/>
            </w:r>
            <w:r>
              <w:rPr>
                <w:rFonts w:hint="eastAsia" w:ascii="Times New Roman" w:hAnsi="Times New Roman" w:eastAsia="宋体" w:cs="Times New Roman"/>
                <w:b w:val="0"/>
                <w:color w:val="auto"/>
                <w:sz w:val="24"/>
                <w:szCs w:val="21"/>
                <w:highlight w:val="none"/>
                <w:lang w:val="en-US" w:eastAsia="zh-CN" w:bidi="ar-SA"/>
              </w:rPr>
              <w:t>末端</w:t>
            </w:r>
            <w:r>
              <w:rPr>
                <w:rFonts w:hint="eastAsia" w:ascii="Times New Roman" w:hAnsi="Times New Roman" w:eastAsia="宋体" w:cs="Times New Roman"/>
                <w:b w:val="0"/>
                <w:color w:val="auto"/>
                <w:sz w:val="24"/>
                <w:szCs w:val="21"/>
                <w:highlight w:val="none"/>
                <w:lang w:val="en-US" w:eastAsia="zh-CN" w:bidi="ar-SA"/>
              </w:rPr>
              <w:noBreakHyphen/>
            </w:r>
            <w:r>
              <w:rPr>
                <w:rFonts w:hint="eastAsia" w:ascii="Times New Roman" w:hAnsi="Times New Roman" w:eastAsia="宋体" w:cs="Times New Roman"/>
                <w:b w:val="0"/>
                <w:color w:val="auto"/>
                <w:sz w:val="24"/>
                <w:szCs w:val="21"/>
                <w:highlight w:val="none"/>
                <w:lang w:val="en-US" w:eastAsia="zh-CN" w:bidi="ar-SA"/>
              </w:rPr>
              <w:t>事故兜底全链条防控，实现厂区潜在石油类入湖通量削减100%，不新增入湖污染负荷。①本项目所处查干诺尔乡东南农业水污染重点管控区（管控单元编码：ZH65282920008），该管控单元属于开都河博斯腾湖流域上游入湖前置防控单元，单元核心硬性管控目标：严控各类新增污染源废水、渗滤液、面源径流汇入开都河，最大限度削减悬浮物、石油类等污染物入湖通量，保障博斯腾湖流域水环境质量稳定达标；管控单元内工业建设项目需落实“污染物不出单元、径流不入河湖”的入湖防控硬性指标，不得新增直接/间接入河湖污染途径，强化渗滤液闭环收集处置，降低区域污染物入湖负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1）管控单元叠加不利影响识别本项目属于固体废物资源化利用项目，虽不属于农业类污染源，但选址落在农业水污染重点管控单元内；本项目无露天建筑垃圾堆场，消除建筑垃圾淋溶SS风险；仅存在危废泄漏带来石油类污染风险：①区域农业生产本身存在化肥、泥沙等面源污染物随地表径流汇入开都河博斯腾湖的本底污染压力；若项目危废发生泄漏，产生的石油类污染物，将与农业面源泥沙污染物叠加，进一步增大河道污染风险；②管控单元地下水径流整体向西排泄补给开都河，若厂区防渗破损，项目产生的渗滤液会随地下水迁移，与农业区地下水本底污染叠加，间接增加入湖污染物通量；③管控单元对入湖污染物实行总量约束，管控区内建设项目不得新增污染物入河湖贡献，项目即使无直接排污口，事故状态下的污染物外泄同样计入单元入湖污染负荷，需按照管控单元入湖防控硬性指标从严落实风险防控措施。</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2）针对管控单元入湖防控硬性指标的响应落实情况对照该农业水污染重点管控单元“严控污染物入河湖、削减入湖通量、防止新增入河污染途径”硬性防控指标，本项目落实如下响应措施：①污染物零外排响应：全厂生产抑尘废水、车辆冲洗废水全部闭环收集、沉淀回用，无生产废水外排；生活污水密闭罐车转运至城镇污水处理厂处置，不向管控单元内地表水体、地下含水层排放废水，不从源头新增入河/入湖污染物来源，满足管控单元“不新增入湖污染源”硬性指标。②面源径流拦截，削减入湖通量：厂区设置闭合环形截洪防渗沟、缓冲沉淀池、15m本土植被生态缓冲带、西侧硬质防渗挡水堤，对厂区全部地表径流实现100%收集截留，阻断厂区径流汇入开都河；实现厂区潜在石油类污染物入湖通量削减100%。③分区防渗阻断地下水叠加污染风险：严格执行高于普通工业地块的分区防渗标准，重点防渗区、一般防渗区防渗等级提升。④事故风险兜底防控，汛期强化巡检；即使发生极端事故，污染物全部截留在厂区内部，不向外释放进入管控单元水系，不增加管控单元入湖污染负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6）管控结论本项目虽位于查干诺尔乡东南农业水污染重点管控区，且临近开都河；项目取消露天建筑垃圾原料堆场，建筑垃圾全部存放于密闭原料库内，从根源上消除建筑垃圾雨水淋溶渗滤液风险；通过构建雨污分流闭环用水系统、分级高标准分区防渗、多级径流截蓄缓冲、临河生态拦截、专项水环境应急管控五大体系，从源头切断废水、渗滤液、面源污染物进入开都河</w:t>
            </w:r>
            <w:r>
              <w:rPr>
                <w:rFonts w:hint="eastAsia" w:ascii="Times New Roman" w:hAnsi="Times New Roman" w:eastAsia="宋体" w:cs="Times New Roman"/>
                <w:b w:val="0"/>
                <w:color w:val="auto"/>
                <w:sz w:val="24"/>
                <w:szCs w:val="21"/>
                <w:highlight w:val="none"/>
                <w:lang w:val="en-US" w:eastAsia="zh-CN" w:bidi="ar-SA"/>
              </w:rPr>
              <w:noBreakHyphen/>
            </w:r>
            <w:r>
              <w:rPr>
                <w:rFonts w:hint="eastAsia" w:ascii="Times New Roman" w:hAnsi="Times New Roman" w:eastAsia="宋体" w:cs="Times New Roman"/>
                <w:b w:val="0"/>
                <w:color w:val="auto"/>
                <w:sz w:val="24"/>
                <w:szCs w:val="21"/>
                <w:highlight w:val="none"/>
                <w:lang w:val="en-US" w:eastAsia="zh-CN" w:bidi="ar-SA"/>
              </w:rPr>
              <w:t>博斯腾湖水系的途径，满足农业水污染重点管控区所有水环境管控约束，不存在建筑垃圾淋溶水外排入河风险，项目选址在管控区内具备环境可行性。</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bCs/>
                <w:color w:val="auto"/>
                <w:sz w:val="24"/>
                <w:szCs w:val="21"/>
                <w:highlight w:val="none"/>
                <w:lang w:val="en-US" w:eastAsia="zh-CN" w:bidi="ar-SA"/>
              </w:rPr>
            </w:pPr>
            <w:r>
              <w:rPr>
                <w:rFonts w:hint="eastAsia" w:ascii="Times New Roman" w:hAnsi="Times New Roman" w:eastAsia="宋体" w:cs="Times New Roman"/>
                <w:b/>
                <w:bCs/>
                <w:color w:val="auto"/>
                <w:sz w:val="24"/>
                <w:szCs w:val="21"/>
                <w:highlight w:val="none"/>
                <w:lang w:val="en-US" w:eastAsia="zh-CN" w:bidi="ar-SA"/>
              </w:rPr>
              <w:t>十四、项目位于农业水污染重点管控区、临近开都河双重敏感区位水环境可行性论证</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本项目同时存在两大水环境约束：用地属于查干诺尔乡东南农业水污染重点管控区、厂区西侧距开都河岸线56m，区域管控核心目标为保护开都河-博斯腾湖流域水质，严防各类污染物入湖。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从产污端：项目无持续外排生产废水，通过原料分拣、湿法密闭生产大幅削减水污染物产生负荷，从源头降低对管控区水环境压力；</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从迁移端：全厂雨污分流、分级高标准防渗、临河围堰 + 截洪沟+生态缓冲带多层拦截，正常工况下不存在污染物进入河道的路径；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从风险端：汛期管控、突发水污染应急处置方案，暴雨、防渗破损等非正常工况下污染物可就地全部收集，无入河外泄风险；</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从长期管控：建立防渗检修、水环境巡检、应急演练长效管理制度，保障厂区水污染防控设施长期稳定运行。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管控单元叠加影响综合论证：本项目处在查干诺尔乡东南农业水污染重点管控单元内，面临“农业面源本底污染+项目工业类潜在污染”双重叠加风险，管控单元对入湖污染物通量、污染源管控有硬性约束。本项目通过源头削减产污、过程多级拦截、末端闭环回用、事故兜底截留的整套工程及管理措施，避免项目污染物与农业面源污染物发生协同叠加；落实管控单元“污染物不出单元、径流不入河湖”入湖防控硬性指标，厂区潜在SS、石油类污染物入湖通量实现削减，不会加重开都河</w:t>
            </w:r>
            <w:r>
              <w:rPr>
                <w:rFonts w:hint="eastAsia" w:ascii="Times New Roman" w:hAnsi="Times New Roman" w:eastAsia="宋体" w:cs="Times New Roman"/>
                <w:b w:val="0"/>
                <w:color w:val="auto"/>
                <w:sz w:val="24"/>
                <w:szCs w:val="21"/>
                <w:highlight w:val="none"/>
                <w:lang w:val="en-US" w:eastAsia="zh-CN" w:bidi="ar-SA"/>
              </w:rPr>
              <w:noBreakHyphen/>
            </w:r>
            <w:r>
              <w:rPr>
                <w:rFonts w:hint="eastAsia" w:ascii="Times New Roman" w:hAnsi="Times New Roman" w:eastAsia="宋体" w:cs="Times New Roman"/>
                <w:b w:val="0"/>
                <w:color w:val="auto"/>
                <w:sz w:val="24"/>
                <w:szCs w:val="21"/>
                <w:highlight w:val="none"/>
                <w:lang w:val="en-US" w:eastAsia="zh-CN" w:bidi="ar-SA"/>
              </w:rPr>
              <w:t>博斯腾湖流域污染负荷。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综上，项目构建全链条水污染阻断体系，能够稳定满足农业水污染重点管控区严苛水环境管控要求，临近开都河带来的水环境风险可防控，该选址具备水环境层面可行性。</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bCs/>
                <w:color w:val="auto"/>
                <w:sz w:val="24"/>
                <w:szCs w:val="21"/>
                <w:highlight w:val="none"/>
                <w:lang w:val="en-US" w:eastAsia="zh-CN" w:bidi="ar-SA"/>
              </w:rPr>
            </w:pPr>
            <w:r>
              <w:rPr>
                <w:rFonts w:hint="eastAsia" w:ascii="Times New Roman" w:hAnsi="Times New Roman" w:eastAsia="宋体" w:cs="Times New Roman"/>
                <w:b/>
                <w:bCs/>
                <w:color w:val="auto"/>
                <w:sz w:val="24"/>
                <w:szCs w:val="21"/>
                <w:highlight w:val="none"/>
                <w:lang w:val="en-US" w:eastAsia="zh-CN" w:bidi="ar-SA"/>
              </w:rPr>
              <w:t>十五、与塔里木河流域开都孔雀河水利管理中心选址复函（新塔开孔函〔2026〕175号）符合性分析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本项目已取得塔里木河流域开都孔雀河水利管理中心出具选址意见复函（新塔开孔函〔2026〕175号），复函原则同意本项目选址，项目落实复函全部管控要求，逐条符合性如下：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1、杜绝粉尘落入河道、渠道内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本项目全部破碎、筛分、卸料、堆存工序置于全密闭车间、密闭原料库内部；破碎筛分废气经集气罩+布袋除尘器处理；原料卸料、堆存点位设置雾炮喷淋抑尘；厂区西侧临河设置15m本土植被生态缓冲带，拦截随气流漂移的颗粒物；厂区大风天气时降低生产负荷，极端大风工况停止破碎、卸料作业；通过密闭生产、湿法抑尘、临河植被拦截等多重措施，最大限度避免粉尘落入开都河、北岸干渠渠道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2、废水、废液封闭式收集处理，严禁向河道直排或因废液渗漏污染水质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项目建筑垃圾全部密闭原料库贮存，源头消除雨水淋溶渗滤液；车辆冲洗全部沉淀池沉淀后闭环循环回用，无生产废水外排；生活污水经防渗化粪池预处理，密闭罐车转运至城镇污水处理厂处置，不存在向开都河、北岸干渠直排废水途径；全厂落实分区防渗，危废贮存点设置防渗围堰，配套应急物资；厂区西侧设置硬质防渗挡水堤、闭合截洪防渗沟，所有潜在泄漏污染物截留在厂区红线以内，防止废液渗漏进入河道、渠道。</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3、禁止在河滩地堆存、分拣建筑垃圾及渣土；采取必要措施防止建筑垃圾掉落渠道，如造成水质污染须承担全部责任并第一时间恢复渠道原状，消除影响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项目建设用地红线全部位于开都河外缘控制线外侧，不在河滩、河道管理范围、渠道管理范围内；项目所有建筑垃圾、渣土、废金属、轻物质全部在厂区密闭原料库、生产车间内贮存、分拣作业，严禁任何物料转运、堆存、分拣作业布置于河滩、渠道滩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运输路线管理：项目运输车辆优先选用博湖县建设的跨渠桥梁通行；严禁使用开都河第二分水枢纽北岸干渠巡护专用桥梁通行重型货运车辆，巡护专用桥梁仅用于小型轻型车辆通行。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本项目运输车辆全部密闭篷布全覆盖，车厢密闭，严禁建筑垃圾、渣土沿途抛洒掉落进入渠道。建设单位在环境管理规章制度中明确，若因本项目造成渠道、河道水质污染，建设单位承担全部责任，第一时间落实处置、恢复渠道原状，消除环境影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4、取水许可管理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本项目生产、生活用水全部取自市政供水管网，不取用开都河、北岸干渠等地表水体，无需办理取水许可手续；后期若项目需要取用地表水，建设单位要严格遵照《中华人民共和国水法》《取水许可和水资源费征收管理条例》，依法办理取水许可审批手续，严禁未经批准擅自取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5、相关部门意见征求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本项目前期工作阶段，已分别征求自然资源、水利（塔里木河流域开都孔雀河水利管理中心）等主管部门意见，取得《关于巴州博湖县建筑垃圾资源化利用建设项目符合〈博湖县国土空间总体规划（2021</w:t>
            </w:r>
            <w:r>
              <w:rPr>
                <w:rFonts w:hint="eastAsia" w:ascii="Times New Roman" w:hAnsi="Times New Roman" w:eastAsia="宋体" w:cs="Times New Roman"/>
                <w:b w:val="0"/>
                <w:color w:val="auto"/>
                <w:sz w:val="24"/>
                <w:szCs w:val="21"/>
                <w:highlight w:val="none"/>
                <w:lang w:val="en-US" w:eastAsia="zh-CN" w:bidi="ar-SA"/>
              </w:rPr>
              <w:noBreakHyphen/>
            </w:r>
            <w:r>
              <w:rPr>
                <w:rFonts w:hint="eastAsia" w:ascii="Times New Roman" w:hAnsi="Times New Roman" w:eastAsia="宋体" w:cs="Times New Roman"/>
                <w:b w:val="0"/>
                <w:color w:val="auto"/>
                <w:sz w:val="24"/>
                <w:szCs w:val="21"/>
                <w:highlight w:val="none"/>
                <w:lang w:val="en-US" w:eastAsia="zh-CN" w:bidi="ar-SA"/>
              </w:rPr>
              <w:t>2035年）〉的说明》《关于巴州博湖县建筑垃圾资源化利用项目选址意见的复函》（新塔开孔函〔2026〕175号）；后续建设过程中，按照管理要求完善林草、生态环境等相关手续。</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outlineLvl w:val="9"/>
              <w:rPr>
                <w:rFonts w:hint="eastAsia" w:ascii="Times New Roman" w:hAnsi="Times New Roman" w:eastAsia="宋体" w:cs="Times New Roman"/>
                <w:b w:val="0"/>
                <w:color w:val="auto"/>
                <w:sz w:val="24"/>
                <w:szCs w:val="21"/>
                <w:highlight w:val="none"/>
                <w:lang w:val="en-US" w:eastAsia="zh-CN" w:bidi="ar-SA"/>
              </w:rPr>
            </w:pPr>
            <w:r>
              <w:rPr>
                <w:rFonts w:hint="eastAsia" w:ascii="Times New Roman" w:hAnsi="Times New Roman" w:eastAsia="宋体" w:cs="Times New Roman"/>
                <w:b w:val="0"/>
                <w:color w:val="auto"/>
                <w:sz w:val="24"/>
                <w:szCs w:val="21"/>
                <w:highlight w:val="none"/>
                <w:lang w:val="en-US" w:eastAsia="zh-CN" w:bidi="ar-SA"/>
              </w:rPr>
              <w:t>结论：本项目建设全部落实新塔开孔函〔2026〕175号复函各项管控要求，符合水利部门选址意见。</w:t>
            </w:r>
          </w:p>
          <w:p>
            <w:pPr>
              <w:keepNext w:val="0"/>
              <w:keepLines w:val="0"/>
              <w:pageBreakBefore w:val="0"/>
              <w:widowControl/>
              <w:kinsoku/>
              <w:wordWrap/>
              <w:overflowPunct/>
              <w:topLinePunct w:val="0"/>
              <w:autoSpaceDE/>
              <w:autoSpaceDN/>
              <w:bidi w:val="0"/>
              <w:adjustRightInd/>
              <w:snapToGrid/>
              <w:spacing w:line="360" w:lineRule="auto"/>
              <w:ind w:firstLine="482"/>
              <w:outlineLvl w:val="9"/>
              <w:rPr>
                <w:rFonts w:hint="eastAsia" w:ascii="Times New Roman" w:hAnsi="Times New Roman" w:eastAsia="宋体" w:cs="Times New Roman"/>
                <w:b w:val="0"/>
                <w:color w:val="auto"/>
                <w:sz w:val="24"/>
                <w:szCs w:val="21"/>
                <w:highlight w:val="none"/>
                <w:lang w:val="en-US" w:eastAsia="zh-CN" w:bidi="ar-SA"/>
              </w:rPr>
            </w:pPr>
          </w:p>
          <w:p>
            <w:pPr>
              <w:adjustRightInd/>
              <w:snapToGrid/>
              <w:ind w:firstLine="0" w:firstLineChars="0"/>
              <w:rPr>
                <w:rFonts w:ascii="Times New Roman" w:hAnsi="Times New Roman" w:eastAsia="宋体" w:cs="Times New Roman"/>
                <w:color w:val="auto"/>
                <w:spacing w:val="0"/>
                <w:sz w:val="24"/>
                <w:szCs w:val="24"/>
              </w:rPr>
            </w:pPr>
          </w:p>
        </w:tc>
      </w:tr>
    </w:tbl>
    <w:p>
      <w:pPr>
        <w:pStyle w:val="50"/>
        <w:adjustRightInd/>
        <w:snapToGrid/>
        <w:spacing w:before="0" w:beforeAutospacing="0" w:after="0" w:afterAutospacing="0"/>
        <w:ind w:firstLine="0" w:firstLineChars="0"/>
        <w:jc w:val="center"/>
        <w:outlineLvl w:val="0"/>
        <w:rPr>
          <w:rFonts w:ascii="黑体" w:hAnsi="黑体" w:eastAsia="黑体" w:cs="黑体"/>
          <w:b/>
          <w:snapToGrid w:val="0"/>
          <w:color w:val="auto"/>
          <w:spacing w:val="0"/>
          <w:sz w:val="30"/>
          <w:szCs w:val="30"/>
        </w:rPr>
        <w:sectPr>
          <w:footerReference r:id="rId9" w:type="default"/>
          <w:pgSz w:w="11906" w:h="16838"/>
          <w:pgMar w:top="1440" w:right="1797" w:bottom="1440" w:left="179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pPr>
        <w:pStyle w:val="50"/>
        <w:adjustRightInd/>
        <w:snapToGrid/>
        <w:spacing w:before="0" w:beforeAutospacing="0" w:after="0" w:afterAutospacing="0"/>
        <w:ind w:firstLine="0" w:firstLineChars="0"/>
        <w:jc w:val="center"/>
        <w:outlineLvl w:val="0"/>
        <w:rPr>
          <w:rFonts w:eastAsia="宋体"/>
          <w:b/>
          <w:snapToGrid w:val="0"/>
          <w:color w:val="auto"/>
          <w:spacing w:val="0"/>
          <w:sz w:val="30"/>
          <w:szCs w:val="30"/>
        </w:rPr>
      </w:pPr>
      <w:r>
        <w:rPr>
          <w:rFonts w:hint="eastAsia" w:ascii="黑体" w:hAnsi="黑体" w:eastAsia="黑体" w:cs="黑体"/>
          <w:b/>
          <w:snapToGrid w:val="0"/>
          <w:color w:val="auto"/>
          <w:spacing w:val="0"/>
          <w:sz w:val="30"/>
          <w:szCs w:val="30"/>
        </w:rPr>
        <w:t>二、建设项目工程分析</w:t>
      </w:r>
    </w:p>
    <w:tbl>
      <w:tblPr>
        <w:tblStyle w:val="55"/>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15"/>
        <w:gridCol w:w="801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98" w:hRule="atLeast"/>
          <w:jc w:val="center"/>
        </w:trPr>
        <w:tc>
          <w:tcPr>
            <w:tcW w:w="302" w:type="pct"/>
            <w:vAlign w:val="center"/>
          </w:tcPr>
          <w:p>
            <w:pPr>
              <w:pStyle w:val="50"/>
              <w:adjustRightInd/>
              <w:snapToGrid/>
              <w:spacing w:before="0" w:beforeAutospacing="0" w:after="0" w:afterAutospacing="0" w:line="240" w:lineRule="auto"/>
              <w:ind w:firstLine="0" w:firstLineChars="0"/>
              <w:jc w:val="center"/>
              <w:rPr>
                <w:rFonts w:ascii="Times New Roman" w:hAnsi="Times New Roman"/>
                <w:color w:val="auto"/>
                <w:spacing w:val="0"/>
                <w:sz w:val="21"/>
                <w:szCs w:val="21"/>
              </w:rPr>
            </w:pPr>
            <w:r>
              <w:rPr>
                <w:rFonts w:hint="eastAsia" w:eastAsia="宋体"/>
                <w:color w:val="auto"/>
                <w:spacing w:val="0"/>
              </w:rPr>
              <w:t>建设内容</w:t>
            </w:r>
          </w:p>
        </w:tc>
        <w:tc>
          <w:tcPr>
            <w:tcW w:w="4697" w:type="pct"/>
          </w:tcPr>
          <w:p>
            <w:pPr>
              <w:pStyle w:val="163"/>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rPr>
                <w:rFonts w:hint="default" w:eastAsia="宋体"/>
                <w:color w:val="auto"/>
                <w:sz w:val="24"/>
                <w:szCs w:val="24"/>
                <w:lang w:val="en-US" w:eastAsia="zh-CN"/>
              </w:rPr>
            </w:pPr>
            <w:r>
              <w:rPr>
                <w:rFonts w:hint="eastAsia" w:ascii="Times New Roman" w:hAnsi="Times New Roman" w:eastAsia="宋体" w:cs="Times New Roman"/>
                <w:b/>
                <w:bCs/>
                <w:color w:val="auto"/>
                <w:spacing w:val="0"/>
                <w:sz w:val="24"/>
                <w:szCs w:val="24"/>
              </w:rPr>
              <w:t>1、</w:t>
            </w:r>
            <w:r>
              <w:rPr>
                <w:rFonts w:hint="eastAsia" w:ascii="Times New Roman" w:hAnsi="Times New Roman" w:eastAsia="宋体" w:cs="Times New Roman"/>
                <w:b/>
                <w:bCs/>
                <w:color w:val="auto"/>
                <w:spacing w:val="0"/>
                <w:sz w:val="24"/>
                <w:szCs w:val="24"/>
                <w:lang w:val="en-US" w:eastAsia="zh-CN"/>
              </w:rPr>
              <w:t>项目建设内容及规模</w:t>
            </w:r>
          </w:p>
          <w:p>
            <w:pPr>
              <w:pStyle w:val="454"/>
              <w:keepNext w:val="0"/>
              <w:keepLines w:val="0"/>
              <w:pageBreakBefore w:val="0"/>
              <w:widowControl w:val="0"/>
              <w:kinsoku/>
              <w:wordWrap/>
              <w:overflowPunct/>
              <w:topLinePunct w:val="0"/>
              <w:autoSpaceDE/>
              <w:autoSpaceDN/>
              <w:bidi w:val="0"/>
              <w:adjustRightInd/>
              <w:snapToGrid/>
              <w:rPr>
                <w:rFonts w:hint="eastAsia"/>
                <w:color w:val="auto"/>
                <w:highlight w:val="none"/>
                <w:lang w:val="en-US" w:eastAsia="zh-CN"/>
              </w:rPr>
            </w:pPr>
            <w:r>
              <w:rPr>
                <w:rFonts w:hint="eastAsia"/>
                <w:color w:val="auto"/>
                <w:highlight w:val="none"/>
                <w:lang w:val="en-US" w:eastAsia="zh-CN"/>
              </w:rPr>
              <w:t>（1）地理位置及周边关系</w:t>
            </w:r>
          </w:p>
          <w:p>
            <w:pPr>
              <w:pStyle w:val="454"/>
              <w:keepNext w:val="0"/>
              <w:keepLines w:val="0"/>
              <w:pageBreakBefore w:val="0"/>
              <w:widowControl w:val="0"/>
              <w:kinsoku/>
              <w:wordWrap/>
              <w:overflowPunct/>
              <w:topLinePunct w:val="0"/>
              <w:autoSpaceDE/>
              <w:autoSpaceDN/>
              <w:bidi w:val="0"/>
              <w:adjustRightInd/>
              <w:snapToGrid/>
              <w:rPr>
                <w:rFonts w:hint="eastAsia"/>
                <w:color w:val="auto"/>
                <w:highlight w:val="none"/>
                <w:lang w:val="en-US" w:eastAsia="zh-CN"/>
              </w:rPr>
            </w:pPr>
            <w:r>
              <w:rPr>
                <w:color w:val="auto"/>
                <w:highlight w:val="none"/>
                <w:lang w:val="en-US" w:eastAsia="zh-CN"/>
              </w:rPr>
              <w:t>本项目位于博湖县G218国道南侧鸿发CNG加气站西南，鑫新建材加工厂以东，厂区地理位置中心坐标为：。地理位置见附图2。厂区南侧20m处为本布图镇养殖场，该养殖场已闲置多年，现状无畜禽养殖活动，场内无存栏畜禽，不存在畜禽粪便堆存、恶臭、疫病等污染源，不属于运营状态下的环境敏感目标；厂区西邻博林木业；厂区北侧为博湖县鑫新建材有限公司。本项目原料库租用项目厂区旁侧现有闲置厂房作为建筑垃圾原料贮存场所，租赁厂房与本项目生产车间紧邻。周边环境关系图见附图3。</w:t>
            </w:r>
          </w:p>
          <w:p>
            <w:pPr>
              <w:pStyle w:val="454"/>
              <w:keepNext w:val="0"/>
              <w:keepLines w:val="0"/>
              <w:pageBreakBefore w:val="0"/>
              <w:widowControl w:val="0"/>
              <w:kinsoku/>
              <w:wordWrap/>
              <w:overflowPunct/>
              <w:topLinePunct w:val="0"/>
              <w:autoSpaceDE/>
              <w:autoSpaceDN/>
              <w:bidi w:val="0"/>
              <w:adjustRightInd/>
              <w:snapToGrid/>
              <w:rPr>
                <w:color w:val="auto"/>
                <w:highlight w:val="none"/>
                <w:lang w:val="en-US" w:eastAsia="zh-CN"/>
              </w:rPr>
            </w:pPr>
            <w:r>
              <w:rPr>
                <w:color w:val="auto"/>
                <w:highlight w:val="none"/>
                <w:lang w:val="en-US" w:eastAsia="zh-CN"/>
              </w:rPr>
              <w:t>（2）建设规模及内容</w:t>
            </w:r>
          </w:p>
          <w:p>
            <w:pPr>
              <w:pStyle w:val="454"/>
              <w:keepNext w:val="0"/>
              <w:keepLines w:val="0"/>
              <w:pageBreakBefore w:val="0"/>
              <w:widowControl w:val="0"/>
              <w:kinsoku/>
              <w:wordWrap/>
              <w:overflowPunct/>
              <w:topLinePunct w:val="0"/>
              <w:autoSpaceDE/>
              <w:autoSpaceDN/>
              <w:bidi w:val="0"/>
              <w:adjustRightInd/>
              <w:snapToGrid/>
              <w:rPr>
                <w:rFonts w:hint="eastAsia"/>
                <w:color w:val="auto"/>
                <w:highlight w:val="none"/>
                <w:lang w:val="en-US" w:eastAsia="zh-CN"/>
              </w:rPr>
            </w:pPr>
            <w:r>
              <w:rPr>
                <w:rFonts w:hint="eastAsia"/>
                <w:color w:val="auto"/>
                <w:highlight w:val="none"/>
                <w:lang w:val="en-US" w:eastAsia="zh-CN"/>
              </w:rPr>
              <w:t>新建年回收量5万吨的建筑垃圾处理厂1座，购置相关配套附属设备。建成后年处理5万吨建筑垃圾，可生产3.5万吨砂石骨料/年。</w:t>
            </w:r>
          </w:p>
          <w:p>
            <w:pPr>
              <w:pStyle w:val="2"/>
              <w:keepNext w:val="0"/>
              <w:keepLines w:val="0"/>
              <w:pageBreakBefore w:val="0"/>
              <w:widowControl w:val="0"/>
              <w:kinsoku/>
              <w:wordWrap/>
              <w:overflowPunct/>
              <w:topLinePunct w:val="0"/>
              <w:autoSpaceDE/>
              <w:autoSpaceDN/>
              <w:bidi w:val="0"/>
              <w:adjustRightInd/>
              <w:snapToGrid/>
              <w:spacing w:line="360" w:lineRule="auto"/>
              <w:ind w:firstLine="480"/>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lang w:val="en-US" w:eastAsia="zh-CN"/>
              </w:rPr>
              <w:t>本</w:t>
            </w:r>
            <w:r>
              <w:rPr>
                <w:rFonts w:hint="eastAsia" w:ascii="Times New Roman" w:hAnsi="Times New Roman" w:eastAsia="宋体" w:cs="Times New Roman"/>
                <w:color w:val="auto"/>
                <w:spacing w:val="0"/>
                <w:sz w:val="24"/>
                <w:szCs w:val="24"/>
              </w:rPr>
              <w:t>项目主要建设内容见表2-</w:t>
            </w:r>
            <w:r>
              <w:rPr>
                <w:rFonts w:hint="eastAsia" w:ascii="Times New Roman" w:hAnsi="Times New Roman" w:eastAsia="宋体" w:cs="Times New Roman"/>
                <w:color w:val="auto"/>
                <w:spacing w:val="0"/>
                <w:sz w:val="24"/>
                <w:szCs w:val="24"/>
                <w:lang w:val="en-US" w:eastAsia="zh-CN"/>
              </w:rPr>
              <w:t>1</w:t>
            </w:r>
            <w:r>
              <w:rPr>
                <w:rFonts w:hint="eastAsia" w:ascii="Times New Roman" w:hAnsi="Times New Roman" w:eastAsia="宋体" w:cs="Times New Roman"/>
                <w:color w:val="auto"/>
                <w:spacing w:val="0"/>
                <w:sz w:val="24"/>
                <w:szCs w:val="24"/>
              </w:rPr>
              <w:t>。</w:t>
            </w:r>
          </w:p>
          <w:p>
            <w:pPr>
              <w:pStyle w:val="115"/>
              <w:keepNext w:val="0"/>
              <w:keepLines w:val="0"/>
              <w:pageBreakBefore w:val="0"/>
              <w:widowControl w:val="0"/>
              <w:kinsoku/>
              <w:wordWrap/>
              <w:overflowPunct/>
              <w:topLinePunct w:val="0"/>
              <w:autoSpaceDE/>
              <w:autoSpaceDN/>
              <w:bidi w:val="0"/>
              <w:adjustRightInd/>
              <w:snapToGrid/>
              <w:ind w:firstLine="0" w:firstLineChars="0"/>
              <w:textAlignment w:val="auto"/>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表2-</w:t>
            </w:r>
            <w:r>
              <w:rPr>
                <w:rFonts w:hint="eastAsia" w:ascii="Times New Roman" w:hAnsi="Times New Roman" w:eastAsia="宋体" w:cs="Times New Roman"/>
                <w:color w:val="auto"/>
                <w:spacing w:val="0"/>
                <w:sz w:val="21"/>
                <w:lang w:val="en-US" w:eastAsia="zh-CN"/>
              </w:rPr>
              <w:t>1</w:t>
            </w:r>
            <w:r>
              <w:rPr>
                <w:rFonts w:ascii="Times New Roman" w:hAnsi="Times New Roman" w:eastAsia="宋体" w:cs="Times New Roman"/>
                <w:color w:val="auto"/>
                <w:spacing w:val="0"/>
                <w:sz w:val="21"/>
              </w:rPr>
              <w:t xml:space="preserve"> </w:t>
            </w:r>
            <w:r>
              <w:rPr>
                <w:rFonts w:hint="eastAsia" w:ascii="Times New Roman" w:hAnsi="Times New Roman" w:eastAsia="宋体" w:cs="Times New Roman"/>
                <w:color w:val="auto"/>
                <w:spacing w:val="0"/>
                <w:sz w:val="21"/>
              </w:rPr>
              <w:t>本项目</w:t>
            </w:r>
            <w:r>
              <w:rPr>
                <w:rFonts w:hint="eastAsia" w:ascii="Times New Roman" w:hAnsi="Times New Roman" w:eastAsia="宋体" w:cs="Times New Roman"/>
                <w:bCs/>
                <w:color w:val="auto"/>
                <w:spacing w:val="0"/>
                <w:sz w:val="21"/>
              </w:rPr>
              <w:t>主要建设内容一览表</w:t>
            </w:r>
          </w:p>
          <w:tbl>
            <w:tblPr>
              <w:tblStyle w:val="55"/>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0"/>
              <w:gridCol w:w="888"/>
              <w:gridCol w:w="1948"/>
              <w:gridCol w:w="422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trPr>
              <w:tc>
                <w:tcPr>
                  <w:tcW w:w="456" w:type="pct"/>
                  <w:vAlign w:val="center"/>
                </w:tcPr>
                <w:p>
                  <w:pPr>
                    <w:pStyle w:val="115"/>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rPr>
                    <w:t>项目组成</w:t>
                  </w:r>
                </w:p>
              </w:tc>
              <w:tc>
                <w:tcPr>
                  <w:tcW w:w="4543" w:type="pct"/>
                  <w:gridSpan w:val="3"/>
                  <w:vAlign w:val="center"/>
                </w:tcPr>
                <w:p>
                  <w:pPr>
                    <w:pStyle w:val="168"/>
                    <w:keepNext w:val="0"/>
                    <w:keepLines/>
                    <w:pageBreakBefore w:val="0"/>
                    <w:kinsoku/>
                    <w:wordWrap/>
                    <w:overflowPunct/>
                    <w:topLinePunct w:val="0"/>
                    <w:autoSpaceDE/>
                    <w:autoSpaceDN/>
                    <w:bidi w:val="0"/>
                    <w:adjustRightInd w:val="0"/>
                    <w:snapToGrid w:val="0"/>
                    <w:spacing w:line="240" w:lineRule="auto"/>
                    <w:ind w:firstLine="0" w:firstLineChars="0"/>
                    <w:contextualSpacing/>
                    <w:jc w:val="center"/>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rPr>
                    <w:t>建设内容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Align w:val="center"/>
                </w:tcPr>
                <w:p>
                  <w:pPr>
                    <w:pStyle w:val="115"/>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rPr>
                    <w:t>主体工程</w:t>
                  </w:r>
                </w:p>
              </w:tc>
              <w:tc>
                <w:tcPr>
                  <w:tcW w:w="571" w:type="pct"/>
                  <w:vAlign w:val="center"/>
                </w:tcPr>
                <w:p>
                  <w:pPr>
                    <w:pStyle w:val="168"/>
                    <w:keepNext w:val="0"/>
                    <w:keepLines/>
                    <w:pageBreakBefore w:val="0"/>
                    <w:widowControl/>
                    <w:kinsoku/>
                    <w:wordWrap/>
                    <w:overflowPunct/>
                    <w:topLinePunct w:val="0"/>
                    <w:autoSpaceDE/>
                    <w:autoSpaceDN/>
                    <w:bidi w:val="0"/>
                    <w:adjustRightInd w:val="0"/>
                    <w:snapToGrid w:val="0"/>
                    <w:spacing w:line="240" w:lineRule="auto"/>
                    <w:ind w:firstLine="0" w:firstLineChars="0"/>
                    <w:contextualSpacing/>
                    <w:jc w:val="center"/>
                    <w:rPr>
                      <w:rFonts w:hint="eastAsia" w:ascii="Times New Roman" w:hAnsi="Times New Roman" w:eastAsia="宋体" w:cs="Times New Roman"/>
                      <w:b w:val="0"/>
                      <w:bCs w:val="0"/>
                      <w:color w:val="auto"/>
                      <w:spacing w:val="0"/>
                      <w:sz w:val="21"/>
                      <w:szCs w:val="21"/>
                      <w:lang w:eastAsia="zh-CN"/>
                    </w:rPr>
                  </w:pPr>
                  <w:r>
                    <w:rPr>
                      <w:rFonts w:hint="eastAsia" w:cs="Times New Roman"/>
                      <w:b w:val="0"/>
                      <w:bCs w:val="0"/>
                      <w:color w:val="auto"/>
                      <w:spacing w:val="0"/>
                      <w:sz w:val="21"/>
                      <w:szCs w:val="21"/>
                      <w:lang w:val="en-US" w:eastAsia="zh-CN"/>
                    </w:rPr>
                    <w:t>主要生产单元</w:t>
                  </w:r>
                </w:p>
              </w:tc>
              <w:tc>
                <w:tcPr>
                  <w:tcW w:w="3971" w:type="pct"/>
                  <w:gridSpan w:val="2"/>
                  <w:vAlign w:val="center"/>
                </w:tcPr>
                <w:p>
                  <w:pPr>
                    <w:pStyle w:val="168"/>
                    <w:keepNext w:val="0"/>
                    <w:keepLines/>
                    <w:pageBreakBefore w:val="0"/>
                    <w:widowControl/>
                    <w:kinsoku/>
                    <w:wordWrap/>
                    <w:overflowPunct/>
                    <w:topLinePunct w:val="0"/>
                    <w:autoSpaceDE/>
                    <w:autoSpaceDN/>
                    <w:bidi w:val="0"/>
                    <w:adjustRightInd w:val="0"/>
                    <w:snapToGrid w:val="0"/>
                    <w:spacing w:line="240" w:lineRule="auto"/>
                    <w:ind w:firstLine="0" w:firstLineChars="0"/>
                    <w:contextualSpacing/>
                    <w:jc w:val="both"/>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lang w:val="en-US" w:eastAsia="zh-CN"/>
                    </w:rPr>
                    <w:t>生产车间1间，钢结构，地上1层，占地面积</w:t>
                  </w:r>
                  <w:r>
                    <w:rPr>
                      <w:rFonts w:hint="eastAsia" w:cs="Times New Roman"/>
                      <w:b w:val="0"/>
                      <w:bCs w:val="0"/>
                      <w:color w:val="auto"/>
                      <w:spacing w:val="0"/>
                      <w:sz w:val="21"/>
                      <w:szCs w:val="21"/>
                      <w:lang w:val="en-US" w:eastAsia="zh-CN"/>
                    </w:rPr>
                    <w:t>2263.65</w:t>
                  </w:r>
                  <w:r>
                    <w:rPr>
                      <w:rFonts w:hint="default" w:ascii="Times New Roman" w:hAnsi="Times New Roman" w:eastAsia="宋体" w:cs="Times New Roman"/>
                      <w:b w:val="0"/>
                      <w:bCs w:val="0"/>
                      <w:color w:val="auto"/>
                      <w:spacing w:val="0"/>
                      <w:sz w:val="21"/>
                      <w:szCs w:val="21"/>
                      <w:lang w:val="en-US" w:eastAsia="zh-CN"/>
                    </w:rPr>
                    <w:t>m</w:t>
                  </w:r>
                  <w:r>
                    <w:rPr>
                      <w:rFonts w:hint="default" w:ascii="Times New Roman" w:hAnsi="Times New Roman" w:eastAsia="宋体" w:cs="Times New Roman"/>
                      <w:b w:val="0"/>
                      <w:bCs w:val="0"/>
                      <w:color w:val="auto"/>
                      <w:spacing w:val="0"/>
                      <w:sz w:val="21"/>
                      <w:szCs w:val="21"/>
                      <w:vertAlign w:val="superscript"/>
                      <w:lang w:val="en-US" w:eastAsia="zh-CN"/>
                    </w:rPr>
                    <w:t>2</w:t>
                  </w:r>
                  <w:r>
                    <w:rPr>
                      <w:rFonts w:hint="default" w:ascii="Times New Roman" w:hAnsi="Times New Roman" w:eastAsia="宋体" w:cs="Times New Roman"/>
                      <w:b w:val="0"/>
                      <w:bCs w:val="0"/>
                      <w:color w:val="auto"/>
                      <w:spacing w:val="0"/>
                      <w:sz w:val="21"/>
                      <w:szCs w:val="21"/>
                      <w:lang w:val="en-US" w:eastAsia="zh-CN"/>
                    </w:rPr>
                    <w:t>，内含1条年处理5万吨建筑垃圾生产线</w:t>
                  </w:r>
                  <w:r>
                    <w:rPr>
                      <w:rFonts w:hint="default" w:ascii="Times New Roman" w:hAnsi="Times New Roman" w:eastAsia="宋体" w:cs="Times New Roman"/>
                      <w:b w:val="0"/>
                      <w:bCs w:val="0"/>
                      <w:color w:val="auto"/>
                      <w:spacing w:val="0"/>
                      <w:sz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trPr>
              <w:tc>
                <w:tcPr>
                  <w:tcW w:w="456" w:type="pct"/>
                  <w:vAlign w:val="center"/>
                </w:tcPr>
                <w:p>
                  <w:pPr>
                    <w:pStyle w:val="162"/>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pacing w:val="0"/>
                      <w:sz w:val="21"/>
                      <w:szCs w:val="21"/>
                      <w:lang w:val="en-US" w:eastAsia="zh-CN"/>
                    </w:rPr>
                    <w:t>储运工程</w:t>
                  </w:r>
                </w:p>
              </w:tc>
              <w:tc>
                <w:tcPr>
                  <w:tcW w:w="571" w:type="pct"/>
                  <w:vAlign w:val="center"/>
                </w:tcPr>
                <w:p>
                  <w:pPr>
                    <w:pStyle w:val="168"/>
                    <w:keepNext w:val="0"/>
                    <w:keepLines/>
                    <w:pageBreakBefore w:val="0"/>
                    <w:widowControl/>
                    <w:kinsoku/>
                    <w:wordWrap/>
                    <w:overflowPunct/>
                    <w:topLinePunct w:val="0"/>
                    <w:autoSpaceDE/>
                    <w:autoSpaceDN/>
                    <w:bidi w:val="0"/>
                    <w:adjustRightInd w:val="0"/>
                    <w:snapToGrid w:val="0"/>
                    <w:spacing w:line="240" w:lineRule="auto"/>
                    <w:ind w:firstLine="0" w:firstLineChars="0"/>
                    <w:contextualSpacing/>
                    <w:jc w:val="center"/>
                    <w:rPr>
                      <w:rFonts w:hint="default"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原料库</w:t>
                  </w:r>
                </w:p>
              </w:tc>
              <w:tc>
                <w:tcPr>
                  <w:tcW w:w="3971" w:type="pct"/>
                  <w:gridSpan w:val="2"/>
                  <w:vAlign w:val="center"/>
                </w:tcPr>
                <w:p>
                  <w:pPr>
                    <w:pStyle w:val="168"/>
                    <w:keepNext w:val="0"/>
                    <w:keepLines/>
                    <w:pageBreakBefore w:val="0"/>
                    <w:widowControl/>
                    <w:kinsoku/>
                    <w:wordWrap/>
                    <w:overflowPunct/>
                    <w:topLinePunct w:val="0"/>
                    <w:autoSpaceDE/>
                    <w:autoSpaceDN/>
                    <w:bidi w:val="0"/>
                    <w:adjustRightInd w:val="0"/>
                    <w:snapToGrid w:val="0"/>
                    <w:spacing w:line="240" w:lineRule="auto"/>
                    <w:ind w:firstLine="0" w:firstLineChars="0"/>
                    <w:contextualSpacing/>
                    <w:jc w:val="both"/>
                    <w:rPr>
                      <w:rFonts w:hint="default"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租赁现有车间作为本项目原料库，建筑面积约873.21m</w:t>
                  </w:r>
                  <w:r>
                    <w:rPr>
                      <w:rFonts w:hint="eastAsia" w:cs="Times New Roman"/>
                      <w:b w:val="0"/>
                      <w:bCs w:val="0"/>
                      <w:color w:val="auto"/>
                      <w:spacing w:val="0"/>
                      <w:sz w:val="21"/>
                      <w:szCs w:val="21"/>
                      <w:vertAlign w:val="superscript"/>
                      <w:lang w:val="en-US" w:eastAsia="zh-CN"/>
                    </w:rPr>
                    <w:t>2</w:t>
                  </w:r>
                  <w:r>
                    <w:rPr>
                      <w:rFonts w:hint="eastAsia" w:cs="Times New Roman"/>
                      <w:b w:val="0"/>
                      <w:bCs w:val="0"/>
                      <w:color w:val="auto"/>
                      <w:spacing w:val="0"/>
                      <w:sz w:val="21"/>
                      <w:szCs w:val="21"/>
                      <w:lang w:val="en-US" w:eastAsia="zh-CN"/>
                    </w:rPr>
                    <w:t>，钢结构密闭库房；内设原料堆存区；配套库内雾炮喷淋抑尘、密闭卷帘大门；地面做一般防渗（20cmC30抗渗混凝土+1.5mmHDPE防渗土工膜）；建筑垃圾原料卸料、堆存暂存全部在密闭原料库内；</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trPr>
              <w:tc>
                <w:tcPr>
                  <w:tcW w:w="456" w:type="pct"/>
                  <w:vMerge w:val="restart"/>
                  <w:vAlign w:val="center"/>
                </w:tcPr>
                <w:p>
                  <w:pPr>
                    <w:pStyle w:val="162"/>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pacing w:val="0"/>
                      <w:sz w:val="21"/>
                      <w:szCs w:val="21"/>
                      <w:lang w:val="en-US" w:eastAsia="zh-CN"/>
                    </w:rPr>
                    <w:t>辅助工程</w:t>
                  </w:r>
                </w:p>
              </w:tc>
              <w:tc>
                <w:tcPr>
                  <w:tcW w:w="571" w:type="pct"/>
                  <w:vAlign w:val="center"/>
                </w:tcPr>
                <w:p>
                  <w:pPr>
                    <w:pStyle w:val="162"/>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控制室</w:t>
                  </w:r>
                </w:p>
              </w:tc>
              <w:tc>
                <w:tcPr>
                  <w:tcW w:w="3971" w:type="pct"/>
                  <w:gridSpan w:val="2"/>
                  <w:vAlign w:val="center"/>
                </w:tcPr>
                <w:p>
                  <w:pPr>
                    <w:pStyle w:val="109"/>
                    <w:keepNext w:val="0"/>
                    <w:pageBreakBefore w:val="0"/>
                    <w:kinsoku/>
                    <w:wordWrap/>
                    <w:overflowPunct/>
                    <w:topLinePunct w:val="0"/>
                    <w:autoSpaceDE/>
                    <w:autoSpaceDN/>
                    <w:bidi w:val="0"/>
                    <w:adjustRightInd w:val="0"/>
                    <w:snapToGrid w:val="0"/>
                    <w:ind w:firstLine="0" w:firstLineChars="0"/>
                    <w:jc w:val="center"/>
                    <w:rPr>
                      <w:rFonts w:hint="default" w:ascii="Times New Roman" w:hAnsi="Times New Roman" w:eastAsia="宋体" w:cs="Times New Roman"/>
                      <w:b w:val="0"/>
                      <w:bCs w:val="0"/>
                      <w:color w:val="auto"/>
                      <w:spacing w:val="-6"/>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用于职工办公</w:t>
                  </w:r>
                  <w:r>
                    <w:rPr>
                      <w:rFonts w:hint="eastAsia" w:cs="Times New Roman"/>
                      <w:b w:val="0"/>
                      <w:bCs w:val="0"/>
                      <w:color w:val="auto"/>
                      <w:sz w:val="21"/>
                      <w:szCs w:val="21"/>
                      <w:highlight w:val="none"/>
                      <w:lang w:val="en-US" w:eastAsia="zh-CN"/>
                    </w:rPr>
                    <w:t>、车间配电及控制</w:t>
                  </w:r>
                  <w:r>
                    <w:rPr>
                      <w:rFonts w:hint="default" w:ascii="Times New Roman" w:hAnsi="Times New Roman" w:eastAsia="宋体" w:cs="Times New Roman"/>
                      <w:b w:val="0"/>
                      <w:bCs w:val="0"/>
                      <w:color w:val="auto"/>
                      <w:sz w:val="21"/>
                      <w:szCs w:val="21"/>
                      <w:highlight w:val="none"/>
                      <w:lang w:val="en-US" w:eastAsia="zh-CN"/>
                    </w:rPr>
                    <w:t>，占地面积</w:t>
                  </w:r>
                  <w:r>
                    <w:rPr>
                      <w:rFonts w:hint="eastAsia" w:cs="Times New Roman"/>
                      <w:b w:val="0"/>
                      <w:bCs w:val="0"/>
                      <w:color w:val="auto"/>
                      <w:sz w:val="21"/>
                      <w:szCs w:val="21"/>
                      <w:highlight w:val="none"/>
                      <w:lang w:val="en-US" w:eastAsia="zh-CN"/>
                    </w:rPr>
                    <w:t>113.78</w:t>
                  </w:r>
                  <w:r>
                    <w:rPr>
                      <w:rFonts w:hint="default" w:ascii="Times New Roman" w:hAnsi="Times New Roman" w:eastAsia="宋体" w:cs="Times New Roman"/>
                      <w:b w:val="0"/>
                      <w:bCs w:val="0"/>
                      <w:color w:val="auto"/>
                      <w:sz w:val="21"/>
                      <w:szCs w:val="21"/>
                      <w:highlight w:val="none"/>
                      <w:lang w:val="en-US" w:eastAsia="zh-CN"/>
                    </w:rPr>
                    <w:t>m</w:t>
                  </w:r>
                  <w:r>
                    <w:rPr>
                      <w:rFonts w:hint="default" w:ascii="Times New Roman" w:hAnsi="Times New Roman" w:eastAsia="宋体" w:cs="Times New Roman"/>
                      <w:b w:val="0"/>
                      <w:bCs w:val="0"/>
                      <w:color w:val="auto"/>
                      <w:sz w:val="21"/>
                      <w:szCs w:val="21"/>
                      <w:highlight w:val="none"/>
                      <w:vertAlign w:val="superscript"/>
                      <w:lang w:val="en-US" w:eastAsia="zh-CN"/>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trPr>
              <w:tc>
                <w:tcPr>
                  <w:tcW w:w="456" w:type="pct"/>
                  <w:vMerge w:val="continue"/>
                  <w:vAlign w:val="center"/>
                </w:tcPr>
                <w:p>
                  <w:pPr>
                    <w:pStyle w:val="162"/>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lang w:val="en-US" w:eastAsia="zh-CN"/>
                    </w:rPr>
                  </w:pPr>
                </w:p>
              </w:tc>
              <w:tc>
                <w:tcPr>
                  <w:tcW w:w="571" w:type="pct"/>
                  <w:shd w:val="clear" w:color="auto" w:fill="auto"/>
                  <w:vAlign w:val="center"/>
                </w:tcPr>
                <w:p>
                  <w:pPr>
                    <w:pStyle w:val="162"/>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地磅、车辆冲洗平台</w:t>
                  </w:r>
                </w:p>
              </w:tc>
              <w:tc>
                <w:tcPr>
                  <w:tcW w:w="3971" w:type="pct"/>
                  <w:gridSpan w:val="2"/>
                  <w:shd w:val="clear" w:color="auto" w:fill="auto"/>
                  <w:vAlign w:val="center"/>
                </w:tcPr>
                <w:p>
                  <w:pPr>
                    <w:pStyle w:val="162"/>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位于项目出入口，设置地磅和洗车平台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trPr>
              <w:tc>
                <w:tcPr>
                  <w:tcW w:w="456" w:type="pct"/>
                  <w:vMerge w:val="restart"/>
                  <w:vAlign w:val="center"/>
                </w:tcPr>
                <w:p>
                  <w:pPr>
                    <w:pStyle w:val="162"/>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rPr>
                    <w:t>公用工程</w:t>
                  </w:r>
                </w:p>
              </w:tc>
              <w:tc>
                <w:tcPr>
                  <w:tcW w:w="571" w:type="pct"/>
                  <w:vAlign w:val="center"/>
                </w:tcPr>
                <w:p>
                  <w:pPr>
                    <w:pStyle w:val="162"/>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rPr>
                    <w:t>供水</w:t>
                  </w:r>
                </w:p>
              </w:tc>
              <w:tc>
                <w:tcPr>
                  <w:tcW w:w="3971" w:type="pct"/>
                  <w:gridSpan w:val="2"/>
                  <w:vAlign w:val="center"/>
                </w:tcPr>
                <w:p>
                  <w:pPr>
                    <w:pStyle w:val="109"/>
                    <w:keepNext w:val="0"/>
                    <w:pageBreakBefore w:val="0"/>
                    <w:kinsoku/>
                    <w:wordWrap/>
                    <w:overflowPunct/>
                    <w:topLinePunct w:val="0"/>
                    <w:autoSpaceDE/>
                    <w:autoSpaceDN/>
                    <w:bidi w:val="0"/>
                    <w:adjustRightInd w:val="0"/>
                    <w:snapToGrid w:val="0"/>
                    <w:ind w:firstLine="0" w:firstLineChars="0"/>
                    <w:jc w:val="center"/>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9"/>
                      <w:sz w:val="21"/>
                      <w:szCs w:val="21"/>
                    </w:rPr>
                    <w:t>生产生活用水由</w:t>
                  </w:r>
                  <w:r>
                    <w:rPr>
                      <w:rFonts w:hint="default" w:ascii="Times New Roman" w:hAnsi="Times New Roman" w:eastAsia="宋体" w:cs="Times New Roman"/>
                      <w:b w:val="0"/>
                      <w:bCs w:val="0"/>
                      <w:color w:val="auto"/>
                      <w:spacing w:val="9"/>
                      <w:sz w:val="21"/>
                      <w:szCs w:val="21"/>
                      <w:lang w:val="en-US" w:eastAsia="zh-CN"/>
                    </w:rPr>
                    <w:t>博湖县市政</w:t>
                  </w:r>
                  <w:r>
                    <w:rPr>
                      <w:rFonts w:hint="default" w:ascii="Times New Roman" w:hAnsi="Times New Roman" w:eastAsia="宋体" w:cs="Times New Roman"/>
                      <w:b w:val="0"/>
                      <w:bCs w:val="0"/>
                      <w:color w:val="auto"/>
                      <w:spacing w:val="9"/>
                      <w:sz w:val="21"/>
                      <w:szCs w:val="21"/>
                    </w:rPr>
                    <w:t>供水管网供给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trPr>
              <w:tc>
                <w:tcPr>
                  <w:tcW w:w="456" w:type="pct"/>
                  <w:vMerge w:val="continue"/>
                  <w:vAlign w:val="center"/>
                </w:tcPr>
                <w:p>
                  <w:pPr>
                    <w:pStyle w:val="162"/>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p>
              </w:tc>
              <w:tc>
                <w:tcPr>
                  <w:tcW w:w="571" w:type="pct"/>
                  <w:vAlign w:val="center"/>
                </w:tcPr>
                <w:p>
                  <w:pPr>
                    <w:pStyle w:val="162"/>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rPr>
                    <w:t>供电</w:t>
                  </w:r>
                </w:p>
              </w:tc>
              <w:tc>
                <w:tcPr>
                  <w:tcW w:w="3971" w:type="pct"/>
                  <w:gridSpan w:val="2"/>
                  <w:vAlign w:val="center"/>
                </w:tcPr>
                <w:p>
                  <w:pPr>
                    <w:pStyle w:val="109"/>
                    <w:keepNext w:val="0"/>
                    <w:pageBreakBefore w:val="0"/>
                    <w:kinsoku/>
                    <w:wordWrap/>
                    <w:overflowPunct/>
                    <w:topLinePunct w:val="0"/>
                    <w:autoSpaceDE/>
                    <w:autoSpaceDN/>
                    <w:bidi w:val="0"/>
                    <w:adjustRightInd w:val="0"/>
                    <w:snapToGrid w:val="0"/>
                    <w:ind w:firstLine="0" w:firstLineChars="0"/>
                    <w:jc w:val="center"/>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z w:val="21"/>
                      <w:szCs w:val="21"/>
                      <w:highlight w:val="none"/>
                      <w:lang w:val="en-US" w:eastAsia="zh-CN"/>
                    </w:rPr>
                    <w:t>由</w:t>
                  </w:r>
                  <w:r>
                    <w:rPr>
                      <w:rFonts w:hint="default" w:ascii="Times New Roman" w:hAnsi="Times New Roman" w:eastAsia="宋体" w:cs="Times New Roman"/>
                      <w:b w:val="0"/>
                      <w:bCs w:val="0"/>
                      <w:color w:val="auto"/>
                      <w:spacing w:val="9"/>
                      <w:sz w:val="21"/>
                      <w:szCs w:val="21"/>
                      <w:lang w:val="en-US" w:eastAsia="zh-CN"/>
                    </w:rPr>
                    <w:t>博湖县市政</w:t>
                  </w:r>
                  <w:r>
                    <w:rPr>
                      <w:rFonts w:hint="default" w:ascii="Times New Roman" w:hAnsi="Times New Roman" w:eastAsia="宋体" w:cs="Times New Roman"/>
                      <w:b w:val="0"/>
                      <w:bCs w:val="0"/>
                      <w:color w:val="auto"/>
                      <w:spacing w:val="9"/>
                      <w:sz w:val="21"/>
                      <w:szCs w:val="21"/>
                    </w:rPr>
                    <w:t>供</w:t>
                  </w:r>
                  <w:r>
                    <w:rPr>
                      <w:rFonts w:hint="default" w:ascii="Times New Roman" w:hAnsi="Times New Roman" w:eastAsia="宋体" w:cs="Times New Roman"/>
                      <w:b w:val="0"/>
                      <w:bCs w:val="0"/>
                      <w:color w:val="auto"/>
                      <w:spacing w:val="9"/>
                      <w:sz w:val="21"/>
                      <w:szCs w:val="21"/>
                      <w:lang w:val="en-US" w:eastAsia="zh-CN"/>
                    </w:rPr>
                    <w:t>电</w:t>
                  </w:r>
                  <w:r>
                    <w:rPr>
                      <w:rFonts w:hint="default" w:ascii="Times New Roman" w:hAnsi="Times New Roman" w:eastAsia="宋体" w:cs="Times New Roman"/>
                      <w:b w:val="0"/>
                      <w:bCs w:val="0"/>
                      <w:color w:val="auto"/>
                      <w:spacing w:val="9"/>
                      <w:sz w:val="21"/>
                      <w:szCs w:val="21"/>
                    </w:rPr>
                    <w:t>管网</w:t>
                  </w:r>
                  <w:r>
                    <w:rPr>
                      <w:rFonts w:hint="default" w:ascii="Times New Roman" w:hAnsi="Times New Roman" w:eastAsia="宋体" w:cs="Times New Roman"/>
                      <w:b w:val="0"/>
                      <w:bCs w:val="0"/>
                      <w:color w:val="auto"/>
                      <w:spacing w:val="9"/>
                      <w:sz w:val="21"/>
                      <w:szCs w:val="21"/>
                      <w:lang w:val="en-US" w:eastAsia="zh-CN"/>
                    </w:rPr>
                    <w:t>供给</w:t>
                  </w:r>
                  <w:r>
                    <w:rPr>
                      <w:rFonts w:hint="default" w:ascii="Times New Roman" w:hAnsi="Times New Roman" w:eastAsia="宋体" w:cs="Times New Roman"/>
                      <w:b w:val="0"/>
                      <w:bCs w:val="0"/>
                      <w:color w:val="auto"/>
                      <w:sz w:val="21"/>
                      <w:szCs w:val="21"/>
                      <w:highlight w:val="none"/>
                      <w:lang w:val="en-US" w:eastAsia="zh-CN"/>
                    </w:rPr>
                    <w:t>，电力供应充足，可满足该项目用电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continue"/>
                  <w:vAlign w:val="center"/>
                </w:tcPr>
                <w:p>
                  <w:pPr>
                    <w:pStyle w:val="115"/>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p>
              </w:tc>
              <w:tc>
                <w:tcPr>
                  <w:tcW w:w="571" w:type="pct"/>
                  <w:vAlign w:val="center"/>
                </w:tcPr>
                <w:p>
                  <w:pPr>
                    <w:pStyle w:val="162"/>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rPr>
                    <w:t>供热</w:t>
                  </w:r>
                </w:p>
              </w:tc>
              <w:tc>
                <w:tcPr>
                  <w:tcW w:w="3971" w:type="pct"/>
                  <w:gridSpan w:val="2"/>
                  <w:vAlign w:val="center"/>
                </w:tcPr>
                <w:p>
                  <w:pPr>
                    <w:pStyle w:val="109"/>
                    <w:keepNext w:val="0"/>
                    <w:pageBreakBefore w:val="0"/>
                    <w:kinsoku/>
                    <w:wordWrap/>
                    <w:overflowPunct/>
                    <w:topLinePunct w:val="0"/>
                    <w:autoSpaceDE/>
                    <w:autoSpaceDN/>
                    <w:bidi w:val="0"/>
                    <w:adjustRightInd w:val="0"/>
                    <w:snapToGrid w:val="0"/>
                    <w:ind w:firstLine="0" w:firstLineChars="0"/>
                    <w:jc w:val="center"/>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z w:val="21"/>
                      <w:szCs w:val="21"/>
                      <w:highlight w:val="none"/>
                      <w:lang w:val="en-US" w:eastAsia="zh-CN"/>
                    </w:rPr>
                    <w:t>生产不用热</w:t>
                  </w:r>
                  <w:r>
                    <w:rPr>
                      <w:rFonts w:hint="default" w:ascii="Times New Roman" w:hAnsi="Times New Roman" w:eastAsia="宋体" w:cs="Times New Roman"/>
                      <w:b w:val="0"/>
                      <w:bCs w:val="0"/>
                      <w:color w:val="auto"/>
                      <w:spacing w:val="0"/>
                      <w:kern w:val="0"/>
                      <w:sz w:val="21"/>
                      <w:szCs w:val="21"/>
                    </w:rPr>
                    <w:t>，办公室冬季供暖采用</w:t>
                  </w:r>
                  <w:r>
                    <w:rPr>
                      <w:rFonts w:hint="default" w:ascii="Times New Roman" w:hAnsi="Times New Roman" w:eastAsia="宋体" w:cs="Times New Roman"/>
                      <w:b w:val="0"/>
                      <w:bCs w:val="0"/>
                      <w:color w:val="auto"/>
                      <w:spacing w:val="0"/>
                      <w:kern w:val="0"/>
                      <w:sz w:val="21"/>
                      <w:szCs w:val="21"/>
                      <w:lang w:val="en-US" w:eastAsia="zh-CN"/>
                    </w:rPr>
                    <w:t>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trPr>
              <w:tc>
                <w:tcPr>
                  <w:tcW w:w="456" w:type="pct"/>
                  <w:vMerge w:val="restart"/>
                  <w:vAlign w:val="center"/>
                </w:tcPr>
                <w:p>
                  <w:pPr>
                    <w:pStyle w:val="115"/>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pacing w:val="0"/>
                      <w:sz w:val="21"/>
                      <w:szCs w:val="21"/>
                      <w:lang w:val="en-US" w:eastAsia="zh-CN"/>
                    </w:rPr>
                    <w:t>环保工程</w:t>
                  </w:r>
                </w:p>
              </w:tc>
              <w:tc>
                <w:tcPr>
                  <w:tcW w:w="571" w:type="pct"/>
                  <w:vMerge w:val="restart"/>
                  <w:vAlign w:val="center"/>
                </w:tcPr>
                <w:p>
                  <w:pPr>
                    <w:pStyle w:val="115"/>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pacing w:val="0"/>
                      <w:sz w:val="21"/>
                      <w:szCs w:val="21"/>
                      <w:lang w:val="en-US" w:eastAsia="zh-CN"/>
                    </w:rPr>
                    <w:t>废气</w:t>
                  </w:r>
                </w:p>
              </w:tc>
              <w:tc>
                <w:tcPr>
                  <w:tcW w:w="1253" w:type="pct"/>
                  <w:shd w:val="clear" w:color="auto" w:fill="auto"/>
                  <w:vAlign w:val="center"/>
                </w:tcPr>
                <w:p>
                  <w:pPr>
                    <w:pStyle w:val="457"/>
                    <w:keepNext w:val="0"/>
                    <w:keepLines w:val="0"/>
                    <w:pageBreakBefore w:val="0"/>
                    <w:suppressLineNumbers w:val="0"/>
                    <w:kinsoku/>
                    <w:wordWrap/>
                    <w:overflowPunct/>
                    <w:topLinePunct w:val="0"/>
                    <w:autoSpaceDE/>
                    <w:autoSpaceDN/>
                    <w:bidi w:val="0"/>
                    <w:adjustRightInd w:val="0"/>
                    <w:snapToGrid w:val="0"/>
                    <w:spacing w:beforeAutospacing="0" w:afterAutospacing="0"/>
                    <w:ind w:left="0" w:leftChars="0" w:right="0" w:rightChars="0" w:firstLine="0" w:firstLineChars="0"/>
                    <w:jc w:val="center"/>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bidi="ar-SA"/>
                    </w:rPr>
                    <w:t>投料废气</w:t>
                  </w:r>
                </w:p>
              </w:tc>
              <w:tc>
                <w:tcPr>
                  <w:tcW w:w="2718" w:type="pc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lang w:val="en-US"/>
                    </w:rPr>
                  </w:pPr>
                  <w:r>
                    <w:rPr>
                      <w:rFonts w:hint="default" w:ascii="Times New Roman" w:hAnsi="Times New Roman" w:eastAsia="宋体" w:cs="Times New Roman"/>
                      <w:b w:val="0"/>
                      <w:bCs w:val="0"/>
                      <w:color w:val="auto"/>
                      <w:kern w:val="0"/>
                      <w:sz w:val="21"/>
                      <w:szCs w:val="21"/>
                      <w:lang w:val="en-US" w:eastAsia="zh-CN" w:bidi="ar-SA"/>
                    </w:rPr>
                    <w:t>投料</w:t>
                  </w:r>
                  <w:r>
                    <w:rPr>
                      <w:rFonts w:hint="default" w:ascii="Times New Roman" w:hAnsi="Times New Roman" w:eastAsia="宋体" w:cs="Times New Roman"/>
                      <w:b w:val="0"/>
                      <w:bCs w:val="0"/>
                      <w:color w:val="auto"/>
                      <w:kern w:val="2"/>
                      <w:sz w:val="21"/>
                      <w:szCs w:val="21"/>
                      <w:highlight w:val="none"/>
                      <w:lang w:val="en-US" w:eastAsia="zh-CN" w:bidi="ar-SA"/>
                    </w:rPr>
                    <w:t>时采用水喷淋装置喷淋降尘，车间密闭</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trPr>
              <w:tc>
                <w:tcPr>
                  <w:tcW w:w="456" w:type="pct"/>
                  <w:vMerge w:val="continue"/>
                  <w:vAlign w:val="center"/>
                </w:tcPr>
                <w:p>
                  <w:pPr>
                    <w:pStyle w:val="115"/>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p>
              </w:tc>
              <w:tc>
                <w:tcPr>
                  <w:tcW w:w="571" w:type="pct"/>
                  <w:vMerge w:val="continue"/>
                  <w:vAlign w:val="center"/>
                </w:tcPr>
                <w:p>
                  <w:pPr>
                    <w:pStyle w:val="115"/>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p>
              </w:tc>
              <w:tc>
                <w:tcPr>
                  <w:tcW w:w="1253" w:type="pct"/>
                  <w:shd w:val="clear" w:color="auto" w:fill="auto"/>
                  <w:vAlign w:val="center"/>
                </w:tcPr>
                <w:p>
                  <w:pPr>
                    <w:pStyle w:val="457"/>
                    <w:keepNext w:val="0"/>
                    <w:keepLines w:val="0"/>
                    <w:pageBreakBefore w:val="0"/>
                    <w:suppressLineNumbers w:val="0"/>
                    <w:kinsoku/>
                    <w:wordWrap/>
                    <w:overflowPunct/>
                    <w:topLinePunct w:val="0"/>
                    <w:autoSpaceDE/>
                    <w:autoSpaceDN/>
                    <w:bidi w:val="0"/>
                    <w:adjustRightInd w:val="0"/>
                    <w:snapToGrid w:val="0"/>
                    <w:spacing w:beforeAutospacing="0" w:afterAutospacing="0"/>
                    <w:ind w:left="0" w:leftChars="0" w:right="0" w:rightChars="0" w:firstLine="0" w:firstLineChars="0"/>
                    <w:jc w:val="center"/>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bidi="ar-SA"/>
                    </w:rPr>
                    <w:t>颚破废气、渣土筛分废气、风选废气、反击破废气、成品筛分废气</w:t>
                  </w:r>
                </w:p>
              </w:tc>
              <w:tc>
                <w:tcPr>
                  <w:tcW w:w="2718" w:type="pct"/>
                  <w:shd w:val="clear" w:color="auto" w:fill="auto"/>
                  <w:vAlign w:val="center"/>
                </w:tcPr>
                <w:p>
                  <w:pPr>
                    <w:pStyle w:val="457"/>
                    <w:keepNext w:val="0"/>
                    <w:keepLines w:val="0"/>
                    <w:pageBreakBefore w:val="0"/>
                    <w:suppressLineNumbers w:val="0"/>
                    <w:kinsoku/>
                    <w:wordWrap/>
                    <w:overflowPunct/>
                    <w:topLinePunct w:val="0"/>
                    <w:autoSpaceDE/>
                    <w:autoSpaceDN/>
                    <w:bidi w:val="0"/>
                    <w:adjustRightInd w:val="0"/>
                    <w:snapToGrid w:val="0"/>
                    <w:spacing w:beforeAutospacing="0" w:afterAutospacing="0"/>
                    <w:ind w:left="0" w:leftChars="0" w:right="0" w:rightChars="0" w:firstLine="0" w:firstLineChars="0"/>
                    <w:jc w:val="center"/>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喷雾抑尘+密闭集气罩收集经布袋除尘器处理后通过20m高排气筒（DA001）排放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trPr>
              <w:tc>
                <w:tcPr>
                  <w:tcW w:w="456" w:type="pct"/>
                  <w:vMerge w:val="continue"/>
                  <w:vAlign w:val="center"/>
                </w:tcPr>
                <w:p>
                  <w:pPr>
                    <w:pStyle w:val="115"/>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p>
              </w:tc>
              <w:tc>
                <w:tcPr>
                  <w:tcW w:w="571" w:type="pct"/>
                  <w:vMerge w:val="continue"/>
                  <w:vAlign w:val="center"/>
                </w:tcPr>
                <w:p>
                  <w:pPr>
                    <w:pStyle w:val="115"/>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p>
              </w:tc>
              <w:tc>
                <w:tcPr>
                  <w:tcW w:w="1253" w:type="pct"/>
                  <w:shd w:val="clear" w:color="auto" w:fill="auto"/>
                  <w:vAlign w:val="center"/>
                </w:tcPr>
                <w:p>
                  <w:pPr>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rPr>
                    <w:t>无组织废气</w:t>
                  </w:r>
                </w:p>
              </w:tc>
              <w:tc>
                <w:tcPr>
                  <w:tcW w:w="2718" w:type="pct"/>
                  <w:shd w:val="clear" w:color="auto" w:fill="auto"/>
                  <w:vAlign w:val="center"/>
                </w:tcPr>
                <w:p>
                  <w:pPr>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z w:val="21"/>
                      <w:szCs w:val="21"/>
                    </w:rPr>
                    <w:t>原料输送、投料等生产过程均设置在全封闭厂房内</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trPr>
              <w:tc>
                <w:tcPr>
                  <w:tcW w:w="456" w:type="pct"/>
                  <w:vMerge w:val="continue"/>
                  <w:vAlign w:val="center"/>
                </w:tcPr>
                <w:p>
                  <w:pPr>
                    <w:pStyle w:val="115"/>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p>
              </w:tc>
              <w:tc>
                <w:tcPr>
                  <w:tcW w:w="571" w:type="pct"/>
                  <w:vAlign w:val="center"/>
                </w:tcPr>
                <w:p>
                  <w:pPr>
                    <w:pStyle w:val="115"/>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rPr>
                    <w:t>废水</w:t>
                  </w:r>
                </w:p>
              </w:tc>
              <w:tc>
                <w:tcPr>
                  <w:tcW w:w="3971" w:type="pct"/>
                  <w:gridSpan w:val="2"/>
                  <w:vAlign w:val="center"/>
                </w:tcPr>
                <w:p>
                  <w:pPr>
                    <w:pStyle w:val="162"/>
                    <w:keepNext w:val="0"/>
                    <w:pageBreakBefore w:val="0"/>
                    <w:kinsoku/>
                    <w:wordWrap/>
                    <w:overflowPunct/>
                    <w:topLinePunct w:val="0"/>
                    <w:autoSpaceDE/>
                    <w:autoSpaceDN/>
                    <w:bidi w:val="0"/>
                    <w:adjustRightInd w:val="0"/>
                    <w:snapToGrid w:val="0"/>
                    <w:spacing w:line="240" w:lineRule="auto"/>
                    <w:ind w:firstLine="0" w:firstLineChars="0"/>
                    <w:jc w:val="both"/>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pacing w:val="0"/>
                      <w:sz w:val="21"/>
                      <w:szCs w:val="21"/>
                      <w:lang w:val="en-US" w:eastAsia="zh-CN"/>
                    </w:rPr>
                    <w:t>车辆冲洗废水经沉淀池处理后回用于运输车辆冲洗，不外排</w:t>
                  </w:r>
                  <w:r>
                    <w:rPr>
                      <w:rFonts w:hint="default" w:ascii="Times New Roman" w:hAnsi="Times New Roman" w:eastAsia="宋体" w:cs="Times New Roman"/>
                      <w:b w:val="0"/>
                      <w:bCs w:val="0"/>
                      <w:color w:val="auto"/>
                      <w:spacing w:val="0"/>
                      <w:sz w:val="21"/>
                      <w:szCs w:val="21"/>
                    </w:rPr>
                    <w:t>；</w:t>
                  </w:r>
                  <w:r>
                    <w:rPr>
                      <w:rFonts w:hint="default" w:ascii="Times New Roman" w:hAnsi="Times New Roman" w:eastAsia="宋体" w:cs="Times New Roman"/>
                      <w:b w:val="0"/>
                      <w:bCs w:val="0"/>
                      <w:color w:val="auto"/>
                      <w:spacing w:val="0"/>
                      <w:sz w:val="21"/>
                      <w:szCs w:val="21"/>
                      <w:lang w:val="en-US" w:eastAsia="zh-CN"/>
                    </w:rPr>
                    <w:t>生活污水经防渗化粪池处理后，</w:t>
                  </w:r>
                  <w:r>
                    <w:rPr>
                      <w:rFonts w:hint="default" w:ascii="Times New Roman" w:hAnsi="Times New Roman" w:eastAsia="宋体" w:cs="Times New Roman"/>
                      <w:b w:val="0"/>
                      <w:bCs w:val="0"/>
                      <w:color w:val="auto"/>
                      <w:spacing w:val="0"/>
                      <w:sz w:val="21"/>
                      <w:szCs w:val="21"/>
                    </w:rPr>
                    <w:t>委托拉运至</w:t>
                  </w:r>
                  <w:r>
                    <w:rPr>
                      <w:rFonts w:hint="default" w:ascii="Times New Roman" w:hAnsi="Times New Roman" w:eastAsia="宋体" w:cs="Times New Roman"/>
                      <w:b w:val="0"/>
                      <w:bCs w:val="0"/>
                      <w:color w:val="auto"/>
                      <w:spacing w:val="0"/>
                      <w:sz w:val="21"/>
                      <w:szCs w:val="21"/>
                      <w:lang w:val="en-US" w:eastAsia="zh-CN"/>
                    </w:rPr>
                    <w:t>博湖</w:t>
                  </w:r>
                  <w:r>
                    <w:rPr>
                      <w:rFonts w:hint="default" w:ascii="Times New Roman" w:hAnsi="Times New Roman" w:eastAsia="宋体" w:cs="Times New Roman"/>
                      <w:b w:val="0"/>
                      <w:bCs w:val="0"/>
                      <w:color w:val="auto"/>
                      <w:spacing w:val="0"/>
                      <w:sz w:val="21"/>
                      <w:szCs w:val="21"/>
                    </w:rPr>
                    <w:t>县污水处理厂</w:t>
                  </w:r>
                  <w:r>
                    <w:rPr>
                      <w:rFonts w:hint="default" w:ascii="Times New Roman" w:hAnsi="Times New Roman" w:eastAsia="宋体" w:cs="Times New Roman"/>
                      <w:b w:val="0"/>
                      <w:bCs w:val="0"/>
                      <w:color w:val="auto"/>
                      <w:spacing w:val="0"/>
                      <w:sz w:val="21"/>
                      <w:szCs w:val="21"/>
                      <w:lang w:val="en-US" w:eastAsia="zh-CN"/>
                    </w:rPr>
                    <w:t>进一步处理。</w:t>
                  </w:r>
                </w:p>
                <w:p>
                  <w:pPr>
                    <w:pStyle w:val="162"/>
                    <w:keepNext w:val="0"/>
                    <w:pageBreakBefore w:val="0"/>
                    <w:kinsoku/>
                    <w:wordWrap/>
                    <w:overflowPunct/>
                    <w:topLinePunct w:val="0"/>
                    <w:autoSpaceDE/>
                    <w:autoSpaceDN/>
                    <w:bidi w:val="0"/>
                    <w:adjustRightInd w:val="0"/>
                    <w:snapToGrid w:val="0"/>
                    <w:spacing w:line="240" w:lineRule="auto"/>
                    <w:ind w:firstLine="0" w:firstLineChars="0"/>
                    <w:jc w:val="both"/>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pacing w:val="0"/>
                      <w:sz w:val="21"/>
                      <w:szCs w:val="21"/>
                    </w:rPr>
                    <w:t>车辆冲洗沉淀池（有效容积15m</w:t>
                  </w:r>
                  <w:r>
                    <w:rPr>
                      <w:rFonts w:hint="default" w:ascii="Times New Roman" w:hAnsi="Times New Roman" w:eastAsia="宋体" w:cs="Times New Roman"/>
                      <w:b w:val="0"/>
                      <w:bCs w:val="0"/>
                      <w:color w:val="auto"/>
                      <w:spacing w:val="0"/>
                      <w:sz w:val="21"/>
                      <w:szCs w:val="21"/>
                      <w:vertAlign w:val="superscript"/>
                      <w:lang w:val="en-US" w:eastAsia="zh-CN"/>
                    </w:rPr>
                    <w:t>3</w:t>
                  </w:r>
                  <w:r>
                    <w:rPr>
                      <w:rFonts w:hint="default" w:ascii="Times New Roman" w:hAnsi="Times New Roman" w:eastAsia="宋体" w:cs="Times New Roman"/>
                      <w:b w:val="0"/>
                      <w:bCs w:val="0"/>
                      <w:color w:val="auto"/>
                      <w:spacing w:val="0"/>
                      <w:sz w:val="21"/>
                      <w:szCs w:val="21"/>
                    </w:rPr>
                    <w:t>）；10m</w:t>
                  </w:r>
                  <w:r>
                    <w:rPr>
                      <w:rFonts w:hint="default" w:ascii="Times New Roman" w:hAnsi="Times New Roman" w:eastAsia="宋体" w:cs="Times New Roman"/>
                      <w:b w:val="0"/>
                      <w:bCs w:val="0"/>
                      <w:color w:val="auto"/>
                      <w:spacing w:val="0"/>
                      <w:sz w:val="21"/>
                      <w:szCs w:val="21"/>
                      <w:vertAlign w:val="superscript"/>
                      <w:lang w:val="en-US" w:eastAsia="zh-CN"/>
                    </w:rPr>
                    <w:t>3</w:t>
                  </w:r>
                  <w:r>
                    <w:rPr>
                      <w:rFonts w:hint="default" w:ascii="Times New Roman" w:hAnsi="Times New Roman" w:eastAsia="宋体" w:cs="Times New Roman"/>
                      <w:b w:val="0"/>
                      <w:bCs w:val="0"/>
                      <w:color w:val="auto"/>
                      <w:spacing w:val="0"/>
                      <w:sz w:val="21"/>
                      <w:szCs w:val="21"/>
                    </w:rPr>
                    <w:t>防渗化粪池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continue"/>
                  <w:vAlign w:val="center"/>
                </w:tcPr>
                <w:p>
                  <w:pPr>
                    <w:pStyle w:val="115"/>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p>
              </w:tc>
              <w:tc>
                <w:tcPr>
                  <w:tcW w:w="571" w:type="pct"/>
                  <w:vAlign w:val="center"/>
                </w:tcPr>
                <w:p>
                  <w:pPr>
                    <w:pStyle w:val="115"/>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rPr>
                    <w:t>噪声</w:t>
                  </w:r>
                </w:p>
              </w:tc>
              <w:tc>
                <w:tcPr>
                  <w:tcW w:w="3971" w:type="pct"/>
                  <w:gridSpan w:val="2"/>
                  <w:vAlign w:val="center"/>
                </w:tcPr>
                <w:p>
                  <w:pPr>
                    <w:pStyle w:val="109"/>
                    <w:keepNext w:val="0"/>
                    <w:pageBreakBefore w:val="0"/>
                    <w:kinsoku/>
                    <w:wordWrap/>
                    <w:overflowPunct/>
                    <w:topLinePunct w:val="0"/>
                    <w:autoSpaceDE/>
                    <w:autoSpaceDN/>
                    <w:bidi w:val="0"/>
                    <w:adjustRightInd w:val="0"/>
                    <w:snapToGrid w:val="0"/>
                    <w:ind w:firstLine="0" w:firstLineChars="0"/>
                    <w:jc w:val="both"/>
                    <w:rPr>
                      <w:rFonts w:hint="default" w:ascii="Times New Roman" w:hAnsi="Times New Roman" w:eastAsia="宋体" w:cs="Times New Roman"/>
                      <w:b w:val="0"/>
                      <w:bCs w:val="0"/>
                      <w:color w:val="auto"/>
                      <w:spacing w:val="0"/>
                      <w:kern w:val="0"/>
                      <w:sz w:val="21"/>
                      <w:szCs w:val="21"/>
                    </w:rPr>
                  </w:pPr>
                  <w:r>
                    <w:rPr>
                      <w:rFonts w:hint="default" w:ascii="Times New Roman" w:hAnsi="Times New Roman" w:eastAsia="宋体" w:cs="Times New Roman"/>
                      <w:b w:val="0"/>
                      <w:bCs w:val="0"/>
                      <w:color w:val="auto"/>
                      <w:spacing w:val="0"/>
                      <w:sz w:val="21"/>
                      <w:szCs w:val="21"/>
                    </w:rPr>
                    <w:t>选用低噪声设备、基础减振、厂房隔声等降噪措施。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continue"/>
                  <w:vAlign w:val="center"/>
                </w:tcPr>
                <w:p>
                  <w:pPr>
                    <w:pStyle w:val="115"/>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p>
              </w:tc>
              <w:tc>
                <w:tcPr>
                  <w:tcW w:w="571" w:type="pct"/>
                  <w:vAlign w:val="center"/>
                </w:tcPr>
                <w:p>
                  <w:pPr>
                    <w:pStyle w:val="115"/>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rPr>
                    <w:t>固废</w:t>
                  </w:r>
                </w:p>
              </w:tc>
              <w:tc>
                <w:tcPr>
                  <w:tcW w:w="3971" w:type="pct"/>
                  <w:gridSpan w:val="2"/>
                  <w:vAlign w:val="center"/>
                </w:tcPr>
                <w:p>
                  <w:pPr>
                    <w:pStyle w:val="162"/>
                    <w:keepNext w:val="0"/>
                    <w:pageBreakBefore w:val="0"/>
                    <w:kinsoku/>
                    <w:wordWrap/>
                    <w:overflowPunct/>
                    <w:topLinePunct w:val="0"/>
                    <w:autoSpaceDE/>
                    <w:autoSpaceDN/>
                    <w:bidi w:val="0"/>
                    <w:adjustRightInd w:val="0"/>
                    <w:snapToGrid w:val="0"/>
                    <w:spacing w:line="240" w:lineRule="auto"/>
                    <w:ind w:firstLine="0" w:firstLineChars="0"/>
                    <w:jc w:val="both"/>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pacing w:val="0"/>
                      <w:sz w:val="21"/>
                      <w:szCs w:val="21"/>
                    </w:rPr>
                    <w:t>危险废物：废油桶、</w:t>
                  </w:r>
                  <w:r>
                    <w:rPr>
                      <w:rFonts w:hint="default" w:ascii="Times New Roman" w:hAnsi="Times New Roman" w:eastAsia="宋体" w:cs="Times New Roman"/>
                      <w:b w:val="0"/>
                      <w:bCs w:val="0"/>
                      <w:color w:val="auto"/>
                      <w:spacing w:val="0"/>
                      <w:sz w:val="21"/>
                      <w:szCs w:val="21"/>
                      <w:lang w:val="en-US" w:eastAsia="zh-CN"/>
                    </w:rPr>
                    <w:t>废机油</w:t>
                  </w:r>
                  <w:r>
                    <w:rPr>
                      <w:rFonts w:hint="default" w:ascii="Times New Roman" w:hAnsi="Times New Roman" w:eastAsia="宋体" w:cs="Times New Roman"/>
                      <w:b w:val="0"/>
                      <w:bCs w:val="0"/>
                      <w:color w:val="auto"/>
                      <w:spacing w:val="0"/>
                      <w:sz w:val="21"/>
                      <w:szCs w:val="21"/>
                    </w:rPr>
                    <w:t>为危险废物，暂存于危废贮存点内，定期交于有危废处理资质的单位处置</w:t>
                  </w:r>
                  <w:r>
                    <w:rPr>
                      <w:rFonts w:hint="default" w:ascii="Times New Roman" w:hAnsi="Times New Roman" w:eastAsia="宋体" w:cs="Times New Roman"/>
                      <w:b w:val="0"/>
                      <w:bCs w:val="0"/>
                      <w:color w:val="auto"/>
                      <w:spacing w:val="0"/>
                      <w:sz w:val="21"/>
                      <w:szCs w:val="21"/>
                      <w:lang w:eastAsia="zh-CN"/>
                    </w:rPr>
                    <w:t>；</w:t>
                  </w:r>
                  <w:r>
                    <w:rPr>
                      <w:rFonts w:hint="eastAsia" w:ascii="Times New Roman" w:hAnsi="Times New Roman" w:eastAsia="宋体" w:cs="Times New Roman"/>
                      <w:b w:val="0"/>
                      <w:bCs w:val="0"/>
                      <w:color w:val="auto"/>
                      <w:spacing w:val="0"/>
                      <w:sz w:val="21"/>
                      <w:szCs w:val="21"/>
                      <w:lang w:eastAsia="zh-CN"/>
                    </w:rPr>
                    <w:t>危废贮存点</w:t>
                  </w:r>
                  <w:r>
                    <w:rPr>
                      <w:rFonts w:hint="default" w:ascii="Times New Roman" w:hAnsi="Times New Roman" w:eastAsia="宋体" w:cs="Times New Roman"/>
                      <w:b w:val="0"/>
                      <w:bCs w:val="0"/>
                      <w:color w:val="auto"/>
                      <w:spacing w:val="0"/>
                      <w:sz w:val="21"/>
                      <w:szCs w:val="21"/>
                    </w:rPr>
                    <w:t>5m</w:t>
                  </w:r>
                  <w:r>
                    <w:rPr>
                      <w:rFonts w:hint="default" w:ascii="Times New Roman" w:hAnsi="Times New Roman" w:eastAsia="宋体" w:cs="Times New Roman"/>
                      <w:b w:val="0"/>
                      <w:bCs w:val="0"/>
                      <w:color w:val="auto"/>
                      <w:spacing w:val="0"/>
                      <w:sz w:val="21"/>
                      <w:szCs w:val="21"/>
                      <w:vertAlign w:val="superscript"/>
                      <w:lang w:val="en-US" w:eastAsia="zh-CN"/>
                    </w:rPr>
                    <w:t>2</w:t>
                  </w:r>
                  <w:r>
                    <w:rPr>
                      <w:rFonts w:hint="default" w:ascii="Times New Roman" w:hAnsi="Times New Roman" w:eastAsia="宋体" w:cs="Times New Roman"/>
                      <w:b w:val="0"/>
                      <w:bCs w:val="0"/>
                      <w:color w:val="auto"/>
                      <w:spacing w:val="0"/>
                      <w:sz w:val="21"/>
                      <w:szCs w:val="21"/>
                      <w:lang w:eastAsia="zh-CN"/>
                    </w:rPr>
                    <w:t>。</w:t>
                  </w:r>
                </w:p>
                <w:p>
                  <w:pPr>
                    <w:pStyle w:val="162"/>
                    <w:keepNext w:val="0"/>
                    <w:pageBreakBefore w:val="0"/>
                    <w:kinsoku/>
                    <w:wordWrap/>
                    <w:overflowPunct/>
                    <w:topLinePunct w:val="0"/>
                    <w:autoSpaceDE/>
                    <w:autoSpaceDN/>
                    <w:bidi w:val="0"/>
                    <w:adjustRightInd w:val="0"/>
                    <w:snapToGrid w:val="0"/>
                    <w:spacing w:line="240" w:lineRule="auto"/>
                    <w:ind w:firstLine="0" w:firstLineChars="0"/>
                    <w:jc w:val="both"/>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rPr>
                    <w:t>一般固废：</w:t>
                  </w:r>
                  <w:r>
                    <w:rPr>
                      <w:rFonts w:hint="default" w:ascii="Times New Roman" w:hAnsi="Times New Roman" w:eastAsia="宋体" w:cs="Times New Roman"/>
                      <w:b w:val="0"/>
                      <w:bCs w:val="0"/>
                      <w:color w:val="auto"/>
                      <w:sz w:val="21"/>
                      <w:szCs w:val="21"/>
                      <w:lang w:val="en-US" w:eastAsia="zh-CN"/>
                    </w:rPr>
                    <w:t>渣土收集后定期外售综合利用；废金属、轻物质收集后定期外售综合利用；</w:t>
                  </w:r>
                  <w:r>
                    <w:rPr>
                      <w:rFonts w:hint="default" w:ascii="Times New Roman" w:hAnsi="Times New Roman" w:eastAsia="宋体" w:cs="Times New Roman"/>
                      <w:b w:val="0"/>
                      <w:bCs w:val="0"/>
                      <w:color w:val="auto"/>
                      <w:spacing w:val="0"/>
                      <w:sz w:val="21"/>
                      <w:szCs w:val="21"/>
                      <w:lang w:val="en-US" w:eastAsia="zh-CN"/>
                    </w:rPr>
                    <w:t>车间及除尘系统收集的粉尘经收集后混入产品中定期外售综合利用，</w:t>
                  </w:r>
                  <w:r>
                    <w:rPr>
                      <w:rFonts w:hint="default" w:ascii="Times New Roman" w:hAnsi="Times New Roman" w:eastAsia="宋体" w:cs="Times New Roman"/>
                      <w:b w:val="0"/>
                      <w:bCs w:val="0"/>
                      <w:color w:val="auto"/>
                      <w:sz w:val="21"/>
                      <w:szCs w:val="21"/>
                      <w:lang w:val="en-US" w:eastAsia="zh-CN"/>
                    </w:rPr>
                    <w:t>沉淀池沉渣</w:t>
                  </w:r>
                  <w:r>
                    <w:rPr>
                      <w:rFonts w:hint="default" w:ascii="Times New Roman" w:hAnsi="Times New Roman" w:eastAsia="宋体" w:cs="Times New Roman"/>
                      <w:b w:val="0"/>
                      <w:bCs w:val="0"/>
                      <w:color w:val="auto"/>
                      <w:spacing w:val="0"/>
                      <w:kern w:val="2"/>
                      <w:sz w:val="21"/>
                      <w:szCs w:val="21"/>
                      <w:lang w:val="en-US" w:eastAsia="zh-CN"/>
                    </w:rPr>
                    <w:t>定期清掏外运综合利用</w:t>
                  </w:r>
                  <w:r>
                    <w:rPr>
                      <w:rFonts w:hint="default" w:ascii="Times New Roman" w:hAnsi="Times New Roman" w:eastAsia="宋体" w:cs="Times New Roman"/>
                      <w:b w:val="0"/>
                      <w:bCs w:val="0"/>
                      <w:color w:val="auto"/>
                      <w:sz w:val="21"/>
                      <w:szCs w:val="21"/>
                      <w:lang w:val="en-US" w:eastAsia="zh-CN"/>
                    </w:rPr>
                    <w:t>；废布袋不在厂区贮存，由厂家回收带走。</w:t>
                  </w:r>
                </w:p>
                <w:p>
                  <w:pPr>
                    <w:pStyle w:val="162"/>
                    <w:keepNext w:val="0"/>
                    <w:pageBreakBefore w:val="0"/>
                    <w:kinsoku/>
                    <w:wordWrap/>
                    <w:overflowPunct/>
                    <w:topLinePunct w:val="0"/>
                    <w:autoSpaceDE/>
                    <w:autoSpaceDN/>
                    <w:bidi w:val="0"/>
                    <w:adjustRightInd w:val="0"/>
                    <w:snapToGrid w:val="0"/>
                    <w:spacing w:line="240" w:lineRule="auto"/>
                    <w:ind w:firstLine="0" w:firstLineChars="0"/>
                    <w:jc w:val="both"/>
                    <w:rPr>
                      <w:rFonts w:hint="default" w:ascii="Times New Roman" w:hAnsi="Times New Roman" w:eastAsia="宋体" w:cs="Times New Roman"/>
                      <w:b w:val="0"/>
                      <w:bCs w:val="0"/>
                      <w:color w:val="auto"/>
                      <w:spacing w:val="0"/>
                      <w:sz w:val="21"/>
                      <w:szCs w:val="21"/>
                      <w:lang w:eastAsia="zh-CN"/>
                    </w:rPr>
                  </w:pPr>
                  <w:r>
                    <w:rPr>
                      <w:rFonts w:hint="default" w:ascii="Times New Roman" w:hAnsi="Times New Roman" w:eastAsia="宋体" w:cs="Times New Roman"/>
                      <w:b w:val="0"/>
                      <w:bCs w:val="0"/>
                      <w:color w:val="auto"/>
                      <w:spacing w:val="0"/>
                      <w:sz w:val="21"/>
                      <w:szCs w:val="21"/>
                    </w:rPr>
                    <w:t>生活垃圾收集后</w:t>
                  </w:r>
                  <w:r>
                    <w:rPr>
                      <w:rFonts w:hint="default" w:ascii="Times New Roman" w:hAnsi="Times New Roman" w:eastAsia="宋体" w:cs="Times New Roman"/>
                      <w:b w:val="0"/>
                      <w:bCs w:val="0"/>
                      <w:color w:val="auto"/>
                      <w:spacing w:val="5"/>
                      <w:sz w:val="21"/>
                      <w:szCs w:val="21"/>
                    </w:rPr>
                    <w:t>依托</w:t>
                  </w:r>
                  <w:r>
                    <w:rPr>
                      <w:rFonts w:hint="default" w:ascii="Times New Roman" w:hAnsi="Times New Roman" w:eastAsia="宋体" w:cs="Times New Roman"/>
                      <w:b w:val="0"/>
                      <w:bCs w:val="0"/>
                      <w:color w:val="auto"/>
                      <w:spacing w:val="5"/>
                      <w:sz w:val="21"/>
                      <w:szCs w:val="21"/>
                      <w:lang w:val="en-US" w:eastAsia="zh-CN"/>
                    </w:rPr>
                    <w:t>博湖</w:t>
                  </w:r>
                  <w:r>
                    <w:rPr>
                      <w:rFonts w:hint="default" w:ascii="Times New Roman" w:hAnsi="Times New Roman" w:eastAsia="宋体" w:cs="Times New Roman"/>
                      <w:b w:val="0"/>
                      <w:bCs w:val="0"/>
                      <w:color w:val="auto"/>
                      <w:spacing w:val="5"/>
                      <w:sz w:val="21"/>
                      <w:szCs w:val="21"/>
                    </w:rPr>
                    <w:t>县</w:t>
                  </w:r>
                  <w:r>
                    <w:rPr>
                      <w:rFonts w:hint="default" w:ascii="Times New Roman" w:hAnsi="Times New Roman" w:eastAsia="宋体" w:cs="Times New Roman"/>
                      <w:b w:val="0"/>
                      <w:bCs w:val="0"/>
                      <w:color w:val="auto"/>
                      <w:spacing w:val="5"/>
                      <w:sz w:val="21"/>
                      <w:szCs w:val="21"/>
                      <w:lang w:val="en-US" w:eastAsia="zh-CN"/>
                    </w:rPr>
                    <w:t>市政</w:t>
                  </w:r>
                  <w:r>
                    <w:rPr>
                      <w:rFonts w:hint="default" w:ascii="Times New Roman" w:hAnsi="Times New Roman" w:eastAsia="宋体" w:cs="Times New Roman"/>
                      <w:b w:val="0"/>
                      <w:bCs w:val="0"/>
                      <w:color w:val="auto"/>
                      <w:spacing w:val="8"/>
                      <w:sz w:val="21"/>
                      <w:szCs w:val="21"/>
                    </w:rPr>
                    <w:t>环卫部门</w:t>
                  </w:r>
                  <w:r>
                    <w:rPr>
                      <w:rFonts w:hint="default" w:ascii="Times New Roman" w:hAnsi="Times New Roman" w:eastAsia="宋体" w:cs="Times New Roman"/>
                      <w:b w:val="0"/>
                      <w:bCs w:val="0"/>
                      <w:color w:val="auto"/>
                      <w:spacing w:val="8"/>
                      <w:sz w:val="21"/>
                      <w:szCs w:val="21"/>
                      <w:lang w:val="en-US" w:eastAsia="zh-CN"/>
                    </w:rPr>
                    <w:t>定期清运</w:t>
                  </w:r>
                  <w:r>
                    <w:rPr>
                      <w:rFonts w:hint="default" w:ascii="Times New Roman" w:hAnsi="Times New Roman" w:eastAsia="宋体" w:cs="Times New Roman"/>
                      <w:b w:val="0"/>
                      <w:bCs w:val="0"/>
                      <w:color w:val="auto"/>
                      <w:spacing w:val="8"/>
                      <w:sz w:val="21"/>
                      <w:szCs w:val="21"/>
                    </w:rPr>
                    <w:t>处置</w:t>
                  </w:r>
                  <w:r>
                    <w:rPr>
                      <w:rFonts w:hint="default" w:ascii="Times New Roman" w:hAnsi="Times New Roman" w:eastAsia="宋体" w:cs="Times New Roman"/>
                      <w:b w:val="0"/>
                      <w:bCs w:val="0"/>
                      <w:color w:val="auto"/>
                      <w:spacing w:val="0"/>
                      <w:sz w:val="21"/>
                      <w:szCs w:val="21"/>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trPr>
              <w:tc>
                <w:tcPr>
                  <w:tcW w:w="456" w:type="pct"/>
                  <w:vMerge w:val="continue"/>
                  <w:vAlign w:val="center"/>
                </w:tcPr>
                <w:p>
                  <w:pPr>
                    <w:pStyle w:val="115"/>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p>
              </w:tc>
              <w:tc>
                <w:tcPr>
                  <w:tcW w:w="571" w:type="pct"/>
                  <w:vAlign w:val="center"/>
                </w:tcPr>
                <w:p>
                  <w:pPr>
                    <w:pStyle w:val="162"/>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rPr>
                    <w:t>防渗工程</w:t>
                  </w:r>
                </w:p>
              </w:tc>
              <w:tc>
                <w:tcPr>
                  <w:tcW w:w="3971" w:type="pct"/>
                  <w:gridSpan w:val="2"/>
                  <w:vAlign w:val="center"/>
                </w:tcPr>
                <w:p>
                  <w:pPr>
                    <w:pStyle w:val="162"/>
                    <w:keepNext w:val="0"/>
                    <w:pageBreakBefore w:val="0"/>
                    <w:kinsoku/>
                    <w:wordWrap/>
                    <w:overflowPunct/>
                    <w:topLinePunct w:val="0"/>
                    <w:autoSpaceDE/>
                    <w:autoSpaceDN/>
                    <w:bidi w:val="0"/>
                    <w:adjustRightInd w:val="0"/>
                    <w:snapToGrid w:val="0"/>
                    <w:spacing w:line="240" w:lineRule="auto"/>
                    <w:ind w:firstLine="0" w:firstLineChars="0"/>
                    <w:jc w:val="both"/>
                    <w:rPr>
                      <w:rFonts w:hint="default" w:ascii="Times New Roman" w:hAnsi="Times New Roman" w:eastAsia="宋体" w:cs="Times New Roman"/>
                      <w:b w:val="0"/>
                      <w:bCs w:val="0"/>
                      <w:color w:val="auto"/>
                      <w:spacing w:val="0"/>
                      <w:sz w:val="21"/>
                      <w:szCs w:val="21"/>
                    </w:rPr>
                  </w:pPr>
                  <w:r>
                    <w:rPr>
                      <w:rFonts w:hint="eastAsia" w:ascii="Times New Roman" w:hAnsi="Times New Roman" w:eastAsia="宋体" w:cs="Times New Roman"/>
                      <w:b w:val="0"/>
                      <w:bCs w:val="0"/>
                      <w:color w:val="auto"/>
                      <w:spacing w:val="0"/>
                      <w:sz w:val="21"/>
                      <w:szCs w:val="21"/>
                      <w:lang w:eastAsia="zh-CN"/>
                    </w:rPr>
                    <w:t>危废贮存点</w:t>
                  </w:r>
                  <w:r>
                    <w:rPr>
                      <w:rFonts w:hint="default" w:ascii="Times New Roman" w:hAnsi="Times New Roman" w:eastAsia="宋体" w:cs="Times New Roman"/>
                      <w:b w:val="0"/>
                      <w:bCs w:val="0"/>
                      <w:color w:val="auto"/>
                      <w:spacing w:val="0"/>
                      <w:sz w:val="21"/>
                      <w:szCs w:val="21"/>
                    </w:rPr>
                    <w:t>重点防渗（2mmHDPE防渗膜+防渗混凝土，Mb≥6.0m）；原料</w:t>
                  </w:r>
                  <w:r>
                    <w:rPr>
                      <w:rFonts w:hint="eastAsia" w:ascii="Times New Roman" w:hAnsi="Times New Roman" w:eastAsia="宋体" w:cs="Times New Roman"/>
                      <w:b w:val="0"/>
                      <w:bCs w:val="0"/>
                      <w:color w:val="auto"/>
                      <w:spacing w:val="0"/>
                      <w:sz w:val="21"/>
                      <w:szCs w:val="21"/>
                      <w:lang w:val="en-US" w:eastAsia="zh-CN"/>
                    </w:rPr>
                    <w:t>库</w:t>
                  </w:r>
                  <w:r>
                    <w:rPr>
                      <w:rFonts w:hint="default" w:ascii="Times New Roman" w:hAnsi="Times New Roman" w:eastAsia="宋体" w:cs="Times New Roman"/>
                      <w:b w:val="0"/>
                      <w:bCs w:val="0"/>
                      <w:color w:val="auto"/>
                      <w:spacing w:val="0"/>
                      <w:sz w:val="21"/>
                      <w:szCs w:val="21"/>
                    </w:rPr>
                    <w:t>、化粪池、沉淀池一般防渗（1.5mmHDPE土工膜+P6抗渗混凝土，Mb≥1.5m）；</w:t>
                  </w:r>
                </w:p>
                <w:p>
                  <w:pPr>
                    <w:pStyle w:val="162"/>
                    <w:keepNext w:val="0"/>
                    <w:pageBreakBefore w:val="0"/>
                    <w:kinsoku/>
                    <w:wordWrap/>
                    <w:overflowPunct/>
                    <w:topLinePunct w:val="0"/>
                    <w:autoSpaceDE/>
                    <w:autoSpaceDN/>
                    <w:bidi w:val="0"/>
                    <w:adjustRightInd w:val="0"/>
                    <w:snapToGrid w:val="0"/>
                    <w:spacing w:line="240" w:lineRule="auto"/>
                    <w:ind w:firstLine="0" w:firstLineChars="0"/>
                    <w:jc w:val="both"/>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rPr>
                    <w:t>生产车间、道路简单防渗20cm抗渗硬化地面；</w:t>
                  </w:r>
                </w:p>
                <w:p>
                  <w:pPr>
                    <w:pStyle w:val="162"/>
                    <w:keepNext w:val="0"/>
                    <w:pageBreakBefore w:val="0"/>
                    <w:kinsoku/>
                    <w:wordWrap/>
                    <w:overflowPunct/>
                    <w:topLinePunct w:val="0"/>
                    <w:autoSpaceDE/>
                    <w:autoSpaceDN/>
                    <w:bidi w:val="0"/>
                    <w:adjustRightInd w:val="0"/>
                    <w:snapToGrid w:val="0"/>
                    <w:spacing w:line="240" w:lineRule="auto"/>
                    <w:ind w:firstLine="0" w:firstLineChars="0"/>
                    <w:jc w:val="both"/>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rPr>
                    <w:t>厂区西侧1.0m高硬质防渗挡水堤</w:t>
                  </w:r>
                  <w:r>
                    <w:rPr>
                      <w:rFonts w:hint="default" w:ascii="Times New Roman" w:hAnsi="Times New Roman" w:eastAsia="宋体" w:cs="Times New Roman"/>
                      <w:b w:val="0"/>
                      <w:bCs w:val="0"/>
                      <w:color w:val="auto"/>
                      <w:spacing w:val="0"/>
                      <w:sz w:val="21"/>
                      <w:szCs w:val="21"/>
                      <w:lang w:eastAsia="zh-CN"/>
                    </w:rPr>
                    <w:t>；</w:t>
                  </w:r>
                  <w:r>
                    <w:rPr>
                      <w:rFonts w:hint="default" w:ascii="Times New Roman" w:hAnsi="Times New Roman" w:eastAsia="宋体" w:cs="Times New Roman"/>
                      <w:b w:val="0"/>
                      <w:bCs w:val="0"/>
                      <w:color w:val="auto"/>
                      <w:spacing w:val="0"/>
                      <w:sz w:val="21"/>
                      <w:szCs w:val="21"/>
                    </w:rPr>
                    <w:t>15m宽临河本土植被生态缓冲带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trPr>
              <w:tc>
                <w:tcPr>
                  <w:tcW w:w="456" w:type="pct"/>
                  <w:vMerge w:val="continue"/>
                  <w:vAlign w:val="center"/>
                </w:tcPr>
                <w:p>
                  <w:pPr>
                    <w:pStyle w:val="115"/>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p>
              </w:tc>
              <w:tc>
                <w:tcPr>
                  <w:tcW w:w="571" w:type="pct"/>
                  <w:vAlign w:val="center"/>
                </w:tcPr>
                <w:p>
                  <w:pPr>
                    <w:pStyle w:val="162"/>
                    <w:keepNext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rPr>
                    <w:t>环境风险应急物资</w:t>
                  </w:r>
                </w:p>
              </w:tc>
              <w:tc>
                <w:tcPr>
                  <w:tcW w:w="3971" w:type="pct"/>
                  <w:gridSpan w:val="2"/>
                  <w:vAlign w:val="center"/>
                </w:tcPr>
                <w:p>
                  <w:pPr>
                    <w:pStyle w:val="162"/>
                    <w:keepNext w:val="0"/>
                    <w:pageBreakBefore w:val="0"/>
                    <w:kinsoku/>
                    <w:wordWrap/>
                    <w:overflowPunct/>
                    <w:topLinePunct w:val="0"/>
                    <w:autoSpaceDE/>
                    <w:autoSpaceDN/>
                    <w:bidi w:val="0"/>
                    <w:adjustRightInd w:val="0"/>
                    <w:snapToGrid w:val="0"/>
                    <w:spacing w:line="240" w:lineRule="auto"/>
                    <w:ind w:firstLine="0" w:firstLineChars="0"/>
                    <w:jc w:val="both"/>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rPr>
                    <w:t>吸油毡、防渗沙袋、应急抽水泵、防渗薄膜、移动式防渗围堰、密闭储存罐等；配套消防器材</w:t>
                  </w:r>
                </w:p>
              </w:tc>
            </w:tr>
          </w:tbl>
          <w:p>
            <w:pPr>
              <w:keepNext w:val="0"/>
              <w:keepLines w:val="0"/>
              <w:pageBreakBefore w:val="0"/>
              <w:widowControl w:val="0"/>
              <w:kinsoku/>
              <w:wordWrap/>
              <w:overflowPunct/>
              <w:topLinePunct w:val="0"/>
              <w:autoSpaceDE/>
              <w:autoSpaceDN/>
              <w:bidi w:val="0"/>
              <w:adjustRightInd/>
              <w:snapToGrid/>
              <w:ind w:firstLine="482"/>
              <w:jc w:val="both"/>
              <w:textAlignment w:val="auto"/>
              <w:rPr>
                <w:rFonts w:hint="default" w:ascii="Times New Roman" w:hAnsi="Times New Roman" w:eastAsia="宋体" w:cs="Times New Roman"/>
                <w:color w:val="auto"/>
                <w:spacing w:val="0"/>
                <w:sz w:val="24"/>
                <w:lang w:val="en-US" w:eastAsia="zh-CN"/>
              </w:rPr>
            </w:pPr>
            <w:r>
              <w:rPr>
                <w:rFonts w:hint="eastAsia" w:ascii="Times New Roman" w:hAnsi="Times New Roman" w:eastAsia="宋体" w:cs="Times New Roman"/>
                <w:b/>
                <w:bCs/>
                <w:color w:val="auto"/>
                <w:spacing w:val="0"/>
                <w:sz w:val="24"/>
                <w:lang w:val="en-US" w:eastAsia="zh-CN"/>
              </w:rPr>
              <w:t>2</w:t>
            </w:r>
            <w:r>
              <w:rPr>
                <w:rFonts w:hint="eastAsia" w:ascii="Times New Roman" w:hAnsi="Times New Roman" w:eastAsia="宋体" w:cs="Times New Roman"/>
                <w:b/>
                <w:bCs/>
                <w:color w:val="auto"/>
                <w:spacing w:val="0"/>
                <w:sz w:val="24"/>
              </w:rPr>
              <w:t>、</w:t>
            </w:r>
            <w:r>
              <w:rPr>
                <w:rFonts w:hint="eastAsia" w:ascii="Times New Roman" w:hAnsi="Times New Roman" w:eastAsia="宋体" w:cs="Times New Roman"/>
                <w:b/>
                <w:bCs/>
                <w:color w:val="auto"/>
                <w:spacing w:val="0"/>
                <w:sz w:val="24"/>
                <w:lang w:val="en-US" w:eastAsia="zh-CN"/>
              </w:rPr>
              <w:t>主要</w:t>
            </w:r>
            <w:r>
              <w:rPr>
                <w:rFonts w:hint="eastAsia" w:ascii="Times New Roman" w:hAnsi="Times New Roman" w:eastAsia="宋体" w:cs="Times New Roman"/>
                <w:b/>
                <w:bCs/>
                <w:color w:val="auto"/>
                <w:spacing w:val="0"/>
                <w:sz w:val="24"/>
              </w:rPr>
              <w:t>产品</w:t>
            </w:r>
            <w:r>
              <w:rPr>
                <w:rFonts w:hint="eastAsia" w:ascii="Times New Roman" w:hAnsi="Times New Roman" w:eastAsia="宋体" w:cs="Times New Roman"/>
                <w:b/>
                <w:bCs/>
                <w:color w:val="auto"/>
                <w:spacing w:val="0"/>
                <w:sz w:val="24"/>
                <w:lang w:val="en-US" w:eastAsia="zh-CN"/>
              </w:rPr>
              <w:t>及产能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1"/>
                <w:lang w:val="en-US" w:eastAsia="zh-CN"/>
              </w:rPr>
            </w:pPr>
            <w:r>
              <w:rPr>
                <w:rFonts w:hint="eastAsia" w:ascii="Times New Roman" w:hAnsi="Times New Roman" w:eastAsia="宋体" w:cs="Times New Roman"/>
                <w:color w:val="auto"/>
                <w:spacing w:val="0"/>
                <w:sz w:val="24"/>
                <w:lang w:eastAsia="zh-CN"/>
              </w:rPr>
              <w:t>项目</w:t>
            </w:r>
            <w:r>
              <w:rPr>
                <w:rFonts w:hint="eastAsia" w:ascii="Times New Roman" w:hAnsi="Times New Roman" w:eastAsia="宋体" w:cs="Times New Roman"/>
                <w:color w:val="auto"/>
                <w:spacing w:val="0"/>
                <w:sz w:val="24"/>
                <w:lang w:val="en-US" w:eastAsia="zh-CN"/>
              </w:rPr>
              <w:t>建成后，可处置建筑垃圾5万吨/年，年产砂石骨料3.5万吨/年。</w:t>
            </w:r>
            <w:r>
              <w:rPr>
                <w:rFonts w:hint="eastAsia" w:ascii="Times New Roman" w:hAnsi="Times New Roman" w:eastAsia="宋体" w:cs="Times New Roman"/>
                <w:color w:val="auto"/>
                <w:spacing w:val="0"/>
                <w:sz w:val="24"/>
              </w:rPr>
              <w:t>本项目</w:t>
            </w:r>
            <w:r>
              <w:rPr>
                <w:rFonts w:hint="eastAsia" w:ascii="Times New Roman" w:hAnsi="Times New Roman" w:eastAsia="宋体" w:cs="Times New Roman"/>
                <w:color w:val="auto"/>
                <w:spacing w:val="0"/>
                <w:sz w:val="24"/>
                <w:lang w:val="en-US" w:eastAsia="zh-CN"/>
              </w:rPr>
              <w:t>主要</w:t>
            </w:r>
            <w:r>
              <w:rPr>
                <w:rFonts w:hint="eastAsia" w:ascii="Times New Roman" w:hAnsi="Times New Roman" w:eastAsia="宋体" w:cs="Times New Roman"/>
                <w:color w:val="auto"/>
                <w:spacing w:val="0"/>
                <w:sz w:val="24"/>
              </w:rPr>
              <w:t>产品</w:t>
            </w:r>
            <w:r>
              <w:rPr>
                <w:rFonts w:hint="eastAsia" w:ascii="Times New Roman" w:hAnsi="Times New Roman" w:eastAsia="宋体" w:cs="Times New Roman"/>
                <w:color w:val="auto"/>
                <w:spacing w:val="0"/>
                <w:sz w:val="24"/>
                <w:lang w:val="en-US" w:eastAsia="zh-CN"/>
              </w:rPr>
              <w:t>及产能</w:t>
            </w:r>
            <w:r>
              <w:rPr>
                <w:rFonts w:hint="eastAsia" w:ascii="Times New Roman" w:hAnsi="Times New Roman" w:eastAsia="宋体" w:cs="Times New Roman"/>
                <w:color w:val="auto"/>
                <w:spacing w:val="0"/>
                <w:sz w:val="24"/>
              </w:rPr>
              <w:t>见表2-</w:t>
            </w:r>
            <w:r>
              <w:rPr>
                <w:rFonts w:hint="eastAsia" w:ascii="Times New Roman" w:hAnsi="Times New Roman" w:eastAsia="宋体" w:cs="Times New Roman"/>
                <w:color w:val="auto"/>
                <w:spacing w:val="0"/>
                <w:sz w:val="24"/>
                <w:lang w:val="en-US" w:eastAsia="zh-CN"/>
              </w:rPr>
              <w:t>2</w:t>
            </w:r>
            <w:r>
              <w:rPr>
                <w:rFonts w:hint="eastAsia" w:ascii="Times New Roman" w:hAnsi="Times New Roman" w:eastAsia="宋体" w:cs="Times New Roman"/>
                <w:color w:val="auto"/>
                <w:spacing w:val="0"/>
                <w:sz w:val="24"/>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bCs/>
                <w:color w:val="auto"/>
                <w:spacing w:val="0"/>
                <w:sz w:val="21"/>
                <w:szCs w:val="21"/>
                <w:lang w:val="en-US" w:eastAsia="zh-CN" w:bidi="ar-SA"/>
              </w:rPr>
            </w:pPr>
            <w:r>
              <w:rPr>
                <w:rFonts w:hint="default" w:ascii="Times New Roman" w:hAnsi="Times New Roman" w:eastAsia="宋体" w:cs="Times New Roman"/>
                <w:b/>
                <w:bCs/>
                <w:color w:val="auto"/>
                <w:spacing w:val="0"/>
                <w:sz w:val="21"/>
                <w:szCs w:val="21"/>
                <w:lang w:val="en-US" w:eastAsia="zh-CN" w:bidi="ar-SA"/>
              </w:rPr>
              <w:t>表</w:t>
            </w:r>
            <w:r>
              <w:rPr>
                <w:rFonts w:hint="eastAsia" w:ascii="Times New Roman" w:hAnsi="Times New Roman" w:eastAsia="宋体" w:cs="Times New Roman"/>
                <w:b/>
                <w:bCs/>
                <w:color w:val="auto"/>
                <w:spacing w:val="0"/>
                <w:sz w:val="21"/>
                <w:szCs w:val="21"/>
                <w:lang w:val="en-US" w:eastAsia="zh-CN" w:bidi="ar-SA"/>
              </w:rPr>
              <w:t>2</w:t>
            </w:r>
            <w:r>
              <w:rPr>
                <w:rFonts w:hint="default" w:ascii="Times New Roman" w:hAnsi="Times New Roman" w:eastAsia="宋体" w:cs="Times New Roman"/>
                <w:b/>
                <w:bCs/>
                <w:color w:val="auto"/>
                <w:spacing w:val="0"/>
                <w:sz w:val="21"/>
                <w:szCs w:val="21"/>
                <w:lang w:val="en-US" w:eastAsia="zh-CN" w:bidi="ar-SA"/>
              </w:rPr>
              <w:t>-</w:t>
            </w:r>
            <w:r>
              <w:rPr>
                <w:rFonts w:hint="eastAsia" w:ascii="Times New Roman" w:hAnsi="Times New Roman" w:eastAsia="宋体" w:cs="Times New Roman"/>
                <w:b/>
                <w:bCs/>
                <w:color w:val="auto"/>
                <w:spacing w:val="0"/>
                <w:sz w:val="21"/>
                <w:szCs w:val="21"/>
                <w:lang w:val="en-US" w:eastAsia="zh-CN" w:bidi="ar-SA"/>
              </w:rPr>
              <w:t>2</w:t>
            </w:r>
            <w:r>
              <w:rPr>
                <w:rFonts w:hint="default" w:ascii="Times New Roman" w:hAnsi="Times New Roman" w:eastAsia="宋体" w:cs="Times New Roman"/>
                <w:b/>
                <w:bCs/>
                <w:color w:val="auto"/>
                <w:spacing w:val="0"/>
                <w:sz w:val="21"/>
                <w:szCs w:val="21"/>
                <w:lang w:val="en-US" w:eastAsia="zh-CN" w:bidi="ar-SA"/>
              </w:rPr>
              <w:t xml:space="preserve">  </w:t>
            </w:r>
            <w:r>
              <w:rPr>
                <w:rFonts w:hint="eastAsia" w:ascii="Times New Roman" w:hAnsi="Times New Roman" w:eastAsia="宋体" w:cs="Times New Roman"/>
                <w:b/>
                <w:bCs/>
                <w:color w:val="auto"/>
                <w:spacing w:val="0"/>
                <w:sz w:val="21"/>
                <w:szCs w:val="21"/>
                <w:lang w:val="en-US" w:eastAsia="zh-CN" w:bidi="ar-SA"/>
              </w:rPr>
              <w:t xml:space="preserve"> 项目产品方案</w:t>
            </w:r>
            <w:r>
              <w:rPr>
                <w:rFonts w:hint="default" w:ascii="Times New Roman" w:hAnsi="Times New Roman" w:eastAsia="宋体" w:cs="Times New Roman"/>
                <w:b/>
                <w:bCs/>
                <w:color w:val="auto"/>
                <w:spacing w:val="0"/>
                <w:sz w:val="21"/>
                <w:szCs w:val="21"/>
                <w:lang w:val="en-US" w:eastAsia="zh-CN" w:bidi="ar-SA"/>
              </w:rPr>
              <w:t>一览表</w:t>
            </w:r>
          </w:p>
          <w:tbl>
            <w:tblPr>
              <w:tblStyle w:val="42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5"/>
              <w:gridCol w:w="1529"/>
              <w:gridCol w:w="1918"/>
              <w:gridCol w:w="29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909" w:type="pct"/>
                  <w:tcBorders>
                    <w:tl2br w:val="nil"/>
                    <w:tr2bl w:val="nil"/>
                  </w:tcBorders>
                  <w:noWrap w:val="0"/>
                  <w:vAlign w:val="center"/>
                </w:tcPr>
                <w:p>
                  <w:pPr>
                    <w:pStyle w:val="115"/>
                    <w:spacing w:line="240" w:lineRule="auto"/>
                    <w:ind w:firstLine="0" w:firstLineChars="0"/>
                    <w:jc w:val="center"/>
                    <w:rPr>
                      <w:rFonts w:ascii="Times New Roman" w:hAnsi="Times New Roman" w:eastAsia="宋体" w:cs="Times New Roman"/>
                      <w:b w:val="0"/>
                      <w:color w:val="auto"/>
                      <w:spacing w:val="0"/>
                      <w:sz w:val="21"/>
                    </w:rPr>
                  </w:pPr>
                  <w:r>
                    <w:rPr>
                      <w:rFonts w:ascii="Times New Roman" w:hAnsi="Times New Roman" w:eastAsia="宋体" w:cs="Times New Roman"/>
                      <w:b w:val="0"/>
                      <w:color w:val="auto"/>
                      <w:spacing w:val="0"/>
                      <w:sz w:val="21"/>
                    </w:rPr>
                    <w:t>产品名称</w:t>
                  </w:r>
                </w:p>
              </w:tc>
              <w:tc>
                <w:tcPr>
                  <w:tcW w:w="982" w:type="pct"/>
                  <w:tcBorders>
                    <w:tl2br w:val="nil"/>
                    <w:tr2bl w:val="nil"/>
                  </w:tcBorders>
                  <w:noWrap w:val="0"/>
                  <w:vAlign w:val="center"/>
                </w:tcPr>
                <w:p>
                  <w:pPr>
                    <w:pStyle w:val="115"/>
                    <w:spacing w:line="240" w:lineRule="auto"/>
                    <w:ind w:firstLine="0" w:firstLineChars="0"/>
                    <w:jc w:val="center"/>
                    <w:rPr>
                      <w:rFonts w:ascii="Times New Roman" w:hAnsi="Times New Roman" w:eastAsia="宋体" w:cs="Times New Roman"/>
                      <w:b w:val="0"/>
                      <w:color w:val="auto"/>
                      <w:spacing w:val="0"/>
                      <w:sz w:val="21"/>
                    </w:rPr>
                  </w:pPr>
                  <w:r>
                    <w:rPr>
                      <w:rFonts w:ascii="Times New Roman" w:hAnsi="Times New Roman" w:eastAsia="宋体" w:cs="Times New Roman"/>
                      <w:b w:val="0"/>
                      <w:color w:val="auto"/>
                      <w:spacing w:val="0"/>
                      <w:sz w:val="21"/>
                    </w:rPr>
                    <w:t>规格</w:t>
                  </w:r>
                </w:p>
              </w:tc>
              <w:tc>
                <w:tcPr>
                  <w:tcW w:w="1232" w:type="pct"/>
                  <w:tcBorders>
                    <w:tl2br w:val="nil"/>
                    <w:tr2bl w:val="nil"/>
                  </w:tcBorders>
                  <w:noWrap w:val="0"/>
                  <w:vAlign w:val="center"/>
                </w:tcPr>
                <w:p>
                  <w:pPr>
                    <w:pStyle w:val="115"/>
                    <w:spacing w:line="240" w:lineRule="auto"/>
                    <w:ind w:firstLine="0" w:firstLineChars="0"/>
                    <w:jc w:val="center"/>
                    <w:rPr>
                      <w:rFonts w:hint="eastAsia" w:ascii="Times New Roman" w:hAnsi="Times New Roman" w:eastAsia="宋体" w:cs="Times New Roman"/>
                      <w:b w:val="0"/>
                      <w:color w:val="auto"/>
                      <w:spacing w:val="0"/>
                      <w:sz w:val="21"/>
                      <w:lang w:eastAsia="zh-CN"/>
                    </w:rPr>
                  </w:pPr>
                  <w:r>
                    <w:rPr>
                      <w:rFonts w:ascii="Times New Roman" w:hAnsi="Times New Roman" w:eastAsia="宋体" w:cs="Times New Roman"/>
                      <w:b w:val="0"/>
                      <w:color w:val="auto"/>
                      <w:spacing w:val="0"/>
                      <w:sz w:val="21"/>
                    </w:rPr>
                    <w:t>产能</w:t>
                  </w:r>
                  <w:r>
                    <w:rPr>
                      <w:rFonts w:hint="eastAsia" w:ascii="Times New Roman" w:hAnsi="Times New Roman" w:eastAsia="宋体" w:cs="Times New Roman"/>
                      <w:b w:val="0"/>
                      <w:color w:val="auto"/>
                      <w:spacing w:val="0"/>
                      <w:sz w:val="21"/>
                      <w:lang w:eastAsia="zh-CN"/>
                    </w:rPr>
                    <w:t>（</w:t>
                  </w:r>
                  <w:r>
                    <w:rPr>
                      <w:rFonts w:hint="eastAsia" w:ascii="Times New Roman" w:hAnsi="Times New Roman" w:eastAsia="宋体" w:cs="Times New Roman"/>
                      <w:b w:val="0"/>
                      <w:color w:val="auto"/>
                      <w:spacing w:val="0"/>
                      <w:sz w:val="21"/>
                      <w:lang w:val="en-US" w:eastAsia="zh-CN"/>
                    </w:rPr>
                    <w:t>t/a</w:t>
                  </w:r>
                  <w:r>
                    <w:rPr>
                      <w:rFonts w:hint="eastAsia" w:ascii="Times New Roman" w:hAnsi="Times New Roman" w:eastAsia="宋体" w:cs="Times New Roman"/>
                      <w:b w:val="0"/>
                      <w:color w:val="auto"/>
                      <w:spacing w:val="0"/>
                      <w:sz w:val="21"/>
                      <w:lang w:eastAsia="zh-CN"/>
                    </w:rPr>
                    <w:t>）</w:t>
                  </w:r>
                </w:p>
              </w:tc>
              <w:tc>
                <w:tcPr>
                  <w:tcW w:w="1875" w:type="pct"/>
                  <w:tcBorders>
                    <w:tl2br w:val="nil"/>
                    <w:tr2bl w:val="nil"/>
                  </w:tcBorders>
                  <w:noWrap w:val="0"/>
                  <w:vAlign w:val="center"/>
                </w:tcPr>
                <w:p>
                  <w:pPr>
                    <w:pStyle w:val="115"/>
                    <w:spacing w:line="240" w:lineRule="auto"/>
                    <w:ind w:firstLine="0" w:firstLineChars="0"/>
                    <w:jc w:val="center"/>
                    <w:rPr>
                      <w:rFonts w:ascii="Times New Roman" w:hAnsi="Times New Roman" w:eastAsia="宋体" w:cs="Times New Roman"/>
                      <w:b w:val="0"/>
                      <w:color w:val="auto"/>
                      <w:spacing w:val="0"/>
                      <w:sz w:val="21"/>
                    </w:rPr>
                  </w:pPr>
                  <w:r>
                    <w:rPr>
                      <w:rFonts w:ascii="Times New Roman" w:hAnsi="Times New Roman" w:eastAsia="宋体" w:cs="Times New Roman"/>
                      <w:b w:val="0"/>
                      <w:color w:val="auto"/>
                      <w:spacing w:val="0"/>
                      <w:sz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09" w:type="pct"/>
                  <w:vMerge w:val="restart"/>
                  <w:tcBorders>
                    <w:tl2br w:val="nil"/>
                    <w:tr2bl w:val="nil"/>
                  </w:tcBorders>
                  <w:shd w:val="clear" w:color="auto" w:fill="auto"/>
                  <w:noWrap w:val="0"/>
                  <w:vAlign w:val="center"/>
                </w:tcPr>
                <w:p>
                  <w:pPr>
                    <w:pStyle w:val="115"/>
                    <w:spacing w:line="240" w:lineRule="auto"/>
                    <w:ind w:firstLine="0" w:firstLineChars="0"/>
                    <w:jc w:val="center"/>
                    <w:rPr>
                      <w:rFonts w:hint="eastAsia"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砂石</w:t>
                  </w:r>
                  <w:r>
                    <w:rPr>
                      <w:rFonts w:hint="eastAsia" w:ascii="Times New Roman" w:hAnsi="Times New Roman" w:eastAsia="宋体" w:cs="Times New Roman"/>
                      <w:b w:val="0"/>
                      <w:color w:val="auto"/>
                      <w:spacing w:val="0"/>
                      <w:sz w:val="21"/>
                    </w:rPr>
                    <w:t>骨料</w:t>
                  </w:r>
                </w:p>
              </w:tc>
              <w:tc>
                <w:tcPr>
                  <w:tcW w:w="982" w:type="pct"/>
                  <w:tcBorders>
                    <w:tl2br w:val="nil"/>
                    <w:tr2bl w:val="nil"/>
                  </w:tcBorders>
                  <w:shd w:val="clear" w:color="auto" w:fill="auto"/>
                  <w:noWrap w:val="0"/>
                  <w:vAlign w:val="center"/>
                </w:tcPr>
                <w:p>
                  <w:pPr>
                    <w:pStyle w:val="115"/>
                    <w:spacing w:line="240" w:lineRule="auto"/>
                    <w:ind w:firstLine="0" w:firstLineChars="0"/>
                    <w:jc w:val="center"/>
                    <w:rPr>
                      <w:rFonts w:hint="eastAsia" w:ascii="Times New Roman" w:hAnsi="Times New Roman" w:eastAsia="宋体" w:cs="Times New Roman"/>
                      <w:b w:val="0"/>
                      <w:color w:val="auto"/>
                      <w:spacing w:val="0"/>
                      <w:sz w:val="21"/>
                    </w:rPr>
                  </w:pPr>
                  <w:r>
                    <w:rPr>
                      <w:rFonts w:hint="eastAsia" w:ascii="Times New Roman" w:hAnsi="Times New Roman" w:eastAsia="宋体" w:cs="Times New Roman"/>
                      <w:b w:val="0"/>
                      <w:color w:val="auto"/>
                      <w:spacing w:val="0"/>
                      <w:sz w:val="21"/>
                    </w:rPr>
                    <w:t>0-5mm</w:t>
                  </w:r>
                </w:p>
              </w:tc>
              <w:tc>
                <w:tcPr>
                  <w:tcW w:w="1232" w:type="pct"/>
                  <w:vMerge w:val="restart"/>
                  <w:tcBorders>
                    <w:tl2br w:val="nil"/>
                    <w:tr2bl w:val="nil"/>
                  </w:tcBorders>
                  <w:shd w:val="clear" w:color="auto" w:fill="auto"/>
                  <w:noWrap w:val="0"/>
                  <w:vAlign w:val="center"/>
                </w:tcPr>
                <w:p>
                  <w:pPr>
                    <w:pStyle w:val="115"/>
                    <w:spacing w:line="240" w:lineRule="auto"/>
                    <w:ind w:firstLine="0" w:firstLineChars="0"/>
                    <w:jc w:val="center"/>
                    <w:rPr>
                      <w:rFonts w:hint="default" w:ascii="Times New Roman" w:hAnsi="Times New Roman" w:eastAsia="宋体" w:cs="Times New Roman"/>
                      <w:b w:val="0"/>
                      <w:color w:val="auto"/>
                      <w:spacing w:val="0"/>
                      <w:sz w:val="21"/>
                      <w:highlight w:val="yellow"/>
                      <w:lang w:val="en-US" w:eastAsia="zh-CN"/>
                    </w:rPr>
                  </w:pPr>
                  <w:r>
                    <w:rPr>
                      <w:rFonts w:hint="eastAsia" w:ascii="Times New Roman" w:hAnsi="Times New Roman" w:eastAsia="宋体" w:cs="Times New Roman"/>
                      <w:b w:val="0"/>
                      <w:color w:val="auto"/>
                      <w:spacing w:val="0"/>
                      <w:sz w:val="21"/>
                      <w:highlight w:val="none"/>
                      <w:lang w:val="en-US" w:eastAsia="zh-CN"/>
                    </w:rPr>
                    <w:t>3.5万</w:t>
                  </w:r>
                </w:p>
              </w:tc>
              <w:tc>
                <w:tcPr>
                  <w:tcW w:w="1875" w:type="pct"/>
                  <w:vMerge w:val="restart"/>
                  <w:tcBorders>
                    <w:tl2br w:val="nil"/>
                    <w:tr2bl w:val="nil"/>
                  </w:tcBorders>
                  <w:shd w:val="clear" w:color="auto" w:fill="auto"/>
                  <w:noWrap w:val="0"/>
                  <w:vAlign w:val="center"/>
                </w:tcPr>
                <w:p>
                  <w:pPr>
                    <w:pStyle w:val="115"/>
                    <w:spacing w:line="240" w:lineRule="auto"/>
                    <w:ind w:firstLine="0" w:firstLineChars="0"/>
                    <w:jc w:val="center"/>
                    <w:rPr>
                      <w:rFonts w:hint="eastAsia"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作为生产再生砖的原料；也可直接用于道路垫层、混凝土搅拌站等。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909" w:type="pct"/>
                  <w:vMerge w:val="continue"/>
                  <w:tcBorders>
                    <w:tl2br w:val="nil"/>
                    <w:tr2bl w:val="nil"/>
                  </w:tcBorders>
                  <w:shd w:val="clear" w:color="auto" w:fill="auto"/>
                  <w:noWrap w:val="0"/>
                  <w:vAlign w:val="center"/>
                </w:tcPr>
                <w:p>
                  <w:pPr>
                    <w:pStyle w:val="115"/>
                    <w:spacing w:line="240" w:lineRule="auto"/>
                    <w:ind w:firstLine="0" w:firstLineChars="0"/>
                    <w:jc w:val="center"/>
                    <w:rPr>
                      <w:rFonts w:hint="eastAsia" w:ascii="Times New Roman" w:hAnsi="Times New Roman" w:eastAsia="宋体" w:cs="Times New Roman"/>
                      <w:b w:val="0"/>
                      <w:color w:val="auto"/>
                      <w:spacing w:val="0"/>
                      <w:sz w:val="21"/>
                    </w:rPr>
                  </w:pPr>
                </w:p>
              </w:tc>
              <w:tc>
                <w:tcPr>
                  <w:tcW w:w="982" w:type="pct"/>
                  <w:tcBorders>
                    <w:tl2br w:val="nil"/>
                    <w:tr2bl w:val="nil"/>
                  </w:tcBorders>
                  <w:shd w:val="clear" w:color="auto" w:fill="auto"/>
                  <w:noWrap w:val="0"/>
                  <w:vAlign w:val="center"/>
                </w:tcPr>
                <w:p>
                  <w:pPr>
                    <w:pStyle w:val="115"/>
                    <w:spacing w:line="240" w:lineRule="auto"/>
                    <w:ind w:firstLine="0" w:firstLineChars="0"/>
                    <w:jc w:val="center"/>
                    <w:rPr>
                      <w:rFonts w:hint="eastAsia" w:ascii="Times New Roman" w:hAnsi="Times New Roman" w:eastAsia="宋体" w:cs="Times New Roman"/>
                      <w:b w:val="0"/>
                      <w:color w:val="auto"/>
                      <w:spacing w:val="0"/>
                      <w:sz w:val="21"/>
                    </w:rPr>
                  </w:pPr>
                  <w:r>
                    <w:rPr>
                      <w:rFonts w:hint="eastAsia" w:ascii="Times New Roman" w:hAnsi="Times New Roman" w:eastAsia="宋体" w:cs="Times New Roman"/>
                      <w:b w:val="0"/>
                      <w:color w:val="auto"/>
                      <w:spacing w:val="0"/>
                      <w:sz w:val="21"/>
                    </w:rPr>
                    <w:t>5-</w:t>
                  </w:r>
                  <w:r>
                    <w:rPr>
                      <w:rFonts w:hint="eastAsia" w:ascii="Times New Roman" w:hAnsi="Times New Roman" w:eastAsia="宋体" w:cs="Times New Roman"/>
                      <w:b w:val="0"/>
                      <w:color w:val="auto"/>
                      <w:spacing w:val="0"/>
                      <w:sz w:val="21"/>
                      <w:lang w:val="en-US" w:eastAsia="zh-CN"/>
                    </w:rPr>
                    <w:t>2</w:t>
                  </w:r>
                  <w:r>
                    <w:rPr>
                      <w:rFonts w:hint="eastAsia" w:ascii="Times New Roman" w:hAnsi="Times New Roman" w:eastAsia="宋体" w:cs="Times New Roman"/>
                      <w:b w:val="0"/>
                      <w:color w:val="auto"/>
                      <w:spacing w:val="0"/>
                      <w:sz w:val="21"/>
                    </w:rPr>
                    <w:t>0mm</w:t>
                  </w:r>
                </w:p>
              </w:tc>
              <w:tc>
                <w:tcPr>
                  <w:tcW w:w="1232" w:type="pct"/>
                  <w:vMerge w:val="continue"/>
                  <w:tcBorders>
                    <w:tl2br w:val="nil"/>
                    <w:tr2bl w:val="nil"/>
                  </w:tcBorders>
                  <w:shd w:val="clear" w:color="auto" w:fill="auto"/>
                  <w:noWrap w:val="0"/>
                  <w:vAlign w:val="center"/>
                </w:tcPr>
                <w:p>
                  <w:pPr>
                    <w:pStyle w:val="115"/>
                    <w:spacing w:line="240" w:lineRule="auto"/>
                    <w:ind w:firstLine="0" w:firstLineChars="0"/>
                    <w:jc w:val="center"/>
                    <w:rPr>
                      <w:rFonts w:hint="default" w:ascii="Times New Roman" w:hAnsi="Times New Roman" w:eastAsia="宋体" w:cs="Times New Roman"/>
                      <w:b w:val="0"/>
                      <w:color w:val="auto"/>
                      <w:spacing w:val="0"/>
                      <w:sz w:val="21"/>
                      <w:highlight w:val="yellow"/>
                      <w:lang w:val="en-US" w:eastAsia="zh-CN"/>
                    </w:rPr>
                  </w:pPr>
                </w:p>
              </w:tc>
              <w:tc>
                <w:tcPr>
                  <w:tcW w:w="1875" w:type="pct"/>
                  <w:vMerge w:val="continue"/>
                  <w:tcBorders>
                    <w:tl2br w:val="nil"/>
                    <w:tr2bl w:val="nil"/>
                  </w:tcBorders>
                  <w:shd w:val="clear" w:color="auto" w:fill="auto"/>
                  <w:noWrap w:val="0"/>
                  <w:vAlign w:val="center"/>
                </w:tcPr>
                <w:p>
                  <w:pPr>
                    <w:pStyle w:val="115"/>
                    <w:spacing w:line="240" w:lineRule="auto"/>
                    <w:ind w:firstLine="0" w:firstLineChars="0"/>
                    <w:jc w:val="center"/>
                    <w:rPr>
                      <w:rFonts w:hint="eastAsia" w:ascii="Times New Roman" w:hAnsi="Times New Roman" w:eastAsia="宋体" w:cs="Times New Roman"/>
                      <w:b w:val="0"/>
                      <w:color w:val="auto"/>
                      <w:spacing w:val="0"/>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891" w:type="pct"/>
                  <w:gridSpan w:val="2"/>
                  <w:tcBorders>
                    <w:tl2br w:val="nil"/>
                    <w:tr2bl w:val="nil"/>
                  </w:tcBorders>
                  <w:shd w:val="clear" w:color="auto" w:fill="auto"/>
                  <w:noWrap w:val="0"/>
                  <w:vAlign w:val="center"/>
                </w:tcPr>
                <w:p>
                  <w:pPr>
                    <w:pStyle w:val="115"/>
                    <w:spacing w:line="240" w:lineRule="auto"/>
                    <w:ind w:firstLine="0" w:firstLineChars="0"/>
                    <w:jc w:val="center"/>
                    <w:rPr>
                      <w:rFonts w:hint="eastAsia"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合计</w:t>
                  </w:r>
                </w:p>
              </w:tc>
              <w:tc>
                <w:tcPr>
                  <w:tcW w:w="1232" w:type="pct"/>
                  <w:tcBorders>
                    <w:tl2br w:val="nil"/>
                    <w:tr2bl w:val="nil"/>
                  </w:tcBorders>
                  <w:shd w:val="clear" w:color="auto" w:fill="auto"/>
                  <w:noWrap w:val="0"/>
                  <w:vAlign w:val="center"/>
                </w:tcPr>
                <w:p>
                  <w:pPr>
                    <w:pStyle w:val="115"/>
                    <w:spacing w:line="240" w:lineRule="auto"/>
                    <w:ind w:firstLine="0" w:firstLineChars="0"/>
                    <w:jc w:val="center"/>
                    <w:rPr>
                      <w:rFonts w:hint="default"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3.5万</w:t>
                  </w:r>
                </w:p>
              </w:tc>
              <w:tc>
                <w:tcPr>
                  <w:tcW w:w="1875" w:type="pct"/>
                  <w:tcBorders>
                    <w:tl2br w:val="nil"/>
                    <w:tr2bl w:val="nil"/>
                  </w:tcBorders>
                  <w:shd w:val="clear" w:color="auto" w:fill="auto"/>
                  <w:noWrap w:val="0"/>
                  <w:vAlign w:val="center"/>
                </w:tcPr>
                <w:p>
                  <w:pPr>
                    <w:pStyle w:val="115"/>
                    <w:spacing w:line="240" w:lineRule="auto"/>
                    <w:ind w:firstLine="0" w:firstLineChars="0"/>
                    <w:jc w:val="center"/>
                    <w:rPr>
                      <w:rFonts w:hint="eastAsia"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w:t>
                  </w:r>
                </w:p>
              </w:tc>
            </w:tr>
          </w:tbl>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（1）县域建筑垃圾供需平衡及再生骨料本地消纳途径分析：</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项目处理规模与博湖县建筑垃圾产生量供需平衡分析本项目设计建筑垃圾处理规模5万t/a，主要接纳博湖县城镇拆迁改造、市政道路改扩建、房建工程、乡镇建设产生的混凝土、砖石类建筑垃圾，严禁生活垃圾、危险废物、有毒有害废弃物进厂。结合博湖县城市更新、老旧小区改造、市政基础设施建设、乡镇建设实际情况，博湖县正常年份可资源化利用砖石、混凝土建筑垃圾产生量约6.0</w:t>
            </w:r>
            <w:r>
              <w:rPr>
                <w:rFonts w:hint="default" w:ascii="Times New Roman" w:hAnsi="Times New Roman" w:eastAsia="宋体" w:cs="Times New Roman"/>
                <w:color w:val="auto"/>
                <w:sz w:val="24"/>
                <w:szCs w:val="24"/>
              </w:rPr>
              <w:noBreakHyphen/>
            </w:r>
            <w:r>
              <w:rPr>
                <w:rFonts w:hint="default" w:ascii="Times New Roman" w:hAnsi="Times New Roman" w:eastAsia="宋体" w:cs="Times New Roman"/>
                <w:color w:val="auto"/>
                <w:sz w:val="24"/>
                <w:szCs w:val="24"/>
              </w:rPr>
              <w:t>7.0万t/a。本项目5万t/a处理规模小于县域可资源化建筑垃圾产生总量，可以消纳县域大部分合规建筑垃圾；剩余约1.0</w:t>
            </w:r>
            <w:r>
              <w:rPr>
                <w:rFonts w:hint="default" w:ascii="Times New Roman" w:hAnsi="Times New Roman" w:eastAsia="宋体" w:cs="Times New Roman"/>
                <w:color w:val="auto"/>
                <w:sz w:val="24"/>
                <w:szCs w:val="24"/>
              </w:rPr>
              <w:noBreakHyphen/>
            </w:r>
            <w:r>
              <w:rPr>
                <w:rFonts w:hint="default" w:ascii="Times New Roman" w:hAnsi="Times New Roman" w:eastAsia="宋体" w:cs="Times New Roman"/>
                <w:color w:val="auto"/>
                <w:sz w:val="24"/>
                <w:szCs w:val="24"/>
              </w:rPr>
              <w:t>2.0万t/a建筑垃圾，可通过工程现场就地回填、县域临时堆存点消纳。建筑垃圾产生量存在时间不均衡，拆迁集中年份产污量大，平缓年份产量低，项目运营期可根据实际收运量灵活调节生产负荷；密闭</w:t>
            </w:r>
            <w:r>
              <w:rPr>
                <w:rFonts w:hint="eastAsia" w:ascii="Times New Roman" w:hAnsi="Times New Roman" w:eastAsia="宋体" w:cs="Times New Roman"/>
                <w:color w:val="auto"/>
                <w:sz w:val="24"/>
                <w:szCs w:val="24"/>
                <w:lang w:val="en-US" w:eastAsia="zh-CN"/>
              </w:rPr>
              <w:t>原料库</w:t>
            </w:r>
            <w:r>
              <w:rPr>
                <w:rFonts w:hint="default" w:ascii="Times New Roman" w:hAnsi="Times New Roman" w:eastAsia="宋体" w:cs="Times New Roman"/>
                <w:color w:val="auto"/>
                <w:sz w:val="24"/>
                <w:szCs w:val="24"/>
              </w:rPr>
              <w:t>内原料堆存区具备缓冲贮存能力，平衡建筑垃圾季节性波动。本项目原则上不跨区域大量处置外县建筑垃圾，优先保障博湖县本地建筑垃圾处置需求。建设单位建立完整建筑垃圾进厂台账，登记来源、数量、物料种类；若后期县域建筑垃圾产生量发生大幅变化，建设单位配合住建、城管主管部门做好收运调度。</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综上，本项目5万吨/年处理规模与博湖县建筑垃圾产生量总体供需匹配，产能设置合理，既能够解决县域建筑垃圾乱堆乱倒问题，又不会出现原料不足、产能闲置的情况。约束说明：建设单位应建立建筑垃圾进厂台账，登记建筑垃圾来源、数量、种类，严禁接收生活垃圾、危废、有毒有害垃圾；若后续县域建筑垃圾产生量出现大幅变化，建设单位应配合住建、城管主管部门做好收运调度。</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再生骨料本地消纳途径分析</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本项目建成后年产0</w:t>
            </w:r>
            <w:r>
              <w:rPr>
                <w:rFonts w:hint="eastAsia" w:ascii="Times New Roman" w:hAnsi="Times New Roman" w:eastAsia="宋体" w:cs="Times New Roman"/>
                <w:color w:val="auto"/>
                <w:sz w:val="24"/>
                <w:szCs w:val="24"/>
              </w:rPr>
              <w:noBreakHyphen/>
            </w:r>
            <w:r>
              <w:rPr>
                <w:rFonts w:hint="eastAsia" w:ascii="Times New Roman" w:hAnsi="Times New Roman" w:eastAsia="宋体" w:cs="Times New Roman"/>
                <w:color w:val="auto"/>
                <w:sz w:val="24"/>
                <w:szCs w:val="24"/>
              </w:rPr>
              <w:t>5mm、5</w:t>
            </w:r>
            <w:r>
              <w:rPr>
                <w:rFonts w:hint="eastAsia" w:ascii="Times New Roman" w:hAnsi="Times New Roman" w:eastAsia="宋体" w:cs="Times New Roman"/>
                <w:color w:val="auto"/>
                <w:sz w:val="24"/>
                <w:szCs w:val="24"/>
              </w:rPr>
              <w:noBreakHyphen/>
            </w:r>
            <w:r>
              <w:rPr>
                <w:rFonts w:hint="eastAsia" w:ascii="Times New Roman" w:hAnsi="Times New Roman" w:eastAsia="宋体" w:cs="Times New Roman"/>
                <w:color w:val="auto"/>
                <w:sz w:val="24"/>
                <w:szCs w:val="24"/>
              </w:rPr>
              <w:t>20mm规格再生砂石骨料3.5万吨/年，产品全部供给北侧紧邻的博湖县鑫新建材有限公司，不外运远距离销售。博湖县鑫新建材有限公司为现状已投产建材企业，厂区内设有透水砖、小型预制砌块生产线，生产设施、成品仓储条件齐全，具备消纳本项目全部3.5万吨/年再生骨料的能力，项目场地紧邻，物料转运距离短，可实现再生骨料就近完全消纳。 项目产出的渣土、分选废金属、轻物质（塑料、木屑等）</w:t>
            </w:r>
            <w:r>
              <w:rPr>
                <w:rFonts w:hint="eastAsia" w:ascii="Times New Roman" w:hAnsi="Times New Roman" w:eastAsia="宋体" w:cs="Times New Roman"/>
                <w:color w:val="auto"/>
                <w:sz w:val="24"/>
                <w:szCs w:val="24"/>
                <w:lang w:val="en-US" w:eastAsia="zh-CN"/>
              </w:rPr>
              <w:t>中</w:t>
            </w:r>
            <w:r>
              <w:rPr>
                <w:rFonts w:hint="eastAsia" w:ascii="Times New Roman" w:hAnsi="Times New Roman" w:eastAsia="宋体" w:cs="Times New Roman"/>
                <w:color w:val="auto"/>
                <w:sz w:val="24"/>
                <w:szCs w:val="24"/>
              </w:rPr>
              <w:t>渣土外售用于回填平整；分选废金属销售给本地金属回收单位；风选、人工分拣得到的木材、塑料等轻物质外售综合回收利用。</w:t>
            </w:r>
          </w:p>
          <w:p>
            <w:pPr>
              <w:pStyle w:val="2"/>
              <w:keepNext w:val="0"/>
              <w:keepLines w:val="0"/>
              <w:pageBreakBefore w:val="0"/>
              <w:widowControl w:val="0"/>
              <w:kinsoku/>
              <w:wordWrap/>
              <w:overflowPunct/>
              <w:topLinePunct w:val="0"/>
              <w:autoSpaceDE/>
              <w:autoSpaceDN/>
              <w:bidi w:val="0"/>
              <w:adjustRightInd/>
              <w:snapToGrid/>
              <w:spacing w:line="360" w:lineRule="auto"/>
              <w:ind w:firstLine="482"/>
              <w:textAlignment w:val="baseline"/>
              <w:rPr>
                <w:rFonts w:ascii="Times New Roman" w:hAnsi="Times New Roman" w:eastAsia="宋体" w:cs="Times New Roman"/>
                <w:color w:val="auto"/>
                <w:spacing w:val="0"/>
                <w:kern w:val="2"/>
                <w:sz w:val="24"/>
                <w:szCs w:val="24"/>
              </w:rPr>
            </w:pPr>
            <w:r>
              <w:rPr>
                <w:rFonts w:hint="eastAsia" w:ascii="Times New Roman" w:hAnsi="Times New Roman" w:eastAsia="宋体" w:cs="Times New Roman"/>
                <w:b/>
                <w:bCs/>
                <w:color w:val="auto"/>
                <w:spacing w:val="0"/>
                <w:kern w:val="2"/>
                <w:sz w:val="24"/>
                <w:szCs w:val="24"/>
                <w:lang w:val="en-US" w:eastAsia="zh-CN"/>
              </w:rPr>
              <w:t>3</w:t>
            </w:r>
            <w:r>
              <w:rPr>
                <w:rFonts w:hint="eastAsia" w:ascii="Times New Roman" w:hAnsi="Times New Roman" w:eastAsia="宋体" w:cs="Times New Roman"/>
                <w:b/>
                <w:bCs/>
                <w:color w:val="auto"/>
                <w:spacing w:val="0"/>
                <w:kern w:val="2"/>
                <w:sz w:val="24"/>
                <w:szCs w:val="24"/>
              </w:rPr>
              <w:t>、本项目生产设备</w:t>
            </w:r>
          </w:p>
          <w:p>
            <w:pPr>
              <w:pStyle w:val="2"/>
              <w:keepNext w:val="0"/>
              <w:keepLines w:val="0"/>
              <w:pageBreakBefore w:val="0"/>
              <w:widowControl w:val="0"/>
              <w:kinsoku/>
              <w:wordWrap/>
              <w:overflowPunct/>
              <w:topLinePunct w:val="0"/>
              <w:autoSpaceDE/>
              <w:autoSpaceDN/>
              <w:bidi w:val="0"/>
              <w:adjustRightInd/>
              <w:snapToGrid/>
              <w:spacing w:line="360" w:lineRule="auto"/>
              <w:ind w:firstLine="480"/>
              <w:textAlignment w:val="baseline"/>
              <w:rPr>
                <w:rFonts w:ascii="Times New Roman" w:hAnsi="Times New Roman" w:eastAsia="宋体" w:cs="Times New Roman"/>
                <w:color w:val="auto"/>
                <w:spacing w:val="0"/>
                <w:kern w:val="2"/>
                <w:sz w:val="24"/>
                <w:szCs w:val="24"/>
              </w:rPr>
            </w:pPr>
            <w:r>
              <w:rPr>
                <w:rFonts w:hint="eastAsia" w:ascii="Times New Roman" w:hAnsi="Times New Roman" w:eastAsia="宋体" w:cs="Times New Roman"/>
                <w:color w:val="auto"/>
                <w:spacing w:val="0"/>
                <w:kern w:val="2"/>
                <w:sz w:val="24"/>
                <w:szCs w:val="24"/>
              </w:rPr>
              <w:t>本项目生产设备见表2-</w:t>
            </w:r>
            <w:r>
              <w:rPr>
                <w:rFonts w:hint="eastAsia" w:ascii="Times New Roman" w:hAnsi="Times New Roman" w:eastAsia="宋体" w:cs="Times New Roman"/>
                <w:color w:val="auto"/>
                <w:spacing w:val="0"/>
                <w:kern w:val="2"/>
                <w:sz w:val="24"/>
                <w:szCs w:val="24"/>
                <w:lang w:val="en-US" w:eastAsia="zh-CN"/>
              </w:rPr>
              <w:t>3</w:t>
            </w:r>
            <w:r>
              <w:rPr>
                <w:rFonts w:hint="eastAsia" w:ascii="Times New Roman" w:hAnsi="Times New Roman" w:eastAsia="宋体" w:cs="Times New Roman"/>
                <w:color w:val="auto"/>
                <w:spacing w:val="0"/>
                <w:kern w:val="2"/>
                <w:sz w:val="24"/>
                <w:szCs w:val="24"/>
              </w:rPr>
              <w:t>。</w:t>
            </w:r>
          </w:p>
          <w:p>
            <w:pPr>
              <w:pStyle w:val="5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color w:val="auto"/>
                <w:spacing w:val="0"/>
                <w:sz w:val="21"/>
                <w:szCs w:val="21"/>
              </w:rPr>
            </w:pPr>
            <w:r>
              <w:rPr>
                <w:rFonts w:hint="eastAsia" w:ascii="Times New Roman" w:hAnsi="Times New Roman"/>
                <w:color w:val="auto"/>
                <w:spacing w:val="0"/>
                <w:sz w:val="21"/>
                <w:szCs w:val="21"/>
              </w:rPr>
              <w:t>表2-</w:t>
            </w:r>
            <w:r>
              <w:rPr>
                <w:rFonts w:hint="eastAsia" w:ascii="Times New Roman" w:hAnsi="Times New Roman"/>
                <w:color w:val="auto"/>
                <w:spacing w:val="0"/>
                <w:sz w:val="21"/>
                <w:szCs w:val="21"/>
                <w:lang w:val="en-US" w:eastAsia="zh-CN"/>
              </w:rPr>
              <w:t>3</w:t>
            </w:r>
            <w:r>
              <w:rPr>
                <w:rFonts w:ascii="Times New Roman" w:hAnsi="Times New Roman"/>
                <w:color w:val="auto"/>
                <w:spacing w:val="0"/>
                <w:sz w:val="21"/>
                <w:szCs w:val="21"/>
              </w:rPr>
              <w:t xml:space="preserve"> </w:t>
            </w:r>
            <w:r>
              <w:rPr>
                <w:rFonts w:hint="eastAsia" w:ascii="Times New Roman" w:hAnsi="Times New Roman"/>
                <w:color w:val="auto"/>
                <w:spacing w:val="0"/>
                <w:sz w:val="21"/>
                <w:szCs w:val="21"/>
              </w:rPr>
              <w:t>本项目生产设备一览表</w:t>
            </w:r>
          </w:p>
          <w:tbl>
            <w:tblPr>
              <w:tblStyle w:val="55"/>
              <w:tblW w:w="502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1840"/>
              <w:gridCol w:w="2406"/>
              <w:gridCol w:w="562"/>
              <w:gridCol w:w="463"/>
              <w:gridCol w:w="19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402" w:type="pct"/>
                  <w:tcBorders>
                    <w:tl2br w:val="nil"/>
                    <w:tr2bl w:val="nil"/>
                  </w:tcBorders>
                  <w:noWrap/>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lang w:val="en-US" w:eastAsia="zh-CN"/>
                    </w:rPr>
                    <w:t>序号</w:t>
                  </w:r>
                </w:p>
              </w:tc>
              <w:tc>
                <w:tcPr>
                  <w:tcW w:w="1176"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lang w:val="en-US" w:eastAsia="zh-CN"/>
                    </w:rPr>
                    <w:t>设备名称</w:t>
                  </w:r>
                </w:p>
              </w:tc>
              <w:tc>
                <w:tcPr>
                  <w:tcW w:w="1538"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lang w:val="en-US" w:eastAsia="zh-CN"/>
                    </w:rPr>
                    <w:t>规格型号</w:t>
                  </w:r>
                </w:p>
              </w:tc>
              <w:tc>
                <w:tcPr>
                  <w:tcW w:w="359"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lang w:val="en-US" w:eastAsia="zh-CN"/>
                    </w:rPr>
                    <w:t>数量</w:t>
                  </w:r>
                </w:p>
              </w:tc>
              <w:tc>
                <w:tcPr>
                  <w:tcW w:w="296"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pacing w:val="0"/>
                      <w:sz w:val="21"/>
                      <w:szCs w:val="21"/>
                      <w:lang w:val="en-US" w:eastAsia="zh-CN"/>
                    </w:rPr>
                    <w:t>单位</w:t>
                  </w:r>
                </w:p>
              </w:tc>
              <w:tc>
                <w:tcPr>
                  <w:tcW w:w="1226"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2" w:type="pct"/>
                  <w:tcBorders>
                    <w:tl2br w:val="nil"/>
                    <w:tr2bl w:val="nil"/>
                  </w:tcBorders>
                  <w:shd w:val="clear" w:color="auto" w:fill="auto"/>
                  <w:noWrap/>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1</w:t>
                  </w:r>
                </w:p>
              </w:tc>
              <w:tc>
                <w:tcPr>
                  <w:tcW w:w="117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eastAsia="zh-CN"/>
                    </w:rPr>
                    <w:t>颚式破碎机</w:t>
                  </w:r>
                </w:p>
              </w:tc>
              <w:tc>
                <w:tcPr>
                  <w:tcW w:w="1538"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HD86</w:t>
                  </w:r>
                </w:p>
              </w:tc>
              <w:tc>
                <w:tcPr>
                  <w:tcW w:w="359"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rPr>
                    <w:t>1</w:t>
                  </w:r>
                </w:p>
              </w:tc>
              <w:tc>
                <w:tcPr>
                  <w:tcW w:w="29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台</w:t>
                  </w:r>
                </w:p>
              </w:tc>
              <w:tc>
                <w:tcPr>
                  <w:tcW w:w="122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一级破碎，产能≥50</w:t>
                  </w:r>
                  <w:r>
                    <w:rPr>
                      <w:rFonts w:hint="default" w:ascii="Times New Roman" w:hAnsi="Times New Roman" w:eastAsia="宋体" w:cs="Times New Roman"/>
                      <w:b w:val="0"/>
                      <w:bCs w:val="0"/>
                      <w:color w:val="auto"/>
                      <w:spacing w:val="0"/>
                      <w:sz w:val="21"/>
                      <w:szCs w:val="21"/>
                    </w:rPr>
                    <w:t>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402" w:type="pct"/>
                  <w:tcBorders>
                    <w:tl2br w:val="nil"/>
                    <w:tr2bl w:val="nil"/>
                  </w:tcBorders>
                  <w:shd w:val="clear" w:color="auto" w:fill="auto"/>
                  <w:noWrap/>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2</w:t>
                  </w:r>
                </w:p>
              </w:tc>
              <w:tc>
                <w:tcPr>
                  <w:tcW w:w="117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反击式破碎机</w:t>
                  </w:r>
                </w:p>
              </w:tc>
              <w:tc>
                <w:tcPr>
                  <w:tcW w:w="1538"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PF1010，进料口尺寸400mm*980mm</w:t>
                  </w:r>
                </w:p>
              </w:tc>
              <w:tc>
                <w:tcPr>
                  <w:tcW w:w="359"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1</w:t>
                  </w:r>
                </w:p>
              </w:tc>
              <w:tc>
                <w:tcPr>
                  <w:tcW w:w="29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台</w:t>
                  </w:r>
                </w:p>
              </w:tc>
              <w:tc>
                <w:tcPr>
                  <w:tcW w:w="122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二级破碎，产能≥50t/h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402" w:type="pct"/>
                  <w:tcBorders>
                    <w:tl2br w:val="nil"/>
                    <w:tr2bl w:val="nil"/>
                  </w:tcBorders>
                  <w:shd w:val="clear" w:color="auto" w:fill="auto"/>
                  <w:noWrap/>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3</w:t>
                  </w:r>
                </w:p>
              </w:tc>
              <w:tc>
                <w:tcPr>
                  <w:tcW w:w="117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highlight w:val="none"/>
                      <w:lang w:val="en-US" w:eastAsia="zh-CN" w:bidi="ar-SA"/>
                    </w:rPr>
                  </w:pPr>
                  <w:r>
                    <w:rPr>
                      <w:rFonts w:hint="default" w:ascii="Times New Roman" w:hAnsi="Times New Roman" w:eastAsia="宋体" w:cs="Times New Roman"/>
                      <w:b w:val="0"/>
                      <w:bCs w:val="0"/>
                      <w:color w:val="auto"/>
                      <w:spacing w:val="0"/>
                      <w:sz w:val="21"/>
                      <w:szCs w:val="21"/>
                      <w:highlight w:val="none"/>
                      <w:lang w:val="en-US" w:eastAsia="zh-CN"/>
                    </w:rPr>
                    <w:t>张弛筛</w:t>
                  </w:r>
                </w:p>
              </w:tc>
              <w:tc>
                <w:tcPr>
                  <w:tcW w:w="1538"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2HCZC1548</w:t>
                  </w:r>
                </w:p>
              </w:tc>
              <w:tc>
                <w:tcPr>
                  <w:tcW w:w="359"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1</w:t>
                  </w:r>
                </w:p>
              </w:tc>
              <w:tc>
                <w:tcPr>
                  <w:tcW w:w="29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台</w:t>
                  </w:r>
                </w:p>
              </w:tc>
              <w:tc>
                <w:tcPr>
                  <w:tcW w:w="122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筛分渣土，产能≥50</w:t>
                  </w:r>
                  <w:r>
                    <w:rPr>
                      <w:rFonts w:hint="default" w:ascii="Times New Roman" w:hAnsi="Times New Roman" w:eastAsia="宋体" w:cs="Times New Roman"/>
                      <w:b w:val="0"/>
                      <w:bCs w:val="0"/>
                      <w:color w:val="auto"/>
                      <w:spacing w:val="0"/>
                      <w:sz w:val="21"/>
                      <w:szCs w:val="21"/>
                    </w:rPr>
                    <w:t>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402" w:type="pct"/>
                  <w:tcBorders>
                    <w:tl2br w:val="nil"/>
                    <w:tr2bl w:val="nil"/>
                  </w:tcBorders>
                  <w:shd w:val="clear" w:color="auto" w:fill="auto"/>
                  <w:noWrap/>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highlight w:val="none"/>
                      <w:lang w:val="en-US" w:eastAsia="zh-CN" w:bidi="ar-SA"/>
                    </w:rPr>
                  </w:pPr>
                  <w:r>
                    <w:rPr>
                      <w:rFonts w:hint="default" w:ascii="Times New Roman" w:hAnsi="Times New Roman" w:eastAsia="宋体" w:cs="Times New Roman"/>
                      <w:b w:val="0"/>
                      <w:bCs w:val="0"/>
                      <w:color w:val="auto"/>
                      <w:spacing w:val="0"/>
                      <w:sz w:val="21"/>
                      <w:szCs w:val="21"/>
                      <w:highlight w:val="none"/>
                      <w:lang w:val="en-US" w:eastAsia="zh-CN"/>
                    </w:rPr>
                    <w:t>4</w:t>
                  </w:r>
                </w:p>
              </w:tc>
              <w:tc>
                <w:tcPr>
                  <w:tcW w:w="117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圆振筛</w:t>
                  </w:r>
                </w:p>
              </w:tc>
              <w:tc>
                <w:tcPr>
                  <w:tcW w:w="1538"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3YK1548</w:t>
                  </w:r>
                </w:p>
              </w:tc>
              <w:tc>
                <w:tcPr>
                  <w:tcW w:w="359"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1</w:t>
                  </w:r>
                </w:p>
              </w:tc>
              <w:tc>
                <w:tcPr>
                  <w:tcW w:w="29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套</w:t>
                  </w:r>
                </w:p>
              </w:tc>
              <w:tc>
                <w:tcPr>
                  <w:tcW w:w="122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骨料筛分，产能≥50t/h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402" w:type="pct"/>
                  <w:tcBorders>
                    <w:tl2br w:val="nil"/>
                    <w:tr2bl w:val="nil"/>
                  </w:tcBorders>
                  <w:shd w:val="clear" w:color="auto" w:fill="auto"/>
                  <w:noWrap/>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5</w:t>
                  </w:r>
                </w:p>
              </w:tc>
              <w:tc>
                <w:tcPr>
                  <w:tcW w:w="117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永磁自卸式除铁器</w:t>
                  </w:r>
                </w:p>
              </w:tc>
              <w:tc>
                <w:tcPr>
                  <w:tcW w:w="1538"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RCYD-6.5</w:t>
                  </w:r>
                </w:p>
              </w:tc>
              <w:tc>
                <w:tcPr>
                  <w:tcW w:w="359"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2</w:t>
                  </w:r>
                </w:p>
              </w:tc>
              <w:tc>
                <w:tcPr>
                  <w:tcW w:w="29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台</w:t>
                  </w:r>
                </w:p>
              </w:tc>
              <w:tc>
                <w:tcPr>
                  <w:tcW w:w="122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剔除磁性金属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402" w:type="pct"/>
                  <w:tcBorders>
                    <w:tl2br w:val="nil"/>
                    <w:tr2bl w:val="nil"/>
                  </w:tcBorders>
                  <w:shd w:val="clear" w:color="auto" w:fill="auto"/>
                  <w:noWrap/>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6</w:t>
                  </w:r>
                </w:p>
              </w:tc>
              <w:tc>
                <w:tcPr>
                  <w:tcW w:w="117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卧式风选机</w:t>
                  </w:r>
                </w:p>
              </w:tc>
              <w:tc>
                <w:tcPr>
                  <w:tcW w:w="1538"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KWF1200</w:t>
                  </w:r>
                </w:p>
              </w:tc>
              <w:tc>
                <w:tcPr>
                  <w:tcW w:w="359"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1</w:t>
                  </w:r>
                </w:p>
              </w:tc>
              <w:tc>
                <w:tcPr>
                  <w:tcW w:w="29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台</w:t>
                  </w:r>
                </w:p>
              </w:tc>
              <w:tc>
                <w:tcPr>
                  <w:tcW w:w="122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处理能力≥30t/h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2" w:type="pct"/>
                  <w:tcBorders>
                    <w:tl2br w:val="nil"/>
                    <w:tr2bl w:val="nil"/>
                  </w:tcBorders>
                  <w:shd w:val="clear" w:color="auto" w:fill="auto"/>
                  <w:noWrap/>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7</w:t>
                  </w:r>
                </w:p>
              </w:tc>
              <w:tc>
                <w:tcPr>
                  <w:tcW w:w="117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rPr>
                    <w:t>振动</w:t>
                  </w:r>
                  <w:r>
                    <w:rPr>
                      <w:rFonts w:hint="default" w:ascii="Times New Roman" w:hAnsi="Times New Roman" w:eastAsia="宋体" w:cs="Times New Roman"/>
                      <w:b w:val="0"/>
                      <w:bCs w:val="0"/>
                      <w:color w:val="auto"/>
                      <w:spacing w:val="0"/>
                      <w:sz w:val="21"/>
                      <w:szCs w:val="21"/>
                      <w:lang w:eastAsia="zh-CN"/>
                    </w:rPr>
                    <w:t>投料</w:t>
                  </w:r>
                  <w:r>
                    <w:rPr>
                      <w:rFonts w:hint="default" w:ascii="Times New Roman" w:hAnsi="Times New Roman" w:eastAsia="宋体" w:cs="Times New Roman"/>
                      <w:b w:val="0"/>
                      <w:bCs w:val="0"/>
                      <w:color w:val="auto"/>
                      <w:spacing w:val="0"/>
                      <w:sz w:val="21"/>
                      <w:szCs w:val="21"/>
                    </w:rPr>
                    <w:t>机</w:t>
                  </w:r>
                </w:p>
              </w:tc>
              <w:tc>
                <w:tcPr>
                  <w:tcW w:w="1538"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ZSW3895</w:t>
                  </w:r>
                </w:p>
              </w:tc>
              <w:tc>
                <w:tcPr>
                  <w:tcW w:w="359"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rPr>
                    <w:t>1</w:t>
                  </w:r>
                </w:p>
              </w:tc>
              <w:tc>
                <w:tcPr>
                  <w:tcW w:w="29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台</w:t>
                  </w:r>
                </w:p>
              </w:tc>
              <w:tc>
                <w:tcPr>
                  <w:tcW w:w="122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产能90-200</w:t>
                  </w:r>
                  <w:r>
                    <w:rPr>
                      <w:rFonts w:hint="default" w:ascii="Times New Roman" w:hAnsi="Times New Roman" w:eastAsia="宋体" w:cs="Times New Roman"/>
                      <w:b w:val="0"/>
                      <w:bCs w:val="0"/>
                      <w:color w:val="auto"/>
                      <w:spacing w:val="0"/>
                      <w:sz w:val="21"/>
                      <w:szCs w:val="21"/>
                    </w:rPr>
                    <w:t>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402" w:type="pct"/>
                  <w:tcBorders>
                    <w:tl2br w:val="nil"/>
                    <w:tr2bl w:val="nil"/>
                  </w:tcBorders>
                  <w:shd w:val="clear" w:color="auto" w:fill="auto"/>
                  <w:noWrap/>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8</w:t>
                  </w:r>
                </w:p>
              </w:tc>
              <w:tc>
                <w:tcPr>
                  <w:tcW w:w="117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装载机</w:t>
                  </w:r>
                </w:p>
              </w:tc>
              <w:tc>
                <w:tcPr>
                  <w:tcW w:w="1538"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eastAsia" w:ascii="Times New Roman" w:hAnsi="Times New Roman" w:eastAsia="宋体" w:cs="Times New Roman"/>
                      <w:b w:val="0"/>
                      <w:bCs w:val="0"/>
                      <w:color w:val="auto"/>
                      <w:spacing w:val="0"/>
                      <w:sz w:val="21"/>
                      <w:szCs w:val="21"/>
                      <w:lang w:val="en-US" w:eastAsia="zh-CN"/>
                    </w:rPr>
                    <w:t>5t</w:t>
                  </w:r>
                </w:p>
              </w:tc>
              <w:tc>
                <w:tcPr>
                  <w:tcW w:w="359"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2</w:t>
                  </w:r>
                </w:p>
              </w:tc>
              <w:tc>
                <w:tcPr>
                  <w:tcW w:w="29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台</w:t>
                  </w:r>
                </w:p>
              </w:tc>
              <w:tc>
                <w:tcPr>
                  <w:tcW w:w="122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pacing w:val="0"/>
                      <w:sz w:val="21"/>
                      <w:szCs w:val="21"/>
                      <w:lang w:val="en-US" w:eastAsia="zh-CN"/>
                    </w:rPr>
                    <w:t>物料转运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2" w:type="pct"/>
                  <w:tcBorders>
                    <w:tl2br w:val="nil"/>
                    <w:tr2bl w:val="nil"/>
                  </w:tcBorders>
                  <w:shd w:val="clear" w:color="auto" w:fill="auto"/>
                  <w:noWrap/>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9</w:t>
                  </w:r>
                </w:p>
              </w:tc>
              <w:tc>
                <w:tcPr>
                  <w:tcW w:w="117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皮带输送机</w:t>
                  </w:r>
                </w:p>
              </w:tc>
              <w:tc>
                <w:tcPr>
                  <w:tcW w:w="1538"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DTII型</w:t>
                  </w:r>
                </w:p>
              </w:tc>
              <w:tc>
                <w:tcPr>
                  <w:tcW w:w="359"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若干</w:t>
                  </w:r>
                </w:p>
              </w:tc>
              <w:tc>
                <w:tcPr>
                  <w:tcW w:w="29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台</w:t>
                  </w:r>
                </w:p>
              </w:tc>
              <w:tc>
                <w:tcPr>
                  <w:tcW w:w="122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eastAsia" w:ascii="Times New Roman" w:hAnsi="Times New Roman" w:eastAsia="宋体" w:cs="Times New Roman"/>
                      <w:b w:val="0"/>
                      <w:bCs w:val="0"/>
                      <w:color w:val="auto"/>
                      <w:spacing w:val="0"/>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402" w:type="pct"/>
                  <w:tcBorders>
                    <w:tl2br w:val="nil"/>
                    <w:tr2bl w:val="nil"/>
                  </w:tcBorders>
                  <w:shd w:val="clear" w:color="auto" w:fill="auto"/>
                  <w:noWrap/>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10</w:t>
                  </w:r>
                </w:p>
              </w:tc>
              <w:tc>
                <w:tcPr>
                  <w:tcW w:w="117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布袋除尘器</w:t>
                  </w:r>
                </w:p>
              </w:tc>
              <w:tc>
                <w:tcPr>
                  <w:tcW w:w="1538"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处理风量70000m³/h</w:t>
                  </w:r>
                </w:p>
              </w:tc>
              <w:tc>
                <w:tcPr>
                  <w:tcW w:w="359"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1</w:t>
                  </w:r>
                </w:p>
              </w:tc>
              <w:tc>
                <w:tcPr>
                  <w:tcW w:w="29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台</w:t>
                  </w:r>
                </w:p>
              </w:tc>
              <w:tc>
                <w:tcPr>
                  <w:tcW w:w="122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z w:val="21"/>
                      <w:szCs w:val="21"/>
                    </w:rPr>
                    <w:t>破碎筛分废气治理，配套密闭集气罩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402" w:type="pct"/>
                  <w:tcBorders>
                    <w:tl2br w:val="nil"/>
                    <w:tr2bl w:val="nil"/>
                  </w:tcBorders>
                  <w:shd w:val="clear" w:color="auto" w:fill="auto"/>
                  <w:noWrap/>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11</w:t>
                  </w:r>
                </w:p>
              </w:tc>
              <w:tc>
                <w:tcPr>
                  <w:tcW w:w="117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z w:val="21"/>
                      <w:szCs w:val="21"/>
                    </w:rPr>
                    <w:t>引风机</w:t>
                  </w:r>
                </w:p>
              </w:tc>
              <w:tc>
                <w:tcPr>
                  <w:tcW w:w="1538"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z w:val="21"/>
                      <w:szCs w:val="21"/>
                    </w:rPr>
                    <w:t>匹配除尘器风量</w:t>
                  </w:r>
                </w:p>
              </w:tc>
              <w:tc>
                <w:tcPr>
                  <w:tcW w:w="359"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pacing w:val="0"/>
                      <w:sz w:val="21"/>
                      <w:szCs w:val="21"/>
                      <w:lang w:val="en-US" w:eastAsia="zh-CN"/>
                    </w:rPr>
                    <w:t>1</w:t>
                  </w:r>
                </w:p>
              </w:tc>
              <w:tc>
                <w:tcPr>
                  <w:tcW w:w="296"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pacing w:val="0"/>
                      <w:sz w:val="21"/>
                      <w:szCs w:val="21"/>
                      <w:lang w:val="en-US" w:eastAsia="zh-CN"/>
                    </w:rPr>
                    <w:t>台</w:t>
                  </w:r>
                </w:p>
              </w:tc>
              <w:tc>
                <w:tcPr>
                  <w:tcW w:w="1226"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z w:val="21"/>
                      <w:szCs w:val="21"/>
                    </w:rPr>
                    <w:t>配套布袋除尘器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402" w:type="pct"/>
                  <w:tcBorders>
                    <w:tl2br w:val="nil"/>
                    <w:tr2bl w:val="nil"/>
                  </w:tcBorders>
                  <w:shd w:val="clear" w:color="auto" w:fill="auto"/>
                  <w:noWrap/>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12</w:t>
                  </w:r>
                </w:p>
              </w:tc>
              <w:tc>
                <w:tcPr>
                  <w:tcW w:w="117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z w:val="21"/>
                      <w:szCs w:val="21"/>
                    </w:rPr>
                    <w:t>排气筒DA001</w:t>
                  </w:r>
                </w:p>
              </w:tc>
              <w:tc>
                <w:tcPr>
                  <w:tcW w:w="1538"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pacing w:val="0"/>
                      <w:sz w:val="21"/>
                      <w:szCs w:val="21"/>
                      <w:lang w:val="en-US" w:eastAsia="zh-CN"/>
                    </w:rPr>
                    <w:t>20m高</w:t>
                  </w:r>
                </w:p>
              </w:tc>
              <w:tc>
                <w:tcPr>
                  <w:tcW w:w="359"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pacing w:val="0"/>
                      <w:sz w:val="21"/>
                      <w:szCs w:val="21"/>
                      <w:lang w:val="en-US" w:eastAsia="zh-CN"/>
                    </w:rPr>
                    <w:t>1</w:t>
                  </w:r>
                </w:p>
              </w:tc>
              <w:tc>
                <w:tcPr>
                  <w:tcW w:w="296"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pacing w:val="0"/>
                      <w:sz w:val="21"/>
                      <w:szCs w:val="21"/>
                      <w:lang w:val="en-US" w:eastAsia="zh-CN"/>
                    </w:rPr>
                    <w:t>根</w:t>
                  </w:r>
                </w:p>
              </w:tc>
              <w:tc>
                <w:tcPr>
                  <w:tcW w:w="1226"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z w:val="21"/>
                      <w:szCs w:val="21"/>
                    </w:rPr>
                    <w:t>有组织废气排放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2" w:type="pct"/>
                  <w:tcBorders>
                    <w:tl2br w:val="nil"/>
                    <w:tr2bl w:val="nil"/>
                  </w:tcBorders>
                  <w:noWrap/>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eastAsia" w:ascii="Times New Roman" w:hAnsi="Times New Roman" w:eastAsia="宋体" w:cs="Times New Roman"/>
                      <w:b w:val="0"/>
                      <w:bCs w:val="0"/>
                      <w:color w:val="auto"/>
                      <w:spacing w:val="0"/>
                      <w:sz w:val="21"/>
                      <w:szCs w:val="21"/>
                      <w:lang w:val="en-US" w:eastAsia="zh-CN"/>
                    </w:rPr>
                    <w:t>13</w:t>
                  </w:r>
                </w:p>
              </w:tc>
              <w:tc>
                <w:tcPr>
                  <w:tcW w:w="117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z w:val="21"/>
                      <w:szCs w:val="21"/>
                    </w:rPr>
                    <w:t>雾炮机、喷淋抑尘装置</w:t>
                  </w:r>
                </w:p>
              </w:tc>
              <w:tc>
                <w:tcPr>
                  <w:tcW w:w="1538"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pacing w:val="0"/>
                      <w:sz w:val="21"/>
                      <w:szCs w:val="21"/>
                      <w:lang w:val="en-US" w:eastAsia="zh-CN"/>
                    </w:rPr>
                    <w:t>/</w:t>
                  </w:r>
                </w:p>
              </w:tc>
              <w:tc>
                <w:tcPr>
                  <w:tcW w:w="359"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z w:val="21"/>
                      <w:szCs w:val="21"/>
                    </w:rPr>
                    <w:t>若干</w:t>
                  </w:r>
                </w:p>
              </w:tc>
              <w:tc>
                <w:tcPr>
                  <w:tcW w:w="29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pacing w:val="0"/>
                      <w:sz w:val="21"/>
                      <w:szCs w:val="21"/>
                      <w:lang w:val="en-US" w:eastAsia="zh-CN"/>
                    </w:rPr>
                    <w:t>/</w:t>
                  </w:r>
                </w:p>
              </w:tc>
              <w:tc>
                <w:tcPr>
                  <w:tcW w:w="122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z w:val="21"/>
                      <w:szCs w:val="21"/>
                    </w:rPr>
                    <w:t>堆场、投料、装车点位抑尘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2" w:type="pct"/>
                  <w:tcBorders>
                    <w:tl2br w:val="nil"/>
                    <w:tr2bl w:val="nil"/>
                  </w:tcBorders>
                  <w:noWrap/>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eastAsia" w:ascii="Times New Roman" w:hAnsi="Times New Roman" w:eastAsia="宋体" w:cs="Times New Roman"/>
                      <w:b w:val="0"/>
                      <w:bCs w:val="0"/>
                      <w:color w:val="auto"/>
                      <w:spacing w:val="0"/>
                      <w:sz w:val="21"/>
                      <w:szCs w:val="21"/>
                      <w:lang w:val="en-US" w:eastAsia="zh-CN"/>
                    </w:rPr>
                    <w:t>14</w:t>
                  </w:r>
                </w:p>
              </w:tc>
              <w:tc>
                <w:tcPr>
                  <w:tcW w:w="117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z w:val="21"/>
                      <w:szCs w:val="21"/>
                    </w:rPr>
                    <w:t>车辆洗车平台</w:t>
                  </w:r>
                </w:p>
              </w:tc>
              <w:tc>
                <w:tcPr>
                  <w:tcW w:w="1538"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z w:val="21"/>
                      <w:szCs w:val="21"/>
                    </w:rPr>
                    <w:t>配套 15m³ 沉淀池</w:t>
                  </w:r>
                </w:p>
              </w:tc>
              <w:tc>
                <w:tcPr>
                  <w:tcW w:w="359"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pacing w:val="0"/>
                      <w:sz w:val="21"/>
                      <w:szCs w:val="21"/>
                      <w:lang w:val="en-US" w:eastAsia="zh-CN"/>
                    </w:rPr>
                    <w:t>1</w:t>
                  </w:r>
                </w:p>
              </w:tc>
              <w:tc>
                <w:tcPr>
                  <w:tcW w:w="29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pacing w:val="0"/>
                      <w:sz w:val="21"/>
                      <w:szCs w:val="21"/>
                      <w:lang w:val="en-US" w:eastAsia="zh-CN"/>
                    </w:rPr>
                    <w:t>个</w:t>
                  </w:r>
                </w:p>
              </w:tc>
              <w:tc>
                <w:tcPr>
                  <w:tcW w:w="122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z w:val="21"/>
                      <w:szCs w:val="21"/>
                    </w:rPr>
                    <w:t>进出车辆冲洗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402" w:type="pct"/>
                  <w:tcBorders>
                    <w:tl2br w:val="nil"/>
                    <w:tr2bl w:val="nil"/>
                  </w:tcBorders>
                  <w:noWrap/>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eastAsia" w:ascii="Times New Roman" w:hAnsi="Times New Roman" w:eastAsia="宋体" w:cs="Times New Roman"/>
                      <w:b w:val="0"/>
                      <w:bCs w:val="0"/>
                      <w:color w:val="auto"/>
                      <w:spacing w:val="0"/>
                      <w:sz w:val="21"/>
                      <w:szCs w:val="21"/>
                      <w:lang w:val="en-US" w:eastAsia="zh-CN"/>
                    </w:rPr>
                    <w:t>15</w:t>
                  </w:r>
                </w:p>
              </w:tc>
              <w:tc>
                <w:tcPr>
                  <w:tcW w:w="117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z w:val="21"/>
                      <w:szCs w:val="21"/>
                    </w:rPr>
                    <w:t>化粪池</w:t>
                  </w:r>
                </w:p>
              </w:tc>
              <w:tc>
                <w:tcPr>
                  <w:tcW w:w="1538"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z w:val="21"/>
                      <w:szCs w:val="21"/>
                    </w:rPr>
                    <w:t>有效容积 10m³</w:t>
                  </w:r>
                </w:p>
              </w:tc>
              <w:tc>
                <w:tcPr>
                  <w:tcW w:w="359"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1</w:t>
                  </w:r>
                </w:p>
              </w:tc>
              <w:tc>
                <w:tcPr>
                  <w:tcW w:w="29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座</w:t>
                  </w:r>
                </w:p>
              </w:tc>
              <w:tc>
                <w:tcPr>
                  <w:tcW w:w="122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z w:val="21"/>
                      <w:szCs w:val="21"/>
                    </w:rPr>
                    <w:t>生活污水预处理，防渗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2" w:type="pct"/>
                  <w:tcBorders>
                    <w:tl2br w:val="nil"/>
                    <w:tr2bl w:val="nil"/>
                  </w:tcBorders>
                  <w:noWrap/>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rPr>
                  </w:pPr>
                  <w:r>
                    <w:rPr>
                      <w:rFonts w:hint="eastAsia" w:ascii="Times New Roman" w:hAnsi="Times New Roman" w:eastAsia="宋体" w:cs="Times New Roman"/>
                      <w:b w:val="0"/>
                      <w:bCs w:val="0"/>
                      <w:color w:val="auto"/>
                      <w:spacing w:val="0"/>
                      <w:sz w:val="21"/>
                      <w:szCs w:val="21"/>
                      <w:lang w:val="en-US" w:eastAsia="zh-CN"/>
                    </w:rPr>
                    <w:t>16</w:t>
                  </w:r>
                </w:p>
              </w:tc>
              <w:tc>
                <w:tcPr>
                  <w:tcW w:w="117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z w:val="21"/>
                      <w:szCs w:val="21"/>
                    </w:rPr>
                    <w:t>应急抽油泵</w:t>
                  </w:r>
                </w:p>
              </w:tc>
              <w:tc>
                <w:tcPr>
                  <w:tcW w:w="1538"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z w:val="21"/>
                      <w:szCs w:val="21"/>
                    </w:rPr>
                    <w:t>移动式</w:t>
                  </w:r>
                </w:p>
              </w:tc>
              <w:tc>
                <w:tcPr>
                  <w:tcW w:w="359"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1</w:t>
                  </w:r>
                </w:p>
              </w:tc>
              <w:tc>
                <w:tcPr>
                  <w:tcW w:w="29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pacing w:val="0"/>
                      <w:sz w:val="21"/>
                      <w:szCs w:val="21"/>
                      <w:lang w:val="en-US" w:eastAsia="zh-CN"/>
                    </w:rPr>
                    <w:t>个</w:t>
                  </w:r>
                </w:p>
              </w:tc>
              <w:tc>
                <w:tcPr>
                  <w:tcW w:w="1226" w:type="pct"/>
                  <w:tcBorders>
                    <w:tl2br w:val="nil"/>
                    <w:tr2bl w:val="nil"/>
                  </w:tcBorders>
                  <w:shd w:val="clear" w:color="auto" w:fill="auto"/>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pacing w:val="0"/>
                      <w:sz w:val="21"/>
                      <w:szCs w:val="21"/>
                      <w:lang w:val="en-US" w:eastAsia="zh-CN" w:bidi="ar-SA"/>
                    </w:rPr>
                  </w:pPr>
                  <w:r>
                    <w:rPr>
                      <w:rFonts w:hint="default" w:ascii="Times New Roman" w:hAnsi="Times New Roman" w:eastAsia="宋体" w:cs="Times New Roman"/>
                      <w:b w:val="0"/>
                      <w:bCs w:val="0"/>
                      <w:color w:val="auto"/>
                      <w:sz w:val="21"/>
                      <w:szCs w:val="21"/>
                    </w:rPr>
                    <w:t>危废泄漏应急抽排</w:t>
                  </w:r>
                </w:p>
              </w:tc>
            </w:tr>
          </w:tbl>
          <w:p>
            <w:pPr>
              <w:keepNext w:val="0"/>
              <w:keepLines w:val="0"/>
              <w:pageBreakBefore w:val="0"/>
              <w:widowControl w:val="0"/>
              <w:kinsoku/>
              <w:wordWrap/>
              <w:overflowPunct/>
              <w:topLinePunct w:val="0"/>
              <w:autoSpaceDE/>
              <w:autoSpaceDN/>
              <w:bidi w:val="0"/>
              <w:adjustRightInd/>
              <w:snapToGrid/>
              <w:ind w:firstLine="482"/>
              <w:rPr>
                <w:rFonts w:ascii="Times New Roman" w:hAnsi="Times New Roman" w:eastAsia="宋体" w:cs="Times New Roman"/>
                <w:color w:val="auto"/>
                <w:spacing w:val="0"/>
                <w:sz w:val="24"/>
                <w:szCs w:val="24"/>
              </w:rPr>
            </w:pPr>
            <w:r>
              <w:rPr>
                <w:rFonts w:hint="eastAsia" w:ascii="Times New Roman" w:hAnsi="Times New Roman" w:eastAsia="宋体" w:cs="Times New Roman"/>
                <w:b/>
                <w:bCs/>
                <w:color w:val="auto"/>
                <w:spacing w:val="0"/>
                <w:sz w:val="24"/>
                <w:szCs w:val="24"/>
                <w:lang w:val="en-US" w:eastAsia="zh-CN"/>
              </w:rPr>
              <w:t>4</w:t>
            </w:r>
            <w:r>
              <w:rPr>
                <w:rFonts w:hint="eastAsia" w:ascii="Times New Roman" w:hAnsi="Times New Roman" w:eastAsia="宋体" w:cs="Times New Roman"/>
                <w:b/>
                <w:bCs/>
                <w:color w:val="auto"/>
                <w:spacing w:val="0"/>
                <w:sz w:val="24"/>
                <w:szCs w:val="24"/>
              </w:rPr>
              <w:t>、本项目主要</w:t>
            </w:r>
            <w:r>
              <w:rPr>
                <w:rFonts w:ascii="Times New Roman" w:hAnsi="Times New Roman" w:eastAsia="宋体" w:cs="Times New Roman"/>
                <w:b/>
                <w:bCs/>
                <w:color w:val="auto"/>
                <w:spacing w:val="0"/>
                <w:sz w:val="24"/>
                <w:szCs w:val="24"/>
              </w:rPr>
              <w:t>原辅料</w:t>
            </w:r>
            <w:r>
              <w:rPr>
                <w:rFonts w:hint="eastAsia" w:ascii="Times New Roman" w:hAnsi="Times New Roman" w:eastAsia="宋体" w:cs="Times New Roman"/>
                <w:b/>
                <w:bCs/>
                <w:color w:val="auto"/>
                <w:spacing w:val="0"/>
                <w:sz w:val="24"/>
                <w:szCs w:val="24"/>
              </w:rPr>
              <w:t>及能源消耗</w:t>
            </w:r>
          </w:p>
          <w:p>
            <w:pPr>
              <w:pStyle w:val="2"/>
              <w:keepNext w:val="0"/>
              <w:keepLines w:val="0"/>
              <w:pageBreakBefore w:val="0"/>
              <w:widowControl w:val="0"/>
              <w:kinsoku/>
              <w:wordWrap/>
              <w:overflowPunct/>
              <w:topLinePunct w:val="0"/>
              <w:autoSpaceDE/>
              <w:autoSpaceDN/>
              <w:bidi w:val="0"/>
              <w:adjustRightInd/>
              <w:snapToGrid/>
              <w:spacing w:line="360" w:lineRule="auto"/>
              <w:ind w:firstLine="480"/>
              <w:rPr>
                <w:rFonts w:ascii="Times New Roman" w:hAnsi="Times New Roman" w:eastAsia="宋体" w:cs="Times New Roman"/>
                <w:color w:val="auto"/>
                <w:spacing w:val="0"/>
                <w:kern w:val="2"/>
                <w:sz w:val="24"/>
                <w:szCs w:val="24"/>
              </w:rPr>
            </w:pPr>
            <w:r>
              <w:rPr>
                <w:rFonts w:hint="eastAsia" w:ascii="Times New Roman" w:hAnsi="Times New Roman" w:eastAsia="宋体" w:cs="Times New Roman"/>
                <w:color w:val="auto"/>
                <w:spacing w:val="0"/>
                <w:sz w:val="24"/>
                <w:szCs w:val="24"/>
              </w:rPr>
              <w:t>本项目</w:t>
            </w:r>
            <w:r>
              <w:rPr>
                <w:rFonts w:hint="eastAsia" w:ascii="Times New Roman" w:hAnsi="Times New Roman" w:eastAsia="宋体" w:cs="Times New Roman"/>
                <w:bCs/>
                <w:color w:val="auto"/>
                <w:spacing w:val="0"/>
                <w:sz w:val="24"/>
              </w:rPr>
              <w:t>原辅料消耗</w:t>
            </w:r>
            <w:r>
              <w:rPr>
                <w:rFonts w:ascii="Times New Roman" w:hAnsi="Times New Roman" w:eastAsia="宋体" w:cs="Times New Roman"/>
                <w:bCs/>
                <w:color w:val="auto"/>
                <w:spacing w:val="0"/>
                <w:sz w:val="24"/>
              </w:rPr>
              <w:t>见表2-</w:t>
            </w:r>
            <w:r>
              <w:rPr>
                <w:rFonts w:hint="eastAsia" w:ascii="Times New Roman" w:hAnsi="Times New Roman" w:eastAsia="宋体" w:cs="Times New Roman"/>
                <w:bCs/>
                <w:color w:val="auto"/>
                <w:spacing w:val="0"/>
                <w:sz w:val="24"/>
                <w:lang w:val="en-US" w:eastAsia="zh-CN"/>
              </w:rPr>
              <w:t>4</w:t>
            </w:r>
            <w:r>
              <w:rPr>
                <w:rFonts w:hint="eastAsia" w:ascii="Times New Roman" w:hAnsi="Times New Roman" w:eastAsia="宋体" w:cs="Times New Roman"/>
                <w:bCs/>
                <w:color w:val="auto"/>
                <w:spacing w:val="0"/>
                <w:sz w:val="24"/>
              </w:rPr>
              <w:t>。</w:t>
            </w:r>
          </w:p>
          <w:p>
            <w:pPr>
              <w:pStyle w:val="50"/>
              <w:keepNext w:val="0"/>
              <w:keepLines w:val="0"/>
              <w:pageBreakBefore w:val="0"/>
              <w:widowControl/>
              <w:kinsoku/>
              <w:wordWrap/>
              <w:overflowPunct/>
              <w:topLinePunct w:val="0"/>
              <w:autoSpaceDE/>
              <w:autoSpaceDN/>
              <w:bidi w:val="0"/>
              <w:adjustRightInd/>
              <w:snapToGrid/>
              <w:spacing w:before="0" w:beforeAutospacing="0" w:after="0" w:afterAutospacing="0"/>
              <w:ind w:firstLine="0" w:firstLineChars="0"/>
              <w:jc w:val="center"/>
              <w:textAlignment w:val="auto"/>
              <w:outlineLvl w:val="0"/>
              <w:rPr>
                <w:rFonts w:ascii="Times New Roman" w:hAnsi="Times New Roman" w:eastAsia="宋体" w:cs="Times New Roman"/>
                <w:b/>
                <w:snapToGrid w:val="0"/>
                <w:color w:val="auto"/>
                <w:spacing w:val="0"/>
                <w:sz w:val="21"/>
                <w:szCs w:val="21"/>
              </w:rPr>
            </w:pPr>
            <w:r>
              <w:rPr>
                <w:rFonts w:ascii="Times New Roman" w:hAnsi="Times New Roman" w:eastAsia="宋体" w:cs="Times New Roman"/>
                <w:b/>
                <w:snapToGrid w:val="0"/>
                <w:color w:val="auto"/>
                <w:spacing w:val="0"/>
                <w:sz w:val="21"/>
                <w:szCs w:val="21"/>
              </w:rPr>
              <w:t>表2-</w:t>
            </w:r>
            <w:r>
              <w:rPr>
                <w:rFonts w:hint="eastAsia" w:ascii="Times New Roman" w:hAnsi="Times New Roman" w:eastAsia="宋体" w:cs="Times New Roman"/>
                <w:b/>
                <w:snapToGrid w:val="0"/>
                <w:color w:val="auto"/>
                <w:spacing w:val="0"/>
                <w:sz w:val="21"/>
                <w:szCs w:val="21"/>
                <w:lang w:val="en-US" w:eastAsia="zh-CN"/>
              </w:rPr>
              <w:t xml:space="preserve">4 </w:t>
            </w:r>
            <w:r>
              <w:rPr>
                <w:rFonts w:hint="eastAsia" w:ascii="Times New Roman" w:hAnsi="Times New Roman" w:eastAsia="宋体" w:cs="Times New Roman"/>
                <w:b/>
                <w:snapToGrid w:val="0"/>
                <w:color w:val="auto"/>
                <w:spacing w:val="0"/>
                <w:sz w:val="21"/>
                <w:szCs w:val="21"/>
              </w:rPr>
              <w:t>本项目</w:t>
            </w:r>
            <w:r>
              <w:rPr>
                <w:rFonts w:ascii="Times New Roman" w:hAnsi="Times New Roman" w:eastAsia="宋体" w:cs="Times New Roman"/>
                <w:b/>
                <w:snapToGrid w:val="0"/>
                <w:color w:val="auto"/>
                <w:spacing w:val="0"/>
                <w:sz w:val="21"/>
                <w:szCs w:val="21"/>
              </w:rPr>
              <w:t>原辅料</w:t>
            </w:r>
            <w:r>
              <w:rPr>
                <w:rFonts w:hint="eastAsia" w:ascii="Times New Roman" w:hAnsi="Times New Roman" w:eastAsia="宋体" w:cs="Times New Roman"/>
                <w:b/>
                <w:snapToGrid w:val="0"/>
                <w:color w:val="auto"/>
                <w:spacing w:val="0"/>
                <w:sz w:val="21"/>
                <w:szCs w:val="21"/>
              </w:rPr>
              <w:t>消耗</w:t>
            </w:r>
            <w:r>
              <w:rPr>
                <w:rFonts w:ascii="Times New Roman" w:hAnsi="Times New Roman" w:eastAsia="宋体" w:cs="Times New Roman"/>
                <w:b/>
                <w:snapToGrid w:val="0"/>
                <w:color w:val="auto"/>
                <w:spacing w:val="0"/>
                <w:sz w:val="21"/>
                <w:szCs w:val="21"/>
              </w:rPr>
              <w:t>一览表</w:t>
            </w:r>
          </w:p>
          <w:tbl>
            <w:tblPr>
              <w:tblStyle w:val="5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1380"/>
              <w:gridCol w:w="1541"/>
              <w:gridCol w:w="1622"/>
              <w:gridCol w:w="17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8"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原辅材料名称</w:t>
                  </w:r>
                </w:p>
              </w:tc>
              <w:tc>
                <w:tcPr>
                  <w:tcW w:w="887"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规格/型号</w:t>
                  </w:r>
                </w:p>
              </w:tc>
              <w:tc>
                <w:tcPr>
                  <w:tcW w:w="990"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年用量（t/a）</w:t>
                  </w:r>
                </w:p>
              </w:tc>
              <w:tc>
                <w:tcPr>
                  <w:tcW w:w="1042"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最大仓储量（t）</w:t>
                  </w:r>
                </w:p>
              </w:tc>
              <w:tc>
                <w:tcPr>
                  <w:tcW w:w="1120"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原料来源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8"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建筑垃圾</w:t>
                  </w:r>
                </w:p>
              </w:tc>
              <w:tc>
                <w:tcPr>
                  <w:tcW w:w="887"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拆除垃圾</w:t>
                  </w:r>
                </w:p>
              </w:tc>
              <w:tc>
                <w:tcPr>
                  <w:tcW w:w="990"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5万</w:t>
                  </w:r>
                </w:p>
              </w:tc>
              <w:tc>
                <w:tcPr>
                  <w:tcW w:w="1042"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2505</w:t>
                  </w:r>
                </w:p>
              </w:tc>
              <w:tc>
                <w:tcPr>
                  <w:tcW w:w="1120"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主要为城市建成区和乡镇建成区产生的建筑垃圾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8"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机油</w:t>
                  </w:r>
                </w:p>
              </w:tc>
              <w:tc>
                <w:tcPr>
                  <w:tcW w:w="887"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w:t>
                  </w:r>
                </w:p>
              </w:tc>
              <w:tc>
                <w:tcPr>
                  <w:tcW w:w="990"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0.1</w:t>
                  </w:r>
                </w:p>
              </w:tc>
              <w:tc>
                <w:tcPr>
                  <w:tcW w:w="1042"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w:t>
                  </w:r>
                </w:p>
              </w:tc>
              <w:tc>
                <w:tcPr>
                  <w:tcW w:w="1120"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外购，不在厂区储存，随用随买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能源及资源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8"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水</w:t>
                  </w:r>
                </w:p>
              </w:tc>
              <w:tc>
                <w:tcPr>
                  <w:tcW w:w="887"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w:t>
                  </w:r>
                </w:p>
              </w:tc>
              <w:tc>
                <w:tcPr>
                  <w:tcW w:w="990"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3107.34m</w:t>
                  </w:r>
                  <w:r>
                    <w:rPr>
                      <w:rFonts w:hint="eastAsia" w:ascii="Times New Roman" w:hAnsi="Times New Roman" w:eastAsia="宋体" w:cs="Times New Roman"/>
                      <w:b w:val="0"/>
                      <w:color w:val="auto"/>
                      <w:spacing w:val="0"/>
                      <w:sz w:val="21"/>
                      <w:vertAlign w:val="superscript"/>
                      <w:lang w:val="en-US" w:eastAsia="zh-CN"/>
                    </w:rPr>
                    <w:t>3</w:t>
                  </w:r>
                </w:p>
              </w:tc>
              <w:tc>
                <w:tcPr>
                  <w:tcW w:w="1042"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w:t>
                  </w:r>
                </w:p>
              </w:tc>
              <w:tc>
                <w:tcPr>
                  <w:tcW w:w="1120"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市政供水系统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8"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电</w:t>
                  </w:r>
                </w:p>
              </w:tc>
              <w:tc>
                <w:tcPr>
                  <w:tcW w:w="887"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w:t>
                  </w:r>
                </w:p>
              </w:tc>
              <w:tc>
                <w:tcPr>
                  <w:tcW w:w="990"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101.52万kW·h</w:t>
                  </w:r>
                </w:p>
              </w:tc>
              <w:tc>
                <w:tcPr>
                  <w:tcW w:w="1042"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w:t>
                  </w:r>
                </w:p>
              </w:tc>
              <w:tc>
                <w:tcPr>
                  <w:tcW w:w="1120" w:type="pct"/>
                  <w:tcBorders>
                    <w:tl2br w:val="nil"/>
                    <w:tr2bl w:val="nil"/>
                  </w:tcBorders>
                  <w:noWrap w:val="0"/>
                  <w:vAlign w:val="center"/>
                </w:tcPr>
                <w:p>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color w:val="auto"/>
                      <w:spacing w:val="0"/>
                      <w:sz w:val="21"/>
                      <w:lang w:val="en-US" w:eastAsia="zh-CN"/>
                    </w:rPr>
                  </w:pPr>
                  <w:r>
                    <w:rPr>
                      <w:rFonts w:hint="eastAsia" w:ascii="Times New Roman" w:hAnsi="Times New Roman" w:eastAsia="宋体" w:cs="Times New Roman"/>
                      <w:b w:val="0"/>
                      <w:color w:val="auto"/>
                      <w:spacing w:val="0"/>
                      <w:sz w:val="21"/>
                      <w:lang w:val="en-US" w:eastAsia="zh-CN"/>
                    </w:rPr>
                    <w:t>市政供电系统</w:t>
                  </w:r>
                </w:p>
              </w:tc>
            </w:tr>
          </w:tbl>
          <w:p>
            <w:pPr>
              <w:keepNext w:val="0"/>
              <w:keepLines w:val="0"/>
              <w:pageBreakBefore w:val="0"/>
              <w:widowControl w:val="0"/>
              <w:kinsoku/>
              <w:wordWrap/>
              <w:overflowPunct/>
              <w:topLinePunct w:val="0"/>
              <w:autoSpaceDE/>
              <w:autoSpaceDN/>
              <w:bidi w:val="0"/>
              <w:adjustRightInd/>
              <w:snapToGrid/>
              <w:ind w:left="0" w:leftChars="0" w:firstLine="480" w:firstLineChars="200"/>
              <w:jc w:val="both"/>
              <w:textAlignment w:val="auto"/>
              <w:rPr>
                <w:rFonts w:hint="eastAsia" w:ascii="Times New Roman" w:hAnsi="Times New Roman" w:eastAsia="宋体" w:cs="Times New Roman"/>
                <w:color w:val="auto"/>
                <w:spacing w:val="0"/>
                <w:sz w:val="24"/>
              </w:rPr>
            </w:pPr>
            <w:r>
              <w:rPr>
                <w:rFonts w:hint="eastAsia" w:ascii="Times New Roman" w:hAnsi="Times New Roman" w:eastAsia="宋体" w:cs="Times New Roman"/>
                <w:color w:val="auto"/>
                <w:sz w:val="24"/>
                <w:szCs w:val="24"/>
                <w:lang w:val="en-US" w:eastAsia="zh-CN"/>
              </w:rPr>
              <w:t>进厂原料均应为建筑垃圾，严禁混有下列物质的垃圾进入本处理工程：①生活垃圾；②有毒工业制品及其残弃物；③有毒试剂和药品；④有化学反应并产生有害物质的物质；⑤有腐蚀性或有放射性的物质；⑥易燃、易爆等危险品；⑦危险废物和医疗废物；⑧其他严重污染环境的物质。</w:t>
            </w:r>
          </w:p>
          <w:p>
            <w:pPr>
              <w:keepNext w:val="0"/>
              <w:keepLines w:val="0"/>
              <w:pageBreakBefore w:val="0"/>
              <w:kinsoku/>
              <w:wordWrap/>
              <w:overflowPunct/>
              <w:topLinePunct w:val="0"/>
              <w:bidi w:val="0"/>
              <w:adjustRightInd/>
              <w:snapToGrid/>
              <w:ind w:firstLine="482"/>
              <w:jc w:val="both"/>
              <w:textAlignment w:val="auto"/>
              <w:rPr>
                <w:rFonts w:ascii="Times New Roman" w:hAnsi="Times New Roman" w:cs="Times New Roman" w:eastAsiaTheme="minorEastAsia"/>
                <w:b/>
                <w:bCs/>
                <w:color w:val="auto"/>
                <w:spacing w:val="0"/>
                <w:sz w:val="24"/>
              </w:rPr>
            </w:pPr>
            <w:r>
              <w:rPr>
                <w:rFonts w:hint="eastAsia" w:ascii="Times New Roman" w:hAnsi="Times New Roman" w:eastAsia="宋体" w:cs="Times New Roman"/>
                <w:b/>
                <w:bCs/>
                <w:color w:val="auto"/>
                <w:spacing w:val="0"/>
                <w:sz w:val="24"/>
                <w:szCs w:val="24"/>
                <w:lang w:val="en-US" w:eastAsia="zh-CN"/>
              </w:rPr>
              <w:t>5</w:t>
            </w:r>
            <w:r>
              <w:rPr>
                <w:rFonts w:hint="eastAsia" w:ascii="Times New Roman" w:hAnsi="Times New Roman" w:eastAsia="宋体" w:cs="Times New Roman"/>
                <w:b/>
                <w:bCs/>
                <w:color w:val="auto"/>
                <w:spacing w:val="0"/>
                <w:sz w:val="24"/>
                <w:szCs w:val="24"/>
              </w:rPr>
              <w:t>、</w:t>
            </w:r>
            <w:r>
              <w:rPr>
                <w:rFonts w:hint="eastAsia" w:ascii="Times New Roman" w:hAnsi="Times New Roman" w:cs="Times New Roman" w:eastAsiaTheme="minorEastAsia"/>
                <w:b/>
                <w:bCs/>
                <w:color w:val="auto"/>
                <w:spacing w:val="0"/>
                <w:sz w:val="24"/>
              </w:rPr>
              <w:t>公用工程</w:t>
            </w:r>
          </w:p>
          <w:p>
            <w:pPr>
              <w:pStyle w:val="322"/>
              <w:keepNext w:val="0"/>
              <w:keepLines w:val="0"/>
              <w:pageBreakBefore w:val="0"/>
              <w:kinsoku/>
              <w:wordWrap/>
              <w:overflowPunct/>
              <w:topLinePunct w:val="0"/>
              <w:bidi w:val="0"/>
              <w:adjustRightInd/>
              <w:snapToGrid/>
              <w:ind w:firstLine="480"/>
              <w:jc w:val="both"/>
              <w:textAlignment w:val="auto"/>
              <w:rPr>
                <w:rFonts w:ascii="Times New Roman" w:hAnsi="Times New Roman" w:cs="Times New Roman" w:eastAsiaTheme="minorEastAsia"/>
                <w:color w:val="auto"/>
                <w:spacing w:val="0"/>
              </w:rPr>
            </w:pPr>
            <w:r>
              <w:rPr>
                <w:rFonts w:hint="eastAsia" w:ascii="Times New Roman" w:hAnsi="Times New Roman" w:cs="Times New Roman" w:eastAsiaTheme="minorEastAsia"/>
                <w:color w:val="auto"/>
                <w:spacing w:val="0"/>
              </w:rPr>
              <w:t>（1）给排水</w:t>
            </w:r>
          </w:p>
          <w:p>
            <w:pPr>
              <w:keepNext w:val="0"/>
              <w:keepLines w:val="0"/>
              <w:pageBreakBefore w:val="0"/>
              <w:widowControl/>
              <w:kinsoku/>
              <w:wordWrap/>
              <w:overflowPunct/>
              <w:topLinePunct w:val="0"/>
              <w:bidi w:val="0"/>
              <w:adjustRightInd/>
              <w:snapToGrid/>
              <w:ind w:firstLine="480"/>
              <w:jc w:val="both"/>
              <w:textAlignment w:val="auto"/>
              <w:rPr>
                <w:rFonts w:hint="eastAsia"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项目用水由博湖县市政供水管网供给，水质、水量可满足项目运行需求。项目用水分为职工生活用水、车辆冲洗补水、降尘洒水补水、生产喷雾抑尘补水四部分。</w:t>
            </w:r>
          </w:p>
          <w:p>
            <w:pPr>
              <w:keepNext w:val="0"/>
              <w:keepLines w:val="0"/>
              <w:pageBreakBefore w:val="0"/>
              <w:widowControl/>
              <w:kinsoku/>
              <w:wordWrap/>
              <w:overflowPunct/>
              <w:topLinePunct w:val="0"/>
              <w:bidi w:val="0"/>
              <w:adjustRightInd/>
              <w:snapToGrid/>
              <w:ind w:firstLine="480"/>
              <w:jc w:val="both"/>
              <w:textAlignment w:val="auto"/>
              <w:rPr>
                <w:rFonts w:hint="default"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1）职工生活用水</w:t>
            </w:r>
          </w:p>
          <w:p>
            <w:pPr>
              <w:keepNext w:val="0"/>
              <w:keepLines w:val="0"/>
              <w:pageBreakBefore w:val="0"/>
              <w:widowControl/>
              <w:kinsoku/>
              <w:wordWrap/>
              <w:overflowPunct/>
              <w:topLinePunct w:val="0"/>
              <w:bidi w:val="0"/>
              <w:adjustRightInd/>
              <w:snapToGrid/>
              <w:ind w:firstLine="480"/>
              <w:jc w:val="both"/>
              <w:textAlignment w:val="auto"/>
              <w:rPr>
                <w:rFonts w:hint="default"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本项目劳动定员为6人，参照《新疆维吾尔自治区生活用水定额》生活用水量按50L/d·人计算，则生活用水量为0.3m</w:t>
            </w:r>
            <w:r>
              <w:rPr>
                <w:rFonts w:hint="eastAsia" w:ascii="Times New Roman" w:hAnsi="Times New Roman" w:eastAsia="宋体" w:cs="Times New Roman"/>
                <w:color w:val="auto"/>
                <w:spacing w:val="0"/>
                <w:sz w:val="24"/>
                <w:szCs w:val="24"/>
                <w:vertAlign w:val="superscript"/>
                <w:lang w:val="en-US" w:eastAsia="zh-CN"/>
              </w:rPr>
              <w:t>3</w:t>
            </w:r>
            <w:r>
              <w:rPr>
                <w:rFonts w:hint="eastAsia" w:ascii="Times New Roman" w:hAnsi="Times New Roman" w:eastAsia="宋体" w:cs="Times New Roman"/>
                <w:color w:val="auto"/>
                <w:spacing w:val="0"/>
                <w:sz w:val="24"/>
                <w:szCs w:val="24"/>
                <w:lang w:val="en-US" w:eastAsia="zh-CN"/>
              </w:rPr>
              <w:t>/d，年用水量99m</w:t>
            </w:r>
            <w:r>
              <w:rPr>
                <w:rFonts w:hint="eastAsia" w:ascii="Times New Roman" w:hAnsi="Times New Roman" w:eastAsia="宋体" w:cs="Times New Roman"/>
                <w:color w:val="auto"/>
                <w:spacing w:val="0"/>
                <w:sz w:val="24"/>
                <w:szCs w:val="24"/>
                <w:vertAlign w:val="superscript"/>
                <w:lang w:val="en-US" w:eastAsia="zh-CN"/>
              </w:rPr>
              <w:t>3</w:t>
            </w:r>
            <w:r>
              <w:rPr>
                <w:rFonts w:hint="eastAsia" w:ascii="Times New Roman" w:hAnsi="Times New Roman" w:eastAsia="宋体" w:cs="Times New Roman"/>
                <w:color w:val="auto"/>
                <w:spacing w:val="0"/>
                <w:sz w:val="24"/>
                <w:szCs w:val="24"/>
                <w:lang w:val="en-US" w:eastAsia="zh-CN"/>
              </w:rPr>
              <w:t>/a。排水量按照生活用水量的80%统计，日排污量0.24m</w:t>
            </w:r>
            <w:r>
              <w:rPr>
                <w:rFonts w:hint="eastAsia" w:ascii="Times New Roman" w:hAnsi="Times New Roman" w:eastAsia="宋体" w:cs="Times New Roman"/>
                <w:color w:val="auto"/>
                <w:spacing w:val="0"/>
                <w:sz w:val="24"/>
                <w:szCs w:val="24"/>
                <w:vertAlign w:val="superscript"/>
                <w:lang w:val="en-US" w:eastAsia="zh-CN"/>
              </w:rPr>
              <w:t>3</w:t>
            </w:r>
            <w:r>
              <w:rPr>
                <w:rFonts w:hint="eastAsia" w:ascii="Times New Roman" w:hAnsi="Times New Roman" w:eastAsia="宋体" w:cs="Times New Roman"/>
                <w:color w:val="auto"/>
                <w:spacing w:val="0"/>
                <w:sz w:val="24"/>
                <w:szCs w:val="24"/>
                <w:lang w:val="en-US" w:eastAsia="zh-CN"/>
              </w:rPr>
              <w:t>/d，年排污量79.2m</w:t>
            </w:r>
            <w:r>
              <w:rPr>
                <w:rFonts w:hint="eastAsia" w:ascii="Times New Roman" w:hAnsi="Times New Roman" w:eastAsia="宋体" w:cs="Times New Roman"/>
                <w:color w:val="auto"/>
                <w:spacing w:val="0"/>
                <w:sz w:val="24"/>
                <w:szCs w:val="24"/>
                <w:vertAlign w:val="superscript"/>
                <w:lang w:val="en-US" w:eastAsia="zh-CN"/>
              </w:rPr>
              <w:t>3</w:t>
            </w:r>
            <w:r>
              <w:rPr>
                <w:rFonts w:hint="eastAsia" w:ascii="Times New Roman" w:hAnsi="Times New Roman" w:eastAsia="宋体" w:cs="Times New Roman"/>
                <w:color w:val="auto"/>
                <w:spacing w:val="0"/>
                <w:sz w:val="24"/>
                <w:szCs w:val="24"/>
                <w:vertAlign w:val="baseline"/>
                <w:lang w:val="en-US" w:eastAsia="zh-CN"/>
              </w:rPr>
              <w:t>/a</w:t>
            </w:r>
            <w:r>
              <w:rPr>
                <w:rFonts w:hint="eastAsia" w:ascii="Times New Roman" w:hAnsi="Times New Roman" w:eastAsia="宋体" w:cs="Times New Roman"/>
                <w:color w:val="auto"/>
                <w:spacing w:val="0"/>
                <w:sz w:val="24"/>
                <w:szCs w:val="24"/>
                <w:lang w:val="en-US" w:eastAsia="zh-CN"/>
              </w:rPr>
              <w:t>。</w:t>
            </w:r>
            <w:r>
              <w:rPr>
                <w:rFonts w:hint="default" w:ascii="Times New Roman" w:hAnsi="Times New Roman" w:eastAsia="宋体" w:cs="Times New Roman"/>
                <w:color w:val="auto"/>
                <w:sz w:val="24"/>
                <w:szCs w:val="21"/>
                <w:highlight w:val="none"/>
                <w:lang w:val="en-US" w:eastAsia="zh-CN" w:bidi="ar-SA"/>
              </w:rPr>
              <w:t>生活污水进入10m</w:t>
            </w:r>
            <w:r>
              <w:rPr>
                <w:rFonts w:hint="eastAsia" w:ascii="Times New Roman" w:hAnsi="Times New Roman" w:eastAsia="宋体" w:cs="Times New Roman"/>
                <w:color w:val="auto"/>
                <w:sz w:val="24"/>
                <w:szCs w:val="21"/>
                <w:highlight w:val="none"/>
                <w:vertAlign w:val="superscript"/>
                <w:lang w:val="en-US" w:eastAsia="zh-CN" w:bidi="ar-SA"/>
              </w:rPr>
              <w:t>3</w:t>
            </w:r>
            <w:r>
              <w:rPr>
                <w:rFonts w:hint="default" w:ascii="Times New Roman" w:hAnsi="Times New Roman" w:eastAsia="宋体" w:cs="Times New Roman"/>
                <w:color w:val="auto"/>
                <w:sz w:val="24"/>
                <w:szCs w:val="21"/>
                <w:highlight w:val="none"/>
                <w:lang w:val="en-US" w:eastAsia="zh-CN" w:bidi="ar-SA"/>
              </w:rPr>
              <w:t>防渗化粪池。</w:t>
            </w:r>
          </w:p>
          <w:p>
            <w:pPr>
              <w:keepNext w:val="0"/>
              <w:keepLines w:val="0"/>
              <w:pageBreakBefore w:val="0"/>
              <w:widowControl/>
              <w:kinsoku/>
              <w:wordWrap/>
              <w:overflowPunct/>
              <w:topLinePunct w:val="0"/>
              <w:bidi w:val="0"/>
              <w:adjustRightInd/>
              <w:snapToGrid/>
              <w:ind w:firstLine="480"/>
              <w:jc w:val="both"/>
              <w:textAlignment w:val="auto"/>
              <w:rPr>
                <w:rFonts w:hint="default" w:ascii="Times New Roman" w:hAnsi="Times New Roman" w:eastAsia="宋体" w:cs="Times New Roman"/>
                <w:color w:val="auto"/>
                <w:sz w:val="24"/>
                <w:szCs w:val="21"/>
                <w:highlight w:val="none"/>
                <w:lang w:val="en-US" w:eastAsia="zh-CN" w:bidi="ar-SA"/>
              </w:rPr>
            </w:pPr>
            <w:r>
              <w:rPr>
                <w:rFonts w:hint="eastAsia" w:ascii="Times New Roman" w:hAnsi="Times New Roman" w:eastAsia="宋体" w:cs="Times New Roman"/>
                <w:color w:val="auto"/>
                <w:sz w:val="24"/>
                <w:szCs w:val="21"/>
                <w:highlight w:val="none"/>
                <w:lang w:val="en-US" w:eastAsia="zh-CN" w:bidi="ar-SA"/>
              </w:rPr>
              <w:t>2）</w:t>
            </w:r>
            <w:r>
              <w:rPr>
                <w:rFonts w:hint="default" w:ascii="Times New Roman" w:hAnsi="Times New Roman" w:eastAsia="宋体" w:cs="Times New Roman"/>
                <w:color w:val="auto"/>
                <w:sz w:val="24"/>
                <w:szCs w:val="21"/>
                <w:highlight w:val="none"/>
                <w:lang w:val="en-US" w:eastAsia="zh-CN" w:bidi="ar-SA"/>
              </w:rPr>
              <w:t>车辆冲洗用水</w:t>
            </w:r>
          </w:p>
          <w:p>
            <w:pPr>
              <w:keepNext w:val="0"/>
              <w:keepLines w:val="0"/>
              <w:pageBreakBefore w:val="0"/>
              <w:widowControl/>
              <w:kinsoku/>
              <w:wordWrap/>
              <w:overflowPunct/>
              <w:topLinePunct w:val="0"/>
              <w:bidi w:val="0"/>
              <w:adjustRightInd/>
              <w:snapToGrid/>
              <w:ind w:firstLine="480"/>
              <w:jc w:val="both"/>
              <w:textAlignment w:val="auto"/>
              <w:rPr>
                <w:rFonts w:hint="default" w:ascii="Times New Roman" w:hAnsi="Times New Roman" w:eastAsia="宋体" w:cs="Times New Roman"/>
                <w:color w:val="auto"/>
                <w:sz w:val="24"/>
                <w:szCs w:val="21"/>
                <w:highlight w:val="none"/>
                <w:lang w:val="en-US" w:eastAsia="zh-CN" w:bidi="ar-SA"/>
              </w:rPr>
            </w:pPr>
            <w:r>
              <w:rPr>
                <w:rFonts w:hint="default" w:ascii="Times New Roman" w:hAnsi="Times New Roman" w:eastAsia="宋体" w:cs="Times New Roman"/>
                <w:color w:val="auto"/>
                <w:sz w:val="24"/>
                <w:szCs w:val="21"/>
                <w:highlight w:val="none"/>
                <w:lang w:val="en-US" w:eastAsia="zh-CN" w:bidi="ar-SA"/>
              </w:rPr>
              <w:t>项目运输车辆需经过洗车平台对车辆进行冲洗，以减少扬尘的产生量，本项目原料和成品合计8.5万t，项目运输车辆装载量大小不一，本次评价以每辆车载重量为30t计，年运行时间为330天，则全年进出车辆约为2834辆/年。根据《建筑给水排水设计标准》（GB50015</w:t>
            </w:r>
            <w:r>
              <w:rPr>
                <w:rFonts w:hint="default" w:ascii="Times New Roman" w:hAnsi="Times New Roman" w:eastAsia="宋体" w:cs="Times New Roman"/>
                <w:color w:val="auto"/>
                <w:sz w:val="24"/>
                <w:szCs w:val="21"/>
                <w:highlight w:val="none"/>
                <w:lang w:val="en-US" w:eastAsia="zh-CN" w:bidi="ar-SA"/>
              </w:rPr>
              <w:noBreakHyphen/>
            </w:r>
            <w:r>
              <w:rPr>
                <w:rFonts w:hint="default" w:ascii="Times New Roman" w:hAnsi="Times New Roman" w:eastAsia="宋体" w:cs="Times New Roman"/>
                <w:color w:val="auto"/>
                <w:sz w:val="24"/>
                <w:szCs w:val="21"/>
                <w:highlight w:val="none"/>
                <w:lang w:val="en-US" w:eastAsia="zh-CN" w:bidi="ar-SA"/>
              </w:rPr>
              <w:t>2019），载重汽车循环用水冲洗补水量为40</w:t>
            </w:r>
            <w:r>
              <w:rPr>
                <w:rFonts w:hint="default" w:ascii="Times New Roman" w:hAnsi="Times New Roman" w:eastAsia="宋体" w:cs="Times New Roman"/>
                <w:color w:val="auto"/>
                <w:sz w:val="24"/>
                <w:szCs w:val="21"/>
                <w:highlight w:val="none"/>
                <w:lang w:val="en-US" w:eastAsia="zh-CN" w:bidi="ar-SA"/>
              </w:rPr>
              <w:noBreakHyphen/>
            </w:r>
            <w:r>
              <w:rPr>
                <w:rFonts w:hint="default" w:ascii="Times New Roman" w:hAnsi="Times New Roman" w:eastAsia="宋体" w:cs="Times New Roman"/>
                <w:color w:val="auto"/>
                <w:sz w:val="24"/>
                <w:szCs w:val="21"/>
                <w:highlight w:val="none"/>
                <w:lang w:val="en-US" w:eastAsia="zh-CN" w:bidi="ar-SA"/>
              </w:rPr>
              <w:t>60L/辆・次，本环评取50L/辆・次，则车辆冲洗</w:t>
            </w:r>
            <w:r>
              <w:rPr>
                <w:rFonts w:hint="eastAsia" w:ascii="Times New Roman" w:hAnsi="Times New Roman" w:eastAsia="宋体" w:cs="Times New Roman"/>
                <w:color w:val="auto"/>
                <w:sz w:val="24"/>
                <w:szCs w:val="21"/>
                <w:highlight w:val="none"/>
                <w:lang w:val="en-US" w:eastAsia="zh-CN" w:bidi="ar-SA"/>
              </w:rPr>
              <w:t>用水</w:t>
            </w:r>
            <w:r>
              <w:rPr>
                <w:rFonts w:hint="default" w:ascii="Times New Roman" w:hAnsi="Times New Roman" w:eastAsia="宋体" w:cs="Times New Roman"/>
                <w:color w:val="auto"/>
                <w:sz w:val="24"/>
                <w:szCs w:val="21"/>
                <w:highlight w:val="none"/>
                <w:lang w:val="en-US" w:eastAsia="zh-CN" w:bidi="ar-SA"/>
              </w:rPr>
              <w:t>量约为</w:t>
            </w:r>
            <w:r>
              <w:rPr>
                <w:rFonts w:hint="eastAsia" w:ascii="Times New Roman" w:hAnsi="Times New Roman" w:eastAsia="宋体" w:cs="Times New Roman"/>
                <w:color w:val="auto"/>
                <w:sz w:val="24"/>
                <w:szCs w:val="21"/>
                <w:highlight w:val="none"/>
                <w:lang w:val="en-US" w:eastAsia="zh-CN" w:bidi="ar-SA"/>
              </w:rPr>
              <w:t>0.43m</w:t>
            </w:r>
            <w:r>
              <w:rPr>
                <w:rFonts w:hint="eastAsia" w:ascii="Times New Roman" w:hAnsi="Times New Roman" w:eastAsia="宋体" w:cs="Times New Roman"/>
                <w:color w:val="auto"/>
                <w:sz w:val="24"/>
                <w:szCs w:val="21"/>
                <w:highlight w:val="none"/>
                <w:vertAlign w:val="superscript"/>
                <w:lang w:val="en-US" w:eastAsia="zh-CN" w:bidi="ar-SA"/>
              </w:rPr>
              <w:t>3</w:t>
            </w:r>
            <w:r>
              <w:rPr>
                <w:rFonts w:hint="eastAsia" w:ascii="Times New Roman" w:hAnsi="Times New Roman" w:eastAsia="宋体" w:cs="Times New Roman"/>
                <w:color w:val="auto"/>
                <w:sz w:val="24"/>
                <w:szCs w:val="21"/>
                <w:highlight w:val="none"/>
                <w:lang w:val="en-US" w:eastAsia="zh-CN" w:bidi="ar-SA"/>
              </w:rPr>
              <w:t>/d（141.7m</w:t>
            </w:r>
            <w:r>
              <w:rPr>
                <w:rFonts w:hint="eastAsia" w:ascii="Times New Roman" w:hAnsi="Times New Roman" w:eastAsia="宋体" w:cs="Times New Roman"/>
                <w:color w:val="auto"/>
                <w:sz w:val="24"/>
                <w:szCs w:val="21"/>
                <w:highlight w:val="none"/>
                <w:vertAlign w:val="superscript"/>
                <w:lang w:val="en-US" w:eastAsia="zh-CN" w:bidi="ar-SA"/>
              </w:rPr>
              <w:t>3</w:t>
            </w:r>
            <w:r>
              <w:rPr>
                <w:rFonts w:hint="eastAsia" w:ascii="Times New Roman" w:hAnsi="Times New Roman" w:eastAsia="宋体" w:cs="Times New Roman"/>
                <w:color w:val="auto"/>
                <w:sz w:val="24"/>
                <w:szCs w:val="21"/>
                <w:highlight w:val="none"/>
                <w:lang w:val="en-US" w:eastAsia="zh-CN" w:bidi="ar-SA"/>
              </w:rPr>
              <w:t>/a）</w:t>
            </w:r>
            <w:r>
              <w:rPr>
                <w:rFonts w:hint="default" w:ascii="Times New Roman" w:hAnsi="Times New Roman" w:eastAsia="宋体" w:cs="Times New Roman"/>
                <w:color w:val="auto"/>
                <w:sz w:val="24"/>
                <w:szCs w:val="21"/>
                <w:highlight w:val="none"/>
                <w:lang w:val="en-US" w:eastAsia="zh-CN" w:bidi="ar-SA"/>
              </w:rPr>
              <w:t>。车辆冲洗废水进入配套沉淀池处理后全部在系统内循环使用，本系统无生产废水外排。干旱地区洗车沉淀池综合损耗系数取20%（损耗包含水面蒸发、污泥沉淀裹挟带走水分，以新鲜补水量计）；系统年总损耗水</w:t>
            </w:r>
            <w:r>
              <w:rPr>
                <w:rFonts w:hint="eastAsia" w:ascii="Times New Roman" w:hAnsi="Times New Roman" w:eastAsia="宋体" w:cs="Times New Roman"/>
                <w:color w:val="auto"/>
                <w:sz w:val="24"/>
                <w:szCs w:val="21"/>
                <w:highlight w:val="none"/>
                <w:lang w:val="en-US" w:eastAsia="zh-CN" w:bidi="ar-SA"/>
              </w:rPr>
              <w:t>28.34m</w:t>
            </w:r>
            <w:r>
              <w:rPr>
                <w:rFonts w:hint="eastAsia" w:ascii="Times New Roman" w:hAnsi="Times New Roman" w:eastAsia="宋体" w:cs="Times New Roman"/>
                <w:color w:val="auto"/>
                <w:sz w:val="24"/>
                <w:szCs w:val="21"/>
                <w:highlight w:val="none"/>
                <w:vertAlign w:val="superscript"/>
                <w:lang w:val="en-US" w:eastAsia="zh-CN" w:bidi="ar-SA"/>
              </w:rPr>
              <w:t>3</w:t>
            </w:r>
            <w:r>
              <w:rPr>
                <w:rFonts w:hint="eastAsia" w:ascii="Times New Roman" w:hAnsi="Times New Roman" w:eastAsia="宋体" w:cs="Times New Roman"/>
                <w:color w:val="auto"/>
                <w:sz w:val="24"/>
                <w:szCs w:val="21"/>
                <w:highlight w:val="none"/>
                <w:lang w:val="en-US" w:eastAsia="zh-CN" w:bidi="ar-SA"/>
              </w:rPr>
              <w:t>/a（0.086m</w:t>
            </w:r>
            <w:r>
              <w:rPr>
                <w:rFonts w:hint="eastAsia" w:ascii="Times New Roman" w:hAnsi="Times New Roman" w:eastAsia="宋体" w:cs="Times New Roman"/>
                <w:color w:val="auto"/>
                <w:sz w:val="24"/>
                <w:szCs w:val="21"/>
                <w:highlight w:val="none"/>
                <w:vertAlign w:val="superscript"/>
                <w:lang w:val="en-US" w:eastAsia="zh-CN" w:bidi="ar-SA"/>
              </w:rPr>
              <w:t>3</w:t>
            </w:r>
            <w:r>
              <w:rPr>
                <w:rFonts w:hint="eastAsia" w:ascii="Times New Roman" w:hAnsi="Times New Roman" w:eastAsia="宋体" w:cs="Times New Roman"/>
                <w:color w:val="auto"/>
                <w:sz w:val="24"/>
                <w:szCs w:val="21"/>
                <w:highlight w:val="none"/>
                <w:lang w:val="en-US" w:eastAsia="zh-CN" w:bidi="ar-SA"/>
              </w:rPr>
              <w:t>/d）</w:t>
            </w:r>
            <w:r>
              <w:rPr>
                <w:rFonts w:hint="default" w:ascii="Times New Roman" w:hAnsi="Times New Roman" w:eastAsia="宋体" w:cs="Times New Roman"/>
                <w:color w:val="auto"/>
                <w:sz w:val="24"/>
                <w:szCs w:val="21"/>
                <w:highlight w:val="none"/>
                <w:lang w:val="en-US" w:eastAsia="zh-CN" w:bidi="ar-SA"/>
              </w:rPr>
              <w:t>；扣除损耗后，沉淀池内可参与循环利用水量</w:t>
            </w:r>
            <w:r>
              <w:rPr>
                <w:rFonts w:hint="eastAsia" w:ascii="Times New Roman" w:hAnsi="Times New Roman" w:eastAsia="宋体" w:cs="Times New Roman"/>
                <w:color w:val="auto"/>
                <w:sz w:val="24"/>
                <w:szCs w:val="21"/>
                <w:highlight w:val="none"/>
                <w:lang w:val="en-US" w:eastAsia="zh-CN" w:bidi="ar-SA"/>
              </w:rPr>
              <w:t>113.36m</w:t>
            </w:r>
            <w:r>
              <w:rPr>
                <w:rFonts w:hint="eastAsia" w:ascii="Times New Roman" w:hAnsi="Times New Roman" w:eastAsia="宋体" w:cs="Times New Roman"/>
                <w:color w:val="auto"/>
                <w:sz w:val="24"/>
                <w:szCs w:val="21"/>
                <w:highlight w:val="none"/>
                <w:vertAlign w:val="superscript"/>
                <w:lang w:val="en-US" w:eastAsia="zh-CN" w:bidi="ar-SA"/>
              </w:rPr>
              <w:t>3</w:t>
            </w:r>
            <w:r>
              <w:rPr>
                <w:rFonts w:hint="eastAsia" w:ascii="Times New Roman" w:hAnsi="Times New Roman" w:eastAsia="宋体" w:cs="Times New Roman"/>
                <w:color w:val="auto"/>
                <w:sz w:val="24"/>
                <w:szCs w:val="21"/>
                <w:highlight w:val="none"/>
                <w:lang w:val="en-US" w:eastAsia="zh-CN" w:bidi="ar-SA"/>
              </w:rPr>
              <w:t>/a</w:t>
            </w:r>
            <w:r>
              <w:rPr>
                <w:rFonts w:hint="default" w:ascii="Times New Roman" w:hAnsi="Times New Roman" w:eastAsia="宋体" w:cs="Times New Roman"/>
                <w:color w:val="auto"/>
                <w:sz w:val="24"/>
                <w:szCs w:val="21"/>
                <w:highlight w:val="none"/>
                <w:lang w:val="en-US" w:eastAsia="zh-CN" w:bidi="ar-SA"/>
              </w:rPr>
              <w:t>。车辆冲洗系统实现闭路循环，不向外排放生产废水。</w:t>
            </w:r>
          </w:p>
          <w:p>
            <w:pPr>
              <w:pStyle w:val="454"/>
              <w:keepNext w:val="0"/>
              <w:keepLines w:val="0"/>
              <w:pageBreakBefore w:val="0"/>
              <w:kinsoku/>
              <w:wordWrap/>
              <w:overflowPunct/>
              <w:topLinePunct w:val="0"/>
              <w:bidi w:val="0"/>
              <w:adjustRightInd/>
              <w:snapToGrid/>
              <w:jc w:val="both"/>
              <w:textAlignment w:val="auto"/>
              <w:rPr>
                <w:rFonts w:hint="default"/>
                <w:color w:val="auto"/>
                <w:highlight w:val="none"/>
                <w:lang w:val="en-US" w:eastAsia="zh-CN"/>
              </w:rPr>
            </w:pPr>
            <w:r>
              <w:rPr>
                <w:rFonts w:hint="eastAsia"/>
                <w:color w:val="auto"/>
                <w:highlight w:val="none"/>
                <w:lang w:val="en-US" w:eastAsia="zh-CN"/>
              </w:rPr>
              <w:t>3）</w:t>
            </w:r>
            <w:r>
              <w:rPr>
                <w:rFonts w:hint="default"/>
                <w:color w:val="auto"/>
                <w:highlight w:val="none"/>
                <w:lang w:val="en-US" w:eastAsia="zh-CN"/>
              </w:rPr>
              <w:t>降尘用水</w:t>
            </w:r>
          </w:p>
          <w:p>
            <w:pPr>
              <w:pStyle w:val="454"/>
              <w:keepNext w:val="0"/>
              <w:keepLines w:val="0"/>
              <w:pageBreakBefore w:val="0"/>
              <w:kinsoku/>
              <w:wordWrap/>
              <w:overflowPunct/>
              <w:topLinePunct w:val="0"/>
              <w:bidi w:val="0"/>
              <w:adjustRightInd/>
              <w:snapToGrid/>
              <w:jc w:val="both"/>
              <w:textAlignment w:val="auto"/>
              <w:rPr>
                <w:rFonts w:hint="default"/>
                <w:color w:val="auto"/>
                <w:highlight w:val="none"/>
                <w:lang w:val="en-US" w:eastAsia="zh-CN"/>
              </w:rPr>
            </w:pPr>
            <w:r>
              <w:rPr>
                <w:rFonts w:hint="default"/>
                <w:color w:val="auto"/>
                <w:highlight w:val="none"/>
                <w:lang w:val="en-US" w:eastAsia="zh-CN"/>
              </w:rPr>
              <w:t>本项目主要针对建筑垃圾运输、卸车、摊平、压实及堆存过程进行喷雾降尘。非作业区域平时采取临时覆盖措施，作业区域裸露面积控制在1000 m</w:t>
            </w:r>
            <w:r>
              <w:rPr>
                <w:rFonts w:hint="eastAsia"/>
                <w:color w:val="auto"/>
                <w:highlight w:val="none"/>
                <w:vertAlign w:val="superscript"/>
                <w:lang w:val="en-US" w:eastAsia="zh-CN"/>
              </w:rPr>
              <w:t>2</w:t>
            </w:r>
            <w:r>
              <w:rPr>
                <w:rFonts w:hint="default"/>
                <w:color w:val="auto"/>
                <w:highlight w:val="none"/>
                <w:lang w:val="en-US" w:eastAsia="zh-CN"/>
              </w:rPr>
              <w:t>以内，降尘面积暂按3000 m</w:t>
            </w:r>
            <w:r>
              <w:rPr>
                <w:rFonts w:hint="eastAsia"/>
                <w:color w:val="auto"/>
                <w:highlight w:val="none"/>
                <w:vertAlign w:val="superscript"/>
                <w:lang w:val="en-US" w:eastAsia="zh-CN"/>
              </w:rPr>
              <w:t>2</w:t>
            </w:r>
            <w:r>
              <w:rPr>
                <w:rFonts w:hint="default"/>
                <w:color w:val="auto"/>
                <w:highlight w:val="none"/>
                <w:lang w:val="en-US" w:eastAsia="zh-CN"/>
              </w:rPr>
              <w:t>计。喷雾降尘用水定额按2 m</w:t>
            </w:r>
            <w:r>
              <w:rPr>
                <w:rFonts w:hint="eastAsia"/>
                <w:color w:val="auto"/>
                <w:highlight w:val="none"/>
                <w:vertAlign w:val="superscript"/>
                <w:lang w:val="en-US" w:eastAsia="zh-CN"/>
              </w:rPr>
              <w:t>3</w:t>
            </w:r>
            <w:r>
              <w:rPr>
                <w:rFonts w:hint="default"/>
                <w:color w:val="auto"/>
                <w:highlight w:val="none"/>
                <w:lang w:val="en-US" w:eastAsia="zh-CN"/>
              </w:rPr>
              <w:t>/(d·1000 m</w:t>
            </w:r>
            <w:r>
              <w:rPr>
                <w:rFonts w:hint="eastAsia"/>
                <w:color w:val="auto"/>
                <w:highlight w:val="none"/>
                <w:vertAlign w:val="superscript"/>
                <w:lang w:val="en-US" w:eastAsia="zh-CN"/>
              </w:rPr>
              <w:t>2</w:t>
            </w:r>
            <w:r>
              <w:rPr>
                <w:rFonts w:hint="default"/>
                <w:color w:val="auto"/>
                <w:highlight w:val="none"/>
                <w:lang w:val="en-US" w:eastAsia="zh-CN"/>
              </w:rPr>
              <w:t>)计，则降尘用水量为2×3000/1000=6 m</w:t>
            </w:r>
            <w:r>
              <w:rPr>
                <w:rFonts w:hint="eastAsia"/>
                <w:color w:val="auto"/>
                <w:highlight w:val="none"/>
                <w:vertAlign w:val="superscript"/>
                <w:lang w:val="en-US" w:eastAsia="zh-CN"/>
              </w:rPr>
              <w:t>3</w:t>
            </w:r>
            <w:r>
              <w:rPr>
                <w:rFonts w:hint="default"/>
                <w:color w:val="auto"/>
                <w:highlight w:val="none"/>
                <w:lang w:val="en-US" w:eastAsia="zh-CN"/>
              </w:rPr>
              <w:t>/d；按年运行330天计，年用水量约1980 m</w:t>
            </w:r>
            <w:r>
              <w:rPr>
                <w:rFonts w:hint="eastAsia"/>
                <w:color w:val="auto"/>
                <w:highlight w:val="none"/>
                <w:vertAlign w:val="superscript"/>
                <w:lang w:val="en-US" w:eastAsia="zh-CN"/>
              </w:rPr>
              <w:t>3</w:t>
            </w:r>
            <w:r>
              <w:rPr>
                <w:rFonts w:hint="default"/>
                <w:color w:val="auto"/>
                <w:highlight w:val="none"/>
                <w:lang w:val="en-US" w:eastAsia="zh-CN"/>
              </w:rPr>
              <w:t>/a。该部分用水自然蒸发，无废水产生。</w:t>
            </w:r>
          </w:p>
          <w:p>
            <w:pPr>
              <w:pStyle w:val="454"/>
              <w:keepNext w:val="0"/>
              <w:keepLines w:val="0"/>
              <w:pageBreakBefore w:val="0"/>
              <w:kinsoku/>
              <w:wordWrap/>
              <w:overflowPunct/>
              <w:topLinePunct w:val="0"/>
              <w:bidi w:val="0"/>
              <w:adjustRightInd/>
              <w:snapToGrid/>
              <w:jc w:val="both"/>
              <w:textAlignment w:val="auto"/>
              <w:rPr>
                <w:rFonts w:hint="default"/>
                <w:color w:val="auto"/>
                <w:highlight w:val="none"/>
                <w:lang w:val="en-US" w:eastAsia="zh-CN"/>
              </w:rPr>
            </w:pPr>
            <w:r>
              <w:rPr>
                <w:rFonts w:hint="eastAsia"/>
                <w:color w:val="auto"/>
                <w:highlight w:val="none"/>
                <w:lang w:val="en-US" w:eastAsia="zh-CN"/>
              </w:rPr>
              <w:t>4）</w:t>
            </w:r>
            <w:r>
              <w:rPr>
                <w:rFonts w:hint="default"/>
                <w:color w:val="auto"/>
                <w:highlight w:val="none"/>
                <w:lang w:val="en-US" w:eastAsia="zh-CN"/>
              </w:rPr>
              <w:t>生产喷雾抑尘用水</w:t>
            </w:r>
            <w:r>
              <w:rPr>
                <w:rFonts w:ascii="宋体" w:hAnsi="宋体" w:eastAsia="宋体" w:cs="宋体"/>
                <w:color w:val="auto"/>
                <w:sz w:val="24"/>
                <w:szCs w:val="24"/>
              </w:rPr>
              <w:t>（投料、破碎、筛分工序）</w:t>
            </w:r>
          </w:p>
          <w:p>
            <w:pPr>
              <w:pStyle w:val="454"/>
              <w:keepNext w:val="0"/>
              <w:keepLines w:val="0"/>
              <w:pageBreakBefore w:val="0"/>
              <w:kinsoku/>
              <w:wordWrap/>
              <w:overflowPunct/>
              <w:topLinePunct w:val="0"/>
              <w:bidi w:val="0"/>
              <w:adjustRightInd/>
              <w:snapToGrid/>
              <w:jc w:val="both"/>
              <w:textAlignment w:val="auto"/>
              <w:rPr>
                <w:rFonts w:hint="default"/>
                <w:color w:val="auto"/>
                <w:highlight w:val="none"/>
                <w:lang w:val="en-US" w:eastAsia="zh-CN"/>
              </w:rPr>
            </w:pPr>
            <w:r>
              <w:rPr>
                <w:rFonts w:hint="default"/>
                <w:color w:val="auto"/>
                <w:highlight w:val="none"/>
                <w:lang w:val="en-US" w:eastAsia="zh-CN"/>
              </w:rPr>
              <w:t>在</w:t>
            </w:r>
            <w:r>
              <w:rPr>
                <w:rFonts w:hint="eastAsia"/>
                <w:color w:val="auto"/>
                <w:highlight w:val="none"/>
                <w:lang w:val="en-US" w:eastAsia="zh-CN"/>
              </w:rPr>
              <w:t>投料、</w:t>
            </w:r>
            <w:r>
              <w:rPr>
                <w:rFonts w:hint="default"/>
                <w:color w:val="auto"/>
                <w:highlight w:val="none"/>
                <w:lang w:val="en-US" w:eastAsia="zh-CN"/>
              </w:rPr>
              <w:t>破碎、筛分、风选等产尘点过程中设置喷雾点，增加原料的湿度以减少破碎、筛分、风选工序粉尘产生。参考《逸散性工业粉尘控制技术》第十八章粒料加工</w:t>
            </w:r>
            <w:r>
              <w:rPr>
                <w:rFonts w:hint="eastAsia"/>
                <w:color w:val="auto"/>
                <w:highlight w:val="none"/>
                <w:lang w:val="en-US" w:eastAsia="zh-CN"/>
              </w:rPr>
              <w:t>－</w:t>
            </w:r>
            <w:r>
              <w:rPr>
                <w:rFonts w:hint="default"/>
                <w:color w:val="auto"/>
                <w:highlight w:val="none"/>
                <w:lang w:val="en-US" w:eastAsia="zh-CN"/>
              </w:rPr>
              <w:t>四、控制方法，喷雾洒水抑尘系统用水量约为0.02m</w:t>
            </w:r>
            <w:r>
              <w:rPr>
                <w:rFonts w:hint="default"/>
                <w:color w:val="auto"/>
                <w:highlight w:val="none"/>
                <w:vertAlign w:val="superscript"/>
                <w:lang w:val="en-US" w:eastAsia="zh-CN"/>
              </w:rPr>
              <w:t>3</w:t>
            </w:r>
            <w:r>
              <w:rPr>
                <w:rFonts w:hint="default"/>
                <w:color w:val="auto"/>
                <w:highlight w:val="none"/>
                <w:lang w:val="en-US" w:eastAsia="zh-CN"/>
              </w:rPr>
              <w:t>/吨生产粒料，本项目年处理</w:t>
            </w:r>
            <w:r>
              <w:rPr>
                <w:rFonts w:hint="eastAsia"/>
                <w:color w:val="auto"/>
                <w:highlight w:val="none"/>
                <w:lang w:val="en-US" w:eastAsia="zh-CN"/>
              </w:rPr>
              <w:t>5</w:t>
            </w:r>
            <w:r>
              <w:rPr>
                <w:rFonts w:hint="default"/>
                <w:color w:val="auto"/>
                <w:highlight w:val="none"/>
                <w:lang w:val="en-US" w:eastAsia="zh-CN"/>
              </w:rPr>
              <w:t>万吨建筑垃圾，则生产抑尘用水量为1000m</w:t>
            </w:r>
            <w:r>
              <w:rPr>
                <w:rFonts w:hint="default"/>
                <w:color w:val="auto"/>
                <w:highlight w:val="none"/>
                <w:vertAlign w:val="superscript"/>
                <w:lang w:val="en-US" w:eastAsia="zh-CN"/>
              </w:rPr>
              <w:t>3</w:t>
            </w:r>
            <w:r>
              <w:rPr>
                <w:rFonts w:hint="default"/>
                <w:color w:val="auto"/>
                <w:highlight w:val="none"/>
                <w:lang w:val="en-US" w:eastAsia="zh-CN"/>
              </w:rPr>
              <w:t>/a（</w:t>
            </w:r>
            <w:r>
              <w:rPr>
                <w:rFonts w:hint="eastAsia"/>
                <w:color w:val="auto"/>
                <w:highlight w:val="none"/>
                <w:lang w:val="en-US" w:eastAsia="zh-CN"/>
              </w:rPr>
              <w:t>3.03</w:t>
            </w:r>
            <w:r>
              <w:rPr>
                <w:rFonts w:hint="default"/>
                <w:color w:val="auto"/>
                <w:highlight w:val="none"/>
                <w:lang w:val="en-US" w:eastAsia="zh-CN"/>
              </w:rPr>
              <w:t>m</w:t>
            </w:r>
            <w:r>
              <w:rPr>
                <w:rFonts w:hint="default"/>
                <w:color w:val="auto"/>
                <w:highlight w:val="none"/>
                <w:vertAlign w:val="superscript"/>
                <w:lang w:val="en-US" w:eastAsia="zh-CN"/>
              </w:rPr>
              <w:t>3</w:t>
            </w:r>
            <w:r>
              <w:rPr>
                <w:rFonts w:hint="default"/>
                <w:color w:val="auto"/>
                <w:highlight w:val="none"/>
                <w:lang w:val="en-US" w:eastAsia="zh-CN"/>
              </w:rPr>
              <w:t>/d），此部分水全部蒸发损耗或随产品带走。</w:t>
            </w:r>
          </w:p>
          <w:p>
            <w:pPr>
              <w:keepNext w:val="0"/>
              <w:keepLines w:val="0"/>
              <w:pageBreakBefore w:val="0"/>
              <w:widowControl/>
              <w:kinsoku/>
              <w:wordWrap/>
              <w:overflowPunct/>
              <w:topLinePunct w:val="0"/>
              <w:bidi w:val="0"/>
              <w:adjustRightInd/>
              <w:snapToGrid/>
              <w:ind w:firstLine="480"/>
              <w:jc w:val="both"/>
              <w:textAlignment w:val="auto"/>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rPr>
              <w:t>本项目水平衡图见图2-1，水平衡表见表2-</w:t>
            </w:r>
            <w:r>
              <w:rPr>
                <w:rFonts w:hint="eastAsia" w:ascii="Times New Roman" w:hAnsi="Times New Roman" w:eastAsia="宋体" w:cs="Times New Roman"/>
                <w:color w:val="auto"/>
                <w:spacing w:val="0"/>
                <w:sz w:val="24"/>
                <w:szCs w:val="24"/>
                <w:lang w:val="en-US" w:eastAsia="zh-CN"/>
              </w:rPr>
              <w:t>6</w:t>
            </w:r>
            <w:r>
              <w:rPr>
                <w:rFonts w:hint="eastAsia" w:ascii="Times New Roman" w:hAnsi="Times New Roman" w:eastAsia="宋体" w:cs="Times New Roman"/>
                <w:color w:val="auto"/>
                <w:spacing w:val="0"/>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宋体" w:cs="Times New Roman"/>
                <w:b/>
                <w:bCs/>
                <w:color w:val="auto"/>
                <w:spacing w:val="0"/>
                <w:sz w:val="21"/>
                <w:lang w:eastAsia="zh-CN"/>
              </w:rPr>
            </w:pPr>
            <w:r>
              <w:rPr>
                <w:sz w:val="21"/>
              </w:rPr>
              <mc:AlternateContent>
                <mc:Choice Requires="wpg">
                  <w:drawing>
                    <wp:anchor distT="0" distB="0" distL="114300" distR="114300" simplePos="0" relativeHeight="251662336" behindDoc="0" locked="0" layoutInCell="1" allowOverlap="1">
                      <wp:simplePos x="0" y="0"/>
                      <wp:positionH relativeFrom="column">
                        <wp:posOffset>-8255</wp:posOffset>
                      </wp:positionH>
                      <wp:positionV relativeFrom="paragraph">
                        <wp:posOffset>52705</wp:posOffset>
                      </wp:positionV>
                      <wp:extent cx="4949190" cy="2284730"/>
                      <wp:effectExtent l="0" t="0" r="3810" b="1270"/>
                      <wp:wrapNone/>
                      <wp:docPr id="7" name="组合 7"/>
                      <wp:cNvGraphicFramePr/>
                      <a:graphic xmlns:a="http://schemas.openxmlformats.org/drawingml/2006/main">
                        <a:graphicData uri="http://schemas.microsoft.com/office/word/2010/wordprocessingGroup">
                          <wpg:wgp>
                            <wpg:cNvGrpSpPr/>
                            <wpg:grpSpPr>
                              <a:xfrm>
                                <a:off x="0" y="0"/>
                                <a:ext cx="4949190" cy="2284730"/>
                                <a:chOff x="2941" y="603401"/>
                                <a:chExt cx="7794" cy="3598"/>
                              </a:xfrm>
                            </wpg:grpSpPr>
                            <pic:pic xmlns:pic="http://schemas.openxmlformats.org/drawingml/2006/picture">
                              <pic:nvPicPr>
                                <pic:cNvPr id="3" name="图片 3" descr="f538d22d-b499-4522-bf07-e60eabc76a53"/>
                                <pic:cNvPicPr>
                                  <a:picLocks noChangeAspect="1"/>
                                </pic:cNvPicPr>
                              </pic:nvPicPr>
                              <pic:blipFill>
                                <a:blip r:embed="rId13"/>
                                <a:stretch>
                                  <a:fillRect/>
                                </a:stretch>
                              </pic:blipFill>
                              <pic:spPr>
                                <a:xfrm>
                                  <a:off x="2941" y="603401"/>
                                  <a:ext cx="7794" cy="3599"/>
                                </a:xfrm>
                                <a:prstGeom prst="rect">
                                  <a:avLst/>
                                </a:prstGeom>
                              </pic:spPr>
                            </pic:pic>
                            <pic:pic xmlns:pic="http://schemas.openxmlformats.org/drawingml/2006/picture">
                              <pic:nvPicPr>
                                <pic:cNvPr id="5" name="图片 5" descr="f538d22d-b499-4522-bf07-e60eabc76a53"/>
                                <pic:cNvPicPr>
                                  <a:picLocks noChangeAspect="1"/>
                                </pic:cNvPicPr>
                              </pic:nvPicPr>
                              <pic:blipFill>
                                <a:blip r:embed="rId13"/>
                                <a:srcRect l="75404" t="47597" r="19374" b="47235"/>
                                <a:stretch>
                                  <a:fillRect/>
                                </a:stretch>
                              </pic:blipFill>
                              <pic:spPr>
                                <a:xfrm>
                                  <a:off x="4791" y="604750"/>
                                  <a:ext cx="407" cy="186"/>
                                </a:xfrm>
                                <a:prstGeom prst="rect">
                                  <a:avLst/>
                                </a:prstGeom>
                              </pic:spPr>
                            </pic:pic>
                            <wps:wsp>
                              <wps:cNvPr id="6" name="文本框 6"/>
                              <wps:cNvSpPr txBox="1"/>
                              <wps:spPr>
                                <a:xfrm>
                                  <a:off x="3081" y="605946"/>
                                  <a:ext cx="859" cy="466"/>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ind w:left="0" w:leftChars="0" w:firstLine="0" w:firstLineChars="0"/>
                                      <w:jc w:val="left"/>
                                      <w:rPr>
                                        <w:rFonts w:hint="eastAsia" w:ascii="宋体" w:hAnsi="宋体" w:eastAsia="宋体" w:cs="宋体"/>
                                        <w:b/>
                                        <w:bCs/>
                                        <w:spacing w:val="0"/>
                                        <w:sz w:val="15"/>
                                        <w:szCs w:val="16"/>
                                        <w:lang w:val="en-US" w:eastAsia="zh-CN"/>
                                      </w:rPr>
                                    </w:pPr>
                                    <w:r>
                                      <w:rPr>
                                        <w:rFonts w:hint="eastAsia" w:ascii="宋体" w:hAnsi="宋体" w:eastAsia="宋体" w:cs="宋体"/>
                                        <w:b/>
                                        <w:bCs/>
                                        <w:spacing w:val="0"/>
                                        <w:sz w:val="15"/>
                                        <w:szCs w:val="16"/>
                                        <w:lang w:val="en-US" w:eastAsia="zh-CN"/>
                                      </w:rPr>
                                      <w:t>3107.34</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0.65pt;margin-top:4.15pt;height:179.9pt;width:389.7pt;z-index:251662336;mso-width-relative:page;mso-height-relative:page;" coordorigin="2941,603401" coordsize="7794,3598" o:gfxdata="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">
                      <o:lock v:ext="edit" aspectratio="f"/>
                      <v:shape id="_x0000_s1026" o:spid="_x0000_s1026" o:spt="75" alt="f538d22d-b499-4522-bf07-e60eabc76a53" type="#_x0000_t75" style="position:absolute;left:2941;top:603401;height:3599;width:7794;" filled="f" o:preferrelative="t" stroked="f" coordsize="21600,21600" o:gfxdata="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soF1ugAAANoA&#10;AAAPAAAAAAAAAAEAIAAAACIAAABkcnMvZG93bnJldi54bWxQSwECFAAUAAAACACHTuJAMy8FnjsA&#10;AAA5AAAAEAAAAAAAAAABACAAAAAJAQAAZHJzL3NoYXBleG1sLnhtbFBLBQYAAAAABgAGAFsBAACz&#10;AwAAAAA=&#10;">
                        <v:fill on="f" focussize="0,0"/>
                        <v:stroke on="f"/>
                        <v:imagedata r:id="rId13" o:title=""/>
                        <o:lock v:ext="edit" aspectratio="t"/>
                      </v:shape>
                      <v:shape id="_x0000_s1026" o:spid="_x0000_s1026" o:spt="75" alt="f538d22d-b499-4522-bf07-e60eabc76a53" type="#_x0000_t75" style="position:absolute;left:4791;top:604750;height:186;width:407;" filled="f" o:preferrelative="t" stroked="f" coordsize="21600,21600" o:gfxdata="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iAEavQAA&#10;ANoAAAAPAAAAAAAAAAEAIAAAACIAAABkcnMvZG93bnJldi54bWxQSwECFAAUAAAACACHTuJAMy8F&#10;njsAAAA5AAAAEAAAAAAAAAABACAAAAAMAQAAZHJzL3NoYXBleG1sLnhtbFBLBQYAAAAABgAGAFsB&#10;AAC2AwAAAAA=&#10;">
                        <v:fill on="f" focussize="0,0"/>
                        <v:stroke on="f"/>
                        <v:imagedata r:id="rId13" cropleft="49417f" croptop="31193f" cropright="12697f" cropbottom="30956f" o:title=""/>
                        <o:lock v:ext="edit" aspectratio="t"/>
                      </v:shape>
                      <v:shape id="_x0000_s1026" o:spid="_x0000_s1026" o:spt="202" type="#_x0000_t202" style="position:absolute;left:3081;top:605946;height:466;width:859;" fillcolor="#FFFFFF [3201]" filled="t" stroked="f" coordsize="21600,21600" o:gfxdata="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5t1pi7UAAADaAAAADwAA&#10;AAAAAAABACAAAAAiAAAAZHJzL2Rvd25yZXYueG1sUEsBAhQAFAAAAAgAh07iQDMvBZ47AAAAOQAA&#10;ABAAAAAAAAAAAQAgAAAABAEAAGRycy9zaGFwZXhtbC54bWxQSwUGAAAAAAYABgBbAQAArgMAAAAA&#10;">
                        <v:fill on="t" focussize="0,0"/>
                        <v:stroke on="f" weight="0.5pt"/>
                        <v:imagedata o:title=""/>
                        <o:lock v:ext="edit" aspectratio="f"/>
                        <v:textbox>
                          <w:txbxContent>
                            <w:p>
                              <w:pPr>
                                <w:ind w:left="0" w:leftChars="0" w:firstLine="0" w:firstLineChars="0"/>
                                <w:jc w:val="left"/>
                                <w:rPr>
                                  <w:rFonts w:hint="eastAsia" w:ascii="宋体" w:hAnsi="宋体" w:eastAsia="宋体" w:cs="宋体"/>
                                  <w:b/>
                                  <w:bCs/>
                                  <w:spacing w:val="0"/>
                                  <w:sz w:val="15"/>
                                  <w:szCs w:val="16"/>
                                  <w:lang w:val="en-US" w:eastAsia="zh-CN"/>
                                </w:rPr>
                              </w:pPr>
                              <w:r>
                                <w:rPr>
                                  <w:rFonts w:hint="eastAsia" w:ascii="宋体" w:hAnsi="宋体" w:eastAsia="宋体" w:cs="宋体"/>
                                  <w:b/>
                                  <w:bCs/>
                                  <w:spacing w:val="0"/>
                                  <w:sz w:val="15"/>
                                  <w:szCs w:val="16"/>
                                  <w:lang w:val="en-US" w:eastAsia="zh-CN"/>
                                </w:rPr>
                                <w:t>3107.34</w:t>
                              </w:r>
                            </w:p>
                          </w:txbxContent>
                        </v:textbox>
                      </v:shape>
                    </v:group>
                  </w:pict>
                </mc:Fallback>
              </mc:AlternateContent>
            </w:r>
          </w:p>
          <w:p>
            <w:pPr>
              <w:pStyle w:val="2"/>
              <w:rPr>
                <w:rFonts w:hint="eastAsia" w:ascii="Times New Roman" w:hAnsi="Times New Roman" w:eastAsia="宋体" w:cs="Times New Roman"/>
                <w:b/>
                <w:bCs/>
                <w:color w:val="auto"/>
                <w:spacing w:val="0"/>
                <w:sz w:val="21"/>
                <w:lang w:eastAsia="zh-CN"/>
              </w:rPr>
            </w:pPr>
          </w:p>
          <w:p>
            <w:pPr>
              <w:pStyle w:val="3"/>
              <w:rPr>
                <w:rFonts w:hint="eastAsia" w:ascii="Times New Roman" w:hAnsi="Times New Roman" w:eastAsia="宋体" w:cs="Times New Roman"/>
                <w:b/>
                <w:bCs/>
                <w:color w:val="auto"/>
                <w:spacing w:val="0"/>
                <w:sz w:val="21"/>
                <w:lang w:eastAsia="zh-CN"/>
              </w:rPr>
            </w:pPr>
          </w:p>
          <w:p>
            <w:pPr>
              <w:pStyle w:val="3"/>
              <w:rPr>
                <w:rFonts w:hint="eastAsia" w:ascii="Times New Roman" w:hAnsi="Times New Roman" w:eastAsia="宋体" w:cs="Times New Roman"/>
                <w:b/>
                <w:bCs/>
                <w:color w:val="auto"/>
                <w:spacing w:val="0"/>
                <w:sz w:val="21"/>
                <w:lang w:eastAsia="zh-CN"/>
              </w:rPr>
            </w:pPr>
          </w:p>
          <w:p>
            <w:pPr>
              <w:pStyle w:val="3"/>
              <w:rPr>
                <w:rFonts w:hint="eastAsia" w:ascii="Times New Roman" w:hAnsi="Times New Roman" w:eastAsia="宋体" w:cs="Times New Roman"/>
                <w:b/>
                <w:bCs/>
                <w:color w:val="auto"/>
                <w:spacing w:val="0"/>
                <w:sz w:val="21"/>
                <w:lang w:eastAsia="zh-CN"/>
              </w:rPr>
            </w:pPr>
          </w:p>
          <w:p>
            <w:pPr>
              <w:pStyle w:val="3"/>
              <w:rPr>
                <w:rFonts w:hint="eastAsia" w:ascii="Times New Roman" w:hAnsi="Times New Roman" w:eastAsia="宋体" w:cs="Times New Roman"/>
                <w:b/>
                <w:bCs/>
                <w:color w:val="auto"/>
                <w:spacing w:val="0"/>
                <w:sz w:val="21"/>
                <w:lang w:eastAsia="zh-CN"/>
              </w:rPr>
            </w:pPr>
          </w:p>
          <w:p>
            <w:pPr>
              <w:pStyle w:val="3"/>
              <w:rPr>
                <w:rFonts w:hint="eastAsia" w:ascii="Times New Roman" w:hAnsi="Times New Roman" w:eastAsia="宋体" w:cs="Times New Roman"/>
                <w:b/>
                <w:bCs/>
                <w:color w:val="auto"/>
                <w:spacing w:val="0"/>
                <w:sz w:val="21"/>
                <w:lang w:eastAsia="zh-CN"/>
              </w:rPr>
            </w:pPr>
          </w:p>
          <w:p>
            <w:pPr>
              <w:pStyle w:val="3"/>
              <w:rPr>
                <w:rFonts w:hint="eastAsia" w:ascii="Times New Roman" w:hAnsi="Times New Roman" w:eastAsia="宋体" w:cs="Times New Roman"/>
                <w:b/>
                <w:bCs/>
                <w:color w:val="auto"/>
                <w:spacing w:val="0"/>
                <w:sz w:val="21"/>
                <w:lang w:eastAsia="zh-CN"/>
              </w:rPr>
            </w:pPr>
          </w:p>
          <w:p>
            <w:pPr>
              <w:pStyle w:val="3"/>
              <w:rPr>
                <w:rFonts w:hint="eastAsia" w:ascii="Times New Roman" w:hAnsi="Times New Roman" w:eastAsia="宋体" w:cs="Times New Roman"/>
                <w:b/>
                <w:bCs/>
                <w:color w:val="auto"/>
                <w:spacing w:val="0"/>
                <w:sz w:val="21"/>
                <w:lang w:eastAsia="zh-CN"/>
              </w:rPr>
            </w:pPr>
          </w:p>
          <w:p>
            <w:pPr>
              <w:pStyle w:val="3"/>
              <w:rPr>
                <w:rFonts w:hint="eastAsia" w:ascii="Times New Roman" w:hAnsi="Times New Roman" w:eastAsia="宋体" w:cs="Times New Roman"/>
                <w:b/>
                <w:bCs/>
                <w:color w:val="auto"/>
                <w:spacing w:val="0"/>
                <w:sz w:val="21"/>
                <w:lang w:eastAsia="zh-CN"/>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宋体" w:cs="Times New Roman"/>
                <w:b/>
                <w:bCs/>
                <w:color w:val="auto"/>
                <w:spacing w:val="0"/>
                <w:sz w:val="21"/>
                <w:highlight w:val="none"/>
                <w:lang w:eastAsia="zh-CN"/>
              </w:rPr>
            </w:pPr>
            <w:r>
              <w:rPr>
                <w:rFonts w:ascii="Times New Roman" w:hAnsi="Times New Roman" w:eastAsia="宋体" w:cs="Times New Roman"/>
                <w:b/>
                <w:bCs/>
                <w:color w:val="auto"/>
                <w:spacing w:val="0"/>
                <w:sz w:val="21"/>
                <w:highlight w:val="none"/>
              </w:rPr>
              <w:t>图2-</w:t>
            </w:r>
            <w:r>
              <w:rPr>
                <w:rFonts w:hint="eastAsia" w:ascii="Times New Roman" w:hAnsi="Times New Roman" w:eastAsia="宋体" w:cs="Times New Roman"/>
                <w:b/>
                <w:bCs/>
                <w:color w:val="auto"/>
                <w:spacing w:val="0"/>
                <w:sz w:val="21"/>
                <w:highlight w:val="none"/>
              </w:rPr>
              <w:t>1</w:t>
            </w:r>
            <w:r>
              <w:rPr>
                <w:rFonts w:ascii="Times New Roman" w:hAnsi="Times New Roman" w:eastAsia="宋体" w:cs="Times New Roman"/>
                <w:b/>
                <w:bCs/>
                <w:color w:val="auto"/>
                <w:spacing w:val="0"/>
                <w:sz w:val="21"/>
                <w:highlight w:val="none"/>
              </w:rPr>
              <w:t xml:space="preserve"> </w:t>
            </w:r>
            <w:r>
              <w:rPr>
                <w:rFonts w:hint="eastAsia" w:ascii="Times New Roman" w:hAnsi="Times New Roman" w:eastAsia="宋体" w:cs="Times New Roman"/>
                <w:b/>
                <w:bCs/>
                <w:color w:val="auto"/>
                <w:spacing w:val="0"/>
                <w:sz w:val="21"/>
                <w:highlight w:val="none"/>
              </w:rPr>
              <w:t>项目</w:t>
            </w:r>
            <w:r>
              <w:rPr>
                <w:rFonts w:ascii="Times New Roman" w:hAnsi="Times New Roman" w:eastAsia="宋体" w:cs="Times New Roman"/>
                <w:b/>
                <w:bCs/>
                <w:color w:val="auto"/>
                <w:spacing w:val="0"/>
                <w:sz w:val="21"/>
                <w:highlight w:val="none"/>
              </w:rPr>
              <w:t>水平衡图 单位m</w:t>
            </w:r>
            <w:r>
              <w:rPr>
                <w:rFonts w:ascii="Times New Roman" w:hAnsi="Times New Roman" w:eastAsia="宋体" w:cs="Times New Roman"/>
                <w:b/>
                <w:bCs/>
                <w:color w:val="auto"/>
                <w:spacing w:val="0"/>
                <w:sz w:val="21"/>
                <w:highlight w:val="none"/>
                <w:vertAlign w:val="superscript"/>
              </w:rPr>
              <w:t>3</w:t>
            </w:r>
            <w:r>
              <w:rPr>
                <w:rFonts w:ascii="Times New Roman" w:hAnsi="Times New Roman" w:eastAsia="宋体" w:cs="Times New Roman"/>
                <w:b/>
                <w:bCs/>
                <w:color w:val="auto"/>
                <w:spacing w:val="0"/>
                <w:sz w:val="21"/>
                <w:highlight w:val="none"/>
              </w:rPr>
              <w:t>/</w:t>
            </w:r>
            <w:r>
              <w:rPr>
                <w:rFonts w:hint="eastAsia" w:ascii="Times New Roman" w:hAnsi="Times New Roman" w:eastAsia="宋体" w:cs="Times New Roman"/>
                <w:b/>
                <w:bCs/>
                <w:color w:val="auto"/>
                <w:spacing w:val="0"/>
                <w:sz w:val="21"/>
                <w:highlight w:val="none"/>
                <w:lang w:val="en-US" w:eastAsia="zh-CN"/>
              </w:rPr>
              <w:t>a</w:t>
            </w:r>
          </w:p>
          <w:p>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rPr>
                <w:rFonts w:hint="eastAsia" w:ascii="Times New Roman" w:hAnsi="Times New Roman" w:eastAsia="宋体" w:cs="Times New Roman"/>
                <w:b/>
                <w:bCs/>
                <w:color w:val="auto"/>
                <w:spacing w:val="0"/>
                <w:sz w:val="21"/>
                <w:lang w:val="en-US" w:eastAsia="zh-CN"/>
              </w:rPr>
            </w:pPr>
            <w:r>
              <w:rPr>
                <w:rFonts w:ascii="Times New Roman" w:hAnsi="Times New Roman" w:eastAsia="宋体" w:cs="Times New Roman"/>
                <w:b/>
                <w:bCs/>
                <w:color w:val="auto"/>
                <w:spacing w:val="0"/>
                <w:sz w:val="21"/>
              </w:rPr>
              <w:t>表2-</w:t>
            </w:r>
            <w:r>
              <w:rPr>
                <w:rFonts w:hint="eastAsia" w:ascii="Times New Roman" w:hAnsi="Times New Roman" w:eastAsia="宋体" w:cs="Times New Roman"/>
                <w:b/>
                <w:bCs/>
                <w:color w:val="auto"/>
                <w:spacing w:val="0"/>
                <w:sz w:val="21"/>
                <w:lang w:val="en-US" w:eastAsia="zh-CN"/>
              </w:rPr>
              <w:t xml:space="preserve">5 </w:t>
            </w:r>
            <w:r>
              <w:rPr>
                <w:rFonts w:hint="eastAsia" w:ascii="Times New Roman" w:hAnsi="Times New Roman" w:eastAsia="宋体" w:cs="Times New Roman"/>
                <w:b/>
                <w:bCs/>
                <w:color w:val="auto"/>
                <w:spacing w:val="0"/>
                <w:sz w:val="21"/>
              </w:rPr>
              <w:t>本项目给排水平衡</w:t>
            </w:r>
            <w:r>
              <w:rPr>
                <w:rFonts w:ascii="Times New Roman" w:hAnsi="Times New Roman" w:eastAsia="宋体" w:cs="Times New Roman"/>
                <w:b/>
                <w:bCs/>
                <w:color w:val="auto"/>
                <w:spacing w:val="0"/>
                <w:sz w:val="21"/>
              </w:rPr>
              <w:t>一览表 单位：m</w:t>
            </w:r>
            <w:r>
              <w:rPr>
                <w:rFonts w:ascii="Times New Roman" w:hAnsi="Times New Roman" w:eastAsia="宋体" w:cs="Times New Roman"/>
                <w:b/>
                <w:bCs/>
                <w:color w:val="auto"/>
                <w:spacing w:val="0"/>
                <w:sz w:val="21"/>
                <w:vertAlign w:val="superscript"/>
              </w:rPr>
              <w:t>3</w:t>
            </w:r>
            <w:r>
              <w:rPr>
                <w:rFonts w:ascii="Times New Roman" w:hAnsi="Times New Roman" w:eastAsia="宋体" w:cs="Times New Roman"/>
                <w:b/>
                <w:bCs/>
                <w:color w:val="auto"/>
                <w:spacing w:val="0"/>
                <w:sz w:val="21"/>
              </w:rPr>
              <w:t>/</w:t>
            </w:r>
            <w:r>
              <w:rPr>
                <w:rFonts w:hint="eastAsia" w:ascii="Times New Roman" w:hAnsi="Times New Roman" w:eastAsia="宋体" w:cs="Times New Roman"/>
                <w:b/>
                <w:bCs/>
                <w:color w:val="auto"/>
                <w:spacing w:val="0"/>
                <w:sz w:val="21"/>
                <w:lang w:val="en-US" w:eastAsia="zh-CN"/>
              </w:rPr>
              <w:t>a</w:t>
            </w:r>
          </w:p>
          <w:tbl>
            <w:tblPr>
              <w:tblStyle w:val="56"/>
              <w:tblW w:w="4998"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923"/>
              <w:gridCol w:w="1307"/>
              <w:gridCol w:w="1154"/>
              <w:gridCol w:w="1307"/>
              <w:gridCol w:w="1154"/>
              <w:gridCol w:w="1307"/>
              <w:gridCol w:w="619"/>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9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用水类别</w:t>
                  </w:r>
                </w:p>
              </w:tc>
              <w:tc>
                <w:tcPr>
                  <w:tcW w:w="84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新鲜水补给</w:t>
                  </w:r>
                </w:p>
              </w:tc>
              <w:tc>
                <w:tcPr>
                  <w:tcW w:w="74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产生水量</w:t>
                  </w:r>
                </w:p>
              </w:tc>
              <w:tc>
                <w:tcPr>
                  <w:tcW w:w="84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损耗</w:t>
                  </w:r>
                </w:p>
              </w:tc>
              <w:tc>
                <w:tcPr>
                  <w:tcW w:w="74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循环回用水量</w:t>
                  </w:r>
                </w:p>
              </w:tc>
              <w:tc>
                <w:tcPr>
                  <w:tcW w:w="84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外运/回用去向</w:t>
                  </w:r>
                </w:p>
              </w:tc>
              <w:tc>
                <w:tcPr>
                  <w:tcW w:w="3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外排</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9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职工生活用水</w:t>
                  </w:r>
                </w:p>
              </w:tc>
              <w:tc>
                <w:tcPr>
                  <w:tcW w:w="84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99.00</w:t>
                  </w:r>
                </w:p>
              </w:tc>
              <w:tc>
                <w:tcPr>
                  <w:tcW w:w="74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79.20</w:t>
                  </w:r>
                </w:p>
              </w:tc>
              <w:tc>
                <w:tcPr>
                  <w:tcW w:w="84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19.8</w:t>
                  </w:r>
                </w:p>
              </w:tc>
              <w:tc>
                <w:tcPr>
                  <w:tcW w:w="74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0</w:t>
                  </w:r>
                </w:p>
              </w:tc>
              <w:tc>
                <w:tcPr>
                  <w:tcW w:w="84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罐车转运污水处理厂</w:t>
                  </w:r>
                </w:p>
              </w:tc>
              <w:tc>
                <w:tcPr>
                  <w:tcW w:w="3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9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车辆冲洗系统补水</w:t>
                  </w:r>
                </w:p>
              </w:tc>
              <w:tc>
                <w:tcPr>
                  <w:tcW w:w="84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28.34</w:t>
                  </w:r>
                </w:p>
              </w:tc>
              <w:tc>
                <w:tcPr>
                  <w:tcW w:w="74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141.70</w:t>
                  </w:r>
                </w:p>
              </w:tc>
              <w:tc>
                <w:tcPr>
                  <w:tcW w:w="84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28.34</w:t>
                  </w:r>
                </w:p>
              </w:tc>
              <w:tc>
                <w:tcPr>
                  <w:tcW w:w="74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113.36</w:t>
                  </w:r>
                </w:p>
              </w:tc>
              <w:tc>
                <w:tcPr>
                  <w:tcW w:w="84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系统内部循环冲洗车辆</w:t>
                  </w:r>
                </w:p>
              </w:tc>
              <w:tc>
                <w:tcPr>
                  <w:tcW w:w="3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9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厂区道路、堆场降尘用水</w:t>
                  </w:r>
                </w:p>
              </w:tc>
              <w:tc>
                <w:tcPr>
                  <w:tcW w:w="84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1980.00</w:t>
                  </w:r>
                </w:p>
              </w:tc>
              <w:tc>
                <w:tcPr>
                  <w:tcW w:w="74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0</w:t>
                  </w:r>
                </w:p>
              </w:tc>
              <w:tc>
                <w:tcPr>
                  <w:tcW w:w="84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1980.00</w:t>
                  </w:r>
                </w:p>
              </w:tc>
              <w:tc>
                <w:tcPr>
                  <w:tcW w:w="74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0</w:t>
                  </w:r>
                </w:p>
              </w:tc>
              <w:tc>
                <w:tcPr>
                  <w:tcW w:w="84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全部蒸发</w:t>
                  </w:r>
                </w:p>
              </w:tc>
              <w:tc>
                <w:tcPr>
                  <w:tcW w:w="3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9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生产喷雾抑尘用水</w:t>
                  </w:r>
                </w:p>
              </w:tc>
              <w:tc>
                <w:tcPr>
                  <w:tcW w:w="84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1000.00</w:t>
                  </w:r>
                </w:p>
              </w:tc>
              <w:tc>
                <w:tcPr>
                  <w:tcW w:w="74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0</w:t>
                  </w:r>
                </w:p>
              </w:tc>
              <w:tc>
                <w:tcPr>
                  <w:tcW w:w="84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1000.00</w:t>
                  </w:r>
                </w:p>
              </w:tc>
              <w:tc>
                <w:tcPr>
                  <w:tcW w:w="74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0</w:t>
                  </w:r>
                </w:p>
              </w:tc>
              <w:tc>
                <w:tcPr>
                  <w:tcW w:w="84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随物料、环境蒸发</w:t>
                  </w:r>
                </w:p>
              </w:tc>
              <w:tc>
                <w:tcPr>
                  <w:tcW w:w="3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9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小计</w:t>
                  </w:r>
                </w:p>
              </w:tc>
              <w:tc>
                <w:tcPr>
                  <w:tcW w:w="13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3107.34</w:t>
                  </w:r>
                </w:p>
              </w:tc>
              <w:tc>
                <w:tcPr>
                  <w:tcW w:w="115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220.9</w:t>
                  </w:r>
                </w:p>
              </w:tc>
              <w:tc>
                <w:tcPr>
                  <w:tcW w:w="13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3028.14</w:t>
                  </w:r>
                </w:p>
              </w:tc>
              <w:tc>
                <w:tcPr>
                  <w:tcW w:w="115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113.36</w:t>
                  </w:r>
                </w:p>
              </w:tc>
              <w:tc>
                <w:tcPr>
                  <w:tcW w:w="84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w:t>
                  </w:r>
                </w:p>
              </w:tc>
              <w:tc>
                <w:tcPr>
                  <w:tcW w:w="3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0</w:t>
                  </w:r>
                </w:p>
              </w:tc>
            </w:tr>
          </w:tbl>
          <w:p>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eastAsia="宋体" w:cs="Times New Roman"/>
                <w:color w:val="auto"/>
                <w:spacing w:val="0"/>
                <w:sz w:val="21"/>
                <w:szCs w:val="21"/>
                <w:lang w:eastAsia="zh-CN"/>
              </w:rPr>
            </w:pPr>
            <w:r>
              <w:rPr>
                <w:rFonts w:hint="eastAsia" w:ascii="Times New Roman" w:hAnsi="Times New Roman" w:eastAsia="宋体" w:cs="Times New Roman"/>
                <w:color w:val="auto"/>
                <w:spacing w:val="0"/>
                <w:sz w:val="21"/>
                <w:szCs w:val="21"/>
              </w:rPr>
              <w:t>注：</w:t>
            </w:r>
            <w:r>
              <w:rPr>
                <w:rFonts w:hint="eastAsia" w:ascii="Times New Roman" w:hAnsi="Times New Roman" w:eastAsia="宋体" w:cs="Times New Roman"/>
                <w:color w:val="auto"/>
                <w:spacing w:val="0"/>
                <w:sz w:val="21"/>
                <w:szCs w:val="21"/>
                <w:lang w:val="en-US" w:eastAsia="zh-CN" w:bidi="ar-SA"/>
              </w:rPr>
              <w:t>1、</w:t>
            </w:r>
            <w:r>
              <w:rPr>
                <w:rFonts w:hint="eastAsia" w:ascii="Times New Roman" w:hAnsi="Times New Roman" w:eastAsia="宋体" w:cs="Times New Roman"/>
                <w:color w:val="auto"/>
                <w:spacing w:val="0"/>
                <w:sz w:val="21"/>
                <w:szCs w:val="21"/>
              </w:rPr>
              <w:t>车辆冲洗沉淀池综合损耗系数取20%</w:t>
            </w:r>
            <w:r>
              <w:rPr>
                <w:rFonts w:hint="eastAsia" w:ascii="Times New Roman" w:hAnsi="Times New Roman" w:eastAsia="宋体" w:cs="Times New Roman"/>
                <w:color w:val="auto"/>
                <w:spacing w:val="0"/>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Times New Roman" w:hAnsi="Times New Roman" w:eastAsia="宋体" w:cs="Times New Roman"/>
                <w:color w:val="auto"/>
                <w:spacing w:val="0"/>
                <w:sz w:val="21"/>
                <w:szCs w:val="21"/>
                <w:lang w:eastAsia="zh-CN"/>
              </w:rPr>
            </w:pPr>
            <w:r>
              <w:rPr>
                <w:rFonts w:hint="eastAsia" w:ascii="Times New Roman" w:hAnsi="Times New Roman" w:eastAsia="宋体" w:cs="Times New Roman"/>
                <w:color w:val="auto"/>
                <w:spacing w:val="0"/>
                <w:sz w:val="21"/>
                <w:szCs w:val="21"/>
                <w:lang w:val="en-US" w:eastAsia="zh-CN"/>
              </w:rPr>
              <w:t>2</w:t>
            </w:r>
            <w:r>
              <w:rPr>
                <w:rFonts w:hint="eastAsia" w:ascii="Times New Roman" w:hAnsi="Times New Roman" w:eastAsia="宋体" w:cs="Times New Roman"/>
                <w:color w:val="auto"/>
                <w:spacing w:val="0"/>
                <w:sz w:val="21"/>
                <w:szCs w:val="21"/>
              </w:rPr>
              <w:t>、降尘、生产喷雾抑尘用水全部蒸发损耗，不产生生产废水</w:t>
            </w:r>
            <w:r>
              <w:rPr>
                <w:rFonts w:hint="eastAsia" w:ascii="Times New Roman" w:hAnsi="Times New Roman" w:eastAsia="宋体" w:cs="Times New Roman"/>
                <w:color w:val="auto"/>
                <w:spacing w:val="0"/>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Times New Roman" w:hAnsi="Times New Roman" w:eastAsia="宋体" w:cs="Times New Roman"/>
                <w:color w:val="auto"/>
                <w:spacing w:val="0"/>
                <w:sz w:val="21"/>
                <w:szCs w:val="21"/>
              </w:rPr>
            </w:pPr>
            <w:r>
              <w:rPr>
                <w:rFonts w:hint="eastAsia" w:ascii="Times New Roman" w:hAnsi="Times New Roman" w:eastAsia="宋体" w:cs="Times New Roman"/>
                <w:color w:val="auto"/>
                <w:spacing w:val="0"/>
                <w:sz w:val="21"/>
                <w:szCs w:val="21"/>
                <w:lang w:val="en-US" w:eastAsia="zh-CN"/>
              </w:rPr>
              <w:t>3</w:t>
            </w:r>
            <w:r>
              <w:rPr>
                <w:rFonts w:hint="eastAsia" w:ascii="Times New Roman" w:hAnsi="Times New Roman" w:eastAsia="宋体" w:cs="Times New Roman"/>
                <w:color w:val="auto"/>
                <w:spacing w:val="0"/>
                <w:sz w:val="21"/>
                <w:szCs w:val="21"/>
              </w:rPr>
              <w:t>、所有生产系统无废水向外环境排放；生活污水经化粪池损耗后剩余量密闭罐车外运。</w:t>
            </w:r>
          </w:p>
          <w:p>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eastAsia="宋体" w:cs="Times New Roman"/>
                <w:color w:val="auto"/>
                <w:spacing w:val="0"/>
                <w:sz w:val="21"/>
                <w:szCs w:val="21"/>
                <w:lang w:eastAsia="zh-CN"/>
              </w:rPr>
            </w:pPr>
            <w:r>
              <w:rPr>
                <w:rFonts w:hint="eastAsia" w:ascii="Times New Roman" w:hAnsi="Times New Roman" w:eastAsia="宋体" w:cs="Times New Roman"/>
                <w:color w:val="auto"/>
                <w:spacing w:val="0"/>
                <w:sz w:val="21"/>
                <w:szCs w:val="21"/>
                <w:lang w:val="en-US" w:eastAsia="zh-CN"/>
              </w:rPr>
              <w:t>4、</w:t>
            </w:r>
            <w:r>
              <w:rPr>
                <w:rFonts w:hint="eastAsia" w:ascii="Times New Roman" w:hAnsi="Times New Roman" w:eastAsia="宋体" w:cs="Times New Roman"/>
                <w:color w:val="auto"/>
                <w:spacing w:val="0"/>
                <w:sz w:val="21"/>
                <w:szCs w:val="21"/>
              </w:rPr>
              <w:t>车辆冲洗配套沉淀池：有效容积15m</w:t>
            </w:r>
            <w:r>
              <w:rPr>
                <w:rFonts w:hint="eastAsia" w:ascii="Times New Roman" w:hAnsi="Times New Roman" w:eastAsia="宋体" w:cs="Times New Roman"/>
                <w:color w:val="auto"/>
                <w:spacing w:val="0"/>
                <w:sz w:val="21"/>
                <w:szCs w:val="21"/>
                <w:vertAlign w:val="superscript"/>
                <w:lang w:val="en-US" w:eastAsia="zh-CN"/>
              </w:rPr>
              <w:t>3</w:t>
            </w:r>
            <w:r>
              <w:rPr>
                <w:rFonts w:hint="eastAsia" w:ascii="Times New Roman" w:hAnsi="Times New Roman" w:eastAsia="宋体" w:cs="Times New Roman"/>
                <w:color w:val="auto"/>
                <w:spacing w:val="0"/>
                <w:sz w:val="21"/>
                <w:szCs w:val="21"/>
              </w:rPr>
              <w:t>，配套隔渣，循环泵</w:t>
            </w:r>
            <w:r>
              <w:rPr>
                <w:rFonts w:hint="eastAsia" w:ascii="Times New Roman" w:hAnsi="Times New Roman" w:eastAsia="宋体" w:cs="Times New Roman"/>
                <w:color w:val="auto"/>
                <w:spacing w:val="0"/>
                <w:sz w:val="21"/>
                <w:szCs w:val="21"/>
                <w:lang w:eastAsia="zh-CN"/>
              </w:rPr>
              <w:t>。</w:t>
            </w:r>
          </w:p>
          <w:p>
            <w:pPr>
              <w:keepNext w:val="0"/>
              <w:keepLines w:val="0"/>
              <w:pageBreakBefore w:val="0"/>
              <w:widowControl w:val="0"/>
              <w:kinsoku/>
              <w:wordWrap/>
              <w:overflowPunct/>
              <w:topLinePunct w:val="0"/>
              <w:autoSpaceDE/>
              <w:autoSpaceDN/>
              <w:bidi w:val="0"/>
              <w:adjustRightInd/>
              <w:snapToGrid/>
              <w:ind w:firstLine="480"/>
              <w:textAlignment w:val="auto"/>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rPr>
              <w:t>（2）供电</w:t>
            </w:r>
          </w:p>
          <w:p>
            <w:pPr>
              <w:keepNext w:val="0"/>
              <w:keepLines w:val="0"/>
              <w:pageBreakBefore w:val="0"/>
              <w:widowControl w:val="0"/>
              <w:kinsoku/>
              <w:wordWrap/>
              <w:overflowPunct/>
              <w:topLinePunct w:val="0"/>
              <w:autoSpaceDE/>
              <w:autoSpaceDN/>
              <w:bidi w:val="0"/>
              <w:adjustRightInd/>
              <w:snapToGrid/>
              <w:ind w:firstLine="480"/>
              <w:textAlignment w:val="auto"/>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rPr>
              <w:t>本项目</w:t>
            </w:r>
            <w:r>
              <w:rPr>
                <w:rFonts w:ascii="Times New Roman" w:hAnsi="Times New Roman" w:eastAsia="宋体" w:cs="Times New Roman"/>
                <w:color w:val="auto"/>
                <w:spacing w:val="0"/>
                <w:sz w:val="24"/>
                <w:szCs w:val="24"/>
              </w:rPr>
              <w:t>供电</w:t>
            </w:r>
            <w:r>
              <w:rPr>
                <w:rFonts w:hint="eastAsia" w:ascii="Times New Roman" w:hAnsi="Times New Roman" w:eastAsia="宋体" w:cs="Times New Roman"/>
                <w:color w:val="auto"/>
                <w:spacing w:val="0"/>
                <w:sz w:val="24"/>
                <w:szCs w:val="24"/>
              </w:rPr>
              <w:t>由园区供电电网提供</w:t>
            </w:r>
            <w:r>
              <w:rPr>
                <w:rFonts w:ascii="Times New Roman" w:hAnsi="Times New Roman" w:eastAsia="宋体" w:cs="Times New Roman"/>
                <w:color w:val="auto"/>
                <w:spacing w:val="0"/>
                <w:sz w:val="24"/>
                <w:szCs w:val="24"/>
              </w:rPr>
              <w:t>，</w:t>
            </w:r>
            <w:r>
              <w:rPr>
                <w:rFonts w:hint="eastAsia" w:ascii="Times New Roman" w:hAnsi="Times New Roman" w:eastAsia="宋体" w:cs="Times New Roman"/>
                <w:color w:val="auto"/>
                <w:spacing w:val="0"/>
                <w:sz w:val="24"/>
                <w:szCs w:val="24"/>
              </w:rPr>
              <w:t>本项目</w:t>
            </w:r>
            <w:r>
              <w:rPr>
                <w:rFonts w:ascii="Times New Roman" w:hAnsi="Times New Roman" w:eastAsia="宋体" w:cs="Times New Roman"/>
                <w:color w:val="auto"/>
                <w:spacing w:val="0"/>
                <w:sz w:val="24"/>
                <w:szCs w:val="24"/>
              </w:rPr>
              <w:t>用电量为</w:t>
            </w:r>
            <w:r>
              <w:rPr>
                <w:rFonts w:hint="eastAsia" w:ascii="Times New Roman" w:hAnsi="Times New Roman" w:eastAsia="宋体" w:cs="Times New Roman"/>
                <w:color w:val="auto"/>
                <w:spacing w:val="0"/>
                <w:sz w:val="24"/>
                <w:szCs w:val="24"/>
                <w:lang w:val="en-US" w:eastAsia="zh-CN"/>
              </w:rPr>
              <w:t>101.52</w:t>
            </w:r>
            <w:r>
              <w:rPr>
                <w:rFonts w:hint="eastAsia" w:ascii="Times New Roman" w:hAnsi="Times New Roman" w:eastAsia="宋体" w:cs="Times New Roman"/>
                <w:color w:val="auto"/>
                <w:spacing w:val="0"/>
                <w:sz w:val="24"/>
                <w:szCs w:val="24"/>
              </w:rPr>
              <w:t>万</w:t>
            </w:r>
            <w:r>
              <w:rPr>
                <w:rFonts w:ascii="Times New Roman" w:hAnsi="Times New Roman" w:eastAsia="宋体" w:cs="Times New Roman"/>
                <w:color w:val="auto"/>
                <w:spacing w:val="0"/>
                <w:sz w:val="24"/>
                <w:szCs w:val="24"/>
              </w:rPr>
              <w:t>kwh/a</w:t>
            </w:r>
            <w:r>
              <w:rPr>
                <w:rFonts w:hint="eastAsia" w:ascii="Times New Roman" w:hAnsi="Times New Roman" w:eastAsia="宋体" w:cs="Times New Roman"/>
                <w:color w:val="auto"/>
                <w:spacing w:val="0"/>
                <w:sz w:val="24"/>
                <w:szCs w:val="24"/>
              </w:rPr>
              <w:t>。</w:t>
            </w:r>
          </w:p>
          <w:p>
            <w:pPr>
              <w:keepNext w:val="0"/>
              <w:keepLines w:val="0"/>
              <w:pageBreakBefore w:val="0"/>
              <w:widowControl w:val="0"/>
              <w:kinsoku/>
              <w:wordWrap/>
              <w:overflowPunct/>
              <w:topLinePunct w:val="0"/>
              <w:autoSpaceDE/>
              <w:autoSpaceDN/>
              <w:bidi w:val="0"/>
              <w:adjustRightInd/>
              <w:snapToGrid/>
              <w:ind w:firstLine="482"/>
              <w:textAlignment w:val="auto"/>
              <w:rPr>
                <w:rFonts w:hint="default" w:ascii="Times New Roman" w:hAnsi="Times New Roman" w:eastAsia="宋体" w:cs="Times New Roman"/>
                <w:b w:val="0"/>
                <w:bCs w:val="0"/>
                <w:color w:val="auto"/>
                <w:spacing w:val="0"/>
                <w:sz w:val="24"/>
                <w:szCs w:val="24"/>
                <w:lang w:val="en-US" w:eastAsia="zh-CN"/>
              </w:rPr>
            </w:pPr>
            <w:r>
              <w:rPr>
                <w:rFonts w:hint="eastAsia" w:ascii="Times New Roman" w:hAnsi="Times New Roman" w:eastAsia="宋体" w:cs="Times New Roman"/>
                <w:b w:val="0"/>
                <w:bCs w:val="0"/>
                <w:color w:val="auto"/>
                <w:spacing w:val="0"/>
                <w:sz w:val="24"/>
                <w:szCs w:val="24"/>
                <w:lang w:eastAsia="zh-CN"/>
              </w:rPr>
              <w:t>（</w:t>
            </w:r>
            <w:r>
              <w:rPr>
                <w:rFonts w:hint="eastAsia" w:ascii="Times New Roman" w:hAnsi="Times New Roman" w:eastAsia="宋体" w:cs="Times New Roman"/>
                <w:b w:val="0"/>
                <w:bCs w:val="0"/>
                <w:color w:val="auto"/>
                <w:spacing w:val="0"/>
                <w:sz w:val="24"/>
                <w:szCs w:val="24"/>
                <w:lang w:val="en-US" w:eastAsia="zh-CN"/>
              </w:rPr>
              <w:t>3</w:t>
            </w:r>
            <w:r>
              <w:rPr>
                <w:rFonts w:hint="eastAsia" w:ascii="Times New Roman" w:hAnsi="Times New Roman" w:eastAsia="宋体" w:cs="Times New Roman"/>
                <w:b w:val="0"/>
                <w:bCs w:val="0"/>
                <w:color w:val="auto"/>
                <w:spacing w:val="0"/>
                <w:sz w:val="24"/>
                <w:szCs w:val="24"/>
                <w:lang w:eastAsia="zh-CN"/>
              </w:rPr>
              <w:t>）</w:t>
            </w:r>
            <w:r>
              <w:rPr>
                <w:rFonts w:hint="eastAsia" w:ascii="Times New Roman" w:hAnsi="Times New Roman" w:eastAsia="宋体" w:cs="Times New Roman"/>
                <w:b w:val="0"/>
                <w:bCs w:val="0"/>
                <w:color w:val="auto"/>
                <w:spacing w:val="0"/>
                <w:sz w:val="24"/>
                <w:szCs w:val="24"/>
                <w:lang w:val="en-US" w:eastAsia="zh-CN"/>
              </w:rPr>
              <w:t>供热</w:t>
            </w:r>
          </w:p>
          <w:p>
            <w:pPr>
              <w:keepNext w:val="0"/>
              <w:keepLines w:val="0"/>
              <w:pageBreakBefore w:val="0"/>
              <w:widowControl w:val="0"/>
              <w:kinsoku/>
              <w:wordWrap/>
              <w:overflowPunct/>
              <w:topLinePunct w:val="0"/>
              <w:autoSpaceDE/>
              <w:autoSpaceDN/>
              <w:bidi w:val="0"/>
              <w:adjustRightInd/>
              <w:snapToGrid/>
              <w:ind w:firstLine="482"/>
              <w:textAlignment w:val="auto"/>
              <w:rPr>
                <w:rFonts w:hint="eastAsia" w:ascii="Times New Roman" w:hAnsi="Times New Roman" w:eastAsia="宋体" w:cs="Times New Roman"/>
                <w:b w:val="0"/>
                <w:bCs w:val="0"/>
                <w:color w:val="auto"/>
                <w:spacing w:val="0"/>
                <w:sz w:val="24"/>
                <w:szCs w:val="24"/>
                <w:lang w:eastAsia="zh-CN"/>
              </w:rPr>
            </w:pPr>
            <w:r>
              <w:rPr>
                <w:rFonts w:hint="eastAsia" w:ascii="Times New Roman" w:hAnsi="Times New Roman" w:eastAsia="宋体" w:cs="Times New Roman"/>
                <w:b w:val="0"/>
                <w:bCs w:val="0"/>
                <w:color w:val="auto"/>
                <w:spacing w:val="0"/>
                <w:sz w:val="24"/>
                <w:szCs w:val="24"/>
              </w:rPr>
              <w:t>生产</w:t>
            </w:r>
            <w:r>
              <w:rPr>
                <w:rFonts w:hint="eastAsia" w:ascii="Times New Roman" w:hAnsi="Times New Roman" w:eastAsia="宋体" w:cs="Times New Roman"/>
                <w:b w:val="0"/>
                <w:bCs w:val="0"/>
                <w:color w:val="auto"/>
                <w:spacing w:val="0"/>
                <w:sz w:val="24"/>
                <w:szCs w:val="24"/>
                <w:lang w:val="en-US" w:eastAsia="zh-CN"/>
              </w:rPr>
              <w:t>不</w:t>
            </w:r>
            <w:r>
              <w:rPr>
                <w:rFonts w:hint="eastAsia" w:ascii="Times New Roman" w:hAnsi="Times New Roman" w:eastAsia="宋体" w:cs="Times New Roman"/>
                <w:b w:val="0"/>
                <w:bCs w:val="0"/>
                <w:color w:val="auto"/>
                <w:spacing w:val="0"/>
                <w:sz w:val="24"/>
                <w:szCs w:val="24"/>
              </w:rPr>
              <w:t>用热，办公室冬季供暖采用</w:t>
            </w:r>
            <w:r>
              <w:rPr>
                <w:rFonts w:hint="eastAsia" w:ascii="Times New Roman" w:hAnsi="Times New Roman" w:eastAsia="宋体" w:cs="Times New Roman"/>
                <w:b w:val="0"/>
                <w:bCs w:val="0"/>
                <w:color w:val="auto"/>
                <w:spacing w:val="0"/>
                <w:sz w:val="24"/>
                <w:szCs w:val="24"/>
                <w:lang w:val="en-US" w:eastAsia="zh-CN"/>
              </w:rPr>
              <w:t>电采暖</w:t>
            </w:r>
            <w:r>
              <w:rPr>
                <w:rFonts w:hint="eastAsia" w:ascii="Times New Roman" w:hAnsi="Times New Roman" w:eastAsia="宋体" w:cs="Times New Roman"/>
                <w:b w:val="0"/>
                <w:bCs w:val="0"/>
                <w:color w:val="auto"/>
                <w:spacing w:val="0"/>
                <w:sz w:val="24"/>
                <w:szCs w:val="24"/>
                <w:lang w:eastAsia="zh-CN"/>
              </w:rPr>
              <w:t>。</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6、环保工程</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车辆冲洗配套沉淀池，平面尺寸3.2m×2.0m，有效水深2.35m，有效容积15m</w:t>
            </w:r>
            <w:r>
              <w:rPr>
                <w:rFonts w:hint="eastAsia"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rPr>
              <w:t>；满足车辆冲洗循环水沉淀、隔渣功能。</w:t>
            </w:r>
          </w:p>
          <w:p>
            <w:pPr>
              <w:keepNext w:val="0"/>
              <w:keepLines w:val="0"/>
              <w:pageBreakBefore w:val="0"/>
              <w:widowControl w:val="0"/>
              <w:kinsoku/>
              <w:wordWrap/>
              <w:overflowPunct/>
              <w:topLinePunct w:val="0"/>
              <w:autoSpaceDE/>
              <w:autoSpaceDN/>
              <w:bidi w:val="0"/>
              <w:adjustRightInd/>
              <w:snapToGrid/>
              <w:ind w:firstLine="482"/>
              <w:textAlignment w:val="auto"/>
              <w:rPr>
                <w:rFonts w:ascii="Times New Roman" w:hAnsi="Times New Roman" w:eastAsia="宋体" w:cs="Times New Roman"/>
                <w:color w:val="auto"/>
                <w:spacing w:val="0"/>
                <w:sz w:val="24"/>
                <w:szCs w:val="24"/>
              </w:rPr>
            </w:pPr>
            <w:r>
              <w:rPr>
                <w:rFonts w:hint="eastAsia" w:ascii="Times New Roman" w:hAnsi="Times New Roman" w:eastAsia="宋体" w:cs="Times New Roman"/>
                <w:b/>
                <w:bCs/>
                <w:color w:val="auto"/>
                <w:spacing w:val="0"/>
                <w:sz w:val="24"/>
                <w:szCs w:val="24"/>
                <w:lang w:val="en-US" w:eastAsia="zh-CN"/>
              </w:rPr>
              <w:t>7</w:t>
            </w:r>
            <w:r>
              <w:rPr>
                <w:rFonts w:hint="eastAsia" w:ascii="Times New Roman" w:hAnsi="Times New Roman" w:eastAsia="宋体" w:cs="Times New Roman"/>
                <w:b/>
                <w:bCs/>
                <w:color w:val="auto"/>
                <w:spacing w:val="0"/>
                <w:sz w:val="24"/>
                <w:szCs w:val="24"/>
              </w:rPr>
              <w:t>、劳动定员及工作制度</w:t>
            </w:r>
          </w:p>
          <w:p>
            <w:pPr>
              <w:keepNext w:val="0"/>
              <w:keepLines w:val="0"/>
              <w:pageBreakBefore w:val="0"/>
              <w:widowControl w:val="0"/>
              <w:kinsoku/>
              <w:wordWrap/>
              <w:overflowPunct/>
              <w:topLinePunct w:val="0"/>
              <w:autoSpaceDE/>
              <w:autoSpaceDN/>
              <w:bidi w:val="0"/>
              <w:adjustRightInd/>
              <w:snapToGrid/>
              <w:ind w:firstLine="480"/>
              <w:textAlignment w:val="auto"/>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rPr>
              <w:t>本项目劳动定员</w:t>
            </w:r>
            <w:r>
              <w:rPr>
                <w:rFonts w:hint="eastAsia" w:ascii="Times New Roman" w:hAnsi="Times New Roman" w:eastAsia="宋体" w:cs="Times New Roman"/>
                <w:color w:val="auto"/>
                <w:spacing w:val="0"/>
                <w:sz w:val="24"/>
                <w:szCs w:val="24"/>
                <w:lang w:val="en-US" w:eastAsia="zh-CN"/>
              </w:rPr>
              <w:t>为6人</w:t>
            </w:r>
            <w:r>
              <w:rPr>
                <w:rFonts w:hint="eastAsia" w:ascii="Times New Roman" w:hAnsi="Times New Roman" w:eastAsia="宋体" w:cs="Times New Roman"/>
                <w:color w:val="auto"/>
                <w:spacing w:val="0"/>
                <w:sz w:val="24"/>
                <w:szCs w:val="24"/>
              </w:rPr>
              <w:t>，工作制度</w:t>
            </w:r>
            <w:r>
              <w:rPr>
                <w:rFonts w:hint="eastAsia" w:ascii="Times New Roman" w:hAnsi="Times New Roman" w:eastAsia="宋体" w:cs="Times New Roman"/>
                <w:color w:val="auto"/>
                <w:spacing w:val="0"/>
                <w:sz w:val="24"/>
                <w:szCs w:val="24"/>
                <w:lang w:val="en-US" w:eastAsia="zh-CN"/>
              </w:rPr>
              <w:t>为单</w:t>
            </w:r>
            <w:r>
              <w:rPr>
                <w:rFonts w:hint="eastAsia" w:ascii="Times New Roman" w:hAnsi="Times New Roman" w:eastAsia="宋体" w:cs="Times New Roman"/>
                <w:color w:val="auto"/>
                <w:spacing w:val="0"/>
                <w:sz w:val="24"/>
                <w:szCs w:val="24"/>
              </w:rPr>
              <w:t>班制，每</w:t>
            </w:r>
            <w:r>
              <w:rPr>
                <w:rFonts w:hint="eastAsia" w:ascii="Times New Roman" w:hAnsi="Times New Roman" w:eastAsia="宋体" w:cs="Times New Roman"/>
                <w:color w:val="auto"/>
                <w:spacing w:val="0"/>
                <w:sz w:val="24"/>
                <w:szCs w:val="24"/>
                <w:lang w:val="en-US" w:eastAsia="zh-CN"/>
              </w:rPr>
              <w:t>天8</w:t>
            </w:r>
            <w:r>
              <w:rPr>
                <w:rFonts w:hint="eastAsia" w:ascii="Times New Roman" w:hAnsi="Times New Roman" w:eastAsia="宋体" w:cs="Times New Roman"/>
                <w:color w:val="auto"/>
                <w:spacing w:val="0"/>
                <w:sz w:val="24"/>
                <w:szCs w:val="24"/>
              </w:rPr>
              <w:t>小时，年工作3</w:t>
            </w:r>
            <w:r>
              <w:rPr>
                <w:rFonts w:hint="eastAsia" w:ascii="Times New Roman" w:hAnsi="Times New Roman" w:eastAsia="宋体" w:cs="Times New Roman"/>
                <w:color w:val="auto"/>
                <w:spacing w:val="0"/>
                <w:sz w:val="24"/>
                <w:szCs w:val="24"/>
                <w:lang w:val="en-US" w:eastAsia="zh-CN"/>
              </w:rPr>
              <w:t>3</w:t>
            </w:r>
            <w:r>
              <w:rPr>
                <w:rFonts w:hint="eastAsia" w:ascii="Times New Roman" w:hAnsi="Times New Roman" w:eastAsia="宋体" w:cs="Times New Roman"/>
                <w:color w:val="auto"/>
                <w:spacing w:val="0"/>
                <w:sz w:val="24"/>
                <w:szCs w:val="24"/>
              </w:rPr>
              <w:t>0天。</w:t>
            </w:r>
          </w:p>
          <w:p>
            <w:pPr>
              <w:keepNext w:val="0"/>
              <w:keepLines w:val="0"/>
              <w:pageBreakBefore w:val="0"/>
              <w:widowControl w:val="0"/>
              <w:kinsoku/>
              <w:wordWrap/>
              <w:overflowPunct/>
              <w:topLinePunct w:val="0"/>
              <w:autoSpaceDE/>
              <w:autoSpaceDN/>
              <w:bidi w:val="0"/>
              <w:adjustRightInd/>
              <w:snapToGrid/>
              <w:ind w:firstLine="482"/>
              <w:textAlignment w:val="auto"/>
              <w:rPr>
                <w:rFonts w:ascii="Times New Roman" w:hAnsi="Times New Roman" w:eastAsia="宋体" w:cs="Times New Roman"/>
                <w:b/>
                <w:bCs/>
                <w:color w:val="auto"/>
                <w:spacing w:val="0"/>
                <w:sz w:val="24"/>
                <w:szCs w:val="24"/>
              </w:rPr>
            </w:pPr>
            <w:r>
              <w:rPr>
                <w:rFonts w:hint="eastAsia" w:ascii="Times New Roman" w:hAnsi="Times New Roman" w:eastAsia="宋体" w:cs="Times New Roman"/>
                <w:b/>
                <w:bCs/>
                <w:color w:val="auto"/>
                <w:spacing w:val="0"/>
                <w:sz w:val="24"/>
                <w:szCs w:val="24"/>
                <w:lang w:val="en-US" w:eastAsia="zh-CN"/>
              </w:rPr>
              <w:t>8</w:t>
            </w:r>
            <w:r>
              <w:rPr>
                <w:rFonts w:hint="eastAsia" w:ascii="Times New Roman" w:hAnsi="Times New Roman" w:eastAsia="宋体" w:cs="Times New Roman"/>
                <w:b/>
                <w:bCs/>
                <w:color w:val="auto"/>
                <w:spacing w:val="0"/>
                <w:sz w:val="24"/>
                <w:szCs w:val="24"/>
              </w:rPr>
              <w:t>、厂区平面布置</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ascii="Times New Roman" w:hAnsi="Times New Roman" w:eastAsia="宋体"/>
                <w:bCs/>
                <w:snapToGrid w:val="0"/>
                <w:color w:val="auto"/>
                <w:spacing w:val="0"/>
                <w:sz w:val="24"/>
              </w:rPr>
            </w:pPr>
            <w:r>
              <w:rPr>
                <w:rFonts w:hint="default" w:ascii="Times New Roman" w:hAnsi="Times New Roman" w:eastAsia="宋体" w:cs="Times New Roman"/>
                <w:color w:val="auto"/>
                <w:sz w:val="24"/>
                <w:szCs w:val="24"/>
              </w:rPr>
              <w:t>根据厂区地形、主导风向，结合本项目生产工艺流程，场内由西向东依次为资源化利用生产车间、业务用房；生产区、成品堆存区全部布置在资源化利用生产车间内部。根据工艺流程和运输等要求，在总平面布置时，尽可能力求紧凑、合理、物料输送短捷、流畅。本工程建筑物较少，平面布置简单，厂房内生产设备安装工艺流转次序依次布设。生产厂区平面布置图见附图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302" w:type="pct"/>
            <w:vAlign w:val="center"/>
          </w:tcPr>
          <w:p>
            <w:pPr>
              <w:pStyle w:val="50"/>
              <w:adjustRightInd/>
              <w:snapToGrid/>
              <w:spacing w:before="0" w:beforeAutospacing="0" w:after="0" w:afterAutospacing="0" w:line="240" w:lineRule="auto"/>
              <w:ind w:firstLine="0" w:firstLineChars="0"/>
              <w:jc w:val="center"/>
              <w:outlineLvl w:val="0"/>
              <w:rPr>
                <w:rFonts w:eastAsia="宋体"/>
                <w:bCs/>
                <w:color w:val="auto"/>
                <w:spacing w:val="0"/>
              </w:rPr>
            </w:pPr>
            <w:r>
              <w:rPr>
                <w:rFonts w:ascii="Times New Roman" w:hAnsi="Times New Roman" w:eastAsia="宋体" w:cs="Times New Roman"/>
                <w:bCs/>
                <w:snapToGrid w:val="0"/>
                <w:color w:val="auto"/>
                <w:spacing w:val="0"/>
              </w:rPr>
              <w:t>工艺流程和产排污环节</w:t>
            </w:r>
          </w:p>
        </w:tc>
        <w:tc>
          <w:tcPr>
            <w:tcW w:w="4697" w:type="pct"/>
          </w:tcPr>
          <w:p>
            <w:pPr>
              <w:pStyle w:val="34"/>
              <w:keepNext w:val="0"/>
              <w:keepLines w:val="0"/>
              <w:pageBreakBefore w:val="0"/>
              <w:widowControl w:val="0"/>
              <w:kinsoku/>
              <w:wordWrap/>
              <w:overflowPunct/>
              <w:topLinePunct w:val="0"/>
              <w:autoSpaceDE/>
              <w:autoSpaceDN/>
              <w:bidi w:val="0"/>
              <w:adjustRightInd/>
              <w:snapToGrid/>
              <w:ind w:left="0" w:firstLine="480"/>
              <w:jc w:val="both"/>
              <w:textAlignment w:val="auto"/>
              <w:outlineLvl w:val="9"/>
              <w:rPr>
                <w:rFonts w:hint="eastAsia"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本项目建设资源化利用生产车间、业务用房，原料堆存</w:t>
            </w:r>
            <w:r>
              <w:rPr>
                <w:rFonts w:hint="eastAsia" w:ascii="Times New Roman" w:hAnsi="Times New Roman" w:eastAsia="宋体" w:cs="Times New Roman"/>
                <w:color w:val="auto"/>
                <w:sz w:val="24"/>
                <w:szCs w:val="24"/>
                <w:lang w:val="en-US" w:eastAsia="zh-CN" w:bidi="ar-SA"/>
              </w:rPr>
              <w:t>于原料库，</w:t>
            </w:r>
            <w:r>
              <w:rPr>
                <w:rFonts w:hint="default" w:ascii="Times New Roman" w:hAnsi="Times New Roman" w:eastAsia="宋体" w:cs="Times New Roman"/>
                <w:color w:val="auto"/>
                <w:sz w:val="24"/>
                <w:szCs w:val="24"/>
                <w:lang w:val="en-US" w:eastAsia="zh-CN" w:bidi="ar-SA"/>
              </w:rPr>
              <w:t>进料预处理、投料、粗破、磁选和筛分、风选、二次破碎和除铁、成品筛分、出料全部工序均在密闭生产车间内完成。</w:t>
            </w:r>
          </w:p>
          <w:p>
            <w:pPr>
              <w:pStyle w:val="34"/>
              <w:keepNext w:val="0"/>
              <w:keepLines w:val="0"/>
              <w:pageBreakBefore w:val="0"/>
              <w:widowControl w:val="0"/>
              <w:kinsoku/>
              <w:wordWrap/>
              <w:overflowPunct/>
              <w:topLinePunct w:val="0"/>
              <w:autoSpaceDE/>
              <w:autoSpaceDN/>
              <w:bidi w:val="0"/>
              <w:adjustRightInd/>
              <w:snapToGrid/>
              <w:ind w:left="0" w:firstLine="480"/>
              <w:jc w:val="both"/>
              <w:textAlignment w:val="auto"/>
              <w:outlineLvl w:val="9"/>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rPr>
              <w:t>项目生产工艺流程及排污节点图如下：</w:t>
            </w:r>
          </w:p>
          <w:p>
            <w:pPr>
              <w:pStyle w:val="34"/>
              <w:keepNext w:val="0"/>
              <w:keepLines w:val="0"/>
              <w:pageBreakBefore w:val="0"/>
              <w:widowControl w:val="0"/>
              <w:kinsoku/>
              <w:wordWrap/>
              <w:overflowPunct/>
              <w:topLinePunct w:val="0"/>
              <w:autoSpaceDE/>
              <w:autoSpaceDN/>
              <w:bidi w:val="0"/>
              <w:adjustRightInd/>
              <w:snapToGrid/>
              <w:ind w:left="0" w:firstLine="0" w:firstLineChars="0"/>
              <w:jc w:val="center"/>
              <w:textAlignment w:val="auto"/>
              <w:outlineLvl w:val="9"/>
              <w:rPr>
                <w:rFonts w:ascii="Times New Roman" w:hAnsi="Times New Roman" w:eastAsia="宋体" w:cs="Times New Roman"/>
                <w:b/>
                <w:bCs/>
                <w:color w:val="auto"/>
                <w:spacing w:val="0"/>
                <w:sz w:val="24"/>
                <w:szCs w:val="24"/>
              </w:rPr>
            </w:pPr>
            <w:r>
              <w:rPr>
                <w:rFonts w:hint="eastAsia" w:ascii="Times New Roman" w:hAnsi="Times New Roman" w:eastAsia="宋体" w:cs="Times New Roman"/>
                <w:b/>
                <w:bCs/>
                <w:color w:val="auto"/>
                <w:spacing w:val="0"/>
                <w:sz w:val="21"/>
                <w:szCs w:val="21"/>
              </w:rPr>
              <w:object>
                <v:shape id="_x0000_i1025" o:spt="75" type="#_x0000_t75" style="height:137.1pt;width:395.65pt;" o:ole="t" filled="f" o:preferrelative="t" stroked="f" coordsize="21600,21600">
                  <v:path/>
                  <v:fill on="f" focussize="0,0"/>
                  <v:stroke on="f"/>
                  <v:imagedata r:id="rId15" o:title=""/>
                  <o:lock v:ext="edit" aspectratio="f"/>
                  <w10:wrap type="none"/>
                  <w10:anchorlock/>
                </v:shape>
                <o:OLEObject Type="Embed" ProgID="Visio.Drawing.11" ShapeID="_x0000_i1025" DrawAspect="Content" ObjectID="_1468075725" r:id="rId14">
                  <o:LockedField>false</o:LockedField>
                </o:OLEObject>
              </w:object>
            </w:r>
            <w:r>
              <w:rPr>
                <w:rFonts w:hint="eastAsia" w:ascii="Times New Roman" w:hAnsi="Times New Roman" w:eastAsia="宋体" w:cs="Times New Roman"/>
                <w:b/>
                <w:bCs/>
                <w:color w:val="auto"/>
                <w:spacing w:val="0"/>
                <w:sz w:val="21"/>
                <w:szCs w:val="21"/>
              </w:rPr>
              <w:t>图2-2 项目生产工艺流程及排污节点图</w:t>
            </w:r>
          </w:p>
          <w:p>
            <w:pPr>
              <w:pStyle w:val="34"/>
              <w:keepNext w:val="0"/>
              <w:keepLines w:val="0"/>
              <w:pageBreakBefore w:val="0"/>
              <w:widowControl w:val="0"/>
              <w:kinsoku/>
              <w:wordWrap/>
              <w:overflowPunct/>
              <w:topLinePunct w:val="0"/>
              <w:autoSpaceDE/>
              <w:autoSpaceDN/>
              <w:bidi w:val="0"/>
              <w:adjustRightInd/>
              <w:snapToGrid/>
              <w:ind w:left="0" w:firstLine="480"/>
              <w:jc w:val="both"/>
              <w:outlineLvl w:val="9"/>
              <w:rPr>
                <w:rFonts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bCs/>
                <w:color w:val="auto"/>
                <w:spacing w:val="0"/>
                <w:sz w:val="24"/>
                <w:szCs w:val="24"/>
              </w:rPr>
              <w:t>工艺流程阐述如下：</w:t>
            </w:r>
          </w:p>
          <w:p>
            <w:pPr>
              <w:pStyle w:val="34"/>
              <w:keepNext w:val="0"/>
              <w:keepLines w:val="0"/>
              <w:pageBreakBefore w:val="0"/>
              <w:widowControl w:val="0"/>
              <w:kinsoku/>
              <w:wordWrap/>
              <w:overflowPunct/>
              <w:topLinePunct w:val="0"/>
              <w:autoSpaceDE/>
              <w:autoSpaceDN/>
              <w:bidi w:val="0"/>
              <w:adjustRightInd/>
              <w:snapToGrid/>
              <w:ind w:left="0" w:firstLine="482"/>
              <w:jc w:val="both"/>
              <w:outlineLvl w:val="9"/>
              <w:rPr>
                <w:rFonts w:hint="eastAsia" w:ascii="Times New Roman" w:hAnsi="Times New Roman" w:eastAsia="宋体" w:cs="Times New Roman"/>
                <w:b w:val="0"/>
                <w:bCs w:val="0"/>
                <w:color w:val="auto"/>
                <w:spacing w:val="0"/>
                <w:sz w:val="24"/>
                <w:szCs w:val="24"/>
                <w:lang w:val="en-US" w:eastAsia="zh-CN"/>
              </w:rPr>
            </w:pPr>
            <w:r>
              <w:rPr>
                <w:rFonts w:hint="eastAsia" w:ascii="Times New Roman" w:hAnsi="Times New Roman" w:eastAsia="宋体" w:cs="Times New Roman"/>
                <w:b w:val="0"/>
                <w:bCs w:val="0"/>
                <w:color w:val="auto"/>
                <w:spacing w:val="0"/>
                <w:sz w:val="24"/>
                <w:szCs w:val="24"/>
                <w:lang w:val="en-US" w:eastAsia="zh-CN"/>
              </w:rPr>
              <w:t>①进料与预处理：外部的建筑垃圾运输车进厂后，经地磅计量后，卸至原料库，通过人工预分拣控制物料粒径及分拣出其他干扰物，车辆进出通过车辆冲洗平台冲洗，且要 求建筑垃圾采用带篷布遮盖车辆运输。车辆运输过程会有运输扬尘产生，汽车运输过程会有车辆尾气产生，建筑垃圾在车间内装卸过程会有扬尘产生，通过雾炮机对其进行喷淋降尘。</w:t>
            </w:r>
          </w:p>
          <w:p>
            <w:pPr>
              <w:pStyle w:val="34"/>
              <w:keepNext w:val="0"/>
              <w:keepLines w:val="0"/>
              <w:pageBreakBefore w:val="0"/>
              <w:widowControl w:val="0"/>
              <w:kinsoku/>
              <w:wordWrap/>
              <w:overflowPunct/>
              <w:topLinePunct w:val="0"/>
              <w:autoSpaceDE/>
              <w:autoSpaceDN/>
              <w:bidi w:val="0"/>
              <w:adjustRightInd/>
              <w:snapToGrid/>
              <w:ind w:left="0" w:firstLine="482"/>
              <w:jc w:val="both"/>
              <w:outlineLvl w:val="9"/>
              <w:rPr>
                <w:rFonts w:hint="eastAsia" w:ascii="Times New Roman" w:hAnsi="Times New Roman" w:eastAsia="宋体" w:cs="Times New Roman"/>
                <w:b w:val="0"/>
                <w:bCs w:val="0"/>
                <w:color w:val="auto"/>
                <w:spacing w:val="0"/>
                <w:sz w:val="24"/>
                <w:szCs w:val="24"/>
                <w:lang w:val="en-US" w:eastAsia="zh-CN"/>
              </w:rPr>
            </w:pPr>
            <w:r>
              <w:rPr>
                <w:rFonts w:hint="eastAsia" w:ascii="Times New Roman" w:hAnsi="Times New Roman" w:eastAsia="宋体" w:cs="Times New Roman"/>
                <w:b w:val="0"/>
                <w:bCs w:val="0"/>
                <w:color w:val="auto"/>
                <w:spacing w:val="0"/>
                <w:sz w:val="24"/>
                <w:szCs w:val="24"/>
                <w:lang w:val="en-US" w:eastAsia="zh-CN"/>
              </w:rPr>
              <w:t>②投料：原料库内建筑垃圾由铲车铲运转运至生产车间振动投料机料斗内，在投料口设置喷淋抑尘装置喷淋降尘</w:t>
            </w:r>
          </w:p>
          <w:p>
            <w:pPr>
              <w:pStyle w:val="34"/>
              <w:keepNext w:val="0"/>
              <w:keepLines w:val="0"/>
              <w:pageBreakBefore w:val="0"/>
              <w:widowControl w:val="0"/>
              <w:kinsoku/>
              <w:wordWrap/>
              <w:overflowPunct/>
              <w:topLinePunct w:val="0"/>
              <w:autoSpaceDE/>
              <w:autoSpaceDN/>
              <w:bidi w:val="0"/>
              <w:adjustRightInd/>
              <w:snapToGrid/>
              <w:ind w:left="0" w:firstLine="482"/>
              <w:jc w:val="both"/>
              <w:outlineLvl w:val="9"/>
              <w:rPr>
                <w:rFonts w:hint="eastAsia" w:ascii="Times New Roman" w:hAnsi="Times New Roman" w:eastAsia="宋体" w:cs="Times New Roman"/>
                <w:b w:val="0"/>
                <w:bCs w:val="0"/>
                <w:color w:val="auto"/>
                <w:spacing w:val="0"/>
                <w:sz w:val="24"/>
                <w:szCs w:val="24"/>
                <w:lang w:val="en-US" w:eastAsia="zh-CN"/>
              </w:rPr>
            </w:pPr>
            <w:r>
              <w:rPr>
                <w:rFonts w:hint="eastAsia" w:ascii="Times New Roman" w:hAnsi="Times New Roman" w:eastAsia="宋体" w:cs="Times New Roman"/>
                <w:b w:val="0"/>
                <w:bCs w:val="0"/>
                <w:color w:val="auto"/>
                <w:spacing w:val="0"/>
                <w:sz w:val="24"/>
                <w:szCs w:val="24"/>
                <w:lang w:val="en-US" w:eastAsia="zh-CN"/>
              </w:rPr>
              <w:t>③粗破：</w:t>
            </w:r>
            <w:r>
              <w:rPr>
                <w:rFonts w:ascii="宋体" w:hAnsi="宋体" w:eastAsia="宋体" w:cs="宋体"/>
                <w:sz w:val="24"/>
                <w:szCs w:val="24"/>
              </w:rPr>
              <w:t>原料由振动投料机给料进入颚式破碎机内进行一级粗破碎。</w:t>
            </w:r>
          </w:p>
          <w:p>
            <w:pPr>
              <w:pStyle w:val="34"/>
              <w:keepNext w:val="0"/>
              <w:keepLines w:val="0"/>
              <w:pageBreakBefore w:val="0"/>
              <w:widowControl w:val="0"/>
              <w:kinsoku/>
              <w:wordWrap/>
              <w:overflowPunct/>
              <w:topLinePunct w:val="0"/>
              <w:autoSpaceDE/>
              <w:autoSpaceDN/>
              <w:bidi w:val="0"/>
              <w:adjustRightInd/>
              <w:snapToGrid/>
              <w:ind w:left="0" w:firstLine="482"/>
              <w:jc w:val="both"/>
              <w:outlineLvl w:val="9"/>
              <w:rPr>
                <w:rFonts w:hint="default" w:ascii="Times New Roman" w:hAnsi="Times New Roman" w:eastAsia="宋体" w:cs="Times New Roman"/>
                <w:b w:val="0"/>
                <w:bCs w:val="0"/>
                <w:color w:val="auto"/>
                <w:spacing w:val="0"/>
                <w:sz w:val="24"/>
                <w:szCs w:val="24"/>
                <w:lang w:val="en-US" w:eastAsia="zh-CN"/>
              </w:rPr>
            </w:pPr>
            <w:r>
              <w:rPr>
                <w:rFonts w:hint="eastAsia" w:ascii="Times New Roman" w:hAnsi="Times New Roman" w:eastAsia="宋体" w:cs="Times New Roman"/>
                <w:b w:val="0"/>
                <w:bCs w:val="0"/>
                <w:color w:val="auto"/>
                <w:spacing w:val="0"/>
                <w:sz w:val="24"/>
                <w:szCs w:val="24"/>
                <w:lang w:val="en-US" w:eastAsia="zh-CN"/>
              </w:rPr>
              <w:t>④磁选、筛分：破碎后物料通过密闭皮带输送机输送至永磁自卸式除铁器剔除物料中的磁性金属，处理后的物料进入张弛筛开展渣土筛分，筛下物为渣土、筛中物及筛上物物料。渣土通过皮带运输至渣土堆，筛上物物料先进入人工分拣模块分选出轻杂物，筛中物通过皮带前往下一工序。</w:t>
            </w:r>
          </w:p>
          <w:p>
            <w:pPr>
              <w:pStyle w:val="34"/>
              <w:keepNext w:val="0"/>
              <w:keepLines w:val="0"/>
              <w:pageBreakBefore w:val="0"/>
              <w:widowControl w:val="0"/>
              <w:kinsoku/>
              <w:wordWrap/>
              <w:overflowPunct/>
              <w:topLinePunct w:val="0"/>
              <w:autoSpaceDE/>
              <w:autoSpaceDN/>
              <w:bidi w:val="0"/>
              <w:adjustRightInd/>
              <w:snapToGrid/>
              <w:ind w:left="0" w:firstLine="482"/>
              <w:jc w:val="both"/>
              <w:outlineLvl w:val="9"/>
              <w:rPr>
                <w:rFonts w:hint="default" w:ascii="Times New Roman" w:hAnsi="Times New Roman" w:eastAsia="宋体" w:cs="Times New Roman"/>
                <w:b w:val="0"/>
                <w:bCs w:val="0"/>
                <w:color w:val="auto"/>
                <w:spacing w:val="0"/>
                <w:sz w:val="24"/>
                <w:szCs w:val="24"/>
                <w:lang w:val="en-US" w:eastAsia="zh-CN"/>
              </w:rPr>
            </w:pPr>
            <w:r>
              <w:rPr>
                <w:rFonts w:hint="eastAsia" w:ascii="Times New Roman" w:hAnsi="Times New Roman" w:eastAsia="宋体" w:cs="Times New Roman"/>
                <w:b w:val="0"/>
                <w:bCs w:val="0"/>
                <w:color w:val="auto"/>
                <w:spacing w:val="0"/>
                <w:sz w:val="24"/>
                <w:szCs w:val="24"/>
                <w:lang w:val="en-US" w:eastAsia="zh-CN"/>
              </w:rPr>
              <w:t>⑤风选：</w:t>
            </w:r>
            <w:r>
              <w:rPr>
                <w:rFonts w:hint="default" w:ascii="Times New Roman" w:hAnsi="Times New Roman" w:eastAsia="宋体" w:cs="Times New Roman"/>
                <w:b w:val="0"/>
                <w:bCs w:val="0"/>
                <w:color w:val="auto"/>
                <w:spacing w:val="0"/>
                <w:sz w:val="24"/>
                <w:szCs w:val="24"/>
                <w:lang w:val="en-US" w:eastAsia="zh-CN"/>
              </w:rPr>
              <w:t>筛中物</w:t>
            </w:r>
            <w:r>
              <w:rPr>
                <w:rFonts w:hint="eastAsia" w:ascii="Times New Roman" w:hAnsi="Times New Roman" w:eastAsia="宋体" w:cs="Times New Roman"/>
                <w:b w:val="0"/>
                <w:bCs w:val="0"/>
                <w:color w:val="auto"/>
                <w:spacing w:val="0"/>
                <w:sz w:val="24"/>
                <w:szCs w:val="24"/>
                <w:lang w:val="en-US" w:eastAsia="zh-CN"/>
              </w:rPr>
              <w:t>采用皮带输送机送至卧式</w:t>
            </w:r>
            <w:r>
              <w:rPr>
                <w:rFonts w:hint="default" w:ascii="Times New Roman" w:hAnsi="Times New Roman" w:eastAsia="宋体" w:cs="Times New Roman"/>
                <w:b w:val="0"/>
                <w:bCs w:val="0"/>
                <w:color w:val="auto"/>
                <w:spacing w:val="0"/>
                <w:sz w:val="24"/>
                <w:szCs w:val="24"/>
                <w:lang w:val="en-US" w:eastAsia="zh-CN"/>
              </w:rPr>
              <w:t>风选机</w:t>
            </w:r>
            <w:r>
              <w:rPr>
                <w:rFonts w:hint="eastAsia" w:ascii="Times New Roman" w:hAnsi="Times New Roman" w:eastAsia="宋体" w:cs="Times New Roman"/>
                <w:b w:val="0"/>
                <w:bCs w:val="0"/>
                <w:color w:val="auto"/>
                <w:spacing w:val="0"/>
                <w:sz w:val="24"/>
                <w:szCs w:val="24"/>
                <w:lang w:val="en-US" w:eastAsia="zh-CN"/>
              </w:rPr>
              <w:t>中，去除轻物质（塑料、加气块等），重物质由输送带送至下一工序，轻物质分离后收集至一般固废间。</w:t>
            </w:r>
          </w:p>
          <w:p>
            <w:pPr>
              <w:pStyle w:val="34"/>
              <w:keepNext w:val="0"/>
              <w:keepLines w:val="0"/>
              <w:pageBreakBefore w:val="0"/>
              <w:widowControl w:val="0"/>
              <w:kinsoku/>
              <w:wordWrap/>
              <w:overflowPunct/>
              <w:topLinePunct w:val="0"/>
              <w:autoSpaceDE/>
              <w:autoSpaceDN/>
              <w:bidi w:val="0"/>
              <w:adjustRightInd/>
              <w:snapToGrid/>
              <w:ind w:left="0" w:firstLine="482"/>
              <w:jc w:val="both"/>
              <w:outlineLvl w:val="9"/>
              <w:rPr>
                <w:rFonts w:hint="default" w:ascii="Times New Roman" w:hAnsi="Times New Roman" w:eastAsia="宋体" w:cs="Times New Roman"/>
                <w:b w:val="0"/>
                <w:bCs w:val="0"/>
                <w:color w:val="auto"/>
                <w:spacing w:val="0"/>
                <w:sz w:val="24"/>
                <w:szCs w:val="24"/>
                <w:lang w:val="en-US" w:eastAsia="zh-CN"/>
              </w:rPr>
            </w:pPr>
            <w:r>
              <w:rPr>
                <w:rFonts w:hint="eastAsia" w:ascii="Times New Roman" w:hAnsi="Times New Roman" w:eastAsia="宋体" w:cs="Times New Roman"/>
                <w:b w:val="0"/>
                <w:bCs w:val="0"/>
                <w:color w:val="auto"/>
                <w:spacing w:val="0"/>
                <w:sz w:val="24"/>
                <w:szCs w:val="24"/>
                <w:lang w:val="en-US" w:eastAsia="zh-CN"/>
              </w:rPr>
              <w:t>⑥二次破碎、除铁：筛中物采用密闭皮带输送机送至卧式风选机，分离塑料、木屑等轻物质；重物质输送至反击式破碎机开展二次精细破碎，破碎后的物料再次经过永磁自卸式除铁器除铁。</w:t>
            </w:r>
          </w:p>
          <w:p>
            <w:pPr>
              <w:pStyle w:val="34"/>
              <w:keepNext w:val="0"/>
              <w:keepLines w:val="0"/>
              <w:pageBreakBefore w:val="0"/>
              <w:widowControl w:val="0"/>
              <w:kinsoku/>
              <w:wordWrap/>
              <w:overflowPunct/>
              <w:topLinePunct w:val="0"/>
              <w:autoSpaceDE/>
              <w:autoSpaceDN/>
              <w:bidi w:val="0"/>
              <w:adjustRightInd/>
              <w:snapToGrid/>
              <w:ind w:left="0" w:firstLine="482"/>
              <w:jc w:val="both"/>
              <w:outlineLvl w:val="9"/>
              <w:rPr>
                <w:rFonts w:hint="eastAsia" w:ascii="Times New Roman" w:hAnsi="Times New Roman" w:eastAsia="宋体" w:cs="Times New Roman"/>
                <w:b w:val="0"/>
                <w:bCs w:val="0"/>
                <w:color w:val="auto"/>
                <w:spacing w:val="0"/>
                <w:sz w:val="24"/>
                <w:szCs w:val="24"/>
                <w:lang w:val="en-US" w:eastAsia="zh-CN"/>
              </w:rPr>
            </w:pPr>
            <w:r>
              <w:rPr>
                <w:rFonts w:hint="eastAsia" w:ascii="Times New Roman" w:hAnsi="Times New Roman" w:eastAsia="宋体" w:cs="Times New Roman"/>
                <w:b w:val="0"/>
                <w:bCs w:val="0"/>
                <w:color w:val="auto"/>
                <w:spacing w:val="0"/>
                <w:sz w:val="24"/>
                <w:szCs w:val="24"/>
                <w:lang w:val="en-US" w:eastAsia="zh-CN"/>
              </w:rPr>
              <w:t>⑦成品筛分：物料送入圆振筛（双层筛网，孔径7mm、20mm）筛分，筛分出0</w:t>
            </w:r>
            <w:r>
              <w:rPr>
                <w:rFonts w:hint="eastAsia" w:ascii="Times New Roman" w:hAnsi="Times New Roman" w:eastAsia="宋体" w:cs="Times New Roman"/>
                <w:b w:val="0"/>
                <w:bCs w:val="0"/>
                <w:color w:val="auto"/>
                <w:spacing w:val="0"/>
                <w:sz w:val="24"/>
                <w:szCs w:val="24"/>
                <w:lang w:val="en-US" w:eastAsia="zh-CN"/>
              </w:rPr>
              <w:noBreakHyphen/>
            </w:r>
            <w:r>
              <w:rPr>
                <w:rFonts w:hint="eastAsia" w:ascii="Times New Roman" w:hAnsi="Times New Roman" w:eastAsia="宋体" w:cs="Times New Roman"/>
                <w:b w:val="0"/>
                <w:bCs w:val="0"/>
                <w:color w:val="auto"/>
                <w:spacing w:val="0"/>
                <w:sz w:val="24"/>
                <w:szCs w:val="24"/>
                <w:lang w:val="en-US" w:eastAsia="zh-CN"/>
              </w:rPr>
              <w:t>5mm、5</w:t>
            </w:r>
            <w:r>
              <w:rPr>
                <w:rFonts w:hint="eastAsia" w:ascii="Times New Roman" w:hAnsi="Times New Roman" w:eastAsia="宋体" w:cs="Times New Roman"/>
                <w:b w:val="0"/>
                <w:bCs w:val="0"/>
                <w:color w:val="auto"/>
                <w:spacing w:val="0"/>
                <w:sz w:val="24"/>
                <w:szCs w:val="24"/>
                <w:lang w:val="en-US" w:eastAsia="zh-CN"/>
              </w:rPr>
              <w:noBreakHyphen/>
            </w:r>
            <w:r>
              <w:rPr>
                <w:rFonts w:hint="eastAsia" w:ascii="Times New Roman" w:hAnsi="Times New Roman" w:eastAsia="宋体" w:cs="Times New Roman"/>
                <w:b w:val="0"/>
                <w:bCs w:val="0"/>
                <w:color w:val="auto"/>
                <w:spacing w:val="0"/>
                <w:sz w:val="24"/>
                <w:szCs w:val="24"/>
                <w:lang w:val="en-US" w:eastAsia="zh-CN"/>
              </w:rPr>
              <w:t>20mm成品骨料；大于20mm骨料返回反击式破碎机闭路循环。</w:t>
            </w:r>
          </w:p>
          <w:p>
            <w:pPr>
              <w:pStyle w:val="34"/>
              <w:keepNext w:val="0"/>
              <w:keepLines w:val="0"/>
              <w:pageBreakBefore w:val="0"/>
              <w:widowControl w:val="0"/>
              <w:kinsoku/>
              <w:wordWrap/>
              <w:overflowPunct/>
              <w:topLinePunct w:val="0"/>
              <w:autoSpaceDE/>
              <w:autoSpaceDN/>
              <w:bidi w:val="0"/>
              <w:adjustRightInd/>
              <w:snapToGrid/>
              <w:ind w:left="0" w:firstLine="482"/>
              <w:jc w:val="both"/>
              <w:outlineLvl w:val="9"/>
              <w:rPr>
                <w:rFonts w:hint="default" w:ascii="Times New Roman" w:hAnsi="Times New Roman" w:eastAsia="宋体" w:cs="Times New Roman"/>
                <w:b w:val="0"/>
                <w:bCs w:val="0"/>
                <w:color w:val="auto"/>
                <w:spacing w:val="0"/>
                <w:sz w:val="24"/>
                <w:szCs w:val="24"/>
                <w:lang w:val="en-US" w:eastAsia="zh-CN"/>
              </w:rPr>
            </w:pPr>
            <w:r>
              <w:rPr>
                <w:rFonts w:hint="eastAsia" w:ascii="Times New Roman" w:hAnsi="Times New Roman" w:eastAsia="宋体" w:cs="Times New Roman"/>
                <w:b w:val="0"/>
                <w:bCs w:val="0"/>
                <w:color w:val="auto"/>
                <w:spacing w:val="0"/>
                <w:sz w:val="24"/>
                <w:szCs w:val="24"/>
                <w:lang w:val="en-US" w:eastAsia="zh-CN"/>
              </w:rPr>
              <w:t>⑧出料</w:t>
            </w:r>
          </w:p>
          <w:p>
            <w:pPr>
              <w:pStyle w:val="34"/>
              <w:keepNext w:val="0"/>
              <w:keepLines w:val="0"/>
              <w:pageBreakBefore w:val="0"/>
              <w:widowControl w:val="0"/>
              <w:kinsoku/>
              <w:wordWrap/>
              <w:overflowPunct/>
              <w:topLinePunct w:val="0"/>
              <w:autoSpaceDE/>
              <w:autoSpaceDN/>
              <w:bidi w:val="0"/>
              <w:adjustRightInd/>
              <w:snapToGrid/>
              <w:ind w:left="0" w:firstLine="482"/>
              <w:jc w:val="both"/>
              <w:outlineLvl w:val="9"/>
              <w:rPr>
                <w:rFonts w:hint="eastAsia" w:ascii="Times New Roman" w:hAnsi="Times New Roman" w:eastAsia="宋体" w:cs="Times New Roman"/>
                <w:b w:val="0"/>
                <w:bCs w:val="0"/>
                <w:color w:val="auto"/>
                <w:spacing w:val="0"/>
                <w:sz w:val="24"/>
                <w:szCs w:val="24"/>
                <w:lang w:val="en-US" w:eastAsia="zh-CN"/>
              </w:rPr>
            </w:pPr>
            <w:r>
              <w:rPr>
                <w:rFonts w:hint="eastAsia" w:ascii="Times New Roman" w:hAnsi="Times New Roman" w:eastAsia="宋体" w:cs="Times New Roman"/>
                <w:b w:val="0"/>
                <w:bCs w:val="0"/>
                <w:color w:val="auto"/>
                <w:spacing w:val="0"/>
                <w:sz w:val="24"/>
                <w:szCs w:val="24"/>
                <w:lang w:val="en-US" w:eastAsia="zh-CN"/>
              </w:rPr>
              <w:t>各破碎、筛分产尘点位废气经集气罩收集后进入布袋除尘器（配套风机）处理，经由20m高排气筒DA001排放。原料卸料、堆存在密闭原料库，卸料点位配置雾炮机开展抑尘。</w:t>
            </w:r>
          </w:p>
          <w:p>
            <w:pPr>
              <w:pStyle w:val="34"/>
              <w:keepNext w:val="0"/>
              <w:keepLines w:val="0"/>
              <w:pageBreakBefore w:val="0"/>
              <w:widowControl w:val="0"/>
              <w:kinsoku/>
              <w:wordWrap/>
              <w:overflowPunct/>
              <w:topLinePunct w:val="0"/>
              <w:autoSpaceDE/>
              <w:autoSpaceDN/>
              <w:bidi w:val="0"/>
              <w:adjustRightInd/>
              <w:snapToGrid/>
              <w:ind w:left="0" w:firstLine="482"/>
              <w:jc w:val="both"/>
              <w:outlineLvl w:val="9"/>
              <w:rPr>
                <w:rFonts w:hint="eastAsia" w:ascii="Times New Roman" w:hAnsi="Times New Roman" w:eastAsia="宋体" w:cs="Times New Roman"/>
                <w:b w:val="0"/>
                <w:bCs w:val="0"/>
                <w:color w:val="auto"/>
                <w:spacing w:val="0"/>
                <w:sz w:val="24"/>
                <w:szCs w:val="24"/>
                <w:lang w:val="en-US" w:eastAsia="zh-CN"/>
              </w:rPr>
            </w:pPr>
            <w:r>
              <w:rPr>
                <w:rFonts w:hint="eastAsia" w:ascii="Times New Roman" w:hAnsi="Times New Roman" w:eastAsia="宋体" w:cs="Times New Roman"/>
                <w:b w:val="0"/>
                <w:bCs w:val="0"/>
                <w:color w:val="auto"/>
                <w:spacing w:val="0"/>
                <w:sz w:val="24"/>
                <w:szCs w:val="24"/>
                <w:lang w:val="en-US" w:eastAsia="zh-CN"/>
              </w:rPr>
              <w:t>本项目产排污节点表见表2-6。</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宋体" w:cs="Times New Roman"/>
                <w:b/>
                <w:bCs/>
                <w:color w:val="auto"/>
                <w:spacing w:val="0"/>
                <w:sz w:val="21"/>
              </w:rPr>
            </w:pPr>
            <w:r>
              <w:rPr>
                <w:rFonts w:ascii="Times New Roman" w:hAnsi="Times New Roman" w:eastAsia="宋体" w:cs="Times New Roman"/>
                <w:b/>
                <w:bCs/>
                <w:color w:val="auto"/>
                <w:spacing w:val="0"/>
                <w:sz w:val="21"/>
              </w:rPr>
              <w:t>表2-</w:t>
            </w:r>
            <w:r>
              <w:rPr>
                <w:rFonts w:hint="eastAsia" w:ascii="Times New Roman" w:hAnsi="Times New Roman" w:eastAsia="宋体" w:cs="Times New Roman"/>
                <w:b/>
                <w:bCs/>
                <w:color w:val="auto"/>
                <w:spacing w:val="0"/>
                <w:sz w:val="21"/>
                <w:lang w:val="en-US" w:eastAsia="zh-CN"/>
              </w:rPr>
              <w:t>6</w:t>
            </w:r>
            <w:r>
              <w:rPr>
                <w:rFonts w:ascii="Times New Roman" w:hAnsi="Times New Roman" w:eastAsia="宋体" w:cs="Times New Roman"/>
                <w:b/>
                <w:bCs/>
                <w:color w:val="auto"/>
                <w:spacing w:val="0"/>
                <w:sz w:val="21"/>
              </w:rPr>
              <w:t xml:space="preserve"> </w:t>
            </w:r>
            <w:r>
              <w:rPr>
                <w:rFonts w:hint="eastAsia" w:ascii="Times New Roman" w:hAnsi="Times New Roman" w:eastAsia="宋体" w:cs="Times New Roman"/>
                <w:b/>
                <w:bCs/>
                <w:color w:val="auto"/>
                <w:spacing w:val="0"/>
                <w:sz w:val="21"/>
              </w:rPr>
              <w:t>本项目产</w:t>
            </w:r>
            <w:r>
              <w:rPr>
                <w:rFonts w:ascii="Times New Roman" w:hAnsi="Times New Roman" w:eastAsia="宋体" w:cs="Times New Roman"/>
                <w:b/>
                <w:bCs/>
                <w:color w:val="auto"/>
                <w:spacing w:val="0"/>
                <w:sz w:val="21"/>
              </w:rPr>
              <w:t>排污节点一览表</w:t>
            </w:r>
          </w:p>
          <w:tbl>
            <w:tblPr>
              <w:tblStyle w:val="55"/>
              <w:tblW w:w="5001"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
              <w:gridCol w:w="950"/>
              <w:gridCol w:w="810"/>
              <w:gridCol w:w="1245"/>
              <w:gridCol w:w="1492"/>
              <w:gridCol w:w="1798"/>
              <w:gridCol w:w="7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482"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default" w:ascii="Times New Roman" w:hAnsi="Times New Roman" w:eastAsia="宋体" w:cs="Times New Roman"/>
                      <w:color w:val="auto"/>
                      <w:spacing w:val="0"/>
                      <w:sz w:val="21"/>
                      <w:lang w:val="en-US" w:eastAsia="zh-CN"/>
                    </w:rPr>
                    <w:t>污染类型</w:t>
                  </w:r>
                </w:p>
              </w:tc>
              <w:tc>
                <w:tcPr>
                  <w:tcW w:w="61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序号</w:t>
                  </w:r>
                </w:p>
              </w:tc>
              <w:tc>
                <w:tcPr>
                  <w:tcW w:w="1319" w:type="pct"/>
                  <w:gridSpan w:val="2"/>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default" w:ascii="Times New Roman" w:hAnsi="Times New Roman" w:eastAsia="宋体" w:cs="Times New Roman"/>
                      <w:color w:val="auto"/>
                      <w:spacing w:val="0"/>
                      <w:sz w:val="21"/>
                      <w:lang w:val="en-US" w:eastAsia="zh-CN"/>
                    </w:rPr>
                    <w:t>产污工序</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default" w:ascii="Times New Roman" w:hAnsi="Times New Roman" w:eastAsia="宋体" w:cs="Times New Roman"/>
                      <w:color w:val="auto"/>
                      <w:spacing w:val="0"/>
                      <w:sz w:val="21"/>
                      <w:lang w:val="en-US" w:eastAsia="zh-CN"/>
                    </w:rPr>
                    <w:t>污染源类型</w:t>
                  </w:r>
                </w:p>
              </w:tc>
              <w:tc>
                <w:tcPr>
                  <w:tcW w:w="1154"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治理措施</w:t>
                  </w:r>
                </w:p>
              </w:tc>
              <w:tc>
                <w:tcPr>
                  <w:tcW w:w="475"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排放特征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Merge w:val="restar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default" w:ascii="Times New Roman" w:hAnsi="Times New Roman" w:eastAsia="宋体" w:cs="Times New Roman"/>
                      <w:color w:val="auto"/>
                      <w:spacing w:val="0"/>
                      <w:sz w:val="21"/>
                      <w:lang w:val="en-US" w:eastAsia="zh-CN"/>
                    </w:rPr>
                    <w:t>大气污染物</w:t>
                  </w:r>
                </w:p>
              </w:tc>
              <w:tc>
                <w:tcPr>
                  <w:tcW w:w="61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G1</w:t>
                  </w:r>
                </w:p>
              </w:tc>
              <w:tc>
                <w:tcPr>
                  <w:tcW w:w="1319" w:type="pct"/>
                  <w:gridSpan w:val="2"/>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原料暂存</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颗粒物</w:t>
                  </w:r>
                </w:p>
              </w:tc>
              <w:tc>
                <w:tcPr>
                  <w:tcW w:w="1154" w:type="pct"/>
                  <w:vMerge w:val="restar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z w:val="21"/>
                      <w:lang w:val="en-US" w:eastAsia="zh-CN"/>
                    </w:rPr>
                    <w:t>配备</w:t>
                  </w:r>
                  <w:r>
                    <w:rPr>
                      <w:rFonts w:hint="eastAsia" w:ascii="Times New Roman" w:hAnsi="Times New Roman" w:eastAsia="宋体" w:cs="Times New Roman"/>
                      <w:color w:val="auto"/>
                      <w:sz w:val="21"/>
                    </w:rPr>
                    <w:t>雾炮降尘</w:t>
                  </w:r>
                  <w:r>
                    <w:rPr>
                      <w:rFonts w:hint="eastAsia" w:ascii="Times New Roman" w:hAnsi="Times New Roman" w:eastAsia="宋体" w:cs="Times New Roman"/>
                      <w:color w:val="auto"/>
                      <w:sz w:val="21"/>
                      <w:lang w:eastAsia="zh-CN"/>
                    </w:rPr>
                    <w:t>，</w:t>
                  </w:r>
                  <w:r>
                    <w:rPr>
                      <w:rFonts w:hint="eastAsia" w:ascii="Times New Roman" w:hAnsi="Times New Roman" w:eastAsia="宋体" w:cs="Times New Roman"/>
                      <w:color w:val="auto"/>
                      <w:sz w:val="21"/>
                      <w:lang w:val="en-US" w:eastAsia="zh-CN"/>
                    </w:rPr>
                    <w:t>车间密闭</w:t>
                  </w:r>
                </w:p>
              </w:tc>
              <w:tc>
                <w:tcPr>
                  <w:tcW w:w="475"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Merge w:val="continue"/>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p>
              </w:tc>
              <w:tc>
                <w:tcPr>
                  <w:tcW w:w="61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G2</w:t>
                  </w:r>
                </w:p>
              </w:tc>
              <w:tc>
                <w:tcPr>
                  <w:tcW w:w="1319" w:type="pct"/>
                  <w:gridSpan w:val="2"/>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卸料</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颗粒物</w:t>
                  </w:r>
                </w:p>
              </w:tc>
              <w:tc>
                <w:tcPr>
                  <w:tcW w:w="1154" w:type="pct"/>
                  <w:vMerge w:val="continue"/>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p>
              </w:tc>
              <w:tc>
                <w:tcPr>
                  <w:tcW w:w="475"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Merge w:val="continue"/>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p>
              </w:tc>
              <w:tc>
                <w:tcPr>
                  <w:tcW w:w="61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G3</w:t>
                  </w:r>
                </w:p>
              </w:tc>
              <w:tc>
                <w:tcPr>
                  <w:tcW w:w="1319" w:type="pct"/>
                  <w:gridSpan w:val="2"/>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投料</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颗粒物</w:t>
                  </w:r>
                </w:p>
              </w:tc>
              <w:tc>
                <w:tcPr>
                  <w:tcW w:w="1154"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z w:val="21"/>
                    </w:rPr>
                    <w:t>水喷淋抑尘，车间密闭</w:t>
                  </w:r>
                </w:p>
              </w:tc>
              <w:tc>
                <w:tcPr>
                  <w:tcW w:w="475"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Merge w:val="continue"/>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p>
              </w:tc>
              <w:tc>
                <w:tcPr>
                  <w:tcW w:w="61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G4</w:t>
                  </w:r>
                </w:p>
              </w:tc>
              <w:tc>
                <w:tcPr>
                  <w:tcW w:w="1319" w:type="pct"/>
                  <w:gridSpan w:val="2"/>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颚式破碎</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颗粒物</w:t>
                  </w:r>
                </w:p>
              </w:tc>
              <w:tc>
                <w:tcPr>
                  <w:tcW w:w="1154" w:type="pct"/>
                  <w:vMerge w:val="restart"/>
                  <w:tcBorders>
                    <w:tl2br w:val="nil"/>
                    <w:tr2bl w:val="nil"/>
                  </w:tcBorders>
                  <w:noWrap w:val="0"/>
                  <w:vAlign w:val="center"/>
                </w:tcPr>
                <w:p>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在颚破、渣土筛分、风选、反击破、成品筛分工序适当位置设置喷雾装置。</w:t>
                  </w:r>
                </w:p>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z w:val="21"/>
                      <w:lang w:eastAsia="zh-CN"/>
                    </w:rPr>
                    <w:t>颚破废气</w:t>
                  </w:r>
                  <w:r>
                    <w:rPr>
                      <w:rFonts w:hint="eastAsia" w:ascii="Times New Roman" w:hAnsi="Times New Roman" w:eastAsia="宋体" w:cs="Times New Roman"/>
                      <w:color w:val="auto"/>
                      <w:sz w:val="21"/>
                    </w:rPr>
                    <w:t>、</w:t>
                  </w:r>
                  <w:r>
                    <w:rPr>
                      <w:rFonts w:hint="eastAsia" w:ascii="Times New Roman" w:hAnsi="Times New Roman" w:eastAsia="宋体" w:cs="Times New Roman"/>
                      <w:color w:val="auto"/>
                      <w:sz w:val="21"/>
                      <w:lang w:eastAsia="zh-CN"/>
                    </w:rPr>
                    <w:t>渣土筛分废气</w:t>
                  </w:r>
                  <w:r>
                    <w:rPr>
                      <w:rFonts w:hint="eastAsia" w:ascii="Times New Roman" w:hAnsi="Times New Roman" w:eastAsia="宋体" w:cs="Times New Roman"/>
                      <w:color w:val="auto"/>
                      <w:sz w:val="21"/>
                    </w:rPr>
                    <w:t>、</w:t>
                  </w:r>
                  <w:r>
                    <w:rPr>
                      <w:rFonts w:hint="eastAsia" w:ascii="Times New Roman" w:hAnsi="Times New Roman" w:eastAsia="宋体" w:cs="Times New Roman"/>
                      <w:color w:val="auto"/>
                      <w:sz w:val="21"/>
                      <w:lang w:eastAsia="zh-CN"/>
                    </w:rPr>
                    <w:t>风选废气</w:t>
                  </w:r>
                  <w:r>
                    <w:rPr>
                      <w:rFonts w:hint="eastAsia" w:ascii="Times New Roman" w:hAnsi="Times New Roman" w:eastAsia="宋体" w:cs="Times New Roman"/>
                      <w:color w:val="auto"/>
                      <w:sz w:val="21"/>
                    </w:rPr>
                    <w:t>、</w:t>
                  </w:r>
                  <w:r>
                    <w:rPr>
                      <w:rFonts w:hint="eastAsia" w:ascii="Times New Roman" w:hAnsi="Times New Roman" w:eastAsia="宋体" w:cs="Times New Roman"/>
                      <w:color w:val="auto"/>
                      <w:sz w:val="21"/>
                      <w:lang w:eastAsia="zh-CN"/>
                    </w:rPr>
                    <w:t>反击破废气</w:t>
                  </w:r>
                  <w:r>
                    <w:rPr>
                      <w:rFonts w:hint="eastAsia" w:ascii="Times New Roman" w:hAnsi="Times New Roman" w:eastAsia="宋体" w:cs="Times New Roman"/>
                      <w:color w:val="auto"/>
                      <w:sz w:val="21"/>
                    </w:rPr>
                    <w:t>、</w:t>
                  </w:r>
                  <w:r>
                    <w:rPr>
                      <w:rFonts w:hint="eastAsia" w:ascii="Times New Roman" w:hAnsi="Times New Roman" w:eastAsia="宋体" w:cs="Times New Roman"/>
                      <w:color w:val="auto"/>
                      <w:sz w:val="21"/>
                      <w:lang w:eastAsia="zh-CN"/>
                    </w:rPr>
                    <w:t>成品筛分废气</w:t>
                  </w:r>
                  <w:r>
                    <w:rPr>
                      <w:rFonts w:hint="eastAsia" w:ascii="Times New Roman" w:hAnsi="Times New Roman" w:eastAsia="宋体" w:cs="Times New Roman"/>
                      <w:color w:val="auto"/>
                      <w:sz w:val="21"/>
                    </w:rPr>
                    <w:t>由密闭集气罩收集经布袋除尘器处理后通过20m高排气筒（DA001）排放</w:t>
                  </w:r>
                </w:p>
              </w:tc>
              <w:tc>
                <w:tcPr>
                  <w:tcW w:w="475"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Merge w:val="continue"/>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p>
              </w:tc>
              <w:tc>
                <w:tcPr>
                  <w:tcW w:w="61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G5</w:t>
                  </w:r>
                </w:p>
              </w:tc>
              <w:tc>
                <w:tcPr>
                  <w:tcW w:w="1319" w:type="pct"/>
                  <w:gridSpan w:val="2"/>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渣土筛分</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颗粒物</w:t>
                  </w:r>
                </w:p>
              </w:tc>
              <w:tc>
                <w:tcPr>
                  <w:tcW w:w="1154" w:type="pct"/>
                  <w:vMerge w:val="continue"/>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p>
              </w:tc>
              <w:tc>
                <w:tcPr>
                  <w:tcW w:w="475"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Merge w:val="continue"/>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p>
              </w:tc>
              <w:tc>
                <w:tcPr>
                  <w:tcW w:w="61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G6</w:t>
                  </w:r>
                </w:p>
              </w:tc>
              <w:tc>
                <w:tcPr>
                  <w:tcW w:w="1319" w:type="pct"/>
                  <w:gridSpan w:val="2"/>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一次风选</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颗粒物</w:t>
                  </w:r>
                </w:p>
              </w:tc>
              <w:tc>
                <w:tcPr>
                  <w:tcW w:w="1154" w:type="pct"/>
                  <w:vMerge w:val="continue"/>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p>
              </w:tc>
              <w:tc>
                <w:tcPr>
                  <w:tcW w:w="475"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Merge w:val="continue"/>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p>
              </w:tc>
              <w:tc>
                <w:tcPr>
                  <w:tcW w:w="61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G7</w:t>
                  </w:r>
                </w:p>
              </w:tc>
              <w:tc>
                <w:tcPr>
                  <w:tcW w:w="1319" w:type="pct"/>
                  <w:gridSpan w:val="2"/>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反击破碎</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颗粒物</w:t>
                  </w:r>
                </w:p>
              </w:tc>
              <w:tc>
                <w:tcPr>
                  <w:tcW w:w="1154" w:type="pct"/>
                  <w:vMerge w:val="continue"/>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p>
              </w:tc>
              <w:tc>
                <w:tcPr>
                  <w:tcW w:w="475"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Merge w:val="continue"/>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p>
              </w:tc>
              <w:tc>
                <w:tcPr>
                  <w:tcW w:w="61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G8</w:t>
                  </w:r>
                </w:p>
              </w:tc>
              <w:tc>
                <w:tcPr>
                  <w:tcW w:w="1319" w:type="pct"/>
                  <w:gridSpan w:val="2"/>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成品筛分</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颗粒物</w:t>
                  </w:r>
                </w:p>
              </w:tc>
              <w:tc>
                <w:tcPr>
                  <w:tcW w:w="1154" w:type="pct"/>
                  <w:vMerge w:val="continue"/>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p>
              </w:tc>
              <w:tc>
                <w:tcPr>
                  <w:tcW w:w="475"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Merge w:val="continue"/>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p>
              </w:tc>
              <w:tc>
                <w:tcPr>
                  <w:tcW w:w="61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G9</w:t>
                  </w:r>
                </w:p>
              </w:tc>
              <w:tc>
                <w:tcPr>
                  <w:tcW w:w="1319" w:type="pct"/>
                  <w:gridSpan w:val="2"/>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成品出料废气</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颗粒物</w:t>
                  </w:r>
                </w:p>
              </w:tc>
              <w:tc>
                <w:tcPr>
                  <w:tcW w:w="1154"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z w:val="21"/>
                      <w:lang w:val="en-US" w:eastAsia="zh-CN"/>
                    </w:rPr>
                    <w:t>配备</w:t>
                  </w:r>
                  <w:r>
                    <w:rPr>
                      <w:rFonts w:hint="eastAsia" w:ascii="Times New Roman" w:hAnsi="Times New Roman" w:eastAsia="宋体" w:cs="Times New Roman"/>
                      <w:color w:val="auto"/>
                      <w:sz w:val="21"/>
                    </w:rPr>
                    <w:t>雾炮降尘</w:t>
                  </w:r>
                  <w:r>
                    <w:rPr>
                      <w:rFonts w:hint="eastAsia" w:ascii="Times New Roman" w:hAnsi="Times New Roman" w:eastAsia="宋体" w:cs="Times New Roman"/>
                      <w:color w:val="auto"/>
                      <w:sz w:val="21"/>
                      <w:lang w:eastAsia="zh-CN"/>
                    </w:rPr>
                    <w:t>，</w:t>
                  </w:r>
                  <w:r>
                    <w:rPr>
                      <w:rFonts w:hint="eastAsia" w:ascii="Times New Roman" w:hAnsi="Times New Roman" w:eastAsia="宋体" w:cs="Times New Roman"/>
                      <w:color w:val="auto"/>
                      <w:sz w:val="21"/>
                      <w:lang w:val="en-US" w:eastAsia="zh-CN"/>
                    </w:rPr>
                    <w:t>车间密闭</w:t>
                  </w:r>
                </w:p>
              </w:tc>
              <w:tc>
                <w:tcPr>
                  <w:tcW w:w="475" w:type="pct"/>
                  <w:tcBorders>
                    <w:tl2br w:val="nil"/>
                    <w:tr2bl w:val="nil"/>
                  </w:tcBorders>
                  <w:noWrap w:val="0"/>
                  <w:vAlign w:val="center"/>
                </w:tcPr>
                <w:p>
                  <w:pPr>
                    <w:topLinePunct/>
                    <w:spacing w:line="240" w:lineRule="auto"/>
                    <w:ind w:left="0" w:leftChars="0"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Merge w:val="continue"/>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p>
              </w:tc>
              <w:tc>
                <w:tcPr>
                  <w:tcW w:w="61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G10</w:t>
                  </w:r>
                </w:p>
              </w:tc>
              <w:tc>
                <w:tcPr>
                  <w:tcW w:w="1319" w:type="pct"/>
                  <w:gridSpan w:val="2"/>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皮带输送无组织废气</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颗粒物</w:t>
                  </w:r>
                </w:p>
              </w:tc>
              <w:tc>
                <w:tcPr>
                  <w:tcW w:w="1154"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物料通过密闭皮带输送机运输</w:t>
                  </w:r>
                </w:p>
              </w:tc>
              <w:tc>
                <w:tcPr>
                  <w:tcW w:w="475" w:type="pct"/>
                  <w:tcBorders>
                    <w:tl2br w:val="nil"/>
                    <w:tr2bl w:val="nil"/>
                  </w:tcBorders>
                  <w:noWrap w:val="0"/>
                  <w:vAlign w:val="center"/>
                </w:tcPr>
                <w:p>
                  <w:pPr>
                    <w:topLinePunct/>
                    <w:spacing w:line="240" w:lineRule="auto"/>
                    <w:ind w:left="0" w:leftChars="0"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482" w:type="pct"/>
                  <w:vMerge w:val="continue"/>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p>
              </w:tc>
              <w:tc>
                <w:tcPr>
                  <w:tcW w:w="61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G11</w:t>
                  </w:r>
                </w:p>
              </w:tc>
              <w:tc>
                <w:tcPr>
                  <w:tcW w:w="1319" w:type="pct"/>
                  <w:gridSpan w:val="2"/>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成品装车废气</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颗粒物</w:t>
                  </w:r>
                </w:p>
              </w:tc>
              <w:tc>
                <w:tcPr>
                  <w:tcW w:w="1154"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运输车辆加盖围挡帘，装车区域设置喷雾降尘</w:t>
                  </w:r>
                </w:p>
              </w:tc>
              <w:tc>
                <w:tcPr>
                  <w:tcW w:w="475" w:type="pct"/>
                  <w:tcBorders>
                    <w:tl2br w:val="nil"/>
                    <w:tr2bl w:val="nil"/>
                  </w:tcBorders>
                  <w:noWrap w:val="0"/>
                  <w:vAlign w:val="center"/>
                </w:tcPr>
                <w:p>
                  <w:pPr>
                    <w:topLinePunct/>
                    <w:spacing w:line="240" w:lineRule="auto"/>
                    <w:ind w:left="0" w:leftChars="0"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482" w:type="pct"/>
                  <w:vMerge w:val="continue"/>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p>
              </w:tc>
              <w:tc>
                <w:tcPr>
                  <w:tcW w:w="61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G12</w:t>
                  </w:r>
                </w:p>
              </w:tc>
              <w:tc>
                <w:tcPr>
                  <w:tcW w:w="1319" w:type="pct"/>
                  <w:gridSpan w:val="2"/>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车辆运输</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颗粒物</w:t>
                  </w:r>
                </w:p>
              </w:tc>
              <w:tc>
                <w:tcPr>
                  <w:tcW w:w="1154"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项目进出口设置洗车平台，路面定期清扫洒水</w:t>
                  </w:r>
                </w:p>
              </w:tc>
              <w:tc>
                <w:tcPr>
                  <w:tcW w:w="475"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482" w:type="pct"/>
                  <w:vMerge w:val="continue"/>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p>
              </w:tc>
              <w:tc>
                <w:tcPr>
                  <w:tcW w:w="61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G13</w:t>
                  </w:r>
                </w:p>
              </w:tc>
              <w:tc>
                <w:tcPr>
                  <w:tcW w:w="1319" w:type="pct"/>
                  <w:gridSpan w:val="2"/>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default" w:ascii="Times New Roman" w:hAnsi="Times New Roman" w:eastAsia="宋体" w:cs="Times New Roman"/>
                      <w:color w:val="auto"/>
                      <w:spacing w:val="0"/>
                      <w:sz w:val="21"/>
                      <w:lang w:val="en-US" w:eastAsia="zh-CN"/>
                    </w:rPr>
                    <w:t>皮带转载无组织粉尘</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颗粒物</w:t>
                  </w:r>
                </w:p>
              </w:tc>
              <w:tc>
                <w:tcPr>
                  <w:tcW w:w="1154"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喷淋抑尘</w:t>
                  </w:r>
                </w:p>
              </w:tc>
              <w:tc>
                <w:tcPr>
                  <w:tcW w:w="475"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Merge w:val="continue"/>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p>
              </w:tc>
              <w:tc>
                <w:tcPr>
                  <w:tcW w:w="61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G14</w:t>
                  </w:r>
                </w:p>
              </w:tc>
              <w:tc>
                <w:tcPr>
                  <w:tcW w:w="1319" w:type="pct"/>
                  <w:gridSpan w:val="2"/>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危废贮存点废气</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非甲烷总烃</w:t>
                  </w:r>
                </w:p>
              </w:tc>
              <w:tc>
                <w:tcPr>
                  <w:tcW w:w="1154"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z w:val="21"/>
                      <w:lang w:val="en-US" w:eastAsia="zh-CN"/>
                    </w:rPr>
                  </w:pPr>
                  <w:r>
                    <w:rPr>
                      <w:rFonts w:hint="eastAsia" w:ascii="Times New Roman" w:hAnsi="Times New Roman" w:eastAsia="宋体" w:cs="Times New Roman"/>
                      <w:color w:val="auto"/>
                      <w:spacing w:val="0"/>
                      <w:sz w:val="21"/>
                      <w:lang w:val="en-US" w:eastAsia="zh-CN"/>
                    </w:rPr>
                    <w:t>危废贮存点</w:t>
                  </w:r>
                  <w:r>
                    <w:rPr>
                      <w:rFonts w:hint="eastAsia" w:ascii="Times New Roman" w:hAnsi="Times New Roman" w:eastAsia="宋体" w:cs="Times New Roman"/>
                      <w:color w:val="auto"/>
                      <w:sz w:val="21"/>
                      <w:lang w:val="en-US" w:eastAsia="zh-CN"/>
                    </w:rPr>
                    <w:t>密闭</w:t>
                  </w:r>
                </w:p>
              </w:tc>
              <w:tc>
                <w:tcPr>
                  <w:tcW w:w="475"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Merge w:val="restar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default" w:ascii="Times New Roman" w:hAnsi="Times New Roman" w:eastAsia="宋体" w:cs="Times New Roman"/>
                      <w:color w:val="auto"/>
                      <w:spacing w:val="0"/>
                      <w:sz w:val="21"/>
                      <w:lang w:val="en-US" w:eastAsia="zh-CN"/>
                    </w:rPr>
                    <w:t>水污染物</w:t>
                  </w:r>
                </w:p>
              </w:tc>
              <w:tc>
                <w:tcPr>
                  <w:tcW w:w="61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W1</w:t>
                  </w:r>
                </w:p>
              </w:tc>
              <w:tc>
                <w:tcPr>
                  <w:tcW w:w="1319" w:type="pct"/>
                  <w:gridSpan w:val="2"/>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生活污水</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COD、BOD</w:t>
                  </w:r>
                  <w:r>
                    <w:rPr>
                      <w:rFonts w:hint="eastAsia" w:ascii="Times New Roman" w:hAnsi="Times New Roman" w:eastAsia="宋体" w:cs="Times New Roman"/>
                      <w:color w:val="auto"/>
                      <w:spacing w:val="0"/>
                      <w:sz w:val="21"/>
                      <w:vertAlign w:val="subscript"/>
                      <w:lang w:val="en-US" w:eastAsia="zh-CN"/>
                    </w:rPr>
                    <w:t>5</w:t>
                  </w:r>
                  <w:r>
                    <w:rPr>
                      <w:rFonts w:hint="eastAsia" w:ascii="Times New Roman" w:hAnsi="Times New Roman" w:eastAsia="宋体" w:cs="Times New Roman"/>
                      <w:color w:val="auto"/>
                      <w:spacing w:val="0"/>
                      <w:sz w:val="21"/>
                      <w:lang w:val="en-US" w:eastAsia="zh-CN"/>
                    </w:rPr>
                    <w:t>、SS、NH</w:t>
                  </w:r>
                  <w:r>
                    <w:rPr>
                      <w:rFonts w:hint="eastAsia" w:ascii="Times New Roman" w:hAnsi="Times New Roman" w:eastAsia="宋体" w:cs="Times New Roman"/>
                      <w:color w:val="auto"/>
                      <w:spacing w:val="0"/>
                      <w:sz w:val="21"/>
                      <w:vertAlign w:val="subscript"/>
                      <w:lang w:val="en-US" w:eastAsia="zh-CN"/>
                    </w:rPr>
                    <w:t>3</w:t>
                  </w:r>
                  <w:r>
                    <w:rPr>
                      <w:rFonts w:hint="eastAsia" w:ascii="Times New Roman" w:hAnsi="Times New Roman" w:eastAsia="宋体" w:cs="Times New Roman"/>
                      <w:color w:val="auto"/>
                      <w:spacing w:val="0"/>
                      <w:sz w:val="21"/>
                      <w:lang w:val="en-US" w:eastAsia="zh-CN"/>
                    </w:rPr>
                    <w:t>-N</w:t>
                  </w:r>
                </w:p>
              </w:tc>
              <w:tc>
                <w:tcPr>
                  <w:tcW w:w="1154"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rPr>
                    <w:t>生活污水经防渗化粪池处理后拉运至博湖县污水处理厂进一步处理</w:t>
                  </w:r>
                </w:p>
              </w:tc>
              <w:tc>
                <w:tcPr>
                  <w:tcW w:w="475"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Merge w:val="continue"/>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p>
              </w:tc>
              <w:tc>
                <w:tcPr>
                  <w:tcW w:w="61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W2</w:t>
                  </w:r>
                </w:p>
              </w:tc>
              <w:tc>
                <w:tcPr>
                  <w:tcW w:w="1319" w:type="pct"/>
                  <w:gridSpan w:val="2"/>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车辆冲洗废水</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SS</w:t>
                  </w:r>
                </w:p>
              </w:tc>
              <w:tc>
                <w:tcPr>
                  <w:tcW w:w="1154"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rPr>
                    <w:t>车辆冲洗废水经沉淀池处理后回用于运输车辆冲洗，不外排</w:t>
                  </w:r>
                </w:p>
              </w:tc>
              <w:tc>
                <w:tcPr>
                  <w:tcW w:w="475"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default" w:ascii="Times New Roman" w:hAnsi="Times New Roman" w:eastAsia="宋体" w:cs="Times New Roman"/>
                      <w:color w:val="auto"/>
                      <w:spacing w:val="0"/>
                      <w:sz w:val="21"/>
                      <w:lang w:val="en-US" w:eastAsia="zh-CN"/>
                    </w:rPr>
                    <w:t>噪声</w:t>
                  </w:r>
                </w:p>
              </w:tc>
              <w:tc>
                <w:tcPr>
                  <w:tcW w:w="61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N</w:t>
                  </w:r>
                </w:p>
              </w:tc>
              <w:tc>
                <w:tcPr>
                  <w:tcW w:w="1319" w:type="pct"/>
                  <w:gridSpan w:val="2"/>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设备运行噪声</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default" w:ascii="Times New Roman" w:hAnsi="Times New Roman" w:eastAsia="宋体" w:cs="Times New Roman"/>
                      <w:color w:val="auto"/>
                      <w:spacing w:val="0"/>
                      <w:sz w:val="21"/>
                      <w:lang w:val="en-US" w:eastAsia="zh-CN"/>
                    </w:rPr>
                    <w:t>设备噪声</w:t>
                  </w:r>
                </w:p>
              </w:tc>
              <w:tc>
                <w:tcPr>
                  <w:tcW w:w="1154"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rPr>
                    <w:t>选用低噪声设备、基础减振、厂房隔声等降噪措施</w:t>
                  </w:r>
                </w:p>
              </w:tc>
              <w:tc>
                <w:tcPr>
                  <w:tcW w:w="475"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Merge w:val="restar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default" w:ascii="Times New Roman" w:hAnsi="Times New Roman" w:eastAsia="宋体" w:cs="Times New Roman"/>
                      <w:color w:val="auto"/>
                      <w:spacing w:val="0"/>
                      <w:sz w:val="21"/>
                      <w:lang w:val="en-US" w:eastAsia="zh-CN"/>
                    </w:rPr>
                    <w:t>固体废物</w:t>
                  </w:r>
                </w:p>
              </w:tc>
              <w:tc>
                <w:tcPr>
                  <w:tcW w:w="61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S1</w:t>
                  </w:r>
                </w:p>
              </w:tc>
              <w:tc>
                <w:tcPr>
                  <w:tcW w:w="520" w:type="pct"/>
                  <w:vMerge w:val="restar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一般工业固体废物</w:t>
                  </w:r>
                </w:p>
              </w:tc>
              <w:tc>
                <w:tcPr>
                  <w:tcW w:w="799"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除铁</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废金属</w:t>
                  </w:r>
                </w:p>
              </w:tc>
              <w:tc>
                <w:tcPr>
                  <w:tcW w:w="1154" w:type="pct"/>
                  <w:vMerge w:val="restar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收集后定期外售综合利用</w:t>
                  </w:r>
                </w:p>
              </w:tc>
              <w:tc>
                <w:tcPr>
                  <w:tcW w:w="475"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Merge w:val="continue"/>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p>
              </w:tc>
              <w:tc>
                <w:tcPr>
                  <w:tcW w:w="61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S2</w:t>
                  </w:r>
                </w:p>
              </w:tc>
              <w:tc>
                <w:tcPr>
                  <w:tcW w:w="520" w:type="pct"/>
                  <w:vMerge w:val="continue"/>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p>
              </w:tc>
              <w:tc>
                <w:tcPr>
                  <w:tcW w:w="799"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风选、人工分拣</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轻物质</w:t>
                  </w:r>
                </w:p>
              </w:tc>
              <w:tc>
                <w:tcPr>
                  <w:tcW w:w="1154" w:type="pct"/>
                  <w:vMerge w:val="continue"/>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p>
              </w:tc>
              <w:tc>
                <w:tcPr>
                  <w:tcW w:w="475"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Merge w:val="continue"/>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p>
              </w:tc>
              <w:tc>
                <w:tcPr>
                  <w:tcW w:w="61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S3</w:t>
                  </w:r>
                </w:p>
              </w:tc>
              <w:tc>
                <w:tcPr>
                  <w:tcW w:w="520" w:type="pct"/>
                  <w:vMerge w:val="continue"/>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p>
              </w:tc>
              <w:tc>
                <w:tcPr>
                  <w:tcW w:w="799"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渣土筛分</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渣土</w:t>
                  </w:r>
                </w:p>
              </w:tc>
              <w:tc>
                <w:tcPr>
                  <w:tcW w:w="1154"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收集后定期外售综合利用</w:t>
                  </w:r>
                </w:p>
              </w:tc>
              <w:tc>
                <w:tcPr>
                  <w:tcW w:w="475"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Merge w:val="continue"/>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p>
              </w:tc>
              <w:tc>
                <w:tcPr>
                  <w:tcW w:w="610" w:type="pct"/>
                  <w:tcBorders>
                    <w:tl2br w:val="nil"/>
                    <w:tr2bl w:val="nil"/>
                  </w:tcBorders>
                  <w:shd w:val="clear" w:color="auto" w:fill="auto"/>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S4</w:t>
                  </w:r>
                </w:p>
              </w:tc>
              <w:tc>
                <w:tcPr>
                  <w:tcW w:w="520" w:type="pct"/>
                  <w:vMerge w:val="continue"/>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p>
              </w:tc>
              <w:tc>
                <w:tcPr>
                  <w:tcW w:w="799" w:type="pct"/>
                  <w:vMerge w:val="restart"/>
                  <w:tcBorders>
                    <w:tl2br w:val="nil"/>
                    <w:tr2bl w:val="nil"/>
                  </w:tcBorders>
                  <w:shd w:val="clear" w:color="auto" w:fill="auto"/>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废气处理</w:t>
                  </w:r>
                </w:p>
              </w:tc>
              <w:tc>
                <w:tcPr>
                  <w:tcW w:w="958" w:type="pct"/>
                  <w:tcBorders>
                    <w:tl2br w:val="nil"/>
                    <w:tr2bl w:val="nil"/>
                  </w:tcBorders>
                  <w:shd w:val="clear" w:color="auto" w:fill="auto"/>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废布袋</w:t>
                  </w:r>
                </w:p>
              </w:tc>
              <w:tc>
                <w:tcPr>
                  <w:tcW w:w="1154" w:type="pct"/>
                  <w:tcBorders>
                    <w:tl2br w:val="nil"/>
                    <w:tr2bl w:val="nil"/>
                  </w:tcBorders>
                  <w:shd w:val="clear" w:color="auto" w:fill="auto"/>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不在厂区贮存，由厂家回收带走</w:t>
                  </w:r>
                </w:p>
              </w:tc>
              <w:tc>
                <w:tcPr>
                  <w:tcW w:w="475" w:type="pct"/>
                  <w:tcBorders>
                    <w:tl2br w:val="nil"/>
                    <w:tr2bl w:val="nil"/>
                  </w:tcBorders>
                  <w:shd w:val="clear" w:color="auto" w:fill="auto"/>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Merge w:val="continue"/>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p>
              </w:tc>
              <w:tc>
                <w:tcPr>
                  <w:tcW w:w="610" w:type="pct"/>
                  <w:tcBorders>
                    <w:tl2br w:val="nil"/>
                    <w:tr2bl w:val="nil"/>
                  </w:tcBorders>
                  <w:shd w:val="clear" w:color="auto" w:fill="auto"/>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S5</w:t>
                  </w:r>
                </w:p>
              </w:tc>
              <w:tc>
                <w:tcPr>
                  <w:tcW w:w="520" w:type="pct"/>
                  <w:vMerge w:val="continue"/>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p>
              </w:tc>
              <w:tc>
                <w:tcPr>
                  <w:tcW w:w="799" w:type="pct"/>
                  <w:vMerge w:val="continue"/>
                  <w:tcBorders>
                    <w:tl2br w:val="nil"/>
                    <w:tr2bl w:val="nil"/>
                  </w:tcBorders>
                  <w:shd w:val="clear" w:color="auto" w:fill="auto"/>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p>
              </w:tc>
              <w:tc>
                <w:tcPr>
                  <w:tcW w:w="958" w:type="pct"/>
                  <w:tcBorders>
                    <w:tl2br w:val="nil"/>
                    <w:tr2bl w:val="nil"/>
                  </w:tcBorders>
                  <w:shd w:val="clear" w:color="auto" w:fill="auto"/>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布袋除尘器收集粉尘</w:t>
                  </w:r>
                </w:p>
              </w:tc>
              <w:tc>
                <w:tcPr>
                  <w:tcW w:w="1154" w:type="pct"/>
                  <w:tcBorders>
                    <w:tl2br w:val="nil"/>
                    <w:tr2bl w:val="nil"/>
                  </w:tcBorders>
                  <w:shd w:val="clear" w:color="auto" w:fill="auto"/>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收集后混入产品中定期外售综合利用</w:t>
                  </w:r>
                </w:p>
              </w:tc>
              <w:tc>
                <w:tcPr>
                  <w:tcW w:w="475" w:type="pct"/>
                  <w:tcBorders>
                    <w:tl2br w:val="nil"/>
                    <w:tr2bl w:val="nil"/>
                  </w:tcBorders>
                  <w:shd w:val="clear" w:color="auto" w:fill="auto"/>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Merge w:val="continue"/>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p>
              </w:tc>
              <w:tc>
                <w:tcPr>
                  <w:tcW w:w="610" w:type="pct"/>
                  <w:tcBorders>
                    <w:tl2br w:val="nil"/>
                    <w:tr2bl w:val="nil"/>
                  </w:tcBorders>
                  <w:shd w:val="clear" w:color="auto" w:fill="auto"/>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S6</w:t>
                  </w:r>
                </w:p>
              </w:tc>
              <w:tc>
                <w:tcPr>
                  <w:tcW w:w="520" w:type="pct"/>
                  <w:vMerge w:val="continue"/>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p>
              </w:tc>
              <w:tc>
                <w:tcPr>
                  <w:tcW w:w="799"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废水处理</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沉淀池沉淀渣</w:t>
                  </w:r>
                </w:p>
              </w:tc>
              <w:tc>
                <w:tcPr>
                  <w:tcW w:w="1154"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定期清掏外运综合利用</w:t>
                  </w:r>
                </w:p>
              </w:tc>
              <w:tc>
                <w:tcPr>
                  <w:tcW w:w="475"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Merge w:val="continue"/>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p>
              </w:tc>
              <w:tc>
                <w:tcPr>
                  <w:tcW w:w="610" w:type="pct"/>
                  <w:tcBorders>
                    <w:tl2br w:val="nil"/>
                    <w:tr2bl w:val="nil"/>
                  </w:tcBorders>
                  <w:shd w:val="clear" w:color="auto" w:fill="auto"/>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S7</w:t>
                  </w:r>
                </w:p>
              </w:tc>
              <w:tc>
                <w:tcPr>
                  <w:tcW w:w="52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危险废物</w:t>
                  </w:r>
                </w:p>
              </w:tc>
              <w:tc>
                <w:tcPr>
                  <w:tcW w:w="799"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设备维护</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废机油、废机油桶等</w:t>
                  </w:r>
                </w:p>
              </w:tc>
              <w:tc>
                <w:tcPr>
                  <w:tcW w:w="1154"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暂存于危废贮存点内，定期交有危废处理资质的单位处置</w:t>
                  </w:r>
                </w:p>
              </w:tc>
              <w:tc>
                <w:tcPr>
                  <w:tcW w:w="475"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z w:val="21"/>
                      <w:lang w:val="en-US" w:eastAsia="zh-CN"/>
                    </w:rPr>
                    <w:t>间断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Merge w:val="continue"/>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p>
              </w:tc>
              <w:tc>
                <w:tcPr>
                  <w:tcW w:w="61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S8</w:t>
                  </w:r>
                </w:p>
              </w:tc>
              <w:tc>
                <w:tcPr>
                  <w:tcW w:w="520"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生活垃圾</w:t>
                  </w:r>
                </w:p>
              </w:tc>
              <w:tc>
                <w:tcPr>
                  <w:tcW w:w="799"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员工生活</w:t>
                  </w:r>
                </w:p>
              </w:tc>
              <w:tc>
                <w:tcPr>
                  <w:tcW w:w="958" w:type="pct"/>
                  <w:tcBorders>
                    <w:tl2br w:val="nil"/>
                    <w:tr2bl w:val="nil"/>
                  </w:tcBorders>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生活垃圾</w:t>
                  </w:r>
                </w:p>
              </w:tc>
              <w:tc>
                <w:tcPr>
                  <w:tcW w:w="1154"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收集后依托博湖县市政环卫部门定期清运处置</w:t>
                  </w:r>
                </w:p>
              </w:tc>
              <w:tc>
                <w:tcPr>
                  <w:tcW w:w="475" w:type="pct"/>
                  <w:tcBorders>
                    <w:tl2br w:val="nil"/>
                    <w:tr2bl w:val="nil"/>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z w:val="21"/>
                      <w:lang w:val="en-US" w:eastAsia="zh-CN"/>
                    </w:rPr>
                    <w:t>间断</w:t>
                  </w:r>
                </w:p>
              </w:tc>
            </w:tr>
          </w:tbl>
          <w:p>
            <w:pPr>
              <w:pStyle w:val="50"/>
              <w:adjustRightInd/>
              <w:snapToGrid/>
              <w:spacing w:before="0" w:beforeAutospacing="0" w:after="0" w:afterAutospacing="0" w:line="240" w:lineRule="auto"/>
              <w:ind w:firstLine="0" w:firstLineChars="0"/>
              <w:jc w:val="both"/>
              <w:outlineLvl w:val="0"/>
              <w:rPr>
                <w:rFonts w:ascii="Times New Roman" w:hAnsi="Times New Roman"/>
                <w:bCs/>
                <w:snapToGrid w:val="0"/>
                <w:color w:val="auto"/>
                <w:spacing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74" w:hRule="atLeast"/>
          <w:jc w:val="center"/>
        </w:trPr>
        <w:tc>
          <w:tcPr>
            <w:tcW w:w="302" w:type="pct"/>
            <w:vAlign w:val="center"/>
          </w:tcPr>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hint="eastAsia" w:ascii="Times New Roman" w:hAnsi="Times New Roman" w:eastAsia="宋体" w:cs="Times New Roman"/>
                <w:bCs/>
                <w:snapToGrid w:val="0"/>
                <w:color w:val="auto"/>
                <w:spacing w:val="0"/>
              </w:rPr>
              <w:t>与项目有关的原有环境污染问题</w:t>
            </w:r>
          </w:p>
        </w:tc>
        <w:tc>
          <w:tcPr>
            <w:tcW w:w="4697" w:type="pct"/>
          </w:tcPr>
          <w:p>
            <w:pPr>
              <w:pStyle w:val="50"/>
              <w:adjustRightInd/>
              <w:snapToGrid/>
              <w:spacing w:before="0" w:beforeAutospacing="0" w:after="0" w:afterAutospacing="0"/>
              <w:ind w:firstLine="480"/>
              <w:jc w:val="both"/>
              <w:rPr>
                <w:rFonts w:hint="eastAsia" w:ascii="Times New Roman" w:hAnsi="Times New Roman" w:eastAsia="宋体"/>
                <w:color w:val="auto"/>
                <w:spacing w:val="0"/>
                <w:lang w:val="en-US" w:eastAsia="zh-CN"/>
              </w:rPr>
            </w:pPr>
            <w:r>
              <w:rPr>
                <w:rFonts w:hint="eastAsia" w:ascii="Times New Roman" w:hAnsi="Times New Roman" w:eastAsia="宋体"/>
                <w:color w:val="auto"/>
                <w:spacing w:val="0"/>
                <w:lang w:val="en-US" w:eastAsia="zh-CN"/>
              </w:rPr>
              <w:t>本项目为新建项目，不涉及与项目有关的原有环境污染问题。</w:t>
            </w:r>
          </w:p>
          <w:p>
            <w:pPr>
              <w:pStyle w:val="50"/>
              <w:adjustRightInd/>
              <w:snapToGrid/>
              <w:spacing w:before="0" w:beforeAutospacing="0" w:after="0" w:afterAutospacing="0"/>
              <w:ind w:firstLine="480"/>
              <w:jc w:val="both"/>
              <w:rPr>
                <w:rFonts w:hint="eastAsia" w:ascii="Times New Roman" w:hAnsi="Times New Roman" w:eastAsia="宋体"/>
                <w:color w:val="auto"/>
                <w:spacing w:val="0"/>
                <w:lang w:val="en-US" w:eastAsia="zh-CN"/>
              </w:rPr>
            </w:pPr>
          </w:p>
          <w:p>
            <w:pPr>
              <w:pStyle w:val="50"/>
              <w:adjustRightInd/>
              <w:snapToGrid/>
              <w:spacing w:before="0" w:beforeAutospacing="0" w:after="0" w:afterAutospacing="0"/>
              <w:ind w:firstLine="480"/>
              <w:jc w:val="both"/>
              <w:rPr>
                <w:rFonts w:hint="eastAsia" w:ascii="Times New Roman" w:hAnsi="Times New Roman" w:eastAsia="宋体"/>
                <w:color w:val="auto"/>
                <w:spacing w:val="0"/>
                <w:lang w:val="en-US" w:eastAsia="zh-CN"/>
              </w:rPr>
            </w:pPr>
          </w:p>
          <w:p>
            <w:pPr>
              <w:pStyle w:val="50"/>
              <w:adjustRightInd/>
              <w:snapToGrid/>
              <w:spacing w:before="0" w:beforeAutospacing="0" w:after="0" w:afterAutospacing="0"/>
              <w:ind w:firstLine="480"/>
              <w:jc w:val="both"/>
              <w:rPr>
                <w:rFonts w:hint="eastAsia" w:ascii="Times New Roman" w:hAnsi="Times New Roman" w:eastAsia="宋体"/>
                <w:color w:val="auto"/>
                <w:spacing w:val="0"/>
                <w:lang w:val="en-US" w:eastAsia="zh-CN"/>
              </w:rPr>
            </w:pPr>
          </w:p>
          <w:p>
            <w:pPr>
              <w:pStyle w:val="50"/>
              <w:adjustRightInd/>
              <w:snapToGrid/>
              <w:spacing w:before="0" w:beforeAutospacing="0" w:after="0" w:afterAutospacing="0"/>
              <w:ind w:firstLine="480"/>
              <w:jc w:val="both"/>
              <w:rPr>
                <w:rFonts w:hint="eastAsia" w:ascii="Times New Roman" w:hAnsi="Times New Roman" w:eastAsia="宋体"/>
                <w:color w:val="auto"/>
                <w:spacing w:val="0"/>
                <w:lang w:val="en-US" w:eastAsia="zh-CN"/>
              </w:rPr>
            </w:pPr>
          </w:p>
          <w:p>
            <w:pPr>
              <w:pStyle w:val="50"/>
              <w:adjustRightInd/>
              <w:snapToGrid/>
              <w:spacing w:before="0" w:beforeAutospacing="0" w:after="0" w:afterAutospacing="0"/>
              <w:ind w:firstLine="480"/>
              <w:jc w:val="both"/>
              <w:rPr>
                <w:rFonts w:hint="eastAsia" w:ascii="Times New Roman" w:hAnsi="Times New Roman" w:eastAsia="宋体"/>
                <w:color w:val="auto"/>
                <w:spacing w:val="0"/>
                <w:lang w:val="en-US" w:eastAsia="zh-CN"/>
              </w:rPr>
            </w:pPr>
          </w:p>
          <w:p>
            <w:pPr>
              <w:pStyle w:val="50"/>
              <w:adjustRightInd/>
              <w:snapToGrid/>
              <w:spacing w:before="0" w:beforeAutospacing="0" w:after="0" w:afterAutospacing="0"/>
              <w:ind w:firstLine="480"/>
              <w:jc w:val="both"/>
              <w:rPr>
                <w:rFonts w:hint="eastAsia" w:ascii="Times New Roman" w:hAnsi="Times New Roman" w:eastAsia="宋体"/>
                <w:color w:val="auto"/>
                <w:spacing w:val="0"/>
                <w:lang w:val="en-US" w:eastAsia="zh-CN"/>
              </w:rPr>
            </w:pPr>
          </w:p>
          <w:p>
            <w:pPr>
              <w:pStyle w:val="50"/>
              <w:adjustRightInd/>
              <w:snapToGrid/>
              <w:spacing w:before="0" w:beforeAutospacing="0" w:after="0" w:afterAutospacing="0"/>
              <w:ind w:firstLine="480"/>
              <w:jc w:val="both"/>
              <w:rPr>
                <w:rFonts w:hint="eastAsia" w:ascii="Times New Roman" w:hAnsi="Times New Roman" w:eastAsia="宋体"/>
                <w:color w:val="auto"/>
                <w:spacing w:val="0"/>
                <w:lang w:val="en-US" w:eastAsia="zh-CN"/>
              </w:rPr>
            </w:pPr>
          </w:p>
          <w:p>
            <w:pPr>
              <w:pStyle w:val="50"/>
              <w:adjustRightInd/>
              <w:snapToGrid/>
              <w:spacing w:before="0" w:beforeAutospacing="0" w:after="0" w:afterAutospacing="0"/>
              <w:ind w:firstLine="480"/>
              <w:jc w:val="both"/>
              <w:rPr>
                <w:rFonts w:hint="eastAsia" w:ascii="Times New Roman" w:hAnsi="Times New Roman" w:eastAsia="宋体"/>
                <w:color w:val="auto"/>
                <w:spacing w:val="0"/>
                <w:lang w:val="en-US" w:eastAsia="zh-CN"/>
              </w:rPr>
            </w:pPr>
          </w:p>
          <w:p>
            <w:pPr>
              <w:pStyle w:val="50"/>
              <w:adjustRightInd/>
              <w:snapToGrid/>
              <w:spacing w:before="0" w:beforeAutospacing="0" w:after="0" w:afterAutospacing="0"/>
              <w:ind w:firstLine="480"/>
              <w:jc w:val="both"/>
              <w:rPr>
                <w:rFonts w:hint="eastAsia" w:ascii="Times New Roman" w:hAnsi="Times New Roman" w:eastAsia="宋体"/>
                <w:color w:val="auto"/>
                <w:spacing w:val="0"/>
                <w:lang w:val="en-US" w:eastAsia="zh-CN"/>
              </w:rPr>
            </w:pPr>
          </w:p>
          <w:p>
            <w:pPr>
              <w:pStyle w:val="50"/>
              <w:adjustRightInd/>
              <w:snapToGrid/>
              <w:spacing w:before="0" w:beforeAutospacing="0" w:after="0" w:afterAutospacing="0"/>
              <w:ind w:firstLine="480"/>
              <w:jc w:val="both"/>
              <w:rPr>
                <w:rFonts w:hint="eastAsia" w:ascii="Times New Roman" w:hAnsi="Times New Roman" w:eastAsia="宋体"/>
                <w:color w:val="auto"/>
                <w:spacing w:val="0"/>
                <w:lang w:val="en-US" w:eastAsia="zh-CN"/>
              </w:rPr>
            </w:pPr>
          </w:p>
          <w:p>
            <w:pPr>
              <w:pStyle w:val="50"/>
              <w:adjustRightInd/>
              <w:snapToGrid/>
              <w:spacing w:before="0" w:beforeAutospacing="0" w:after="0" w:afterAutospacing="0"/>
              <w:ind w:firstLine="480"/>
              <w:jc w:val="both"/>
              <w:rPr>
                <w:rFonts w:hint="eastAsia" w:ascii="Times New Roman" w:hAnsi="Times New Roman" w:eastAsia="宋体"/>
                <w:color w:val="auto"/>
                <w:spacing w:val="0"/>
                <w:lang w:val="en-US" w:eastAsia="zh-CN"/>
              </w:rPr>
            </w:pPr>
          </w:p>
          <w:p>
            <w:pPr>
              <w:pStyle w:val="50"/>
              <w:adjustRightInd/>
              <w:snapToGrid/>
              <w:spacing w:before="0" w:beforeAutospacing="0" w:after="0" w:afterAutospacing="0"/>
              <w:ind w:firstLine="480"/>
              <w:jc w:val="both"/>
              <w:rPr>
                <w:rFonts w:hint="eastAsia" w:ascii="Times New Roman" w:hAnsi="Times New Roman" w:eastAsia="宋体"/>
                <w:color w:val="auto"/>
                <w:spacing w:val="0"/>
                <w:lang w:val="en-US" w:eastAsia="zh-CN"/>
              </w:rPr>
            </w:pPr>
          </w:p>
          <w:p>
            <w:pPr>
              <w:pStyle w:val="50"/>
              <w:adjustRightInd/>
              <w:snapToGrid/>
              <w:spacing w:before="0" w:beforeAutospacing="0" w:after="0" w:afterAutospacing="0"/>
              <w:ind w:firstLine="480"/>
              <w:jc w:val="both"/>
              <w:rPr>
                <w:rFonts w:hint="eastAsia" w:ascii="Times New Roman" w:hAnsi="Times New Roman" w:eastAsia="宋体"/>
                <w:color w:val="auto"/>
                <w:spacing w:val="0"/>
                <w:lang w:val="en-US" w:eastAsia="zh-CN"/>
              </w:rPr>
            </w:pPr>
          </w:p>
          <w:p>
            <w:pPr>
              <w:pStyle w:val="50"/>
              <w:adjustRightInd/>
              <w:snapToGrid/>
              <w:spacing w:before="0" w:beforeAutospacing="0" w:after="0" w:afterAutospacing="0"/>
              <w:ind w:firstLine="480"/>
              <w:jc w:val="both"/>
              <w:rPr>
                <w:rFonts w:hint="eastAsia" w:ascii="Times New Roman" w:hAnsi="Times New Roman" w:eastAsia="宋体"/>
                <w:color w:val="auto"/>
                <w:spacing w:val="0"/>
                <w:lang w:val="en-US" w:eastAsia="zh-CN"/>
              </w:rPr>
            </w:pPr>
          </w:p>
          <w:p>
            <w:pPr>
              <w:pStyle w:val="50"/>
              <w:adjustRightInd/>
              <w:snapToGrid/>
              <w:spacing w:before="0" w:beforeAutospacing="0" w:after="0" w:afterAutospacing="0"/>
              <w:ind w:left="0" w:leftChars="0" w:firstLine="0" w:firstLineChars="0"/>
              <w:jc w:val="both"/>
              <w:rPr>
                <w:rFonts w:hint="eastAsia" w:eastAsia="宋体"/>
                <w:color w:val="auto"/>
                <w:spacing w:val="0"/>
              </w:rPr>
            </w:pPr>
          </w:p>
        </w:tc>
      </w:tr>
    </w:tbl>
    <w:p>
      <w:pPr>
        <w:pStyle w:val="50"/>
        <w:adjustRightInd/>
        <w:snapToGrid/>
        <w:spacing w:before="0" w:beforeAutospacing="0" w:after="0" w:afterAutospacing="0"/>
        <w:ind w:firstLine="0" w:firstLineChars="0"/>
        <w:jc w:val="center"/>
        <w:outlineLvl w:val="0"/>
        <w:rPr>
          <w:rFonts w:ascii="黑体" w:hAnsi="黑体" w:eastAsia="黑体" w:cs="黑体"/>
          <w:b/>
          <w:snapToGrid w:val="0"/>
          <w:color w:val="auto"/>
          <w:spacing w:val="0"/>
          <w:sz w:val="30"/>
          <w:szCs w:val="30"/>
        </w:rPr>
        <w:sectPr>
          <w:pgSz w:w="11906" w:h="16838"/>
          <w:pgMar w:top="1440" w:right="1797" w:bottom="1440" w:left="179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50"/>
        <w:adjustRightInd/>
        <w:snapToGrid/>
        <w:spacing w:before="0" w:beforeAutospacing="0" w:after="0" w:afterAutospacing="0"/>
        <w:ind w:firstLine="0" w:firstLineChars="0"/>
        <w:jc w:val="center"/>
        <w:outlineLvl w:val="0"/>
        <w:rPr>
          <w:rFonts w:ascii="Times New Roman" w:hAnsi="Times New Roman"/>
          <w:b/>
          <w:snapToGrid w:val="0"/>
          <w:color w:val="auto"/>
          <w:spacing w:val="0"/>
          <w:sz w:val="36"/>
          <w:szCs w:val="36"/>
        </w:rPr>
      </w:pPr>
      <w:r>
        <w:rPr>
          <w:rFonts w:hint="eastAsia" w:ascii="黑体" w:hAnsi="黑体" w:eastAsia="黑体" w:cs="黑体"/>
          <w:b/>
          <w:snapToGrid w:val="0"/>
          <w:color w:val="auto"/>
          <w:spacing w:val="0"/>
          <w:sz w:val="30"/>
          <w:szCs w:val="30"/>
        </w:rPr>
        <w:t>三、区域环境质量现状、环境保护目标及评价标准</w:t>
      </w:r>
    </w:p>
    <w:tbl>
      <w:tblPr>
        <w:tblStyle w:val="55"/>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07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968" w:hRule="atLeast"/>
          <w:jc w:val="center"/>
        </w:trPr>
        <w:tc>
          <w:tcPr>
            <w:tcW w:w="456" w:type="dxa"/>
            <w:vAlign w:val="center"/>
          </w:tcPr>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区</w:t>
            </w:r>
          </w:p>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域</w:t>
            </w:r>
          </w:p>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环</w:t>
            </w:r>
          </w:p>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境</w:t>
            </w:r>
          </w:p>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质</w:t>
            </w:r>
          </w:p>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量</w:t>
            </w:r>
          </w:p>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现</w:t>
            </w:r>
          </w:p>
          <w:p>
            <w:pPr>
              <w:pStyle w:val="50"/>
              <w:adjustRightInd/>
              <w:snapToGrid/>
              <w:spacing w:before="0" w:beforeAutospacing="0" w:after="0" w:afterAutospacing="0" w:line="240" w:lineRule="auto"/>
              <w:ind w:firstLine="0" w:firstLineChars="0"/>
              <w:jc w:val="center"/>
              <w:outlineLvl w:val="0"/>
              <w:rPr>
                <w:color w:val="auto"/>
                <w:spacing w:val="0"/>
              </w:rPr>
            </w:pPr>
            <w:r>
              <w:rPr>
                <w:rFonts w:ascii="Times New Roman" w:hAnsi="Times New Roman" w:eastAsia="宋体" w:cs="Times New Roman"/>
                <w:bCs/>
                <w:snapToGrid w:val="0"/>
                <w:color w:val="auto"/>
                <w:spacing w:val="0"/>
              </w:rPr>
              <w:t>状</w:t>
            </w:r>
          </w:p>
        </w:tc>
        <w:tc>
          <w:tcPr>
            <w:tcW w:w="8072" w:type="dxa"/>
            <w:vAlign w:val="center"/>
          </w:tcPr>
          <w:p>
            <w:pPr>
              <w:pStyle w:val="50"/>
              <w:keepNext w:val="0"/>
              <w:keepLines w:val="0"/>
              <w:pageBreakBefore w:val="0"/>
              <w:kinsoku/>
              <w:wordWrap/>
              <w:overflowPunct/>
              <w:topLinePunct w:val="0"/>
              <w:autoSpaceDE/>
              <w:autoSpaceDN/>
              <w:bidi w:val="0"/>
              <w:adjustRightInd/>
              <w:snapToGrid/>
              <w:spacing w:before="0" w:beforeAutospacing="0" w:after="0" w:afterAutospacing="0"/>
              <w:ind w:firstLine="482"/>
              <w:jc w:val="both"/>
              <w:textAlignment w:val="auto"/>
              <w:rPr>
                <w:rFonts w:ascii="Times New Roman" w:hAnsi="Times New Roman" w:eastAsia="宋体" w:cs="Times New Roman"/>
                <w:b/>
                <w:snapToGrid w:val="0"/>
                <w:color w:val="auto"/>
                <w:spacing w:val="0"/>
              </w:rPr>
            </w:pPr>
            <w:r>
              <w:rPr>
                <w:rFonts w:ascii="Times New Roman" w:hAnsi="Times New Roman" w:eastAsia="宋体" w:cs="Times New Roman"/>
                <w:b/>
                <w:snapToGrid w:val="0"/>
                <w:color w:val="auto"/>
                <w:spacing w:val="0"/>
              </w:rPr>
              <w:t>1、</w:t>
            </w:r>
            <w:r>
              <w:rPr>
                <w:rFonts w:hint="eastAsia" w:ascii="Times New Roman" w:hAnsi="Times New Roman" w:eastAsia="宋体" w:cs="Times New Roman"/>
                <w:b/>
                <w:snapToGrid w:val="0"/>
                <w:color w:val="auto"/>
                <w:spacing w:val="0"/>
              </w:rPr>
              <w:t>环境空气质量现状监测与评价</w:t>
            </w:r>
          </w:p>
          <w:p>
            <w:pPr>
              <w:keepNext w:val="0"/>
              <w:keepLines w:val="0"/>
              <w:pageBreakBefore w:val="0"/>
              <w:kinsoku/>
              <w:wordWrap/>
              <w:overflowPunct/>
              <w:topLinePunct w:val="0"/>
              <w:autoSpaceDE/>
              <w:autoSpaceDN/>
              <w:bidi w:val="0"/>
              <w:adjustRightInd/>
              <w:snapToGrid/>
              <w:ind w:firstLine="480"/>
              <w:textAlignment w:val="auto"/>
              <w:rPr>
                <w:rFonts w:ascii="Times New Roman" w:hAnsi="Times New Roman" w:eastAsia="宋体" w:cs="Times New Roman"/>
                <w:bCs/>
                <w:color w:val="auto"/>
                <w:spacing w:val="0"/>
                <w:sz w:val="24"/>
                <w:szCs w:val="24"/>
              </w:rPr>
            </w:pPr>
            <w:r>
              <w:rPr>
                <w:rFonts w:ascii="Times New Roman" w:hAnsi="Times New Roman" w:eastAsia="宋体" w:cs="Times New Roman"/>
                <w:bCs/>
                <w:color w:val="auto"/>
                <w:spacing w:val="0"/>
                <w:sz w:val="24"/>
                <w:szCs w:val="24"/>
              </w:rPr>
              <w:t>（1）</w:t>
            </w:r>
            <w:r>
              <w:rPr>
                <w:rFonts w:hint="eastAsia" w:ascii="Times New Roman" w:hAnsi="Times New Roman" w:eastAsia="宋体" w:cs="Times New Roman"/>
                <w:bCs/>
                <w:color w:val="auto"/>
                <w:spacing w:val="0"/>
                <w:sz w:val="24"/>
                <w:szCs w:val="24"/>
              </w:rPr>
              <w:t>基本污染物环境质量现状</w:t>
            </w:r>
          </w:p>
          <w:p>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建设项目环境影响报告表编制技术指南（污染影响类）（试行）》要求：常规污染物引用与建设项目距离近的有效数据，包括近3年的规划环境影响评价的监测数据，国家、地方环境空气质量监测网数据或生态环境主管部门公开发布的质量数据等。根据建设项目所在环境功能区及适用的国家、地方环境质量标准，以及地方环境质量管理要求评价大气环境质量现状达标情况。</w:t>
            </w:r>
          </w:p>
          <w:p>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本项目位于巴州</w:t>
            </w:r>
            <w:r>
              <w:rPr>
                <w:rFonts w:hint="eastAsia" w:eastAsia="宋体" w:cs="Times New Roman"/>
                <w:color w:val="auto"/>
                <w:sz w:val="24"/>
                <w:szCs w:val="24"/>
                <w:lang w:val="en-US" w:eastAsia="zh-CN"/>
              </w:rPr>
              <w:t>博湖县</w:t>
            </w:r>
            <w:r>
              <w:rPr>
                <w:rFonts w:hint="default" w:ascii="Times New Roman" w:hAnsi="Times New Roman" w:eastAsia="宋体" w:cs="Times New Roman"/>
                <w:color w:val="auto"/>
                <w:sz w:val="24"/>
                <w:szCs w:val="24"/>
              </w:rPr>
              <w:t>，本项目区域大气环境质量数据引用巴音郭楞蒙古自治州库尔勒孔雀公园站点2024年的监测数据作为基本污染物环境空气质量现状数据，评价结果如下表：</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cs="Times New Roman"/>
                <w:b/>
                <w:bCs/>
                <w:color w:val="auto"/>
                <w:spacing w:val="0"/>
                <w:sz w:val="21"/>
                <w:lang w:val="en-US" w:eastAsia="zh-CN"/>
              </w:rPr>
            </w:pPr>
            <w:r>
              <w:rPr>
                <w:rFonts w:hint="eastAsia" w:ascii="Times New Roman" w:hAnsi="Times New Roman" w:eastAsia="宋体" w:cs="Times New Roman"/>
                <w:b/>
                <w:bCs/>
                <w:color w:val="auto"/>
                <w:spacing w:val="0"/>
                <w:sz w:val="21"/>
                <w:lang w:val="en-US" w:eastAsia="zh-CN"/>
              </w:rPr>
              <w:t>表3-1    区域环境空气质量现状评价一览表</w:t>
            </w:r>
          </w:p>
          <w:tbl>
            <w:tblPr>
              <w:tblStyle w:val="55"/>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711"/>
              <w:gridCol w:w="3446"/>
              <w:gridCol w:w="832"/>
              <w:gridCol w:w="983"/>
              <w:gridCol w:w="942"/>
              <w:gridCol w:w="942"/>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53" w:type="pct"/>
                  <w:tcBorders>
                    <w:left w:val="single" w:color="auto" w:sz="0" w:space="0"/>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污染物</w:t>
                  </w:r>
                </w:p>
              </w:tc>
              <w:tc>
                <w:tcPr>
                  <w:tcW w:w="2192" w:type="pct"/>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年评价指标</w:t>
                  </w:r>
                </w:p>
              </w:tc>
              <w:tc>
                <w:tcPr>
                  <w:tcW w:w="529" w:type="pct"/>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评价标准（μg/m3）</w:t>
                  </w:r>
                </w:p>
              </w:tc>
              <w:tc>
                <w:tcPr>
                  <w:tcW w:w="625" w:type="pct"/>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现状浓度</w:t>
                  </w:r>
                </w:p>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（μg/m3）</w:t>
                  </w:r>
                </w:p>
              </w:tc>
              <w:tc>
                <w:tcPr>
                  <w:tcW w:w="599" w:type="pct"/>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占标率（%）</w:t>
                  </w:r>
                </w:p>
              </w:tc>
              <w:tc>
                <w:tcPr>
                  <w:tcW w:w="599" w:type="pct"/>
                  <w:tcBorders>
                    <w:right w:val="single" w:color="auto" w:sz="8" w:space="0"/>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达标情况</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7" w:type="dxa"/>
                  <w:tcBorders>
                    <w:left w:val="single" w:color="auto" w:sz="4" w:space="0"/>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PM</w:t>
                  </w:r>
                  <w:r>
                    <w:rPr>
                      <w:rFonts w:hint="eastAsia" w:ascii="Times New Roman" w:hAnsi="Times New Roman" w:eastAsia="宋体" w:cs="Times New Roman"/>
                      <w:color w:val="auto"/>
                      <w:spacing w:val="0"/>
                      <w:sz w:val="21"/>
                      <w:vertAlign w:val="subscript"/>
                      <w:lang w:val="en-US" w:eastAsia="zh-CN"/>
                    </w:rPr>
                    <w:t>10</w:t>
                  </w:r>
                </w:p>
              </w:tc>
              <w:tc>
                <w:tcPr>
                  <w:tcW w:w="3567" w:type="dxa"/>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年平均质量浓度</w:t>
                  </w:r>
                </w:p>
              </w:tc>
              <w:tc>
                <w:tcPr>
                  <w:tcW w:w="861" w:type="dxa"/>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60</w:t>
                  </w:r>
                </w:p>
              </w:tc>
              <w:tc>
                <w:tcPr>
                  <w:tcW w:w="1017" w:type="dxa"/>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74</w:t>
                  </w:r>
                </w:p>
              </w:tc>
              <w:tc>
                <w:tcPr>
                  <w:tcW w:w="975" w:type="dxa"/>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123.3</w:t>
                  </w:r>
                </w:p>
              </w:tc>
              <w:tc>
                <w:tcPr>
                  <w:tcW w:w="975" w:type="dxa"/>
                  <w:tcBorders>
                    <w:right w:val="single" w:color="auto" w:sz="8" w:space="0"/>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超标</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397" w:hRule="atLeast"/>
                <w:jc w:val="center"/>
              </w:trPr>
              <w:tc>
                <w:tcPr>
                  <w:tcW w:w="453" w:type="pct"/>
                  <w:tcBorders>
                    <w:left w:val="single" w:color="auto" w:sz="4" w:space="0"/>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PM</w:t>
                  </w:r>
                  <w:r>
                    <w:rPr>
                      <w:rFonts w:hint="eastAsia" w:ascii="Times New Roman" w:hAnsi="Times New Roman" w:eastAsia="宋体" w:cs="Times New Roman"/>
                      <w:color w:val="auto"/>
                      <w:spacing w:val="0"/>
                      <w:sz w:val="21"/>
                      <w:vertAlign w:val="subscript"/>
                      <w:lang w:val="en-US" w:eastAsia="zh-CN"/>
                    </w:rPr>
                    <w:t>2.5</w:t>
                  </w:r>
                </w:p>
              </w:tc>
              <w:tc>
                <w:tcPr>
                  <w:tcW w:w="2192" w:type="pct"/>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年平均质量浓度</w:t>
                  </w:r>
                </w:p>
              </w:tc>
              <w:tc>
                <w:tcPr>
                  <w:tcW w:w="529" w:type="pct"/>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30</w:t>
                  </w:r>
                </w:p>
              </w:tc>
              <w:tc>
                <w:tcPr>
                  <w:tcW w:w="625" w:type="pct"/>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26</w:t>
                  </w:r>
                </w:p>
              </w:tc>
              <w:tc>
                <w:tcPr>
                  <w:tcW w:w="599" w:type="pct"/>
                  <w:noWrap w:val="0"/>
                  <w:vAlign w:val="center"/>
                </w:tcPr>
                <w:p>
                  <w:pPr>
                    <w:tabs>
                      <w:tab w:val="left" w:pos="3580"/>
                    </w:tabs>
                    <w:topLinePunct/>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86.7</w:t>
                  </w:r>
                </w:p>
              </w:tc>
              <w:tc>
                <w:tcPr>
                  <w:tcW w:w="599" w:type="pct"/>
                  <w:tcBorders>
                    <w:right w:val="single" w:color="auto" w:sz="8" w:space="0"/>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达标</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397" w:hRule="atLeast"/>
                <w:jc w:val="center"/>
              </w:trPr>
              <w:tc>
                <w:tcPr>
                  <w:tcW w:w="453" w:type="pct"/>
                  <w:tcBorders>
                    <w:left w:val="single" w:color="auto" w:sz="4" w:space="0"/>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SO2</w:t>
                  </w:r>
                </w:p>
              </w:tc>
              <w:tc>
                <w:tcPr>
                  <w:tcW w:w="2192" w:type="pct"/>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年平均质量浓度</w:t>
                  </w:r>
                </w:p>
              </w:tc>
              <w:tc>
                <w:tcPr>
                  <w:tcW w:w="529" w:type="pct"/>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60</w:t>
                  </w:r>
                </w:p>
              </w:tc>
              <w:tc>
                <w:tcPr>
                  <w:tcW w:w="625" w:type="pct"/>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5</w:t>
                  </w:r>
                </w:p>
              </w:tc>
              <w:tc>
                <w:tcPr>
                  <w:tcW w:w="599" w:type="pct"/>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8.3</w:t>
                  </w:r>
                </w:p>
              </w:tc>
              <w:tc>
                <w:tcPr>
                  <w:tcW w:w="599" w:type="pct"/>
                  <w:tcBorders>
                    <w:right w:val="single" w:color="auto" w:sz="8" w:space="0"/>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达标</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397" w:hRule="atLeast"/>
                <w:jc w:val="center"/>
              </w:trPr>
              <w:tc>
                <w:tcPr>
                  <w:tcW w:w="453" w:type="pct"/>
                  <w:tcBorders>
                    <w:left w:val="single" w:color="auto" w:sz="4" w:space="0"/>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NO2</w:t>
                  </w:r>
                </w:p>
              </w:tc>
              <w:tc>
                <w:tcPr>
                  <w:tcW w:w="2192" w:type="pct"/>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年平均质量浓度</w:t>
                  </w:r>
                </w:p>
              </w:tc>
              <w:tc>
                <w:tcPr>
                  <w:tcW w:w="529" w:type="pct"/>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40</w:t>
                  </w:r>
                </w:p>
              </w:tc>
              <w:tc>
                <w:tcPr>
                  <w:tcW w:w="625" w:type="pct"/>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23</w:t>
                  </w:r>
                </w:p>
              </w:tc>
              <w:tc>
                <w:tcPr>
                  <w:tcW w:w="599" w:type="pct"/>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57.5</w:t>
                  </w:r>
                </w:p>
              </w:tc>
              <w:tc>
                <w:tcPr>
                  <w:tcW w:w="599" w:type="pct"/>
                  <w:tcBorders>
                    <w:right w:val="single" w:color="auto" w:sz="8" w:space="0"/>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达标</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397" w:hRule="atLeast"/>
                <w:jc w:val="center"/>
              </w:trPr>
              <w:tc>
                <w:tcPr>
                  <w:tcW w:w="453" w:type="pct"/>
                  <w:tcBorders>
                    <w:left w:val="single" w:color="auto" w:sz="4" w:space="0"/>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CO</w:t>
                  </w:r>
                </w:p>
              </w:tc>
              <w:tc>
                <w:tcPr>
                  <w:tcW w:w="2192" w:type="pct"/>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日均值第95百分位浓度</w:t>
                  </w:r>
                </w:p>
              </w:tc>
              <w:tc>
                <w:tcPr>
                  <w:tcW w:w="529" w:type="pct"/>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4000</w:t>
                  </w:r>
                </w:p>
              </w:tc>
              <w:tc>
                <w:tcPr>
                  <w:tcW w:w="625" w:type="pct"/>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900</w:t>
                  </w:r>
                </w:p>
              </w:tc>
              <w:tc>
                <w:tcPr>
                  <w:tcW w:w="599" w:type="pct"/>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22.5</w:t>
                  </w:r>
                </w:p>
              </w:tc>
              <w:tc>
                <w:tcPr>
                  <w:tcW w:w="599" w:type="pct"/>
                  <w:tcBorders>
                    <w:right w:val="single" w:color="auto" w:sz="8" w:space="0"/>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达标</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397" w:hRule="atLeast"/>
                <w:jc w:val="center"/>
              </w:trPr>
              <w:tc>
                <w:tcPr>
                  <w:tcW w:w="453" w:type="pct"/>
                  <w:tcBorders>
                    <w:left w:val="single" w:color="auto" w:sz="4" w:space="0"/>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O3</w:t>
                  </w:r>
                </w:p>
              </w:tc>
              <w:tc>
                <w:tcPr>
                  <w:tcW w:w="2192" w:type="pct"/>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日最大8小时滑动平均第90百分位浓度</w:t>
                  </w:r>
                </w:p>
              </w:tc>
              <w:tc>
                <w:tcPr>
                  <w:tcW w:w="529" w:type="pct"/>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160</w:t>
                  </w:r>
                </w:p>
              </w:tc>
              <w:tc>
                <w:tcPr>
                  <w:tcW w:w="625" w:type="pct"/>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121</w:t>
                  </w:r>
                </w:p>
              </w:tc>
              <w:tc>
                <w:tcPr>
                  <w:tcW w:w="599" w:type="pct"/>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75.6</w:t>
                  </w:r>
                </w:p>
              </w:tc>
              <w:tc>
                <w:tcPr>
                  <w:tcW w:w="599" w:type="pct"/>
                  <w:tcBorders>
                    <w:right w:val="single" w:color="auto" w:sz="8" w:space="0"/>
                  </w:tcBorders>
                  <w:noWrap w:val="0"/>
                  <w:vAlign w:val="center"/>
                </w:tcPr>
                <w:p>
                  <w:pPr>
                    <w:tabs>
                      <w:tab w:val="left" w:pos="3580"/>
                    </w:tabs>
                    <w:topLinePunct/>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达标</w:t>
                  </w:r>
                </w:p>
              </w:tc>
            </w:tr>
          </w:tbl>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lang w:val="en-US" w:eastAsia="zh-CN"/>
              </w:rPr>
            </w:pPr>
          </w:p>
          <w:p>
            <w:pPr>
              <w:pStyle w:val="467"/>
              <w:keepNext w:val="0"/>
              <w:keepLines w:val="0"/>
              <w:pageBreakBefore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pacing w:val="0"/>
                <w:kern w:val="0"/>
                <w:sz w:val="24"/>
                <w:szCs w:val="24"/>
                <w:lang w:val="en-US" w:eastAsia="zh-CN" w:bidi="ar-SA"/>
              </w:rPr>
            </w:pPr>
            <w:r>
              <w:rPr>
                <w:rFonts w:hint="default" w:ascii="Times New Roman" w:hAnsi="Times New Roman" w:eastAsia="宋体" w:cs="Times New Roman"/>
                <w:color w:val="auto"/>
                <w:spacing w:val="0"/>
                <w:kern w:val="0"/>
                <w:sz w:val="24"/>
                <w:szCs w:val="24"/>
                <w:lang w:val="en-US" w:eastAsia="zh-CN" w:bidi="ar-SA"/>
              </w:rPr>
              <w:t>由上表可知，项目所在区域PM</w:t>
            </w:r>
            <w:r>
              <w:rPr>
                <w:rFonts w:hint="default" w:ascii="Times New Roman" w:hAnsi="Times New Roman" w:eastAsia="宋体" w:cs="Times New Roman"/>
                <w:color w:val="auto"/>
                <w:spacing w:val="0"/>
                <w:kern w:val="0"/>
                <w:sz w:val="24"/>
                <w:szCs w:val="24"/>
                <w:vertAlign w:val="subscript"/>
                <w:lang w:val="en-US" w:eastAsia="zh-CN" w:bidi="ar-SA"/>
              </w:rPr>
              <w:t>10</w:t>
            </w:r>
            <w:r>
              <w:rPr>
                <w:rFonts w:hint="default" w:ascii="Times New Roman" w:hAnsi="Times New Roman" w:eastAsia="宋体" w:cs="Times New Roman"/>
                <w:color w:val="auto"/>
                <w:spacing w:val="0"/>
                <w:kern w:val="0"/>
                <w:sz w:val="24"/>
                <w:szCs w:val="24"/>
                <w:lang w:val="en-US" w:eastAsia="zh-CN" w:bidi="ar-SA"/>
              </w:rPr>
              <w:t>年均浓度值超过《环境空气质量标准》（GB3095-2026）中二级标准要求，即项目所在区域为不达标区，超标原因主要为区域位于沙漠边缘，春秋沙尘天气对环境空气质量影响很大。</w:t>
            </w:r>
          </w:p>
          <w:p>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kern w:val="0"/>
                <w:sz w:val="24"/>
                <w:szCs w:val="24"/>
                <w:lang w:val="en-US" w:eastAsia="zh-CN" w:bidi="ar-SA"/>
              </w:rPr>
            </w:pPr>
            <w:r>
              <w:rPr>
                <w:rFonts w:hint="default" w:ascii="Times New Roman" w:hAnsi="Times New Roman" w:eastAsia="宋体" w:cs="Times New Roman"/>
                <w:color w:val="auto"/>
                <w:spacing w:val="0"/>
                <w:kern w:val="0"/>
                <w:sz w:val="24"/>
                <w:szCs w:val="24"/>
                <w:lang w:val="en-US" w:eastAsia="zh-CN" w:bidi="ar-SA"/>
              </w:rPr>
              <w:t>根据《关于将巴音郭楞蒙古自治州 吐鲁番市 哈密市纳入执行〈环境影响评价技术导则 大气环境（HJ2.2-2018）〉差别化政策范围的复函》（环办环评函〔2020〕341号）对巴音郭楞蒙古自治州实行环境影响评价差别化政策，可不进行颗粒物区域削减。</w:t>
            </w:r>
          </w:p>
          <w:p>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z w:val="24"/>
                <w:szCs w:val="24"/>
              </w:rPr>
            </w:pPr>
          </w:p>
          <w:p>
            <w:pPr>
              <w:keepNext w:val="0"/>
              <w:keepLines w:val="0"/>
              <w:pageBreakBefore w:val="0"/>
              <w:kinsoku/>
              <w:wordWrap/>
              <w:overflowPunct/>
              <w:topLinePunct w:val="0"/>
              <w:autoSpaceDE/>
              <w:autoSpaceDN/>
              <w:bidi w:val="0"/>
              <w:adjustRightInd/>
              <w:snapToGrid/>
              <w:ind w:firstLine="480"/>
              <w:textAlignment w:val="auto"/>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（2）</w:t>
            </w:r>
            <w:r>
              <w:rPr>
                <w:rFonts w:hint="eastAsia" w:ascii="Times New Roman" w:hAnsi="Times New Roman" w:eastAsia="宋体" w:cs="Times New Roman"/>
                <w:color w:val="auto"/>
                <w:spacing w:val="0"/>
                <w:sz w:val="24"/>
                <w:szCs w:val="24"/>
                <w:lang w:val="en-US" w:eastAsia="zh-CN"/>
              </w:rPr>
              <w:t>特征</w:t>
            </w:r>
            <w:r>
              <w:rPr>
                <w:rFonts w:ascii="Times New Roman" w:hAnsi="Times New Roman" w:eastAsia="宋体" w:cs="Times New Roman"/>
                <w:color w:val="auto"/>
                <w:spacing w:val="0"/>
                <w:sz w:val="24"/>
                <w:szCs w:val="24"/>
              </w:rPr>
              <w:t>污染物环境质量现状</w:t>
            </w:r>
          </w:p>
          <w:p>
            <w:pPr>
              <w:keepNext w:val="0"/>
              <w:keepLines w:val="0"/>
              <w:pageBreakBefore w:val="0"/>
              <w:kinsoku/>
              <w:wordWrap/>
              <w:overflowPunct/>
              <w:topLinePunct w:val="0"/>
              <w:autoSpaceDE/>
              <w:autoSpaceDN/>
              <w:bidi w:val="0"/>
              <w:adjustRightInd/>
              <w:snapToGrid/>
              <w:ind w:firstLine="480"/>
              <w:textAlignment w:val="auto"/>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rPr>
              <w:t>项目特征污染因子为</w:t>
            </w:r>
            <w:r>
              <w:rPr>
                <w:rFonts w:hint="eastAsia" w:ascii="Times New Roman" w:hAnsi="Times New Roman" w:eastAsia="宋体" w:cs="Times New Roman"/>
                <w:color w:val="auto"/>
                <w:spacing w:val="0"/>
                <w:sz w:val="24"/>
                <w:szCs w:val="24"/>
                <w:lang w:val="en-US" w:eastAsia="zh-CN"/>
              </w:rPr>
              <w:t>总悬浮颗粒物（TSP）</w:t>
            </w:r>
            <w:r>
              <w:rPr>
                <w:rFonts w:hint="eastAsia" w:ascii="Times New Roman" w:hAnsi="Times New Roman" w:eastAsia="宋体" w:cs="Times New Roman"/>
                <w:color w:val="auto"/>
                <w:spacing w:val="0"/>
                <w:sz w:val="24"/>
                <w:szCs w:val="24"/>
              </w:rPr>
              <w:t>，根据《建设项目环境影响报告表编制技术指南（污染影响类）（试行）》</w:t>
            </w:r>
            <w:r>
              <w:rPr>
                <w:rFonts w:hint="eastAsia" w:ascii="Times New Roman" w:hAnsi="Times New Roman" w:eastAsia="宋体" w:cs="Times New Roman"/>
                <w:color w:val="auto"/>
                <w:spacing w:val="0"/>
                <w:sz w:val="24"/>
                <w:szCs w:val="24"/>
                <w:lang w:val="en-US" w:eastAsia="zh-CN"/>
              </w:rPr>
              <w:t>中</w:t>
            </w:r>
            <w:r>
              <w:rPr>
                <w:rFonts w:hint="eastAsia" w:ascii="Times New Roman" w:hAnsi="Times New Roman" w:eastAsia="宋体" w:cs="Times New Roman"/>
                <w:color w:val="auto"/>
                <w:spacing w:val="0"/>
                <w:sz w:val="24"/>
                <w:szCs w:val="24"/>
              </w:rPr>
              <w:t>对环境质量现状数据的要求</w:t>
            </w:r>
            <w:r>
              <w:rPr>
                <w:rFonts w:hint="eastAsia" w:ascii="Times New Roman" w:hAnsi="Times New Roman" w:eastAsia="宋体" w:cs="Times New Roman"/>
                <w:color w:val="auto"/>
                <w:spacing w:val="0"/>
                <w:sz w:val="24"/>
                <w:szCs w:val="24"/>
                <w:lang w:eastAsia="zh-CN"/>
              </w:rPr>
              <w:t>：“</w:t>
            </w:r>
            <w:r>
              <w:rPr>
                <w:rFonts w:hint="eastAsia" w:ascii="Times New Roman" w:hAnsi="Times New Roman" w:eastAsia="宋体" w:cs="Times New Roman"/>
                <w:color w:val="auto"/>
                <w:spacing w:val="0"/>
                <w:sz w:val="24"/>
                <w:szCs w:val="24"/>
                <w:lang w:val="en-US" w:eastAsia="zh-CN"/>
              </w:rPr>
              <w:t>排放国家、地方环境空气质量标准中有标准限值要求的特征污染物时，引用建设项目周边5千米范围内近3年的现有监测数据</w:t>
            </w:r>
            <w:r>
              <w:rPr>
                <w:rFonts w:hint="eastAsia" w:ascii="Times New Roman" w:hAnsi="Times New Roman" w:eastAsia="宋体" w:cs="Times New Roman"/>
                <w:color w:val="auto"/>
                <w:spacing w:val="0"/>
                <w:sz w:val="24"/>
                <w:szCs w:val="24"/>
                <w:lang w:eastAsia="zh-CN"/>
              </w:rPr>
              <w:t>”，</w:t>
            </w:r>
            <w:r>
              <w:rPr>
                <w:rFonts w:hint="eastAsia" w:ascii="Times New Roman" w:hAnsi="Times New Roman" w:eastAsia="宋体" w:cs="Times New Roman"/>
                <w:color w:val="auto"/>
                <w:spacing w:val="0"/>
                <w:sz w:val="24"/>
                <w:szCs w:val="24"/>
              </w:rPr>
              <w:t>本次环评引用《</w:t>
            </w:r>
            <w:r>
              <w:rPr>
                <w:rFonts w:hint="eastAsia" w:ascii="Times New Roman" w:hAnsi="Times New Roman" w:eastAsia="宋体" w:cs="Times New Roman"/>
                <w:color w:val="auto"/>
                <w:spacing w:val="0"/>
                <w:sz w:val="24"/>
                <w:szCs w:val="24"/>
                <w:lang w:val="en-US" w:eastAsia="zh-CN"/>
              </w:rPr>
              <w:t>焉耆兴和木业有限公司检测报告</w:t>
            </w:r>
            <w:r>
              <w:rPr>
                <w:rFonts w:hint="eastAsia" w:ascii="Times New Roman" w:hAnsi="Times New Roman" w:eastAsia="宋体" w:cs="Times New Roman"/>
                <w:color w:val="auto"/>
                <w:spacing w:val="0"/>
                <w:sz w:val="24"/>
                <w:szCs w:val="24"/>
              </w:rPr>
              <w:t>》中数据</w:t>
            </w:r>
            <w:r>
              <w:rPr>
                <w:rFonts w:hint="eastAsia" w:ascii="Times New Roman" w:hAnsi="Times New Roman" w:eastAsia="宋体" w:cs="Times New Roman"/>
                <w:color w:val="auto"/>
                <w:spacing w:val="0"/>
                <w:sz w:val="24"/>
                <w:szCs w:val="24"/>
                <w:lang w:eastAsia="zh-CN"/>
              </w:rPr>
              <w:t>（报告编号：ZCQ2025070349-01），</w:t>
            </w:r>
            <w:r>
              <w:rPr>
                <w:rFonts w:hint="eastAsia" w:ascii="Times New Roman" w:hAnsi="Times New Roman" w:eastAsia="宋体" w:cs="Times New Roman"/>
                <w:color w:val="auto"/>
                <w:spacing w:val="0"/>
                <w:sz w:val="24"/>
                <w:szCs w:val="24"/>
                <w:lang w:val="en-US" w:eastAsia="zh-CN"/>
              </w:rPr>
              <w:t>监测公司为新疆中测测试有限责任公司，本项目与监测对象厂址邻近</w:t>
            </w:r>
            <w:r>
              <w:rPr>
                <w:rFonts w:hint="eastAsia" w:ascii="Times New Roman" w:hAnsi="Times New Roman" w:eastAsia="宋体" w:cs="Times New Roman"/>
                <w:color w:val="auto"/>
                <w:spacing w:val="0"/>
                <w:sz w:val="24"/>
                <w:szCs w:val="24"/>
              </w:rPr>
              <w:t>，位于本项目区</w:t>
            </w:r>
            <w:r>
              <w:rPr>
                <w:rFonts w:hint="eastAsia" w:ascii="Times New Roman" w:hAnsi="Times New Roman" w:eastAsia="宋体" w:cs="Times New Roman"/>
                <w:color w:val="auto"/>
                <w:spacing w:val="0"/>
                <w:sz w:val="24"/>
                <w:szCs w:val="24"/>
                <w:lang w:val="en-US" w:eastAsia="zh-CN"/>
              </w:rPr>
              <w:t>西北</w:t>
            </w:r>
            <w:r>
              <w:rPr>
                <w:rFonts w:hint="eastAsia" w:ascii="Times New Roman" w:hAnsi="Times New Roman" w:eastAsia="宋体" w:cs="Times New Roman"/>
                <w:color w:val="auto"/>
                <w:spacing w:val="0"/>
                <w:sz w:val="24"/>
                <w:szCs w:val="24"/>
              </w:rPr>
              <w:t>侧约</w:t>
            </w:r>
            <w:r>
              <w:rPr>
                <w:rFonts w:hint="eastAsia" w:ascii="Times New Roman" w:hAnsi="Times New Roman" w:eastAsia="宋体" w:cs="Times New Roman"/>
                <w:color w:val="auto"/>
                <w:spacing w:val="0"/>
                <w:sz w:val="24"/>
                <w:szCs w:val="24"/>
                <w:lang w:val="en-US" w:eastAsia="zh-CN"/>
              </w:rPr>
              <w:t>558</w:t>
            </w:r>
            <w:r>
              <w:rPr>
                <w:rFonts w:hint="eastAsia" w:ascii="Times New Roman" w:hAnsi="Times New Roman" w:eastAsia="宋体" w:cs="Times New Roman"/>
                <w:color w:val="auto"/>
                <w:spacing w:val="0"/>
                <w:sz w:val="24"/>
                <w:szCs w:val="24"/>
              </w:rPr>
              <w:t>m</w:t>
            </w:r>
            <w:r>
              <w:rPr>
                <w:rFonts w:hint="eastAsia" w:ascii="Times New Roman" w:hAnsi="Times New Roman" w:eastAsia="宋体" w:cs="Times New Roman"/>
                <w:color w:val="auto"/>
                <w:spacing w:val="0"/>
                <w:sz w:val="24"/>
                <w:szCs w:val="24"/>
                <w:lang w:eastAsia="zh-CN"/>
              </w:rPr>
              <w:t>，</w:t>
            </w:r>
            <w:r>
              <w:rPr>
                <w:rFonts w:hint="eastAsia" w:ascii="Times New Roman" w:hAnsi="Times New Roman" w:eastAsia="宋体" w:cs="Times New Roman"/>
                <w:color w:val="auto"/>
                <w:spacing w:val="0"/>
                <w:sz w:val="24"/>
                <w:szCs w:val="24"/>
                <w:lang w:val="en-US" w:eastAsia="zh-CN"/>
              </w:rPr>
              <w:t>监测地点属于建设项目周边5千米范围内；</w:t>
            </w:r>
            <w:r>
              <w:rPr>
                <w:rFonts w:hint="eastAsia" w:ascii="Times New Roman" w:hAnsi="Times New Roman" w:eastAsia="宋体" w:cs="Times New Roman"/>
                <w:color w:val="auto"/>
                <w:spacing w:val="0"/>
                <w:sz w:val="24"/>
                <w:szCs w:val="24"/>
              </w:rPr>
              <w:t>监测时间为</w:t>
            </w:r>
            <w:r>
              <w:rPr>
                <w:rFonts w:hint="eastAsia" w:ascii="Times New Roman" w:hAnsi="Times New Roman" w:eastAsia="宋体" w:cs="Times New Roman"/>
                <w:color w:val="auto"/>
                <w:spacing w:val="0"/>
                <w:sz w:val="24"/>
                <w:szCs w:val="24"/>
                <w:lang w:val="en-US" w:eastAsia="zh-CN"/>
              </w:rPr>
              <w:t>2025</w:t>
            </w:r>
            <w:r>
              <w:rPr>
                <w:rFonts w:hint="eastAsia" w:ascii="Times New Roman" w:hAnsi="Times New Roman" w:eastAsia="宋体" w:cs="Times New Roman"/>
                <w:color w:val="auto"/>
                <w:spacing w:val="0"/>
                <w:sz w:val="24"/>
                <w:szCs w:val="24"/>
              </w:rPr>
              <w:t>年</w:t>
            </w:r>
            <w:r>
              <w:rPr>
                <w:rFonts w:hint="eastAsia" w:ascii="Times New Roman" w:hAnsi="Times New Roman" w:eastAsia="宋体" w:cs="Times New Roman"/>
                <w:color w:val="auto"/>
                <w:spacing w:val="0"/>
                <w:sz w:val="24"/>
                <w:szCs w:val="24"/>
                <w:lang w:val="en-US" w:eastAsia="zh-CN"/>
              </w:rPr>
              <w:t>7</w:t>
            </w:r>
            <w:r>
              <w:rPr>
                <w:rFonts w:hint="eastAsia" w:ascii="Times New Roman" w:hAnsi="Times New Roman" w:eastAsia="宋体" w:cs="Times New Roman"/>
                <w:color w:val="auto"/>
                <w:spacing w:val="0"/>
                <w:sz w:val="24"/>
                <w:szCs w:val="24"/>
              </w:rPr>
              <w:t>月</w:t>
            </w:r>
            <w:r>
              <w:rPr>
                <w:rFonts w:hint="eastAsia" w:ascii="Times New Roman" w:hAnsi="Times New Roman" w:eastAsia="宋体" w:cs="Times New Roman"/>
                <w:color w:val="auto"/>
                <w:spacing w:val="0"/>
                <w:sz w:val="24"/>
                <w:szCs w:val="24"/>
                <w:lang w:val="en-US" w:eastAsia="zh-CN"/>
              </w:rPr>
              <w:t>16</w:t>
            </w:r>
            <w:r>
              <w:rPr>
                <w:rFonts w:hint="eastAsia" w:ascii="Times New Roman" w:hAnsi="Times New Roman" w:eastAsia="宋体" w:cs="Times New Roman"/>
                <w:color w:val="auto"/>
                <w:spacing w:val="0"/>
                <w:sz w:val="24"/>
                <w:szCs w:val="24"/>
              </w:rPr>
              <w:t>日</w:t>
            </w:r>
            <w:r>
              <w:rPr>
                <w:rFonts w:hint="eastAsia" w:ascii="Times New Roman" w:hAnsi="Times New Roman" w:eastAsia="宋体" w:cs="Times New Roman"/>
                <w:color w:val="auto"/>
                <w:spacing w:val="0"/>
                <w:sz w:val="24"/>
                <w:szCs w:val="24"/>
                <w:lang w:eastAsia="zh-CN"/>
              </w:rPr>
              <w:t>—</w:t>
            </w:r>
            <w:r>
              <w:rPr>
                <w:rFonts w:hint="eastAsia" w:ascii="Times New Roman" w:hAnsi="Times New Roman" w:eastAsia="宋体" w:cs="Times New Roman"/>
                <w:color w:val="auto"/>
                <w:spacing w:val="0"/>
                <w:sz w:val="24"/>
                <w:szCs w:val="24"/>
                <w:lang w:val="en-US" w:eastAsia="zh-CN"/>
              </w:rPr>
              <w:t>7</w:t>
            </w:r>
            <w:r>
              <w:rPr>
                <w:rFonts w:hint="eastAsia" w:ascii="Times New Roman" w:hAnsi="Times New Roman" w:eastAsia="宋体" w:cs="Times New Roman"/>
                <w:color w:val="auto"/>
                <w:spacing w:val="0"/>
                <w:sz w:val="24"/>
                <w:szCs w:val="24"/>
              </w:rPr>
              <w:t>月</w:t>
            </w:r>
            <w:r>
              <w:rPr>
                <w:rFonts w:hint="eastAsia" w:ascii="Times New Roman" w:hAnsi="Times New Roman" w:eastAsia="宋体" w:cs="Times New Roman"/>
                <w:color w:val="auto"/>
                <w:spacing w:val="0"/>
                <w:sz w:val="24"/>
                <w:szCs w:val="24"/>
                <w:lang w:val="en-US" w:eastAsia="zh-CN"/>
              </w:rPr>
              <w:t>25</w:t>
            </w:r>
            <w:r>
              <w:rPr>
                <w:rFonts w:hint="eastAsia" w:ascii="Times New Roman" w:hAnsi="Times New Roman" w:eastAsia="宋体" w:cs="Times New Roman"/>
                <w:color w:val="auto"/>
                <w:spacing w:val="0"/>
                <w:sz w:val="24"/>
                <w:szCs w:val="24"/>
              </w:rPr>
              <w:t>日</w:t>
            </w:r>
            <w:r>
              <w:rPr>
                <w:rFonts w:hint="eastAsia" w:ascii="Times New Roman" w:hAnsi="Times New Roman" w:eastAsia="宋体" w:cs="Times New Roman"/>
                <w:color w:val="auto"/>
                <w:spacing w:val="0"/>
                <w:sz w:val="24"/>
                <w:szCs w:val="24"/>
                <w:lang w:eastAsia="zh-CN"/>
              </w:rPr>
              <w:t>，</w:t>
            </w:r>
            <w:r>
              <w:rPr>
                <w:rFonts w:hint="eastAsia" w:ascii="Times New Roman" w:hAnsi="Times New Roman" w:eastAsia="宋体" w:cs="Times New Roman"/>
                <w:color w:val="auto"/>
                <w:spacing w:val="0"/>
                <w:sz w:val="24"/>
                <w:szCs w:val="24"/>
                <w:lang w:val="en-US" w:eastAsia="zh-CN"/>
              </w:rPr>
              <w:t>监测时间属于近三年的时间范畴，引用监测数据有效可行</w:t>
            </w:r>
            <w:r>
              <w:rPr>
                <w:rFonts w:hint="eastAsia" w:ascii="Times New Roman" w:hAnsi="Times New Roman" w:eastAsia="宋体" w:cs="Times New Roman"/>
                <w:color w:val="auto"/>
                <w:spacing w:val="0"/>
                <w:sz w:val="24"/>
                <w:szCs w:val="24"/>
              </w:rPr>
              <w:t>。特征污染物监测结果及评价结果见下表。</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宋体" w:cs="Times New Roman"/>
                <w:b/>
                <w:bCs/>
                <w:color w:val="auto"/>
                <w:spacing w:val="0"/>
                <w:sz w:val="21"/>
              </w:rPr>
            </w:pPr>
            <w:r>
              <w:rPr>
                <w:rFonts w:hint="eastAsia" w:ascii="Times New Roman" w:hAnsi="Times New Roman" w:eastAsia="宋体" w:cs="Times New Roman"/>
                <w:b/>
                <w:bCs/>
                <w:color w:val="auto"/>
                <w:spacing w:val="0"/>
                <w:sz w:val="21"/>
              </w:rPr>
              <w:t>表</w:t>
            </w:r>
            <w:r>
              <w:rPr>
                <w:rFonts w:ascii="Times New Roman" w:hAnsi="Times New Roman" w:eastAsia="宋体" w:cs="Times New Roman"/>
                <w:b/>
                <w:bCs/>
                <w:color w:val="auto"/>
                <w:spacing w:val="0"/>
                <w:sz w:val="21"/>
              </w:rPr>
              <w:t>3-</w:t>
            </w:r>
            <w:r>
              <w:rPr>
                <w:rFonts w:hint="eastAsia" w:ascii="Times New Roman" w:hAnsi="Times New Roman" w:eastAsia="宋体" w:cs="Times New Roman"/>
                <w:b/>
                <w:bCs/>
                <w:color w:val="auto"/>
                <w:spacing w:val="0"/>
                <w:sz w:val="21"/>
                <w:lang w:val="en-US" w:eastAsia="zh-CN"/>
              </w:rPr>
              <w:t>2</w:t>
            </w:r>
            <w:r>
              <w:rPr>
                <w:rFonts w:hint="eastAsia" w:ascii="Times New Roman" w:hAnsi="Times New Roman" w:eastAsia="宋体" w:cs="Times New Roman"/>
                <w:b/>
                <w:bCs/>
                <w:color w:val="auto"/>
                <w:spacing w:val="0"/>
                <w:sz w:val="21"/>
              </w:rPr>
              <w:t xml:space="preserve"> </w:t>
            </w:r>
            <w:r>
              <w:rPr>
                <w:rFonts w:hint="eastAsia" w:ascii="Times New Roman" w:hAnsi="Times New Roman" w:eastAsia="宋体" w:cs="Times New Roman"/>
                <w:b/>
                <w:bCs/>
                <w:color w:val="auto"/>
                <w:spacing w:val="0"/>
                <w:sz w:val="21"/>
                <w:lang w:val="en-US" w:eastAsia="zh-CN"/>
              </w:rPr>
              <w:t>特征</w:t>
            </w:r>
            <w:r>
              <w:rPr>
                <w:rFonts w:hint="eastAsia" w:ascii="Times New Roman" w:hAnsi="Times New Roman" w:eastAsia="宋体" w:cs="Times New Roman"/>
                <w:b/>
                <w:bCs/>
                <w:color w:val="auto"/>
                <w:spacing w:val="0"/>
                <w:sz w:val="21"/>
              </w:rPr>
              <w:t>污染物环境空气质量现状评价结果一览表</w:t>
            </w:r>
          </w:p>
          <w:tbl>
            <w:tblPr>
              <w:tblStyle w:val="55"/>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319"/>
              <w:gridCol w:w="998"/>
              <w:gridCol w:w="709"/>
              <w:gridCol w:w="1003"/>
              <w:gridCol w:w="1275"/>
              <w:gridCol w:w="1275"/>
              <w:gridCol w:w="689"/>
              <w:gridCol w:w="56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52" w:type="pct"/>
                  <w:vMerge w:val="restart"/>
                  <w:tcBorders>
                    <w:tl2br w:val="nil"/>
                    <w:tr2bl w:val="nil"/>
                  </w:tcBorders>
                  <w:vAlign w:val="center"/>
                </w:tcPr>
                <w:p>
                  <w:pPr>
                    <w:widowControl/>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监测</w:t>
                  </w:r>
                </w:p>
                <w:p>
                  <w:pPr>
                    <w:widowControl/>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点位</w:t>
                  </w:r>
                </w:p>
              </w:tc>
              <w:tc>
                <w:tcPr>
                  <w:tcW w:w="664" w:type="pct"/>
                  <w:vMerge w:val="restart"/>
                  <w:tcBorders>
                    <w:tl2br w:val="nil"/>
                    <w:tr2bl w:val="nil"/>
                  </w:tcBorders>
                  <w:vAlign w:val="center"/>
                </w:tcPr>
                <w:p>
                  <w:pPr>
                    <w:widowControl/>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污染物</w:t>
                  </w:r>
                </w:p>
              </w:tc>
              <w:tc>
                <w:tcPr>
                  <w:tcW w:w="604" w:type="pct"/>
                  <w:vMerge w:val="restart"/>
                  <w:tcBorders>
                    <w:tl2br w:val="nil"/>
                    <w:tr2bl w:val="nil"/>
                  </w:tcBorders>
                  <w:vAlign w:val="center"/>
                </w:tcPr>
                <w:p>
                  <w:pPr>
                    <w:widowControl/>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平均</w:t>
                  </w:r>
                </w:p>
                <w:p>
                  <w:pPr>
                    <w:widowControl/>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时间</w:t>
                  </w:r>
                </w:p>
              </w:tc>
              <w:tc>
                <w:tcPr>
                  <w:tcW w:w="729" w:type="pct"/>
                  <w:vMerge w:val="restart"/>
                  <w:tcBorders>
                    <w:tl2br w:val="nil"/>
                    <w:tr2bl w:val="nil"/>
                  </w:tcBorders>
                  <w:vAlign w:val="center"/>
                </w:tcPr>
                <w:p>
                  <w:pPr>
                    <w:widowControl/>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标准值</w:t>
                  </w:r>
                </w:p>
                <w:p>
                  <w:pPr>
                    <w:widowControl/>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w:t>
                  </w:r>
                  <w:r>
                    <w:rPr>
                      <w:rFonts w:hint="eastAsia" w:ascii="Times New Roman" w:hAnsi="Times New Roman" w:eastAsia="宋体" w:cs="Times New Roman"/>
                      <w:bCs/>
                      <w:color w:val="auto"/>
                      <w:spacing w:val="0"/>
                      <w:sz w:val="21"/>
                    </w:rPr>
                    <w:t>m</w:t>
                  </w:r>
                  <w:r>
                    <w:rPr>
                      <w:rFonts w:ascii="Times New Roman" w:hAnsi="Times New Roman" w:eastAsia="宋体" w:cs="Times New Roman"/>
                      <w:bCs/>
                      <w:color w:val="auto"/>
                      <w:spacing w:val="0"/>
                      <w:sz w:val="21"/>
                    </w:rPr>
                    <w:t>g/m</w:t>
                  </w:r>
                  <w:r>
                    <w:rPr>
                      <w:rFonts w:ascii="Times New Roman" w:hAnsi="Times New Roman" w:eastAsia="宋体" w:cs="Times New Roman"/>
                      <w:bCs/>
                      <w:color w:val="auto"/>
                      <w:spacing w:val="0"/>
                      <w:sz w:val="21"/>
                      <w:vertAlign w:val="superscript"/>
                    </w:rPr>
                    <w:t>3</w:t>
                  </w:r>
                  <w:r>
                    <w:rPr>
                      <w:rFonts w:hint="eastAsia" w:ascii="Times New Roman" w:hAnsi="Times New Roman" w:eastAsia="宋体" w:cs="Times New Roman"/>
                      <w:color w:val="auto"/>
                      <w:spacing w:val="0"/>
                      <w:sz w:val="21"/>
                    </w:rPr>
                    <w:t>)</w:t>
                  </w:r>
                </w:p>
              </w:tc>
              <w:tc>
                <w:tcPr>
                  <w:tcW w:w="748" w:type="pct"/>
                  <w:vMerge w:val="restart"/>
                  <w:tcBorders>
                    <w:tl2br w:val="nil"/>
                    <w:tr2bl w:val="nil"/>
                  </w:tcBorders>
                  <w:vAlign w:val="center"/>
                </w:tcPr>
                <w:p>
                  <w:pPr>
                    <w:widowControl/>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浓度范围</w:t>
                  </w:r>
                  <w:r>
                    <w:rPr>
                      <w:rFonts w:hint="eastAsia" w:ascii="Times New Roman" w:hAnsi="Times New Roman" w:eastAsia="宋体" w:cs="Times New Roman"/>
                      <w:color w:val="auto"/>
                      <w:spacing w:val="0"/>
                      <w:sz w:val="21"/>
                      <w:lang w:eastAsia="zh-CN"/>
                    </w:rPr>
                    <w:t>（</w:t>
                  </w:r>
                  <w:r>
                    <w:rPr>
                      <w:rFonts w:hint="eastAsia" w:ascii="Times New Roman" w:hAnsi="Times New Roman" w:eastAsia="宋体" w:cs="Times New Roman"/>
                      <w:bCs/>
                      <w:color w:val="auto"/>
                      <w:spacing w:val="0"/>
                      <w:sz w:val="21"/>
                    </w:rPr>
                    <w:t>m</w:t>
                  </w:r>
                  <w:r>
                    <w:rPr>
                      <w:rFonts w:ascii="Times New Roman" w:hAnsi="Times New Roman" w:eastAsia="宋体" w:cs="Times New Roman"/>
                      <w:bCs/>
                      <w:color w:val="auto"/>
                      <w:spacing w:val="0"/>
                      <w:sz w:val="21"/>
                    </w:rPr>
                    <w:t>g/m</w:t>
                  </w:r>
                  <w:r>
                    <w:rPr>
                      <w:rFonts w:ascii="Times New Roman" w:hAnsi="Times New Roman" w:eastAsia="宋体" w:cs="Times New Roman"/>
                      <w:bCs/>
                      <w:color w:val="auto"/>
                      <w:spacing w:val="0"/>
                      <w:sz w:val="21"/>
                      <w:vertAlign w:val="superscript"/>
                    </w:rPr>
                    <w:t>3</w:t>
                  </w:r>
                  <w:r>
                    <w:rPr>
                      <w:rFonts w:hint="eastAsia" w:ascii="Times New Roman" w:hAnsi="Times New Roman" w:eastAsia="宋体" w:cs="Times New Roman"/>
                      <w:bCs/>
                      <w:color w:val="auto"/>
                      <w:spacing w:val="0"/>
                      <w:sz w:val="21"/>
                      <w:vertAlign w:val="superscript"/>
                      <w:lang w:eastAsia="zh-CN"/>
                    </w:rPr>
                    <w:t>）</w:t>
                  </w:r>
                </w:p>
              </w:tc>
              <w:tc>
                <w:tcPr>
                  <w:tcW w:w="617" w:type="pct"/>
                  <w:vMerge w:val="restart"/>
                  <w:tcBorders>
                    <w:tl2br w:val="nil"/>
                    <w:tr2bl w:val="nil"/>
                  </w:tcBorders>
                  <w:vAlign w:val="center"/>
                </w:tcPr>
                <w:p>
                  <w:pPr>
                    <w:widowControl/>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占标率/%</w:t>
                  </w:r>
                </w:p>
              </w:tc>
              <w:tc>
                <w:tcPr>
                  <w:tcW w:w="529" w:type="pct"/>
                  <w:vMerge w:val="restart"/>
                  <w:tcBorders>
                    <w:tl2br w:val="nil"/>
                    <w:tr2bl w:val="nil"/>
                  </w:tcBorders>
                  <w:vAlign w:val="center"/>
                </w:tcPr>
                <w:p>
                  <w:pPr>
                    <w:widowControl/>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超标率%</w:t>
                  </w:r>
                </w:p>
              </w:tc>
              <w:tc>
                <w:tcPr>
                  <w:tcW w:w="452" w:type="pct"/>
                  <w:vMerge w:val="restart"/>
                  <w:tcBorders>
                    <w:tl2br w:val="nil"/>
                    <w:tr2bl w:val="nil"/>
                  </w:tcBorders>
                  <w:vAlign w:val="center"/>
                </w:tcPr>
                <w:p>
                  <w:pPr>
                    <w:widowControl/>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达标情况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52" w:type="pct"/>
                  <w:vMerge w:val="continue"/>
                  <w:tcBorders>
                    <w:tl2br w:val="nil"/>
                    <w:tr2bl w:val="nil"/>
                  </w:tcBorders>
                  <w:vAlign w:val="center"/>
                </w:tcPr>
                <w:p>
                  <w:pPr>
                    <w:widowControl/>
                    <w:spacing w:line="240" w:lineRule="auto"/>
                    <w:ind w:firstLine="0" w:firstLineChars="0"/>
                    <w:jc w:val="center"/>
                    <w:rPr>
                      <w:rFonts w:ascii="Times New Roman" w:hAnsi="Times New Roman" w:eastAsia="宋体" w:cs="Times New Roman"/>
                      <w:color w:val="auto"/>
                      <w:spacing w:val="0"/>
                      <w:sz w:val="21"/>
                    </w:rPr>
                  </w:pPr>
                </w:p>
              </w:tc>
              <w:tc>
                <w:tcPr>
                  <w:tcW w:w="664" w:type="pct"/>
                  <w:vMerge w:val="continue"/>
                  <w:tcBorders>
                    <w:tl2br w:val="nil"/>
                    <w:tr2bl w:val="nil"/>
                  </w:tcBorders>
                  <w:vAlign w:val="center"/>
                </w:tcPr>
                <w:p>
                  <w:pPr>
                    <w:widowControl/>
                    <w:spacing w:line="240" w:lineRule="auto"/>
                    <w:ind w:firstLine="0" w:firstLineChars="0"/>
                    <w:jc w:val="center"/>
                    <w:rPr>
                      <w:rFonts w:ascii="Times New Roman" w:hAnsi="Times New Roman" w:eastAsia="宋体" w:cs="Times New Roman"/>
                      <w:color w:val="auto"/>
                      <w:spacing w:val="0"/>
                      <w:sz w:val="21"/>
                    </w:rPr>
                  </w:pPr>
                </w:p>
              </w:tc>
              <w:tc>
                <w:tcPr>
                  <w:tcW w:w="604" w:type="pct"/>
                  <w:vMerge w:val="continue"/>
                  <w:tcBorders>
                    <w:tl2br w:val="nil"/>
                    <w:tr2bl w:val="nil"/>
                  </w:tcBorders>
                  <w:vAlign w:val="center"/>
                </w:tcPr>
                <w:p>
                  <w:pPr>
                    <w:widowControl/>
                    <w:spacing w:line="240" w:lineRule="auto"/>
                    <w:ind w:firstLine="0" w:firstLineChars="0"/>
                    <w:jc w:val="center"/>
                    <w:rPr>
                      <w:rFonts w:ascii="Times New Roman" w:hAnsi="Times New Roman" w:eastAsia="宋体" w:cs="Times New Roman"/>
                      <w:color w:val="auto"/>
                      <w:spacing w:val="0"/>
                      <w:sz w:val="21"/>
                    </w:rPr>
                  </w:pPr>
                </w:p>
              </w:tc>
              <w:tc>
                <w:tcPr>
                  <w:tcW w:w="729" w:type="pct"/>
                  <w:vMerge w:val="continue"/>
                  <w:tcBorders>
                    <w:tl2br w:val="nil"/>
                    <w:tr2bl w:val="nil"/>
                  </w:tcBorders>
                  <w:vAlign w:val="center"/>
                </w:tcPr>
                <w:p>
                  <w:pPr>
                    <w:widowControl/>
                    <w:spacing w:line="240" w:lineRule="auto"/>
                    <w:ind w:firstLine="0" w:firstLineChars="0"/>
                    <w:jc w:val="center"/>
                    <w:rPr>
                      <w:rFonts w:ascii="Times New Roman" w:hAnsi="Times New Roman" w:eastAsia="宋体" w:cs="Times New Roman"/>
                      <w:color w:val="auto"/>
                      <w:spacing w:val="0"/>
                      <w:sz w:val="21"/>
                    </w:rPr>
                  </w:pPr>
                </w:p>
              </w:tc>
              <w:tc>
                <w:tcPr>
                  <w:tcW w:w="748" w:type="pct"/>
                  <w:vMerge w:val="continue"/>
                  <w:tcBorders>
                    <w:tl2br w:val="nil"/>
                    <w:tr2bl w:val="nil"/>
                  </w:tcBorders>
                  <w:vAlign w:val="center"/>
                </w:tcPr>
                <w:p>
                  <w:pPr>
                    <w:widowControl/>
                    <w:spacing w:line="240" w:lineRule="auto"/>
                    <w:ind w:firstLine="0" w:firstLineChars="0"/>
                    <w:jc w:val="center"/>
                    <w:rPr>
                      <w:rFonts w:ascii="Times New Roman" w:hAnsi="Times New Roman" w:eastAsia="宋体" w:cs="Times New Roman"/>
                      <w:color w:val="auto"/>
                      <w:spacing w:val="0"/>
                      <w:sz w:val="21"/>
                    </w:rPr>
                  </w:pPr>
                </w:p>
              </w:tc>
              <w:tc>
                <w:tcPr>
                  <w:tcW w:w="617" w:type="pct"/>
                  <w:vMerge w:val="continue"/>
                  <w:tcBorders>
                    <w:tl2br w:val="nil"/>
                    <w:tr2bl w:val="nil"/>
                  </w:tcBorders>
                  <w:vAlign w:val="center"/>
                </w:tcPr>
                <w:p>
                  <w:pPr>
                    <w:widowControl/>
                    <w:spacing w:line="240" w:lineRule="auto"/>
                    <w:ind w:firstLine="0" w:firstLineChars="0"/>
                    <w:jc w:val="center"/>
                    <w:rPr>
                      <w:rFonts w:ascii="Times New Roman" w:hAnsi="Times New Roman" w:eastAsia="宋体" w:cs="Times New Roman"/>
                      <w:color w:val="auto"/>
                      <w:spacing w:val="0"/>
                      <w:sz w:val="21"/>
                    </w:rPr>
                  </w:pPr>
                </w:p>
              </w:tc>
              <w:tc>
                <w:tcPr>
                  <w:tcW w:w="529" w:type="pct"/>
                  <w:vMerge w:val="continue"/>
                  <w:tcBorders>
                    <w:tl2br w:val="nil"/>
                    <w:tr2bl w:val="nil"/>
                  </w:tcBorders>
                  <w:vAlign w:val="center"/>
                </w:tcPr>
                <w:p>
                  <w:pPr>
                    <w:widowControl/>
                    <w:spacing w:line="240" w:lineRule="auto"/>
                    <w:ind w:firstLine="0" w:firstLineChars="0"/>
                    <w:jc w:val="center"/>
                    <w:rPr>
                      <w:rFonts w:ascii="Times New Roman" w:hAnsi="Times New Roman" w:eastAsia="宋体" w:cs="Times New Roman"/>
                      <w:color w:val="auto"/>
                      <w:spacing w:val="0"/>
                      <w:sz w:val="21"/>
                    </w:rPr>
                  </w:pPr>
                </w:p>
              </w:tc>
              <w:tc>
                <w:tcPr>
                  <w:tcW w:w="452" w:type="pct"/>
                  <w:vMerge w:val="continue"/>
                  <w:tcBorders>
                    <w:tl2br w:val="nil"/>
                    <w:tr2bl w:val="nil"/>
                  </w:tcBorders>
                  <w:vAlign w:val="center"/>
                </w:tcPr>
                <w:p>
                  <w:pPr>
                    <w:widowControl/>
                    <w:spacing w:line="240" w:lineRule="auto"/>
                    <w:ind w:firstLine="0" w:firstLineChars="0"/>
                    <w:jc w:val="center"/>
                    <w:rPr>
                      <w:rFonts w:ascii="Times New Roman" w:hAnsi="Times New Roman" w:eastAsia="宋体" w:cs="Times New Roman"/>
                      <w:color w:val="auto"/>
                      <w:spacing w:val="0"/>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797" w:hRule="atLeast"/>
              </w:trPr>
              <w:tc>
                <w:tcPr>
                  <w:tcW w:w="652" w:type="pct"/>
                  <w:tcBorders>
                    <w:tl2br w:val="nil"/>
                    <w:tr2bl w:val="nil"/>
                  </w:tcBorders>
                  <w:vAlign w:val="center"/>
                </w:tcPr>
                <w:p>
                  <w:pPr>
                    <w:tabs>
                      <w:tab w:val="left" w:pos="3580"/>
                    </w:tabs>
                    <w:topLinePunct/>
                    <w:spacing w:line="240" w:lineRule="auto"/>
                    <w:ind w:firstLine="0" w:firstLineChars="0"/>
                    <w:jc w:val="center"/>
                    <w:rPr>
                      <w:rFonts w:ascii="Times New Roman" w:hAnsi="Times New Roman" w:eastAsia="宋体" w:cs="Times New Roman"/>
                      <w:color w:val="auto"/>
                      <w:spacing w:val="0"/>
                      <w:sz w:val="21"/>
                    </w:rPr>
                  </w:pPr>
                  <w:r>
                    <w:rPr>
                      <w:rFonts w:hint="default" w:ascii="Times New Roman" w:hAnsi="Times New Roman" w:eastAsia="宋体" w:cs="Times New Roman"/>
                      <w:color w:val="auto"/>
                      <w:spacing w:val="0"/>
                      <w:sz w:val="21"/>
                      <w:lang w:val="en-US" w:eastAsia="zh-CN"/>
                    </w:rPr>
                    <w:t>经度86.602242，纬度42.046449</w:t>
                  </w:r>
                </w:p>
              </w:tc>
              <w:tc>
                <w:tcPr>
                  <w:tcW w:w="664" w:type="pct"/>
                  <w:tcBorders>
                    <w:tl2br w:val="nil"/>
                    <w:tr2bl w:val="nil"/>
                  </w:tcBorders>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lang w:val="en-US" w:eastAsia="zh-CN"/>
                    </w:rPr>
                    <w:t>总悬浮颗粒物（TSP）</w:t>
                  </w:r>
                </w:p>
              </w:tc>
              <w:tc>
                <w:tcPr>
                  <w:tcW w:w="604" w:type="pct"/>
                  <w:tcBorders>
                    <w:tl2br w:val="nil"/>
                    <w:tr2bl w:val="nil"/>
                  </w:tcBorders>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lang w:val="en-US" w:eastAsia="zh-CN"/>
                    </w:rPr>
                    <w:t>24</w:t>
                  </w:r>
                  <w:r>
                    <w:rPr>
                      <w:rFonts w:hint="eastAsia" w:ascii="Times New Roman" w:hAnsi="Times New Roman" w:eastAsia="宋体" w:cs="Times New Roman"/>
                      <w:color w:val="auto"/>
                      <w:spacing w:val="0"/>
                      <w:sz w:val="21"/>
                    </w:rPr>
                    <w:t>小时平均</w:t>
                  </w:r>
                </w:p>
              </w:tc>
              <w:tc>
                <w:tcPr>
                  <w:tcW w:w="729"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0.3</w:t>
                  </w:r>
                </w:p>
              </w:tc>
              <w:tc>
                <w:tcPr>
                  <w:tcW w:w="748" w:type="pct"/>
                  <w:tcBorders>
                    <w:tl2br w:val="nil"/>
                    <w:tr2bl w:val="nil"/>
                  </w:tcBorders>
                  <w:shd w:val="clear" w:color="auto" w:fill="auto"/>
                  <w:vAlign w:val="center"/>
                </w:tcPr>
                <w:p>
                  <w:pPr>
                    <w:pStyle w:val="322"/>
                    <w:spacing w:line="240" w:lineRule="auto"/>
                    <w:ind w:firstLine="0" w:firstLineChars="0"/>
                    <w:jc w:val="center"/>
                    <w:rPr>
                      <w:rFonts w:hint="default" w:ascii="Times New Roman" w:hAnsi="Times New Roman" w:eastAsia="等线" w:cs="Times New Roman"/>
                      <w:snapToGrid w:val="0"/>
                      <w:color w:val="auto"/>
                      <w:spacing w:val="0"/>
                      <w:sz w:val="21"/>
                      <w:szCs w:val="21"/>
                      <w:lang w:val="en-US" w:eastAsia="zh-CN"/>
                    </w:rPr>
                  </w:pPr>
                  <w:r>
                    <w:rPr>
                      <w:rFonts w:hint="default" w:ascii="Times New Roman" w:hAnsi="Times New Roman" w:eastAsia="等线" w:cs="Times New Roman"/>
                      <w:snapToGrid w:val="0"/>
                      <w:color w:val="auto"/>
                      <w:spacing w:val="0"/>
                      <w:sz w:val="21"/>
                      <w:szCs w:val="21"/>
                      <w:lang w:val="en-US" w:eastAsia="zh-CN"/>
                    </w:rPr>
                    <w:t>0.208~0.226</w:t>
                  </w:r>
                </w:p>
              </w:tc>
              <w:tc>
                <w:tcPr>
                  <w:tcW w:w="617" w:type="pct"/>
                  <w:tcBorders>
                    <w:tl2br w:val="nil"/>
                    <w:tr2bl w:val="nil"/>
                  </w:tcBorders>
                  <w:shd w:val="clear" w:color="auto" w:fill="auto"/>
                  <w:vAlign w:val="center"/>
                </w:tcPr>
                <w:p>
                  <w:pPr>
                    <w:pStyle w:val="322"/>
                    <w:spacing w:line="240" w:lineRule="auto"/>
                    <w:ind w:firstLine="0" w:firstLineChars="0"/>
                    <w:jc w:val="center"/>
                    <w:rPr>
                      <w:rFonts w:hint="default" w:ascii="Times New Roman" w:hAnsi="Times New Roman" w:eastAsia="宋体" w:cs="Times New Roman"/>
                      <w:color w:val="auto"/>
                      <w:spacing w:val="0"/>
                      <w:kern w:val="2"/>
                      <w:sz w:val="21"/>
                      <w:szCs w:val="21"/>
                      <w:lang w:val="en-US" w:eastAsia="zh-CN"/>
                    </w:rPr>
                  </w:pPr>
                  <w:r>
                    <w:rPr>
                      <w:rFonts w:hint="eastAsia" w:ascii="Times New Roman" w:hAnsi="Times New Roman" w:eastAsia="宋体" w:cs="Times New Roman"/>
                      <w:color w:val="auto"/>
                      <w:spacing w:val="0"/>
                      <w:kern w:val="2"/>
                      <w:sz w:val="21"/>
                      <w:szCs w:val="21"/>
                      <w:lang w:val="en-US" w:eastAsia="zh-CN"/>
                    </w:rPr>
                    <w:t>69.33</w:t>
                  </w:r>
                  <w:r>
                    <w:rPr>
                      <w:rFonts w:hint="default" w:ascii="Times New Roman" w:hAnsi="Times New Roman" w:eastAsia="等线" w:cs="Times New Roman"/>
                      <w:snapToGrid w:val="0"/>
                      <w:color w:val="auto"/>
                      <w:spacing w:val="0"/>
                      <w:sz w:val="21"/>
                      <w:szCs w:val="21"/>
                      <w:lang w:val="en-US" w:eastAsia="zh-CN"/>
                    </w:rPr>
                    <w:t>~</w:t>
                  </w:r>
                  <w:r>
                    <w:rPr>
                      <w:rFonts w:hint="eastAsia" w:ascii="Times New Roman" w:hAnsi="Times New Roman" w:eastAsia="宋体" w:cs="Times New Roman"/>
                      <w:color w:val="auto"/>
                      <w:spacing w:val="0"/>
                      <w:kern w:val="2"/>
                      <w:sz w:val="21"/>
                      <w:szCs w:val="21"/>
                      <w:lang w:val="en-US" w:eastAsia="zh-CN"/>
                    </w:rPr>
                    <w:t>75.33</w:t>
                  </w:r>
                </w:p>
              </w:tc>
              <w:tc>
                <w:tcPr>
                  <w:tcW w:w="529" w:type="pct"/>
                  <w:tcBorders>
                    <w:tl2br w:val="nil"/>
                    <w:tr2bl w:val="nil"/>
                  </w:tcBorders>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21"/>
                      <w:szCs w:val="21"/>
                      <w:lang w:val="en-US" w:eastAsia="zh-CN" w:bidi="ar-SA"/>
                    </w:rPr>
                  </w:pPr>
                  <w:r>
                    <w:rPr>
                      <w:rFonts w:ascii="Times New Roman" w:hAnsi="Times New Roman" w:eastAsia="宋体" w:cs="Times New Roman"/>
                      <w:color w:val="auto"/>
                      <w:spacing w:val="0"/>
                      <w:sz w:val="21"/>
                    </w:rPr>
                    <w:t>0</w:t>
                  </w:r>
                </w:p>
              </w:tc>
              <w:tc>
                <w:tcPr>
                  <w:tcW w:w="452" w:type="pct"/>
                  <w:tcBorders>
                    <w:tl2br w:val="nil"/>
                    <w:tr2bl w:val="nil"/>
                  </w:tcBorders>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21"/>
                      <w:szCs w:val="21"/>
                      <w:lang w:val="en-US" w:eastAsia="zh-CN" w:bidi="ar-SA"/>
                    </w:rPr>
                  </w:pPr>
                  <w:r>
                    <w:rPr>
                      <w:rFonts w:ascii="Times New Roman" w:hAnsi="Times New Roman" w:eastAsia="宋体" w:cs="Times New Roman"/>
                      <w:color w:val="auto"/>
                      <w:spacing w:val="0"/>
                      <w:sz w:val="21"/>
                    </w:rPr>
                    <w:t>达标</w:t>
                  </w:r>
                </w:p>
              </w:tc>
            </w:tr>
          </w:tbl>
          <w:p>
            <w:pPr>
              <w:keepNext w:val="0"/>
              <w:keepLines w:val="0"/>
              <w:pageBreakBefore w:val="0"/>
              <w:kinsoku/>
              <w:wordWrap/>
              <w:overflowPunct/>
              <w:topLinePunct w:val="0"/>
              <w:autoSpaceDN/>
              <w:bidi w:val="0"/>
              <w:adjustRightInd/>
              <w:snapToGrid/>
              <w:ind w:firstLine="480"/>
              <w:textAlignment w:val="auto"/>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rPr>
              <w:t>由</w:t>
            </w:r>
            <w:r>
              <w:rPr>
                <w:rFonts w:hint="eastAsia" w:ascii="Times New Roman" w:hAnsi="Times New Roman" w:eastAsia="宋体" w:cs="Times New Roman"/>
                <w:color w:val="auto"/>
                <w:spacing w:val="0"/>
                <w:sz w:val="24"/>
                <w:szCs w:val="24"/>
                <w:lang w:val="en-US" w:eastAsia="zh-CN"/>
              </w:rPr>
              <w:t>上</w:t>
            </w:r>
            <w:r>
              <w:rPr>
                <w:rFonts w:hint="eastAsia" w:ascii="Times New Roman" w:hAnsi="Times New Roman" w:eastAsia="宋体" w:cs="Times New Roman"/>
                <w:color w:val="auto"/>
                <w:spacing w:val="0"/>
                <w:sz w:val="24"/>
                <w:szCs w:val="24"/>
              </w:rPr>
              <w:t>表数据可知</w:t>
            </w:r>
            <w:r>
              <w:rPr>
                <w:rFonts w:ascii="Times New Roman" w:hAnsi="Times New Roman" w:eastAsia="宋体" w:cs="Times New Roman"/>
                <w:color w:val="auto"/>
                <w:spacing w:val="0"/>
                <w:sz w:val="24"/>
                <w:szCs w:val="24"/>
              </w:rPr>
              <w:t>，</w:t>
            </w:r>
            <w:r>
              <w:rPr>
                <w:rFonts w:hint="eastAsia" w:ascii="Times New Roman" w:hAnsi="Times New Roman" w:eastAsia="宋体" w:cs="Times New Roman"/>
                <w:color w:val="auto"/>
                <w:spacing w:val="0"/>
                <w:sz w:val="24"/>
                <w:szCs w:val="24"/>
              </w:rPr>
              <w:t>项目所在</w:t>
            </w:r>
            <w:r>
              <w:rPr>
                <w:rFonts w:ascii="Times New Roman" w:hAnsi="Times New Roman" w:eastAsia="宋体" w:cs="Times New Roman"/>
                <w:color w:val="auto"/>
                <w:spacing w:val="0"/>
                <w:sz w:val="24"/>
                <w:szCs w:val="24"/>
              </w:rPr>
              <w:t>区域</w:t>
            </w:r>
            <w:r>
              <w:rPr>
                <w:rFonts w:hint="eastAsia" w:ascii="Times New Roman" w:hAnsi="Times New Roman" w:eastAsia="宋体" w:cs="Times New Roman"/>
                <w:color w:val="auto"/>
                <w:spacing w:val="0"/>
                <w:sz w:val="24"/>
                <w:szCs w:val="24"/>
                <w:lang w:val="en-US" w:eastAsia="zh-CN"/>
              </w:rPr>
              <w:t>总悬浮颗粒物（TSP）</w:t>
            </w:r>
            <w:r>
              <w:rPr>
                <w:rFonts w:hint="eastAsia" w:ascii="Times New Roman" w:hAnsi="Times New Roman" w:eastAsia="宋体" w:cs="Times New Roman"/>
                <w:color w:val="auto"/>
                <w:spacing w:val="0"/>
                <w:sz w:val="24"/>
                <w:szCs w:val="24"/>
              </w:rPr>
              <w:t>满足</w:t>
            </w:r>
            <w:r>
              <w:rPr>
                <w:rFonts w:hint="default" w:ascii="Times New Roman" w:hAnsi="Times New Roman" w:eastAsia="宋体" w:cs="Times New Roman"/>
                <w:color w:val="auto"/>
                <w:sz w:val="24"/>
                <w:szCs w:val="24"/>
                <w:highlight w:val="none"/>
                <w:lang w:val="en-US" w:eastAsia="zh-CN"/>
              </w:rPr>
              <w:t>《环境空气质量标准》（GB3095-20</w:t>
            </w:r>
            <w:r>
              <w:rPr>
                <w:rFonts w:hint="eastAsia" w:ascii="Times New Roman" w:hAnsi="Times New Roman" w:eastAsia="宋体" w:cs="Times New Roman"/>
                <w:color w:val="auto"/>
                <w:sz w:val="24"/>
                <w:szCs w:val="24"/>
                <w:highlight w:val="none"/>
                <w:lang w:val="en-US" w:eastAsia="zh-CN"/>
              </w:rPr>
              <w:t>26）过渡阶段</w:t>
            </w:r>
            <w:r>
              <w:rPr>
                <w:rFonts w:hint="default" w:ascii="Times New Roman" w:hAnsi="Times New Roman" w:eastAsia="宋体" w:cs="Times New Roman"/>
                <w:color w:val="auto"/>
                <w:sz w:val="24"/>
                <w:szCs w:val="24"/>
                <w:highlight w:val="none"/>
                <w:lang w:val="en-US" w:eastAsia="zh-CN"/>
              </w:rPr>
              <w:t>二级标准</w:t>
            </w:r>
            <w:r>
              <w:rPr>
                <w:rFonts w:hint="eastAsia" w:ascii="Times New Roman" w:hAnsi="Times New Roman" w:eastAsia="宋体" w:cs="Times New Roman"/>
                <w:color w:val="auto"/>
                <w:spacing w:val="0"/>
                <w:sz w:val="24"/>
                <w:szCs w:val="24"/>
              </w:rPr>
              <w:t>。</w:t>
            </w:r>
          </w:p>
          <w:p>
            <w:pPr>
              <w:keepNext w:val="0"/>
              <w:keepLines w:val="0"/>
              <w:pageBreakBefore w:val="0"/>
              <w:kinsoku/>
              <w:wordWrap/>
              <w:overflowPunct/>
              <w:topLinePunct w:val="0"/>
              <w:autoSpaceDN/>
              <w:bidi w:val="0"/>
              <w:adjustRightInd/>
              <w:snapToGrid/>
              <w:ind w:firstLine="482"/>
              <w:textAlignment w:val="auto"/>
              <w:rPr>
                <w:rFonts w:ascii="Times New Roman" w:hAnsi="Times New Roman" w:eastAsia="宋体" w:cs="Times New Roman"/>
                <w:b/>
                <w:color w:val="auto"/>
                <w:spacing w:val="0"/>
                <w:sz w:val="24"/>
              </w:rPr>
            </w:pPr>
            <w:r>
              <w:rPr>
                <w:rFonts w:hint="eastAsia" w:ascii="Times New Roman" w:hAnsi="Times New Roman" w:eastAsia="宋体" w:cs="Times New Roman"/>
                <w:b/>
                <w:color w:val="auto"/>
                <w:spacing w:val="0"/>
                <w:sz w:val="24"/>
              </w:rPr>
              <w:t>2</w:t>
            </w:r>
            <w:r>
              <w:rPr>
                <w:rFonts w:ascii="Times New Roman" w:hAnsi="Times New Roman" w:eastAsia="宋体" w:cs="Times New Roman"/>
                <w:b/>
                <w:color w:val="auto"/>
                <w:spacing w:val="0"/>
                <w:sz w:val="24"/>
              </w:rPr>
              <w:t>、地表水环境质量现状</w:t>
            </w:r>
          </w:p>
          <w:p>
            <w:pPr>
              <w:keepNext w:val="0"/>
              <w:keepLines w:val="0"/>
              <w:pageBreakBefore w:val="0"/>
              <w:tabs>
                <w:tab w:val="left" w:pos="864"/>
              </w:tabs>
              <w:kinsoku/>
              <w:wordWrap/>
              <w:overflowPunct/>
              <w:topLinePunct w:val="0"/>
              <w:autoSpaceDE w:val="0"/>
              <w:autoSpaceDN/>
              <w:bidi w:val="0"/>
              <w:adjustRightInd/>
              <w:snapToGrid/>
              <w:ind w:firstLine="480"/>
              <w:textAlignment w:val="auto"/>
              <w:rPr>
                <w:rFonts w:hint="eastAsia"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rPr>
              <w:t>本项目无生产废水</w:t>
            </w:r>
            <w:r>
              <w:rPr>
                <w:rFonts w:hint="eastAsia" w:ascii="Times New Roman" w:hAnsi="Times New Roman" w:eastAsia="宋体" w:cs="Times New Roman"/>
                <w:color w:val="auto"/>
                <w:spacing w:val="0"/>
                <w:sz w:val="24"/>
                <w:szCs w:val="24"/>
                <w:lang w:val="en-US" w:eastAsia="zh-CN"/>
              </w:rPr>
              <w:t>排放</w:t>
            </w:r>
            <w:r>
              <w:rPr>
                <w:rFonts w:hint="eastAsia" w:ascii="Times New Roman" w:hAnsi="Times New Roman" w:eastAsia="宋体" w:cs="Times New Roman"/>
                <w:color w:val="auto"/>
                <w:spacing w:val="0"/>
                <w:sz w:val="24"/>
                <w:szCs w:val="24"/>
              </w:rPr>
              <w:t>；生活污水</w:t>
            </w:r>
            <w:r>
              <w:rPr>
                <w:rFonts w:hint="eastAsia" w:ascii="Times New Roman" w:hAnsi="Times New Roman" w:eastAsia="宋体" w:cs="Times New Roman"/>
                <w:color w:val="auto"/>
                <w:spacing w:val="0"/>
                <w:sz w:val="24"/>
                <w:szCs w:val="24"/>
                <w:lang w:val="en-US" w:eastAsia="zh-CN"/>
              </w:rPr>
              <w:t>定期清运至博湖县城镇生活污水处理厂进一步处理。根据《建设项目环境影响报告表编制技术指南（生态影响类）（试行）》中“不开展专项评价的环境要素，引用与项目距离近的有效数据和调查资料，包括符合时限要求的规划环境影响评价监测数据和调查资料，国家、地方环境质量监测网数据或生态环境主管部门公开发布的生态环境质量数据等”的规定，本项目不涉及地表水专项评价，地表水环境质量状况引用《巴音郭楞蒙古自治州2024年生态环境状况公报》进行分析。</w:t>
            </w:r>
          </w:p>
          <w:p>
            <w:pPr>
              <w:keepNext w:val="0"/>
              <w:keepLines w:val="0"/>
              <w:pageBreakBefore w:val="0"/>
              <w:tabs>
                <w:tab w:val="left" w:pos="864"/>
              </w:tabs>
              <w:kinsoku/>
              <w:wordWrap/>
              <w:overflowPunct/>
              <w:topLinePunct w:val="0"/>
              <w:autoSpaceDE w:val="0"/>
              <w:autoSpaceDN/>
              <w:bidi w:val="0"/>
              <w:adjustRightInd/>
              <w:snapToGrid/>
              <w:ind w:firstLine="480"/>
              <w:textAlignment w:val="auto"/>
              <w:rPr>
                <w:rFonts w:hint="eastAsia"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2024年，全州地表水监测的31个考核断面（点位）中，I~Ⅲ类优良水质断面（点位）占比90.3%，无Ⅳ类水质。6条主要河流19个监测断面中I~Ⅲ类优良水质断面占100%，3个重要湖泊（水库）12个监测点位中I～Ⅲ类优良水质断面占75%，无劣Ⅴ类水体，湖泊水质影响因子为化学需氧量。</w:t>
            </w:r>
          </w:p>
          <w:p>
            <w:pPr>
              <w:keepNext w:val="0"/>
              <w:keepLines w:val="0"/>
              <w:pageBreakBefore w:val="0"/>
              <w:tabs>
                <w:tab w:val="left" w:pos="864"/>
              </w:tabs>
              <w:kinsoku/>
              <w:wordWrap/>
              <w:overflowPunct/>
              <w:topLinePunct w:val="0"/>
              <w:autoSpaceDE w:val="0"/>
              <w:autoSpaceDN/>
              <w:bidi w:val="0"/>
              <w:adjustRightInd/>
              <w:snapToGrid/>
              <w:ind w:firstLine="480"/>
              <w:textAlignment w:val="auto"/>
              <w:rPr>
                <w:rFonts w:hint="eastAsia"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本项目虽不在开都河法定河道保护范围内，但厂区部分构筑物距开都河岸线56m，存在极端暴雨、防渗破损引发污染物入河风险。本次通过设置临河防渗围堰、多级截排水系统、双层防渗池体、河道生态缓冲带等专项强化措施，构建“源头防渗-过程截流-末端收集-应急封堵”四级防控体系，正常工况无废水外排；极端事故状态下可截留泄漏废液，污染物无法通过地表径流进入开都河，不会进一步影响博斯腾湖水体水质，近河环境风险可控。</w:t>
            </w:r>
          </w:p>
          <w:p>
            <w:pPr>
              <w:pStyle w:val="50"/>
              <w:keepNext w:val="0"/>
              <w:keepLines w:val="0"/>
              <w:pageBreakBefore w:val="0"/>
              <w:kinsoku/>
              <w:wordWrap/>
              <w:overflowPunct/>
              <w:topLinePunct w:val="0"/>
              <w:autoSpaceDN/>
              <w:bidi w:val="0"/>
              <w:adjustRightInd/>
              <w:snapToGrid/>
              <w:spacing w:before="0" w:beforeAutospacing="0" w:after="0" w:afterAutospacing="0"/>
              <w:ind w:firstLine="482"/>
              <w:jc w:val="both"/>
              <w:textAlignment w:val="auto"/>
              <w:rPr>
                <w:rFonts w:hint="eastAsia" w:ascii="Times New Roman" w:hAnsi="Times New Roman" w:eastAsia="宋体" w:cs="Times New Roman"/>
                <w:color w:val="auto"/>
                <w:spacing w:val="0"/>
                <w:sz w:val="24"/>
                <w:szCs w:val="24"/>
                <w:lang w:val="en-US" w:eastAsia="zh-CN" w:bidi="ar-SA"/>
              </w:rPr>
            </w:pPr>
            <w:r>
              <w:rPr>
                <w:rFonts w:hint="eastAsia" w:ascii="Times New Roman" w:hAnsi="Times New Roman" w:eastAsia="宋体" w:cs="Times New Roman"/>
                <w:color w:val="auto"/>
                <w:spacing w:val="0"/>
                <w:sz w:val="24"/>
                <w:szCs w:val="24"/>
                <w:lang w:val="en-US" w:eastAsia="zh-CN" w:bidi="ar-SA"/>
              </w:rPr>
              <w:t>本项目距离开都河法定外缘控制线56m</w:t>
            </w:r>
            <w:r>
              <w:rPr>
                <w:rFonts w:ascii="宋体" w:hAnsi="宋体" w:eastAsia="宋体" w:cs="宋体"/>
                <w:color w:val="auto"/>
                <w:sz w:val="24"/>
                <w:szCs w:val="24"/>
              </w:rPr>
              <w:t>。项目配套临河防渗围堰、多级截排水系统、双层防渗池体、河道生态缓冲带等专项强化措施，构建“源头防渗</w:t>
            </w:r>
            <w:r>
              <w:rPr>
                <w:rFonts w:ascii="宋体" w:hAnsi="宋体" w:eastAsia="宋体" w:cs="宋体"/>
                <w:color w:val="auto"/>
                <w:sz w:val="24"/>
                <w:szCs w:val="24"/>
              </w:rPr>
              <w:noBreakHyphen/>
            </w:r>
            <w:r>
              <w:rPr>
                <w:rFonts w:ascii="宋体" w:hAnsi="宋体" w:eastAsia="宋体" w:cs="宋体"/>
                <w:color w:val="auto"/>
                <w:sz w:val="24"/>
                <w:szCs w:val="24"/>
              </w:rPr>
              <w:t>过程截流</w:t>
            </w:r>
            <w:r>
              <w:rPr>
                <w:rFonts w:ascii="宋体" w:hAnsi="宋体" w:eastAsia="宋体" w:cs="宋体"/>
                <w:color w:val="auto"/>
                <w:sz w:val="24"/>
                <w:szCs w:val="24"/>
              </w:rPr>
              <w:noBreakHyphen/>
            </w:r>
            <w:r>
              <w:rPr>
                <w:rFonts w:ascii="宋体" w:hAnsi="宋体" w:eastAsia="宋体" w:cs="宋体"/>
                <w:color w:val="auto"/>
                <w:sz w:val="24"/>
                <w:szCs w:val="24"/>
              </w:rPr>
              <w:t>末端收集</w:t>
            </w:r>
            <w:r>
              <w:rPr>
                <w:rFonts w:ascii="宋体" w:hAnsi="宋体" w:eastAsia="宋体" w:cs="宋体"/>
                <w:color w:val="auto"/>
                <w:sz w:val="24"/>
                <w:szCs w:val="24"/>
              </w:rPr>
              <w:noBreakHyphen/>
            </w:r>
            <w:r>
              <w:rPr>
                <w:rFonts w:ascii="宋体" w:hAnsi="宋体" w:eastAsia="宋体" w:cs="宋体"/>
                <w:color w:val="auto"/>
                <w:sz w:val="24"/>
                <w:szCs w:val="24"/>
              </w:rPr>
              <w:t>应急封堵”四级防控体系，正常工况无废水外排；极端事故状态下可截留泄漏废液，污染物无法通过地表径流进入开都河，不会进一步影响博斯腾湖水体水质，缓冲区内的临河水环境风险可控。</w:t>
            </w:r>
          </w:p>
          <w:p>
            <w:pPr>
              <w:pStyle w:val="50"/>
              <w:keepNext w:val="0"/>
              <w:keepLines w:val="0"/>
              <w:pageBreakBefore w:val="0"/>
              <w:kinsoku/>
              <w:wordWrap/>
              <w:overflowPunct/>
              <w:topLinePunct w:val="0"/>
              <w:autoSpaceDN/>
              <w:bidi w:val="0"/>
              <w:adjustRightInd/>
              <w:snapToGrid/>
              <w:spacing w:before="0" w:beforeAutospacing="0" w:after="0" w:afterAutospacing="0"/>
              <w:ind w:firstLine="482"/>
              <w:jc w:val="both"/>
              <w:textAlignment w:val="auto"/>
              <w:rPr>
                <w:rFonts w:ascii="Times New Roman" w:hAnsi="Times New Roman" w:eastAsia="宋体" w:cs="Times New Roman"/>
                <w:b/>
                <w:snapToGrid w:val="0"/>
                <w:color w:val="auto"/>
                <w:spacing w:val="0"/>
              </w:rPr>
            </w:pPr>
            <w:r>
              <w:rPr>
                <w:rFonts w:hint="eastAsia" w:ascii="Times New Roman" w:hAnsi="Times New Roman" w:eastAsia="宋体" w:cs="Times New Roman"/>
                <w:b/>
                <w:snapToGrid w:val="0"/>
                <w:color w:val="auto"/>
                <w:spacing w:val="0"/>
              </w:rPr>
              <w:t>3</w:t>
            </w:r>
            <w:r>
              <w:rPr>
                <w:rFonts w:ascii="Times New Roman" w:hAnsi="Times New Roman" w:eastAsia="宋体" w:cs="Times New Roman"/>
                <w:b/>
                <w:snapToGrid w:val="0"/>
                <w:color w:val="auto"/>
                <w:spacing w:val="0"/>
              </w:rPr>
              <w:t>、声环境质量现状</w:t>
            </w:r>
          </w:p>
          <w:p>
            <w:pPr>
              <w:keepNext w:val="0"/>
              <w:keepLines w:val="0"/>
              <w:pageBreakBefore w:val="0"/>
              <w:kinsoku/>
              <w:wordWrap/>
              <w:overflowPunct/>
              <w:topLinePunct w:val="0"/>
              <w:autoSpaceDN/>
              <w:bidi w:val="0"/>
              <w:adjustRightInd/>
              <w:snapToGrid/>
              <w:ind w:firstLine="480"/>
              <w:textAlignment w:val="auto"/>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rPr>
              <w:t>按照《建设项目环境影响报告表编制技术指南（污染影响类）（试行）》中相关要求，厂界外周边50m范围内存在声环境保护目标的建设项目，应监测保护目标声环境质量现状并评价达标情况。根据现场勘查，项目周边50m范围内无声环境保护目标，因此，无需</w:t>
            </w:r>
            <w:r>
              <w:rPr>
                <w:rFonts w:hint="eastAsia" w:ascii="Times New Roman" w:hAnsi="Times New Roman" w:eastAsia="宋体" w:cs="Times New Roman"/>
                <w:color w:val="auto"/>
                <w:spacing w:val="0"/>
                <w:sz w:val="24"/>
                <w:szCs w:val="24"/>
                <w:lang w:val="en-US" w:eastAsia="zh-CN"/>
              </w:rPr>
              <w:t>开展</w:t>
            </w:r>
            <w:r>
              <w:rPr>
                <w:rFonts w:hint="eastAsia" w:ascii="Times New Roman" w:hAnsi="Times New Roman" w:eastAsia="宋体" w:cs="Times New Roman"/>
                <w:color w:val="auto"/>
                <w:spacing w:val="0"/>
                <w:sz w:val="24"/>
                <w:szCs w:val="24"/>
              </w:rPr>
              <w:t>声环境质量现状</w:t>
            </w:r>
            <w:r>
              <w:rPr>
                <w:rFonts w:hint="eastAsia" w:ascii="Times New Roman" w:hAnsi="Times New Roman" w:eastAsia="宋体" w:cs="Times New Roman"/>
                <w:color w:val="auto"/>
                <w:spacing w:val="0"/>
                <w:sz w:val="24"/>
                <w:szCs w:val="24"/>
                <w:lang w:val="en-US" w:eastAsia="zh-CN"/>
              </w:rPr>
              <w:t>监测</w:t>
            </w:r>
            <w:r>
              <w:rPr>
                <w:rFonts w:hint="eastAsia" w:ascii="Times New Roman" w:hAnsi="Times New Roman" w:eastAsia="宋体" w:cs="Times New Roman"/>
                <w:color w:val="auto"/>
                <w:spacing w:val="0"/>
                <w:sz w:val="24"/>
                <w:szCs w:val="24"/>
              </w:rPr>
              <w:t>。</w:t>
            </w:r>
          </w:p>
          <w:p>
            <w:pPr>
              <w:pStyle w:val="50"/>
              <w:keepNext w:val="0"/>
              <w:keepLines w:val="0"/>
              <w:pageBreakBefore w:val="0"/>
              <w:kinsoku/>
              <w:wordWrap/>
              <w:overflowPunct/>
              <w:topLinePunct w:val="0"/>
              <w:autoSpaceDN/>
              <w:bidi w:val="0"/>
              <w:adjustRightInd/>
              <w:snapToGrid/>
              <w:spacing w:before="0" w:beforeAutospacing="0" w:after="0" w:afterAutospacing="0"/>
              <w:ind w:firstLine="482"/>
              <w:jc w:val="both"/>
              <w:textAlignment w:val="auto"/>
              <w:rPr>
                <w:rFonts w:ascii="Times New Roman" w:hAnsi="Times New Roman" w:eastAsia="宋体" w:cs="Times New Roman"/>
                <w:b/>
                <w:snapToGrid w:val="0"/>
                <w:color w:val="auto"/>
                <w:spacing w:val="0"/>
              </w:rPr>
            </w:pPr>
            <w:r>
              <w:rPr>
                <w:rFonts w:hint="eastAsia" w:ascii="Times New Roman" w:hAnsi="Times New Roman" w:eastAsia="宋体" w:cs="Times New Roman"/>
                <w:b/>
                <w:snapToGrid w:val="0"/>
                <w:color w:val="auto"/>
                <w:spacing w:val="0"/>
              </w:rPr>
              <w:t>4</w:t>
            </w:r>
            <w:r>
              <w:rPr>
                <w:rFonts w:ascii="Times New Roman" w:hAnsi="Times New Roman" w:eastAsia="宋体" w:cs="Times New Roman"/>
                <w:b/>
                <w:snapToGrid w:val="0"/>
                <w:color w:val="auto"/>
                <w:spacing w:val="0"/>
              </w:rPr>
              <w:t>、地下水</w:t>
            </w:r>
            <w:r>
              <w:rPr>
                <w:rFonts w:hint="eastAsia" w:ascii="Times New Roman" w:hAnsi="Times New Roman" w:eastAsia="宋体" w:cs="Times New Roman"/>
                <w:b/>
                <w:snapToGrid w:val="0"/>
                <w:color w:val="auto"/>
                <w:spacing w:val="0"/>
              </w:rPr>
              <w:t>、土壤</w:t>
            </w:r>
            <w:r>
              <w:rPr>
                <w:rFonts w:ascii="Times New Roman" w:hAnsi="Times New Roman" w:eastAsia="宋体" w:cs="Times New Roman"/>
                <w:b/>
                <w:snapToGrid w:val="0"/>
                <w:color w:val="auto"/>
                <w:spacing w:val="0"/>
              </w:rPr>
              <w:t>环境质量现状</w:t>
            </w:r>
          </w:p>
          <w:p>
            <w:pPr>
              <w:keepNext w:val="0"/>
              <w:keepLines w:val="0"/>
              <w:pageBreakBefore w:val="0"/>
              <w:kinsoku/>
              <w:wordWrap/>
              <w:overflowPunct/>
              <w:topLinePunct w:val="0"/>
              <w:autoSpaceDN/>
              <w:bidi w:val="0"/>
              <w:adjustRightInd/>
              <w:snapToGrid/>
              <w:ind w:firstLine="480"/>
              <w:textAlignment w:val="auto"/>
              <w:rPr>
                <w:rFonts w:hint="eastAsia"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rPr>
              <w:t>根据《建设项目环境影响报告表编制技术指南（污染影响类）（试行）》中相关要求：原则上不开展环境质量现状调查。建设项目存在地下水环境污染途径的，应结合污染源、保护目标分布情况开展现状调查以留作背景值。本项目运营期不存在地下水环境污染途径，不开展现状调查。</w:t>
            </w:r>
          </w:p>
          <w:p>
            <w:pPr>
              <w:keepNext w:val="0"/>
              <w:keepLines w:val="0"/>
              <w:pageBreakBefore w:val="0"/>
              <w:kinsoku/>
              <w:wordWrap/>
              <w:overflowPunct/>
              <w:topLinePunct w:val="0"/>
              <w:autoSpaceDN/>
              <w:bidi w:val="0"/>
              <w:adjustRightInd/>
              <w:snapToGrid/>
              <w:ind w:firstLine="480"/>
              <w:textAlignment w:val="auto"/>
              <w:rPr>
                <w:rFonts w:hint="eastAsia"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rPr>
              <w:t>根据《环境影响评价技术导则</w:t>
            </w:r>
            <w:r>
              <w:rPr>
                <w:rFonts w:hint="eastAsia" w:ascii="Times New Roman" w:hAnsi="Times New Roman" w:eastAsia="宋体" w:cs="Times New Roman"/>
                <w:color w:val="auto"/>
                <w:spacing w:val="0"/>
                <w:sz w:val="24"/>
                <w:szCs w:val="24"/>
                <w:lang w:eastAsia="zh-CN"/>
              </w:rPr>
              <w:t>－</w:t>
            </w:r>
            <w:r>
              <w:rPr>
                <w:rFonts w:hint="eastAsia" w:ascii="Times New Roman" w:hAnsi="Times New Roman" w:eastAsia="宋体" w:cs="Times New Roman"/>
                <w:color w:val="auto"/>
                <w:spacing w:val="0"/>
                <w:sz w:val="24"/>
                <w:szCs w:val="24"/>
              </w:rPr>
              <w:t>土壤环境</w:t>
            </w:r>
            <w:r>
              <w:rPr>
                <w:rFonts w:hint="eastAsia" w:ascii="Times New Roman" w:hAnsi="Times New Roman" w:eastAsia="宋体" w:cs="Times New Roman"/>
                <w:color w:val="auto"/>
                <w:spacing w:val="0"/>
                <w:sz w:val="24"/>
                <w:szCs w:val="24"/>
                <w:lang w:eastAsia="zh-CN"/>
              </w:rPr>
              <w:t>（试行）》</w:t>
            </w:r>
            <w:r>
              <w:rPr>
                <w:rFonts w:hint="eastAsia" w:ascii="Times New Roman" w:hAnsi="Times New Roman" w:eastAsia="宋体" w:cs="Times New Roman"/>
                <w:color w:val="auto"/>
                <w:spacing w:val="0"/>
                <w:sz w:val="24"/>
                <w:szCs w:val="24"/>
              </w:rPr>
              <w:t>附录A中表A.1土壤环境影响评价项目类别，本项目属于</w:t>
            </w:r>
            <w:r>
              <w:rPr>
                <w:rFonts w:hint="eastAsia" w:ascii="Times New Roman" w:hAnsi="Times New Roman" w:eastAsia="宋体" w:cs="Times New Roman"/>
                <w:color w:val="auto"/>
                <w:spacing w:val="0"/>
                <w:sz w:val="24"/>
                <w:szCs w:val="24"/>
                <w:lang w:val="en-US" w:eastAsia="zh-CN"/>
              </w:rPr>
              <w:t>环境和公共设施管理</w:t>
            </w:r>
            <w:r>
              <w:rPr>
                <w:rFonts w:hint="eastAsia" w:ascii="Times New Roman" w:hAnsi="Times New Roman" w:eastAsia="宋体" w:cs="Times New Roman"/>
                <w:color w:val="auto"/>
                <w:spacing w:val="0"/>
                <w:sz w:val="24"/>
                <w:szCs w:val="24"/>
              </w:rPr>
              <w:t>业</w:t>
            </w:r>
            <w:r>
              <w:rPr>
                <w:rFonts w:hint="eastAsia" w:ascii="Times New Roman" w:hAnsi="Times New Roman" w:eastAsia="宋体" w:cs="Times New Roman"/>
                <w:color w:val="auto"/>
                <w:spacing w:val="0"/>
                <w:sz w:val="24"/>
                <w:szCs w:val="24"/>
                <w:lang w:eastAsia="zh-CN"/>
              </w:rPr>
              <w:t>—</w:t>
            </w:r>
            <w:r>
              <w:rPr>
                <w:rFonts w:hint="eastAsia" w:ascii="Times New Roman" w:hAnsi="Times New Roman" w:eastAsia="宋体" w:cs="Times New Roman"/>
                <w:color w:val="auto"/>
                <w:spacing w:val="0"/>
                <w:sz w:val="24"/>
                <w:szCs w:val="24"/>
                <w:lang w:val="en-US" w:eastAsia="zh-CN"/>
              </w:rPr>
              <w:t>一般工业固体废物处置及综合利用（除采取填埋和焚烧方式以外的）；废旧资源加工、再生利用</w:t>
            </w:r>
            <w:r>
              <w:rPr>
                <w:rFonts w:hint="eastAsia" w:ascii="Times New Roman" w:hAnsi="Times New Roman" w:eastAsia="宋体" w:cs="Times New Roman"/>
                <w:color w:val="auto"/>
                <w:spacing w:val="0"/>
                <w:sz w:val="24"/>
                <w:szCs w:val="24"/>
                <w:lang w:eastAsia="zh-CN"/>
              </w:rPr>
              <w:t>—</w:t>
            </w:r>
            <w:r>
              <w:rPr>
                <w:rFonts w:hint="eastAsia" w:ascii="Times New Roman" w:hAnsi="Times New Roman" w:eastAsia="宋体" w:cs="Times New Roman"/>
                <w:color w:val="auto"/>
                <w:spacing w:val="0"/>
                <w:sz w:val="24"/>
                <w:szCs w:val="24"/>
                <w:lang w:val="en-US" w:eastAsia="zh-CN"/>
              </w:rPr>
              <w:t>一般工业固体废物处置及综合利用（除采取填埋和焚烧方式以外的）</w:t>
            </w:r>
            <w:r>
              <w:rPr>
                <w:rFonts w:hint="eastAsia" w:ascii="Times New Roman" w:hAnsi="Times New Roman" w:eastAsia="宋体" w:cs="Times New Roman"/>
                <w:color w:val="auto"/>
                <w:spacing w:val="0"/>
                <w:sz w:val="24"/>
                <w:szCs w:val="24"/>
              </w:rPr>
              <w:t>，本项目土壤环境影响评价项目类别为</w:t>
            </w:r>
            <w:r>
              <w:rPr>
                <w:rFonts w:hint="eastAsia" w:ascii="Times New Roman" w:hAnsi="Times New Roman" w:eastAsia="宋体" w:cs="Times New Roman"/>
                <w:color w:val="auto"/>
                <w:spacing w:val="0"/>
                <w:sz w:val="24"/>
                <w:szCs w:val="24"/>
                <w:lang w:eastAsia="zh-CN"/>
              </w:rPr>
              <w:t>Ⅲ</w:t>
            </w:r>
            <w:r>
              <w:rPr>
                <w:rFonts w:hint="eastAsia" w:ascii="Times New Roman" w:hAnsi="Times New Roman" w:eastAsia="宋体" w:cs="Times New Roman"/>
                <w:color w:val="auto"/>
                <w:spacing w:val="0"/>
                <w:sz w:val="24"/>
                <w:szCs w:val="24"/>
              </w:rPr>
              <w:t>类。本项目为污染影响型项目，建设地点位于工业</w:t>
            </w:r>
            <w:r>
              <w:rPr>
                <w:rFonts w:hint="eastAsia" w:ascii="Times New Roman" w:hAnsi="Times New Roman" w:eastAsia="宋体" w:cs="Times New Roman"/>
                <w:color w:val="auto"/>
                <w:spacing w:val="0"/>
                <w:sz w:val="24"/>
                <w:szCs w:val="24"/>
                <w:lang w:val="en-US" w:eastAsia="zh-CN"/>
              </w:rPr>
              <w:t>用地</w:t>
            </w:r>
            <w:r>
              <w:rPr>
                <w:rFonts w:hint="eastAsia" w:ascii="Times New Roman" w:hAnsi="Times New Roman" w:eastAsia="宋体" w:cs="Times New Roman"/>
                <w:color w:val="auto"/>
                <w:spacing w:val="0"/>
                <w:sz w:val="24"/>
                <w:szCs w:val="24"/>
              </w:rPr>
              <w:t>内，周边无敏感目标，敏感程度为不敏感，故可不开展土壤环境影响评价工作。</w:t>
            </w:r>
          </w:p>
          <w:p>
            <w:pPr>
              <w:keepNext w:val="0"/>
              <w:keepLines w:val="0"/>
              <w:pageBreakBefore w:val="0"/>
              <w:kinsoku/>
              <w:wordWrap/>
              <w:overflowPunct/>
              <w:topLinePunct w:val="0"/>
              <w:autoSpaceDN/>
              <w:bidi w:val="0"/>
              <w:adjustRightInd/>
              <w:snapToGrid/>
              <w:ind w:firstLine="480"/>
              <w:textAlignment w:val="auto"/>
              <w:rPr>
                <w:rFonts w:hint="eastAsia"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rPr>
              <w:t>本项目为</w:t>
            </w:r>
            <w:r>
              <w:rPr>
                <w:rFonts w:hint="eastAsia" w:ascii="Times New Roman" w:hAnsi="Times New Roman" w:eastAsia="宋体" w:cs="Times New Roman"/>
                <w:color w:val="auto"/>
                <w:spacing w:val="0"/>
                <w:sz w:val="24"/>
                <w:szCs w:val="24"/>
                <w:lang w:eastAsia="zh-CN"/>
              </w:rPr>
              <w:t>Ⅲ类</w:t>
            </w:r>
            <w:r>
              <w:rPr>
                <w:rFonts w:hint="eastAsia" w:ascii="Times New Roman" w:hAnsi="Times New Roman" w:eastAsia="宋体" w:cs="Times New Roman"/>
                <w:color w:val="auto"/>
                <w:spacing w:val="0"/>
                <w:sz w:val="24"/>
                <w:szCs w:val="24"/>
              </w:rPr>
              <w:t>建设项目，按照编制技术指南原则上不开展地下水现状监测。</w:t>
            </w:r>
          </w:p>
          <w:p>
            <w:pPr>
              <w:keepNext w:val="0"/>
              <w:keepLines w:val="0"/>
              <w:pageBreakBefore w:val="0"/>
              <w:kinsoku/>
              <w:wordWrap/>
              <w:overflowPunct/>
              <w:topLinePunct w:val="0"/>
              <w:autoSpaceDN/>
              <w:bidi w:val="0"/>
              <w:adjustRightInd/>
              <w:snapToGrid/>
              <w:ind w:firstLine="482"/>
              <w:textAlignment w:val="auto"/>
              <w:rPr>
                <w:rFonts w:ascii="Times New Roman" w:hAnsi="Times New Roman" w:eastAsia="宋体" w:cs="Times New Roman"/>
                <w:b/>
                <w:bCs/>
                <w:color w:val="auto"/>
                <w:spacing w:val="0"/>
                <w:sz w:val="24"/>
                <w:szCs w:val="24"/>
              </w:rPr>
            </w:pPr>
            <w:r>
              <w:rPr>
                <w:rFonts w:hint="eastAsia" w:ascii="Times New Roman" w:hAnsi="Times New Roman" w:eastAsia="宋体" w:cs="Times New Roman"/>
                <w:b/>
                <w:bCs/>
                <w:color w:val="auto"/>
                <w:spacing w:val="0"/>
                <w:sz w:val="24"/>
                <w:szCs w:val="24"/>
              </w:rPr>
              <w:t>5、生态环境质量现状</w:t>
            </w:r>
          </w:p>
          <w:p>
            <w:pPr>
              <w:keepNext w:val="0"/>
              <w:keepLines w:val="0"/>
              <w:pageBreakBefore w:val="0"/>
              <w:kinsoku/>
              <w:wordWrap/>
              <w:overflowPunct/>
              <w:topLinePunct w:val="0"/>
              <w:autoSpaceDN/>
              <w:bidi w:val="0"/>
              <w:adjustRightInd/>
              <w:snapToGrid/>
              <w:ind w:firstLine="480"/>
              <w:textAlignment w:val="auto"/>
              <w:rPr>
                <w:color w:val="auto"/>
                <w:spacing w:val="0"/>
              </w:rPr>
            </w:pPr>
            <w:r>
              <w:rPr>
                <w:rFonts w:hint="eastAsia" w:ascii="Times New Roman" w:hAnsi="Times New Roman" w:eastAsia="宋体" w:cs="Times New Roman"/>
                <w:color w:val="auto"/>
                <w:spacing w:val="0"/>
                <w:sz w:val="24"/>
                <w:szCs w:val="24"/>
              </w:rPr>
              <w:t>根据《建设项目环境影响报告表编制技术指南（污染影响类）（试行）》，本项目位于</w:t>
            </w:r>
            <w:r>
              <w:rPr>
                <w:rFonts w:hint="eastAsia" w:ascii="Times New Roman" w:hAnsi="Times New Roman" w:eastAsia="宋体" w:cs="Times New Roman"/>
                <w:color w:val="auto"/>
                <w:spacing w:val="0"/>
                <w:sz w:val="24"/>
                <w:szCs w:val="24"/>
                <w:lang w:val="en-US" w:eastAsia="zh-CN"/>
              </w:rPr>
              <w:t>博湖县</w:t>
            </w:r>
            <w:r>
              <w:rPr>
                <w:rFonts w:hint="eastAsia" w:ascii="Times New Roman" w:hAnsi="Times New Roman" w:eastAsia="宋体" w:cs="Times New Roman"/>
                <w:color w:val="auto"/>
                <w:spacing w:val="0"/>
                <w:sz w:val="24"/>
                <w:szCs w:val="24"/>
              </w:rPr>
              <w:t>，土地类型为工业用地，项目区周边无生态环境保护目标，因此不进行生态现状调查。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576" w:hRule="atLeast"/>
          <w:jc w:val="center"/>
        </w:trPr>
        <w:tc>
          <w:tcPr>
            <w:tcW w:w="456" w:type="dxa"/>
            <w:vAlign w:val="center"/>
          </w:tcPr>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环</w:t>
            </w:r>
          </w:p>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境</w:t>
            </w:r>
          </w:p>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保</w:t>
            </w:r>
          </w:p>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护</w:t>
            </w:r>
          </w:p>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目</w:t>
            </w:r>
          </w:p>
          <w:p>
            <w:pPr>
              <w:pStyle w:val="50"/>
              <w:adjustRightInd/>
              <w:snapToGrid/>
              <w:spacing w:before="0" w:beforeAutospacing="0" w:after="0" w:afterAutospacing="0" w:line="240" w:lineRule="auto"/>
              <w:ind w:firstLine="0" w:firstLineChars="0"/>
              <w:jc w:val="center"/>
              <w:outlineLvl w:val="0"/>
              <w:rPr>
                <w:color w:val="auto"/>
                <w:spacing w:val="0"/>
              </w:rPr>
            </w:pPr>
            <w:r>
              <w:rPr>
                <w:rFonts w:ascii="Times New Roman" w:hAnsi="Times New Roman" w:eastAsia="宋体" w:cs="Times New Roman"/>
                <w:bCs/>
                <w:snapToGrid w:val="0"/>
                <w:color w:val="auto"/>
                <w:spacing w:val="0"/>
              </w:rPr>
              <w:t>标</w:t>
            </w:r>
          </w:p>
        </w:tc>
        <w:tc>
          <w:tcPr>
            <w:tcW w:w="8072" w:type="dxa"/>
            <w:vAlign w:val="center"/>
          </w:tcPr>
          <w:p>
            <w:pPr>
              <w:pStyle w:val="50"/>
              <w:keepNext w:val="0"/>
              <w:keepLines w:val="0"/>
              <w:pageBreakBefore w:val="0"/>
              <w:kinsoku/>
              <w:wordWrap/>
              <w:overflowPunct/>
              <w:topLinePunct w:val="0"/>
              <w:autoSpaceDE/>
              <w:autoSpaceDN/>
              <w:bidi w:val="0"/>
              <w:adjustRightInd/>
              <w:snapToGrid/>
              <w:spacing w:before="0" w:beforeAutospacing="0" w:after="0" w:afterAutospacing="0"/>
              <w:ind w:firstLine="480"/>
              <w:jc w:val="both"/>
              <w:textAlignment w:val="auto"/>
              <w:rPr>
                <w:rFonts w:ascii="Times New Roman" w:hAnsi="Times New Roman" w:eastAsia="宋体" w:cs="Times New Roman"/>
                <w:color w:val="auto"/>
                <w:spacing w:val="0"/>
              </w:rPr>
            </w:pPr>
            <w:r>
              <w:rPr>
                <w:rFonts w:ascii="Times New Roman" w:hAnsi="Times New Roman" w:eastAsia="宋体" w:cs="Times New Roman"/>
                <w:color w:val="auto"/>
                <w:spacing w:val="0"/>
              </w:rPr>
              <w:t>1、大气环境：本项目厂界外500米范围内无自然保护区、风景名胜区、居住区、文化区和农村地区中人群较集中的区域等保护目标。</w:t>
            </w:r>
          </w:p>
          <w:p>
            <w:pPr>
              <w:pStyle w:val="50"/>
              <w:keepNext w:val="0"/>
              <w:keepLines w:val="0"/>
              <w:pageBreakBefore w:val="0"/>
              <w:kinsoku/>
              <w:wordWrap/>
              <w:overflowPunct/>
              <w:topLinePunct w:val="0"/>
              <w:autoSpaceDE/>
              <w:autoSpaceDN/>
              <w:bidi w:val="0"/>
              <w:adjustRightInd/>
              <w:snapToGrid/>
              <w:spacing w:before="0" w:beforeAutospacing="0" w:after="0" w:afterAutospacing="0"/>
              <w:ind w:firstLine="480"/>
              <w:jc w:val="both"/>
              <w:textAlignment w:val="auto"/>
              <w:rPr>
                <w:rFonts w:ascii="Times New Roman" w:hAnsi="Times New Roman" w:eastAsia="宋体" w:cs="Times New Roman"/>
                <w:color w:val="auto"/>
                <w:spacing w:val="0"/>
              </w:rPr>
            </w:pPr>
            <w:r>
              <w:rPr>
                <w:rFonts w:ascii="Times New Roman" w:hAnsi="Times New Roman" w:eastAsia="宋体" w:cs="Times New Roman"/>
                <w:color w:val="auto"/>
                <w:spacing w:val="0"/>
              </w:rPr>
              <w:t>2、声环境：本项目周围50米范围内无声环境保护目标。</w:t>
            </w:r>
          </w:p>
          <w:p>
            <w:pPr>
              <w:pStyle w:val="50"/>
              <w:keepNext w:val="0"/>
              <w:keepLines w:val="0"/>
              <w:pageBreakBefore w:val="0"/>
              <w:kinsoku/>
              <w:wordWrap/>
              <w:overflowPunct/>
              <w:topLinePunct w:val="0"/>
              <w:autoSpaceDE/>
              <w:autoSpaceDN/>
              <w:bidi w:val="0"/>
              <w:adjustRightInd/>
              <w:snapToGrid/>
              <w:spacing w:before="0" w:beforeAutospacing="0" w:after="0" w:afterAutospacing="0"/>
              <w:ind w:firstLine="480"/>
              <w:jc w:val="both"/>
              <w:textAlignment w:val="auto"/>
              <w:rPr>
                <w:rFonts w:ascii="Times New Roman" w:hAnsi="Times New Roman" w:eastAsia="宋体" w:cs="Times New Roman"/>
                <w:color w:val="auto"/>
                <w:spacing w:val="0"/>
              </w:rPr>
            </w:pPr>
            <w:r>
              <w:rPr>
                <w:rFonts w:ascii="Times New Roman" w:hAnsi="Times New Roman" w:eastAsia="宋体" w:cs="Times New Roman"/>
                <w:color w:val="auto"/>
                <w:spacing w:val="0"/>
              </w:rPr>
              <w:t>3、地下水环境：厂界外500米范围内无地下水集中式饮用水水源和热水、矿泉水、温泉等特殊地下水资源。</w:t>
            </w:r>
          </w:p>
          <w:p>
            <w:pPr>
              <w:keepNext w:val="0"/>
              <w:keepLines w:val="0"/>
              <w:pageBreakBefore w:val="0"/>
              <w:kinsoku/>
              <w:wordWrap/>
              <w:overflowPunct/>
              <w:topLinePunct w:val="0"/>
              <w:autoSpaceDE/>
              <w:autoSpaceDN/>
              <w:bidi w:val="0"/>
              <w:adjustRightInd/>
              <w:snapToGrid/>
              <w:ind w:firstLine="480"/>
              <w:textAlignment w:val="auto"/>
              <w:rPr>
                <w:color w:val="auto"/>
                <w:spacing w:val="0"/>
              </w:rPr>
            </w:pPr>
            <w:r>
              <w:rPr>
                <w:rFonts w:ascii="Times New Roman" w:hAnsi="Times New Roman" w:eastAsia="宋体" w:cs="Times New Roman"/>
                <w:color w:val="auto"/>
                <w:spacing w:val="0"/>
                <w:sz w:val="24"/>
                <w:szCs w:val="24"/>
              </w:rPr>
              <w:t>4、生态环境：本项目位于</w:t>
            </w:r>
            <w:r>
              <w:rPr>
                <w:rFonts w:hint="eastAsia" w:ascii="Times New Roman" w:hAnsi="Times New Roman" w:eastAsia="宋体" w:cs="Times New Roman"/>
                <w:color w:val="auto"/>
                <w:spacing w:val="0"/>
                <w:sz w:val="24"/>
                <w:szCs w:val="24"/>
                <w:lang w:val="en-US" w:eastAsia="zh-CN"/>
              </w:rPr>
              <w:t>博湖县本布图镇</w:t>
            </w:r>
            <w:r>
              <w:rPr>
                <w:rFonts w:ascii="Times New Roman" w:hAnsi="Times New Roman" w:eastAsia="宋体" w:cs="Times New Roman"/>
                <w:color w:val="auto"/>
                <w:spacing w:val="0"/>
                <w:sz w:val="24"/>
                <w:szCs w:val="24"/>
              </w:rPr>
              <w:t>，</w:t>
            </w:r>
            <w:r>
              <w:rPr>
                <w:rFonts w:hint="eastAsia" w:ascii="Times New Roman" w:hAnsi="Times New Roman" w:eastAsia="宋体" w:cs="Times New Roman"/>
                <w:color w:val="auto"/>
                <w:spacing w:val="0"/>
                <w:sz w:val="24"/>
                <w:szCs w:val="24"/>
                <w:lang w:val="en-US" w:eastAsia="zh-CN"/>
              </w:rPr>
              <w:t>用地性质为工业用地，项目所在区域不处在国家法律法规、行政规章及规划确定或县级以上人民政府批准的饮用水水源保护区、自然保护区、风景名胜区、生态功能保护区等需要特殊保护的地区范围内，其评价范围内无珍稀动植物资源，</w:t>
            </w:r>
            <w:r>
              <w:rPr>
                <w:rFonts w:ascii="Times New Roman" w:hAnsi="Times New Roman" w:eastAsia="宋体" w:cs="Times New Roman"/>
                <w:color w:val="auto"/>
                <w:spacing w:val="0"/>
                <w:sz w:val="24"/>
                <w:szCs w:val="24"/>
              </w:rPr>
              <w:t>不涉及生态环境保护目标。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456" w:type="dxa"/>
            <w:tcMar>
              <w:left w:w="28" w:type="dxa"/>
              <w:right w:w="28" w:type="dxa"/>
            </w:tcMar>
            <w:vAlign w:val="center"/>
          </w:tcPr>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污</w:t>
            </w:r>
          </w:p>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染</w:t>
            </w:r>
          </w:p>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物</w:t>
            </w:r>
          </w:p>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排</w:t>
            </w:r>
          </w:p>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放</w:t>
            </w:r>
          </w:p>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控</w:t>
            </w:r>
          </w:p>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制</w:t>
            </w:r>
          </w:p>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标</w:t>
            </w:r>
          </w:p>
          <w:p>
            <w:pPr>
              <w:pStyle w:val="50"/>
              <w:adjustRightInd/>
              <w:snapToGrid/>
              <w:spacing w:before="0" w:beforeAutospacing="0" w:after="0" w:afterAutospacing="0" w:line="240" w:lineRule="auto"/>
              <w:ind w:firstLine="0" w:firstLineChars="0"/>
              <w:jc w:val="center"/>
              <w:outlineLvl w:val="0"/>
              <w:rPr>
                <w:color w:val="auto"/>
                <w:spacing w:val="0"/>
              </w:rPr>
            </w:pPr>
            <w:r>
              <w:rPr>
                <w:rFonts w:ascii="Times New Roman" w:hAnsi="Times New Roman" w:eastAsia="宋体" w:cs="Times New Roman"/>
                <w:bCs/>
                <w:snapToGrid w:val="0"/>
                <w:color w:val="auto"/>
                <w:spacing w:val="0"/>
              </w:rPr>
              <w:t>准</w:t>
            </w:r>
          </w:p>
        </w:tc>
        <w:tc>
          <w:tcPr>
            <w:tcW w:w="8072" w:type="dxa"/>
            <w:vAlign w:val="center"/>
          </w:tcPr>
          <w:p>
            <w:pPr>
              <w:pStyle w:val="2"/>
              <w:keepNext w:val="0"/>
              <w:keepLines w:val="0"/>
              <w:pageBreakBefore w:val="0"/>
              <w:widowControl w:val="0"/>
              <w:kinsoku/>
              <w:wordWrap/>
              <w:overflowPunct/>
              <w:topLinePunct w:val="0"/>
              <w:bidi w:val="0"/>
              <w:adjustRightInd/>
              <w:snapToGrid/>
              <w:spacing w:line="360" w:lineRule="auto"/>
              <w:ind w:firstLine="482"/>
              <w:rPr>
                <w:rFonts w:ascii="Times New Roman" w:hAnsi="Times New Roman" w:eastAsia="宋体" w:cs="Times New Roman"/>
                <w:color w:val="auto"/>
                <w:spacing w:val="0"/>
                <w:sz w:val="24"/>
                <w:szCs w:val="24"/>
              </w:rPr>
            </w:pPr>
            <w:r>
              <w:rPr>
                <w:rFonts w:ascii="Times New Roman" w:hAnsi="Times New Roman" w:eastAsia="宋体" w:cs="Times New Roman"/>
                <w:b/>
                <w:bCs/>
                <w:color w:val="auto"/>
                <w:spacing w:val="0"/>
                <w:sz w:val="24"/>
                <w:szCs w:val="24"/>
              </w:rPr>
              <w:t>1、废气</w:t>
            </w:r>
          </w:p>
          <w:p>
            <w:pPr>
              <w:keepNext/>
              <w:keepLines/>
              <w:pageBreakBefore w:val="0"/>
              <w:widowControl w:val="0"/>
              <w:kinsoku/>
              <w:wordWrap/>
              <w:overflowPunct/>
              <w:topLinePunct w:val="0"/>
              <w:autoSpaceDE/>
              <w:autoSpaceDN/>
              <w:bidi w:val="0"/>
              <w:adjustRightInd/>
              <w:snapToGrid/>
              <w:ind w:firstLine="0" w:firstLineChars="0"/>
              <w:jc w:val="center"/>
              <w:textAlignment w:val="baseline"/>
              <w:rPr>
                <w:rFonts w:ascii="Times New Roman" w:hAnsi="Times New Roman" w:eastAsia="宋体" w:cs="Times New Roman"/>
                <w:b/>
                <w:bCs/>
                <w:color w:val="auto"/>
                <w:spacing w:val="0"/>
                <w:sz w:val="21"/>
              </w:rPr>
            </w:pPr>
            <w:r>
              <w:rPr>
                <w:rFonts w:ascii="Times New Roman" w:hAnsi="Times New Roman" w:eastAsia="宋体" w:cs="Times New Roman"/>
                <w:b/>
                <w:bCs/>
                <w:color w:val="auto"/>
                <w:spacing w:val="0"/>
                <w:sz w:val="21"/>
              </w:rPr>
              <w:t>表3-</w:t>
            </w:r>
            <w:r>
              <w:rPr>
                <w:rFonts w:hint="eastAsia" w:ascii="Times New Roman" w:hAnsi="Times New Roman" w:eastAsia="宋体" w:cs="Times New Roman"/>
                <w:b/>
                <w:bCs/>
                <w:color w:val="auto"/>
                <w:spacing w:val="0"/>
                <w:sz w:val="21"/>
                <w:lang w:val="en-US" w:eastAsia="zh-CN"/>
              </w:rPr>
              <w:t>3</w:t>
            </w:r>
            <w:r>
              <w:rPr>
                <w:rFonts w:ascii="Times New Roman" w:hAnsi="Times New Roman" w:eastAsia="宋体" w:cs="Times New Roman"/>
                <w:b/>
                <w:bCs/>
                <w:color w:val="auto"/>
                <w:spacing w:val="0"/>
                <w:sz w:val="21"/>
              </w:rPr>
              <w:t xml:space="preserve"> </w:t>
            </w:r>
            <w:r>
              <w:rPr>
                <w:rFonts w:hint="eastAsia" w:ascii="Times New Roman" w:hAnsi="Times New Roman" w:eastAsia="宋体" w:cs="Times New Roman"/>
                <w:b/>
                <w:bCs/>
                <w:color w:val="auto"/>
                <w:spacing w:val="0"/>
                <w:sz w:val="21"/>
              </w:rPr>
              <w:t>废气</w:t>
            </w:r>
            <w:r>
              <w:rPr>
                <w:rFonts w:ascii="Times New Roman" w:hAnsi="Times New Roman" w:eastAsia="宋体" w:cs="Times New Roman"/>
                <w:b/>
                <w:bCs/>
                <w:color w:val="auto"/>
                <w:spacing w:val="0"/>
                <w:sz w:val="21"/>
              </w:rPr>
              <w:t>污染物排放标准一览表</w:t>
            </w:r>
          </w:p>
          <w:tbl>
            <w:tblPr>
              <w:tblStyle w:val="55"/>
              <w:tblW w:w="4996" w:type="pct"/>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558"/>
              <w:gridCol w:w="395"/>
              <w:gridCol w:w="1782"/>
              <w:gridCol w:w="1330"/>
              <w:gridCol w:w="1510"/>
              <w:gridCol w:w="2255"/>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340" w:hRule="atLeast"/>
              </w:trPr>
              <w:tc>
                <w:tcPr>
                  <w:tcW w:w="357" w:type="pct"/>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ascii="Times New Roman" w:hAnsi="Times New Roman" w:cs="Times New Roman" w:eastAsiaTheme="minorEastAsia"/>
                      <w:color w:val="auto"/>
                      <w:spacing w:val="0"/>
                      <w:sz w:val="21"/>
                      <w:szCs w:val="21"/>
                    </w:rPr>
                    <w:t>类别</w:t>
                  </w:r>
                </w:p>
              </w:tc>
              <w:tc>
                <w:tcPr>
                  <w:tcW w:w="1390" w:type="pct"/>
                  <w:gridSpan w:val="2"/>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ascii="Times New Roman" w:hAnsi="Times New Roman" w:cs="Times New Roman" w:eastAsiaTheme="minorEastAsia"/>
                      <w:color w:val="auto"/>
                      <w:spacing w:val="0"/>
                      <w:sz w:val="21"/>
                      <w:szCs w:val="21"/>
                    </w:rPr>
                    <w:t>污染源</w:t>
                  </w:r>
                </w:p>
              </w:tc>
              <w:tc>
                <w:tcPr>
                  <w:tcW w:w="849" w:type="pct"/>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ascii="Times New Roman" w:hAnsi="Times New Roman" w:cs="Times New Roman" w:eastAsiaTheme="minorEastAsia"/>
                      <w:color w:val="auto"/>
                      <w:spacing w:val="0"/>
                      <w:sz w:val="21"/>
                      <w:szCs w:val="21"/>
                    </w:rPr>
                    <w:t>污染物</w:t>
                  </w:r>
                </w:p>
              </w:tc>
              <w:tc>
                <w:tcPr>
                  <w:tcW w:w="964" w:type="pct"/>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排放标准</w:t>
                  </w:r>
                </w:p>
              </w:tc>
              <w:tc>
                <w:tcPr>
                  <w:tcW w:w="1438" w:type="pct"/>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ascii="Times New Roman" w:hAnsi="Times New Roman" w:cs="Times New Roman" w:eastAsiaTheme="minorEastAsia"/>
                      <w:color w:val="auto"/>
                      <w:spacing w:val="0"/>
                      <w:sz w:val="21"/>
                      <w:szCs w:val="21"/>
                    </w:rPr>
                    <w:t>标准来源</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57" w:type="pct"/>
                  <w:vMerge w:val="restart"/>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ascii="Times New Roman" w:hAnsi="Times New Roman" w:cs="Times New Roman" w:eastAsiaTheme="minorEastAsia"/>
                      <w:color w:val="auto"/>
                      <w:spacing w:val="0"/>
                      <w:sz w:val="21"/>
                      <w:szCs w:val="21"/>
                    </w:rPr>
                    <w:t>废气</w:t>
                  </w:r>
                </w:p>
              </w:tc>
              <w:tc>
                <w:tcPr>
                  <w:tcW w:w="252" w:type="pct"/>
                  <w:vMerge w:val="restart"/>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ascii="Times New Roman" w:hAnsi="Times New Roman" w:cs="Times New Roman" w:eastAsiaTheme="minorEastAsia"/>
                      <w:color w:val="auto"/>
                      <w:spacing w:val="0"/>
                      <w:sz w:val="21"/>
                      <w:szCs w:val="21"/>
                    </w:rPr>
                    <w:t>有组织</w:t>
                  </w:r>
                </w:p>
              </w:tc>
              <w:tc>
                <w:tcPr>
                  <w:tcW w:w="1137" w:type="pct"/>
                  <w:vMerge w:val="restart"/>
                  <w:tcBorders>
                    <w:tl2br w:val="nil"/>
                    <w:tr2bl w:val="nil"/>
                  </w:tcBorders>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highlight w:val="none"/>
                      <w:lang w:val="en-US" w:eastAsia="zh-CN"/>
                    </w:rPr>
                    <w:t>颚破、渣土筛分、一次风选、反击破、成品筛分废气</w:t>
                  </w:r>
                </w:p>
              </w:tc>
              <w:tc>
                <w:tcPr>
                  <w:tcW w:w="849" w:type="pct"/>
                  <w:vMerge w:val="restart"/>
                  <w:tcBorders>
                    <w:tl2br w:val="nil"/>
                    <w:tr2bl w:val="nil"/>
                  </w:tcBorders>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颗粒物</w:t>
                  </w:r>
                </w:p>
              </w:tc>
              <w:tc>
                <w:tcPr>
                  <w:tcW w:w="964" w:type="pct"/>
                  <w:tcBorders>
                    <w:tl2br w:val="nil"/>
                    <w:tr2bl w:val="nil"/>
                  </w:tcBorders>
                  <w:vAlign w:val="center"/>
                </w:tcPr>
                <w:p>
                  <w:pPr>
                    <w:pStyle w:val="322"/>
                    <w:spacing w:line="240" w:lineRule="auto"/>
                    <w:ind w:firstLine="0" w:firstLineChars="0"/>
                    <w:jc w:val="center"/>
                    <w:rPr>
                      <w:rFonts w:hint="eastAsia" w:ascii="Times New Roman" w:hAnsi="Times New Roman" w:eastAsia="宋体" w:cs="Times New Roman"/>
                      <w:bCs/>
                      <w:color w:val="auto"/>
                      <w:spacing w:val="0"/>
                      <w:sz w:val="21"/>
                    </w:rPr>
                  </w:pPr>
                  <w:r>
                    <w:rPr>
                      <w:rFonts w:hint="eastAsia" w:ascii="Times New Roman" w:hAnsi="Times New Roman" w:eastAsia="宋体" w:cs="Times New Roman"/>
                      <w:bCs/>
                      <w:color w:val="auto"/>
                      <w:spacing w:val="0"/>
                      <w:sz w:val="21"/>
                      <w:lang w:val="en-US" w:eastAsia="zh-CN"/>
                    </w:rPr>
                    <w:t>最高允许排放浓度120</w:t>
                  </w:r>
                  <w:r>
                    <w:rPr>
                      <w:rFonts w:ascii="Times New Roman" w:hAnsi="Times New Roman" w:eastAsia="宋体" w:cs="Times New Roman"/>
                      <w:bCs/>
                      <w:color w:val="auto"/>
                      <w:spacing w:val="0"/>
                      <w:sz w:val="21"/>
                    </w:rPr>
                    <w:t>mg/m</w:t>
                  </w:r>
                  <w:r>
                    <w:rPr>
                      <w:rFonts w:ascii="Times New Roman" w:hAnsi="Times New Roman" w:eastAsia="宋体" w:cs="Times New Roman"/>
                      <w:bCs/>
                      <w:color w:val="auto"/>
                      <w:spacing w:val="0"/>
                      <w:sz w:val="21"/>
                      <w:vertAlign w:val="superscript"/>
                    </w:rPr>
                    <w:t>3</w:t>
                  </w:r>
                </w:p>
              </w:tc>
              <w:tc>
                <w:tcPr>
                  <w:tcW w:w="1438" w:type="pct"/>
                  <w:vMerge w:val="restart"/>
                  <w:tcBorders>
                    <w:tl2br w:val="nil"/>
                    <w:tr2bl w:val="nil"/>
                  </w:tcBorders>
                  <w:vAlign w:val="center"/>
                </w:tcPr>
                <w:p>
                  <w:pPr>
                    <w:autoSpaceDE w:val="0"/>
                    <w:autoSpaceDN w:val="0"/>
                    <w:spacing w:line="240" w:lineRule="auto"/>
                    <w:ind w:firstLine="0" w:firstLineChars="0"/>
                    <w:jc w:val="center"/>
                    <w:rPr>
                      <w:rFonts w:hint="eastAsia" w:ascii="Times New Roman" w:hAnsi="Times New Roman" w:cs="Times New Roman" w:eastAsiaTheme="minorEastAsia"/>
                      <w:color w:val="auto"/>
                      <w:spacing w:val="0"/>
                      <w:sz w:val="21"/>
                      <w:lang w:eastAsia="zh-CN"/>
                    </w:rPr>
                  </w:pPr>
                  <w:r>
                    <w:rPr>
                      <w:rFonts w:hint="eastAsia" w:ascii="Times New Roman" w:hAnsi="Times New Roman" w:cs="Times New Roman" w:eastAsiaTheme="minorEastAsia"/>
                      <w:color w:val="auto"/>
                      <w:spacing w:val="0"/>
                      <w:sz w:val="21"/>
                      <w:lang w:val="en-US" w:eastAsia="zh-CN"/>
                    </w:rPr>
                    <w:t>《大气污染物综合排放标准》（GB16297-1996）</w:t>
                  </w:r>
                  <w:r>
                    <w:rPr>
                      <w:rFonts w:hint="eastAsia" w:ascii="Times New Roman" w:hAnsi="Times New Roman" w:cs="Times New Roman" w:eastAsiaTheme="minorEastAsia"/>
                      <w:color w:val="auto"/>
                      <w:spacing w:val="0"/>
                      <w:sz w:val="21"/>
                    </w:rPr>
                    <w:t>表2中</w:t>
                  </w:r>
                  <w:r>
                    <w:rPr>
                      <w:rFonts w:hint="eastAsia" w:ascii="Times New Roman" w:hAnsi="Times New Roman" w:cs="Times New Roman" w:eastAsiaTheme="minorEastAsia"/>
                      <w:color w:val="auto"/>
                      <w:spacing w:val="0"/>
                      <w:sz w:val="21"/>
                      <w:lang w:val="en-US" w:eastAsia="zh-CN"/>
                    </w:rPr>
                    <w:t>二级</w:t>
                  </w:r>
                  <w:r>
                    <w:rPr>
                      <w:rFonts w:hint="eastAsia" w:ascii="Times New Roman" w:hAnsi="Times New Roman" w:cs="Times New Roman" w:eastAsiaTheme="minorEastAsia"/>
                      <w:color w:val="auto"/>
                      <w:spacing w:val="0"/>
                      <w:sz w:val="21"/>
                    </w:rPr>
                    <w:t>相关限值要求</w:t>
                  </w:r>
                  <w:r>
                    <w:rPr>
                      <w:rFonts w:hint="eastAsia" w:ascii="Times New Roman" w:hAnsi="Times New Roman" w:cs="Times New Roman" w:eastAsiaTheme="minorEastAsia"/>
                      <w:color w:val="auto"/>
                      <w:spacing w:val="0"/>
                      <w:sz w:val="21"/>
                      <w:lang w:eastAsia="zh-CN"/>
                    </w:rPr>
                    <w:t>（</w:t>
                  </w:r>
                  <w:r>
                    <w:rPr>
                      <w:rFonts w:hint="eastAsia" w:ascii="Times New Roman" w:hAnsi="Times New Roman" w:cs="Times New Roman" w:eastAsiaTheme="minorEastAsia"/>
                      <w:color w:val="auto"/>
                      <w:spacing w:val="0"/>
                      <w:sz w:val="21"/>
                      <w:lang w:val="en-US" w:eastAsia="zh-CN"/>
                    </w:rPr>
                    <w:t>20m排气筒</w:t>
                  </w:r>
                  <w:r>
                    <w:rPr>
                      <w:rFonts w:hint="eastAsia" w:ascii="Times New Roman" w:hAnsi="Times New Roman" w:cs="Times New Roman" w:eastAsiaTheme="minorEastAsia"/>
                      <w:color w:val="auto"/>
                      <w:spacing w:val="0"/>
                      <w:sz w:val="21"/>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57" w:type="pct"/>
                  <w:vMerge w:val="continue"/>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p>
              </w:tc>
              <w:tc>
                <w:tcPr>
                  <w:tcW w:w="252" w:type="pct"/>
                  <w:vMerge w:val="continue"/>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p>
              </w:tc>
              <w:tc>
                <w:tcPr>
                  <w:tcW w:w="1137" w:type="pct"/>
                  <w:vMerge w:val="continue"/>
                  <w:tcBorders>
                    <w:tl2br w:val="nil"/>
                    <w:tr2bl w:val="nil"/>
                  </w:tcBorders>
                  <w:vAlign w:val="center"/>
                </w:tcPr>
                <w:p>
                  <w:pPr>
                    <w:spacing w:line="240" w:lineRule="auto"/>
                    <w:ind w:firstLine="0" w:firstLineChars="0"/>
                    <w:jc w:val="center"/>
                    <w:rPr>
                      <w:rFonts w:hint="eastAsia" w:ascii="Times New Roman" w:hAnsi="Times New Roman" w:eastAsia="宋体" w:cs="Times New Roman"/>
                      <w:color w:val="auto"/>
                      <w:spacing w:val="0"/>
                      <w:sz w:val="21"/>
                      <w:highlight w:val="yellow"/>
                      <w:lang w:val="en-US" w:eastAsia="zh-CN"/>
                    </w:rPr>
                  </w:pPr>
                </w:p>
              </w:tc>
              <w:tc>
                <w:tcPr>
                  <w:tcW w:w="849" w:type="pct"/>
                  <w:vMerge w:val="continue"/>
                  <w:tcBorders>
                    <w:tl2br w:val="nil"/>
                    <w:tr2bl w:val="nil"/>
                  </w:tcBorders>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p>
              </w:tc>
              <w:tc>
                <w:tcPr>
                  <w:tcW w:w="964" w:type="pct"/>
                  <w:tcBorders>
                    <w:tl2br w:val="nil"/>
                    <w:tr2bl w:val="nil"/>
                  </w:tcBorders>
                  <w:vAlign w:val="center"/>
                </w:tcPr>
                <w:p>
                  <w:pPr>
                    <w:pStyle w:val="322"/>
                    <w:spacing w:line="240" w:lineRule="auto"/>
                    <w:ind w:firstLine="0" w:firstLineChars="0"/>
                    <w:jc w:val="center"/>
                    <w:rPr>
                      <w:rFonts w:hint="default" w:ascii="Times New Roman" w:hAnsi="Times New Roman" w:eastAsia="宋体" w:cs="Times New Roman"/>
                      <w:bCs/>
                      <w:color w:val="auto"/>
                      <w:spacing w:val="0"/>
                      <w:sz w:val="21"/>
                      <w:lang w:val="en-US" w:eastAsia="zh-CN"/>
                    </w:rPr>
                  </w:pPr>
                  <w:r>
                    <w:rPr>
                      <w:rFonts w:hint="eastAsia" w:ascii="Times New Roman" w:hAnsi="Times New Roman" w:eastAsia="宋体" w:cs="Times New Roman"/>
                      <w:bCs/>
                      <w:color w:val="auto"/>
                      <w:spacing w:val="0"/>
                      <w:sz w:val="21"/>
                      <w:lang w:val="en-US" w:eastAsia="zh-CN"/>
                    </w:rPr>
                    <w:t>最高允许排放速率5.9kg/h</w:t>
                  </w:r>
                </w:p>
              </w:tc>
              <w:tc>
                <w:tcPr>
                  <w:tcW w:w="1438" w:type="pct"/>
                  <w:vMerge w:val="continue"/>
                  <w:tcBorders>
                    <w:tl2br w:val="nil"/>
                    <w:tr2bl w:val="nil"/>
                  </w:tcBorders>
                  <w:vAlign w:val="center"/>
                </w:tcPr>
                <w:p>
                  <w:pPr>
                    <w:autoSpaceDE w:val="0"/>
                    <w:autoSpaceDN w:val="0"/>
                    <w:spacing w:line="240" w:lineRule="auto"/>
                    <w:ind w:firstLine="0" w:firstLineChars="0"/>
                    <w:jc w:val="center"/>
                    <w:rPr>
                      <w:rFonts w:hint="eastAsia" w:ascii="Times New Roman" w:hAnsi="Times New Roman" w:cs="Times New Roman" w:eastAsiaTheme="minorEastAsia"/>
                      <w:color w:val="auto"/>
                      <w:spacing w:val="0"/>
                      <w:sz w:val="21"/>
                      <w:lang w:val="en-US" w:eastAsia="zh-CN"/>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011" w:hRule="atLeast"/>
              </w:trPr>
              <w:tc>
                <w:tcPr>
                  <w:tcW w:w="357" w:type="pct"/>
                  <w:vMerge w:val="continue"/>
                  <w:tcBorders>
                    <w:tl2br w:val="nil"/>
                    <w:tr2bl w:val="nil"/>
                  </w:tcBorders>
                  <w:vAlign w:val="center"/>
                </w:tcPr>
                <w:p>
                  <w:pPr>
                    <w:autoSpaceDE w:val="0"/>
                    <w:autoSpaceDN w:val="0"/>
                    <w:spacing w:line="240" w:lineRule="auto"/>
                    <w:ind w:firstLine="0" w:firstLineChars="0"/>
                    <w:jc w:val="center"/>
                    <w:rPr>
                      <w:rFonts w:ascii="Times New Roman" w:hAnsi="Times New Roman" w:cs="Times New Roman" w:eastAsiaTheme="minorEastAsia"/>
                      <w:color w:val="auto"/>
                      <w:spacing w:val="0"/>
                      <w:sz w:val="21"/>
                    </w:rPr>
                  </w:pPr>
                </w:p>
              </w:tc>
              <w:tc>
                <w:tcPr>
                  <w:tcW w:w="1390" w:type="pct"/>
                  <w:gridSpan w:val="2"/>
                  <w:vMerge w:val="restart"/>
                  <w:tcBorders>
                    <w:tl2br w:val="nil"/>
                    <w:tr2bl w:val="nil"/>
                  </w:tcBorders>
                  <w:vAlign w:val="center"/>
                </w:tcPr>
                <w:p>
                  <w:pPr>
                    <w:autoSpaceDE w:val="0"/>
                    <w:autoSpaceDN w:val="0"/>
                    <w:spacing w:line="240" w:lineRule="auto"/>
                    <w:ind w:firstLine="0" w:firstLineChars="0"/>
                    <w:jc w:val="center"/>
                    <w:rPr>
                      <w:rFonts w:ascii="Times New Roman" w:hAnsi="Times New Roman" w:cs="Times New Roman" w:eastAsiaTheme="minorEastAsia"/>
                      <w:color w:val="auto"/>
                      <w:spacing w:val="0"/>
                      <w:sz w:val="21"/>
                    </w:rPr>
                  </w:pPr>
                  <w:r>
                    <w:rPr>
                      <w:rFonts w:hint="eastAsia" w:ascii="Times New Roman" w:hAnsi="Times New Roman" w:cs="Times New Roman" w:eastAsiaTheme="minorEastAsia"/>
                      <w:color w:val="auto"/>
                      <w:spacing w:val="0"/>
                      <w:sz w:val="21"/>
                    </w:rPr>
                    <w:t>厂界</w:t>
                  </w:r>
                  <w:r>
                    <w:rPr>
                      <w:rFonts w:hint="eastAsia" w:ascii="Times New Roman" w:hAnsi="Times New Roman" w:eastAsia="宋体" w:cs="Times New Roman"/>
                      <w:color w:val="auto"/>
                      <w:spacing w:val="0"/>
                      <w:sz w:val="21"/>
                    </w:rPr>
                    <w:t>无组织废气</w:t>
                  </w:r>
                </w:p>
              </w:tc>
              <w:tc>
                <w:tcPr>
                  <w:tcW w:w="849" w:type="pct"/>
                  <w:tcBorders>
                    <w:tl2br w:val="nil"/>
                    <w:tr2bl w:val="nil"/>
                  </w:tcBorders>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lang w:val="en-US" w:eastAsia="zh-CN"/>
                    </w:rPr>
                    <w:t>颗粒物</w:t>
                  </w:r>
                </w:p>
              </w:tc>
              <w:tc>
                <w:tcPr>
                  <w:tcW w:w="964" w:type="pct"/>
                  <w:tcBorders>
                    <w:tl2br w:val="nil"/>
                    <w:tr2bl w:val="nil"/>
                  </w:tcBorders>
                  <w:shd w:val="clear" w:color="auto" w:fill="auto"/>
                  <w:vAlign w:val="center"/>
                </w:tcPr>
                <w:p>
                  <w:pPr>
                    <w:pStyle w:val="322"/>
                    <w:spacing w:line="240" w:lineRule="auto"/>
                    <w:ind w:firstLine="0" w:firstLineChars="0"/>
                    <w:jc w:val="center"/>
                    <w:rPr>
                      <w:rFonts w:hint="eastAsia" w:ascii="等线" w:hAnsi="等线" w:eastAsia="等线" w:cs="宋体"/>
                      <w:bCs/>
                      <w:color w:val="auto"/>
                      <w:szCs w:val="21"/>
                      <w:lang w:val="en-US" w:eastAsia="zh-CN" w:bidi="ar-SA"/>
                    </w:rPr>
                  </w:pPr>
                  <w:r>
                    <w:rPr>
                      <w:rFonts w:hint="eastAsia" w:ascii="Times New Roman" w:hAnsi="Times New Roman" w:cs="Times New Roman" w:eastAsiaTheme="minorEastAsia"/>
                      <w:color w:val="auto"/>
                      <w:spacing w:val="0"/>
                      <w:sz w:val="21"/>
                      <w:szCs w:val="21"/>
                    </w:rPr>
                    <w:t>1.0mg/m</w:t>
                  </w:r>
                  <w:r>
                    <w:rPr>
                      <w:rFonts w:hint="eastAsia" w:ascii="Times New Roman" w:hAnsi="Times New Roman" w:cs="Times New Roman" w:eastAsiaTheme="minorEastAsia"/>
                      <w:color w:val="auto"/>
                      <w:spacing w:val="0"/>
                      <w:sz w:val="21"/>
                      <w:szCs w:val="21"/>
                      <w:vertAlign w:val="superscript"/>
                    </w:rPr>
                    <w:t>3</w:t>
                  </w:r>
                </w:p>
              </w:tc>
              <w:tc>
                <w:tcPr>
                  <w:tcW w:w="1438" w:type="pct"/>
                  <w:vMerge w:val="restart"/>
                  <w:tcBorders>
                    <w:tl2br w:val="nil"/>
                    <w:tr2bl w:val="nil"/>
                  </w:tcBorders>
                  <w:vAlign w:val="center"/>
                </w:tcPr>
                <w:p>
                  <w:pPr>
                    <w:autoSpaceDE w:val="0"/>
                    <w:autoSpaceDN w:val="0"/>
                    <w:spacing w:line="240" w:lineRule="auto"/>
                    <w:ind w:firstLine="0" w:firstLineChars="0"/>
                    <w:jc w:val="center"/>
                    <w:rPr>
                      <w:rFonts w:ascii="Times New Roman" w:hAnsi="Times New Roman" w:cs="Times New Roman" w:eastAsiaTheme="minorEastAsia"/>
                      <w:color w:val="auto"/>
                      <w:spacing w:val="0"/>
                      <w:sz w:val="21"/>
                    </w:rPr>
                  </w:pPr>
                  <w:r>
                    <w:rPr>
                      <w:rFonts w:hint="eastAsia" w:ascii="Times New Roman" w:hAnsi="Times New Roman" w:cs="Times New Roman" w:eastAsiaTheme="minorEastAsia"/>
                      <w:color w:val="auto"/>
                      <w:spacing w:val="0"/>
                      <w:sz w:val="21"/>
                      <w:lang w:val="en-US" w:eastAsia="zh-CN"/>
                    </w:rPr>
                    <w:t>《大气污染物综合排放标准》（GB16297-1996）</w:t>
                  </w:r>
                  <w:r>
                    <w:rPr>
                      <w:rFonts w:hint="eastAsia" w:ascii="Times New Roman" w:hAnsi="Times New Roman" w:cs="Times New Roman" w:eastAsiaTheme="minorEastAsia"/>
                      <w:color w:val="auto"/>
                      <w:spacing w:val="0"/>
                      <w:sz w:val="21"/>
                    </w:rPr>
                    <w:t>表2中相关限值要求</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1011" w:hRule="atLeast"/>
              </w:trPr>
              <w:tc>
                <w:tcPr>
                  <w:tcW w:w="357" w:type="pct"/>
                  <w:vMerge w:val="continue"/>
                  <w:tcBorders>
                    <w:tl2br w:val="nil"/>
                    <w:tr2bl w:val="nil"/>
                  </w:tcBorders>
                  <w:vAlign w:val="center"/>
                </w:tcPr>
                <w:p>
                  <w:pPr>
                    <w:autoSpaceDE w:val="0"/>
                    <w:autoSpaceDN w:val="0"/>
                    <w:spacing w:line="240" w:lineRule="auto"/>
                    <w:ind w:firstLine="0" w:firstLineChars="0"/>
                    <w:jc w:val="center"/>
                    <w:rPr>
                      <w:rFonts w:ascii="Times New Roman" w:hAnsi="Times New Roman" w:cs="Times New Roman" w:eastAsiaTheme="minorEastAsia"/>
                      <w:color w:val="auto"/>
                      <w:spacing w:val="0"/>
                      <w:sz w:val="21"/>
                    </w:rPr>
                  </w:pPr>
                </w:p>
              </w:tc>
              <w:tc>
                <w:tcPr>
                  <w:tcW w:w="1390" w:type="pct"/>
                  <w:gridSpan w:val="2"/>
                  <w:vMerge w:val="continue"/>
                  <w:tcBorders>
                    <w:tl2br w:val="nil"/>
                    <w:tr2bl w:val="nil"/>
                  </w:tcBorders>
                  <w:vAlign w:val="center"/>
                </w:tcPr>
                <w:p>
                  <w:pPr>
                    <w:autoSpaceDE w:val="0"/>
                    <w:autoSpaceDN w:val="0"/>
                    <w:spacing w:line="240" w:lineRule="auto"/>
                    <w:ind w:firstLine="0" w:firstLineChars="0"/>
                    <w:jc w:val="center"/>
                    <w:rPr>
                      <w:rFonts w:hint="eastAsia" w:ascii="Times New Roman" w:hAnsi="Times New Roman" w:cs="Times New Roman" w:eastAsiaTheme="minorEastAsia"/>
                      <w:color w:val="auto"/>
                      <w:spacing w:val="0"/>
                      <w:sz w:val="21"/>
                    </w:rPr>
                  </w:pPr>
                </w:p>
              </w:tc>
              <w:tc>
                <w:tcPr>
                  <w:tcW w:w="849" w:type="pct"/>
                  <w:tcBorders>
                    <w:tl2br w:val="nil"/>
                    <w:tr2bl w:val="nil"/>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非甲烷总烃</w:t>
                  </w:r>
                </w:p>
              </w:tc>
              <w:tc>
                <w:tcPr>
                  <w:tcW w:w="964" w:type="pct"/>
                  <w:tcBorders>
                    <w:tl2br w:val="nil"/>
                    <w:tr2bl w:val="nil"/>
                  </w:tcBorders>
                  <w:shd w:val="clear" w:color="auto" w:fill="auto"/>
                  <w:vAlign w:val="center"/>
                </w:tcPr>
                <w:p>
                  <w:pPr>
                    <w:pStyle w:val="322"/>
                    <w:spacing w:line="240" w:lineRule="auto"/>
                    <w:ind w:firstLine="0" w:firstLineChars="0"/>
                    <w:jc w:val="center"/>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4.0</w:t>
                  </w:r>
                  <w:r>
                    <w:rPr>
                      <w:rFonts w:hint="eastAsia" w:ascii="Times New Roman" w:hAnsi="Times New Roman" w:cs="Times New Roman" w:eastAsiaTheme="minorEastAsia"/>
                      <w:color w:val="auto"/>
                      <w:spacing w:val="0"/>
                      <w:sz w:val="21"/>
                      <w:szCs w:val="21"/>
                    </w:rPr>
                    <w:t>mg/m</w:t>
                  </w:r>
                  <w:r>
                    <w:rPr>
                      <w:rFonts w:hint="eastAsia" w:ascii="Times New Roman" w:hAnsi="Times New Roman" w:cs="Times New Roman" w:eastAsiaTheme="minorEastAsia"/>
                      <w:color w:val="auto"/>
                      <w:spacing w:val="0"/>
                      <w:sz w:val="21"/>
                      <w:szCs w:val="21"/>
                      <w:vertAlign w:val="superscript"/>
                    </w:rPr>
                    <w:t>3</w:t>
                  </w:r>
                </w:p>
              </w:tc>
              <w:tc>
                <w:tcPr>
                  <w:tcW w:w="1438" w:type="pct"/>
                  <w:vMerge w:val="continue"/>
                  <w:tcBorders>
                    <w:tl2br w:val="nil"/>
                    <w:tr2bl w:val="nil"/>
                  </w:tcBorders>
                  <w:vAlign w:val="center"/>
                </w:tcPr>
                <w:p>
                  <w:pPr>
                    <w:autoSpaceDE w:val="0"/>
                    <w:autoSpaceDN w:val="0"/>
                    <w:spacing w:line="240" w:lineRule="auto"/>
                    <w:ind w:firstLine="0" w:firstLineChars="0"/>
                    <w:jc w:val="center"/>
                    <w:rPr>
                      <w:rFonts w:hint="eastAsia" w:ascii="Times New Roman" w:hAnsi="Times New Roman" w:cs="Times New Roman" w:eastAsiaTheme="minorEastAsia"/>
                      <w:color w:val="auto"/>
                      <w:spacing w:val="0"/>
                      <w:sz w:val="21"/>
                      <w:lang w:val="en-US" w:eastAsia="zh-CN"/>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500" w:hRule="atLeast"/>
              </w:trPr>
              <w:tc>
                <w:tcPr>
                  <w:tcW w:w="357" w:type="pct"/>
                  <w:vMerge w:val="continue"/>
                  <w:tcBorders>
                    <w:tl2br w:val="nil"/>
                    <w:tr2bl w:val="nil"/>
                  </w:tcBorders>
                  <w:vAlign w:val="center"/>
                </w:tcPr>
                <w:p>
                  <w:pPr>
                    <w:autoSpaceDE w:val="0"/>
                    <w:autoSpaceDN w:val="0"/>
                    <w:spacing w:line="240" w:lineRule="auto"/>
                    <w:ind w:firstLine="0" w:firstLineChars="0"/>
                    <w:jc w:val="center"/>
                    <w:rPr>
                      <w:rFonts w:hint="eastAsia" w:ascii="Times New Roman" w:hAnsi="Times New Roman" w:cs="Times New Roman" w:eastAsiaTheme="minorEastAsia"/>
                      <w:color w:val="auto"/>
                      <w:spacing w:val="0"/>
                      <w:sz w:val="21"/>
                      <w:lang w:val="en-US" w:eastAsia="zh-CN"/>
                    </w:rPr>
                  </w:pPr>
                </w:p>
              </w:tc>
              <w:tc>
                <w:tcPr>
                  <w:tcW w:w="1390" w:type="pct"/>
                  <w:gridSpan w:val="2"/>
                  <w:vMerge w:val="restart"/>
                  <w:tcBorders>
                    <w:tl2br w:val="nil"/>
                    <w:tr2bl w:val="nil"/>
                  </w:tcBorders>
                  <w:vAlign w:val="center"/>
                </w:tcPr>
                <w:p>
                  <w:pPr>
                    <w:autoSpaceDE w:val="0"/>
                    <w:autoSpaceDN w:val="0"/>
                    <w:spacing w:line="240" w:lineRule="auto"/>
                    <w:ind w:firstLine="0" w:firstLineChars="0"/>
                    <w:jc w:val="center"/>
                    <w:rPr>
                      <w:rFonts w:hint="default" w:ascii="Times New Roman" w:hAnsi="Times New Roman" w:cs="Times New Roman" w:eastAsiaTheme="minorEastAsia"/>
                      <w:color w:val="auto"/>
                      <w:spacing w:val="0"/>
                      <w:sz w:val="21"/>
                      <w:lang w:val="en-US" w:eastAsia="zh-CN"/>
                    </w:rPr>
                  </w:pPr>
                  <w:r>
                    <w:rPr>
                      <w:rFonts w:hint="eastAsia" w:ascii="Times New Roman" w:hAnsi="Times New Roman" w:cs="Times New Roman" w:eastAsiaTheme="minorEastAsia"/>
                      <w:color w:val="auto"/>
                      <w:spacing w:val="0"/>
                      <w:sz w:val="21"/>
                      <w:lang w:val="en-US" w:eastAsia="zh-CN"/>
                    </w:rPr>
                    <w:t>厂区内无组织废气</w:t>
                  </w:r>
                </w:p>
              </w:tc>
              <w:tc>
                <w:tcPr>
                  <w:tcW w:w="849" w:type="pct"/>
                  <w:vMerge w:val="restart"/>
                  <w:tcBorders>
                    <w:tl2br w:val="nil"/>
                    <w:tr2bl w:val="nil"/>
                  </w:tcBorders>
                  <w:shd w:val="clear" w:color="auto" w:fill="auto"/>
                  <w:vAlign w:val="center"/>
                </w:tcPr>
                <w:p>
                  <w:pPr>
                    <w:autoSpaceDE w:val="0"/>
                    <w:autoSpaceDN w:val="0"/>
                    <w:spacing w:line="240" w:lineRule="auto"/>
                    <w:ind w:firstLine="0" w:firstLineChars="0"/>
                    <w:jc w:val="center"/>
                    <w:rPr>
                      <w:rFonts w:hint="default" w:ascii="Times New Roman" w:hAnsi="Times New Roman" w:cs="Times New Roman" w:eastAsiaTheme="minorEastAsia"/>
                      <w:color w:val="auto"/>
                      <w:spacing w:val="0"/>
                      <w:sz w:val="21"/>
                      <w:lang w:val="en-US" w:eastAsia="zh-CN"/>
                    </w:rPr>
                  </w:pPr>
                  <w:r>
                    <w:rPr>
                      <w:rFonts w:hint="eastAsia" w:ascii="Times New Roman" w:hAnsi="Times New Roman" w:cs="Times New Roman" w:eastAsiaTheme="minorEastAsia"/>
                      <w:color w:val="auto"/>
                      <w:spacing w:val="0"/>
                      <w:sz w:val="21"/>
                      <w:lang w:val="en-US" w:eastAsia="zh-CN"/>
                    </w:rPr>
                    <w:t>非甲烷总烃</w:t>
                  </w:r>
                </w:p>
              </w:tc>
              <w:tc>
                <w:tcPr>
                  <w:tcW w:w="964" w:type="pct"/>
                  <w:tcBorders>
                    <w:tl2br w:val="nil"/>
                    <w:tr2bl w:val="nil"/>
                  </w:tcBorders>
                  <w:shd w:val="clear" w:color="auto" w:fill="auto"/>
                  <w:vAlign w:val="center"/>
                </w:tcPr>
                <w:p>
                  <w:pPr>
                    <w:autoSpaceDE w:val="0"/>
                    <w:autoSpaceDN w:val="0"/>
                    <w:spacing w:line="240" w:lineRule="auto"/>
                    <w:ind w:firstLine="0" w:firstLineChars="0"/>
                    <w:jc w:val="center"/>
                    <w:rPr>
                      <w:rFonts w:hint="default" w:ascii="Times New Roman" w:hAnsi="Times New Roman" w:cs="Times New Roman" w:eastAsiaTheme="minorEastAsia"/>
                      <w:color w:val="auto"/>
                      <w:spacing w:val="0"/>
                      <w:sz w:val="21"/>
                      <w:lang w:val="en-US" w:eastAsia="zh-CN"/>
                    </w:rPr>
                  </w:pPr>
                  <w:r>
                    <w:rPr>
                      <w:rFonts w:hint="eastAsia" w:ascii="Times New Roman" w:hAnsi="Times New Roman" w:cs="Times New Roman" w:eastAsiaTheme="minorEastAsia"/>
                      <w:color w:val="auto"/>
                      <w:spacing w:val="0"/>
                      <w:sz w:val="21"/>
                      <w:lang w:val="en-US" w:eastAsia="zh-CN"/>
                    </w:rPr>
                    <w:t>1小时平均值：≤6 mg/m</w:t>
                  </w:r>
                  <w:r>
                    <w:rPr>
                      <w:rFonts w:hint="eastAsia" w:ascii="Times New Roman" w:hAnsi="Times New Roman" w:cs="Times New Roman" w:eastAsiaTheme="minorEastAsia"/>
                      <w:color w:val="auto"/>
                      <w:spacing w:val="0"/>
                      <w:sz w:val="21"/>
                      <w:vertAlign w:val="superscript"/>
                      <w:lang w:val="en-US" w:eastAsia="zh-CN"/>
                    </w:rPr>
                    <w:t>3</w:t>
                  </w:r>
                </w:p>
              </w:tc>
              <w:tc>
                <w:tcPr>
                  <w:tcW w:w="1438" w:type="pct"/>
                  <w:vMerge w:val="restart"/>
                  <w:tcBorders>
                    <w:tl2br w:val="nil"/>
                    <w:tr2bl w:val="nil"/>
                  </w:tcBorders>
                  <w:vAlign w:val="center"/>
                </w:tcPr>
                <w:p>
                  <w:pPr>
                    <w:autoSpaceDE w:val="0"/>
                    <w:autoSpaceDN w:val="0"/>
                    <w:spacing w:line="240" w:lineRule="auto"/>
                    <w:ind w:firstLine="0" w:firstLineChars="0"/>
                    <w:jc w:val="center"/>
                    <w:rPr>
                      <w:rFonts w:hint="eastAsia" w:ascii="Times New Roman" w:hAnsi="Times New Roman" w:cs="Times New Roman" w:eastAsiaTheme="minorEastAsia"/>
                      <w:color w:val="auto"/>
                      <w:spacing w:val="0"/>
                      <w:sz w:val="21"/>
                      <w:lang w:val="en-US" w:eastAsia="zh-CN"/>
                    </w:rPr>
                  </w:pPr>
                  <w:r>
                    <w:rPr>
                      <w:rFonts w:hint="eastAsia" w:ascii="Times New Roman" w:hAnsi="Times New Roman" w:cs="Times New Roman" w:eastAsiaTheme="minorEastAsia"/>
                      <w:color w:val="auto"/>
                      <w:spacing w:val="0"/>
                      <w:sz w:val="21"/>
                      <w:lang w:val="en-US" w:eastAsia="zh-CN"/>
                    </w:rPr>
                    <w:t>《挥发性有机物无组织排放控制标准》（GB 37822</w:t>
                  </w:r>
                  <w:r>
                    <w:rPr>
                      <w:rFonts w:hint="eastAsia" w:ascii="Times New Roman" w:hAnsi="Times New Roman" w:cs="Times New Roman" w:eastAsiaTheme="minorEastAsia"/>
                      <w:color w:val="auto"/>
                      <w:spacing w:val="0"/>
                      <w:sz w:val="21"/>
                      <w:lang w:val="en-US" w:eastAsia="zh-CN"/>
                    </w:rPr>
                    <w:noBreakHyphen/>
                  </w:r>
                  <w:r>
                    <w:rPr>
                      <w:rFonts w:hint="eastAsia" w:ascii="Times New Roman" w:hAnsi="Times New Roman" w:cs="Times New Roman" w:eastAsiaTheme="minorEastAsia"/>
                      <w:color w:val="auto"/>
                      <w:spacing w:val="0"/>
                      <w:sz w:val="21"/>
                      <w:lang w:val="en-US" w:eastAsia="zh-CN"/>
                    </w:rPr>
                    <w:t>2019）附录A表 A.1</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500" w:hRule="atLeast"/>
              </w:trPr>
              <w:tc>
                <w:tcPr>
                  <w:tcW w:w="357" w:type="pct"/>
                  <w:vMerge w:val="continue"/>
                  <w:tcBorders>
                    <w:tl2br w:val="nil"/>
                    <w:tr2bl w:val="nil"/>
                  </w:tcBorders>
                  <w:vAlign w:val="center"/>
                </w:tcPr>
                <w:p>
                  <w:pPr>
                    <w:autoSpaceDE w:val="0"/>
                    <w:autoSpaceDN w:val="0"/>
                    <w:spacing w:line="240" w:lineRule="auto"/>
                    <w:ind w:firstLine="0" w:firstLineChars="0"/>
                    <w:jc w:val="center"/>
                    <w:rPr>
                      <w:rFonts w:hint="eastAsia" w:ascii="Times New Roman" w:hAnsi="Times New Roman" w:cs="Times New Roman" w:eastAsiaTheme="minorEastAsia"/>
                      <w:color w:val="auto"/>
                      <w:spacing w:val="0"/>
                      <w:sz w:val="21"/>
                      <w:lang w:val="en-US" w:eastAsia="zh-CN"/>
                    </w:rPr>
                  </w:pPr>
                </w:p>
              </w:tc>
              <w:tc>
                <w:tcPr>
                  <w:tcW w:w="1390" w:type="pct"/>
                  <w:gridSpan w:val="2"/>
                  <w:vMerge w:val="continue"/>
                  <w:tcBorders>
                    <w:tl2br w:val="nil"/>
                    <w:tr2bl w:val="nil"/>
                  </w:tcBorders>
                  <w:vAlign w:val="center"/>
                </w:tcPr>
                <w:p>
                  <w:pPr>
                    <w:autoSpaceDE w:val="0"/>
                    <w:autoSpaceDN w:val="0"/>
                    <w:spacing w:line="240" w:lineRule="auto"/>
                    <w:ind w:firstLine="0" w:firstLineChars="0"/>
                    <w:jc w:val="center"/>
                    <w:rPr>
                      <w:rFonts w:hint="eastAsia" w:ascii="Times New Roman" w:hAnsi="Times New Roman" w:cs="Times New Roman" w:eastAsiaTheme="minorEastAsia"/>
                      <w:color w:val="auto"/>
                      <w:spacing w:val="0"/>
                      <w:sz w:val="21"/>
                      <w:lang w:val="en-US" w:eastAsia="zh-CN"/>
                    </w:rPr>
                  </w:pPr>
                </w:p>
              </w:tc>
              <w:tc>
                <w:tcPr>
                  <w:tcW w:w="849" w:type="pct"/>
                  <w:vMerge w:val="continue"/>
                  <w:tcBorders>
                    <w:tl2br w:val="nil"/>
                    <w:tr2bl w:val="nil"/>
                  </w:tcBorders>
                  <w:shd w:val="clear" w:color="auto" w:fill="auto"/>
                  <w:vAlign w:val="center"/>
                </w:tcPr>
                <w:p>
                  <w:pPr>
                    <w:autoSpaceDE w:val="0"/>
                    <w:autoSpaceDN w:val="0"/>
                    <w:spacing w:line="240" w:lineRule="auto"/>
                    <w:ind w:firstLine="0" w:firstLineChars="0"/>
                    <w:jc w:val="center"/>
                    <w:rPr>
                      <w:rFonts w:hint="eastAsia" w:ascii="Times New Roman" w:hAnsi="Times New Roman" w:cs="Times New Roman" w:eastAsiaTheme="minorEastAsia"/>
                      <w:color w:val="auto"/>
                      <w:spacing w:val="0"/>
                      <w:sz w:val="21"/>
                      <w:lang w:val="en-US" w:eastAsia="zh-CN"/>
                    </w:rPr>
                  </w:pPr>
                </w:p>
              </w:tc>
              <w:tc>
                <w:tcPr>
                  <w:tcW w:w="964" w:type="pct"/>
                  <w:tcBorders>
                    <w:tl2br w:val="nil"/>
                    <w:tr2bl w:val="nil"/>
                  </w:tcBorders>
                  <w:shd w:val="clear" w:color="auto" w:fill="auto"/>
                  <w:vAlign w:val="center"/>
                </w:tcPr>
                <w:p>
                  <w:pPr>
                    <w:autoSpaceDE w:val="0"/>
                    <w:autoSpaceDN w:val="0"/>
                    <w:spacing w:line="240" w:lineRule="auto"/>
                    <w:ind w:firstLine="0" w:firstLineChars="0"/>
                    <w:jc w:val="center"/>
                    <w:rPr>
                      <w:rFonts w:hint="default" w:ascii="Times New Roman" w:hAnsi="Times New Roman" w:cs="Times New Roman" w:eastAsiaTheme="minorEastAsia"/>
                      <w:color w:val="auto"/>
                      <w:spacing w:val="0"/>
                      <w:sz w:val="21"/>
                      <w:lang w:val="en-US" w:eastAsia="zh-CN"/>
                    </w:rPr>
                  </w:pPr>
                  <w:r>
                    <w:rPr>
                      <w:rFonts w:hint="eastAsia" w:ascii="Times New Roman" w:hAnsi="Times New Roman" w:cs="Times New Roman" w:eastAsiaTheme="minorEastAsia"/>
                      <w:color w:val="auto"/>
                      <w:spacing w:val="0"/>
                      <w:sz w:val="21"/>
                      <w:lang w:val="en-US" w:eastAsia="zh-CN"/>
                    </w:rPr>
                    <w:t>任意一次浓度值：≤20 mg/m</w:t>
                  </w:r>
                  <w:r>
                    <w:rPr>
                      <w:rFonts w:hint="eastAsia" w:ascii="Times New Roman" w:hAnsi="Times New Roman" w:cs="Times New Roman" w:eastAsiaTheme="minorEastAsia"/>
                      <w:color w:val="auto"/>
                      <w:spacing w:val="0"/>
                      <w:sz w:val="21"/>
                      <w:vertAlign w:val="superscript"/>
                      <w:lang w:val="en-US" w:eastAsia="zh-CN"/>
                    </w:rPr>
                    <w:t>3</w:t>
                  </w:r>
                </w:p>
              </w:tc>
              <w:tc>
                <w:tcPr>
                  <w:tcW w:w="1438" w:type="pct"/>
                  <w:vMerge w:val="continue"/>
                  <w:tcBorders>
                    <w:tl2br w:val="nil"/>
                    <w:tr2bl w:val="nil"/>
                  </w:tcBorders>
                  <w:vAlign w:val="center"/>
                </w:tcPr>
                <w:p>
                  <w:pPr>
                    <w:autoSpaceDE w:val="0"/>
                    <w:autoSpaceDN w:val="0"/>
                    <w:spacing w:line="240" w:lineRule="auto"/>
                    <w:ind w:firstLine="0" w:firstLineChars="0"/>
                    <w:jc w:val="center"/>
                    <w:rPr>
                      <w:rFonts w:hint="eastAsia" w:ascii="Times New Roman" w:hAnsi="Times New Roman" w:cs="Times New Roman" w:eastAsiaTheme="minorEastAsia"/>
                      <w:color w:val="auto"/>
                      <w:spacing w:val="0"/>
                      <w:sz w:val="21"/>
                      <w:lang w:val="en-US" w:eastAsia="zh-CN"/>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432" w:hRule="atLeast"/>
              </w:trPr>
              <w:tc>
                <w:tcPr>
                  <w:tcW w:w="5000" w:type="pct"/>
                  <w:gridSpan w:val="6"/>
                  <w:tcBorders>
                    <w:tl2br w:val="nil"/>
                    <w:tr2bl w:val="nil"/>
                  </w:tcBorders>
                  <w:vAlign w:val="center"/>
                </w:tcPr>
                <w:p>
                  <w:pPr>
                    <w:autoSpaceDE w:val="0"/>
                    <w:autoSpaceDN w:val="0"/>
                    <w:spacing w:line="240" w:lineRule="auto"/>
                    <w:ind w:firstLine="0" w:firstLineChars="0"/>
                    <w:jc w:val="center"/>
                    <w:rPr>
                      <w:rFonts w:hint="default" w:ascii="Times New Roman" w:hAnsi="Times New Roman" w:cs="Times New Roman" w:eastAsiaTheme="minorEastAsia"/>
                      <w:color w:val="auto"/>
                      <w:spacing w:val="0"/>
                      <w:sz w:val="21"/>
                      <w:lang w:val="en-US" w:eastAsia="zh-CN"/>
                    </w:rPr>
                  </w:pPr>
                  <w:r>
                    <w:rPr>
                      <w:rFonts w:hint="eastAsia" w:ascii="Times New Roman" w:hAnsi="Times New Roman" w:cs="Times New Roman" w:eastAsiaTheme="minorEastAsia"/>
                      <w:color w:val="auto"/>
                      <w:spacing w:val="0"/>
                      <w:sz w:val="21"/>
                      <w:lang w:val="en-US" w:eastAsia="zh-CN"/>
                    </w:rPr>
                    <w:t>备注：周围200m范围内建筑物高度不超过15m</w:t>
                  </w:r>
                </w:p>
              </w:tc>
            </w:tr>
          </w:tbl>
          <w:p>
            <w:pPr>
              <w:keepNext w:val="0"/>
              <w:keepLines w:val="0"/>
              <w:pageBreakBefore w:val="0"/>
              <w:widowControl w:val="0"/>
              <w:kinsoku/>
              <w:wordWrap/>
              <w:overflowPunct/>
              <w:topLinePunct w:val="0"/>
              <w:bidi w:val="0"/>
              <w:adjustRightInd/>
              <w:snapToGrid/>
              <w:ind w:firstLine="482"/>
              <w:textAlignment w:val="auto"/>
              <w:rPr>
                <w:rFonts w:ascii="Times New Roman" w:hAnsi="Times New Roman" w:eastAsia="宋体" w:cs="Times New Roman"/>
                <w:b/>
                <w:bCs/>
                <w:color w:val="auto"/>
                <w:spacing w:val="0"/>
                <w:sz w:val="24"/>
                <w:szCs w:val="24"/>
              </w:rPr>
            </w:pPr>
            <w:r>
              <w:rPr>
                <w:rFonts w:hint="eastAsia" w:ascii="Times New Roman" w:hAnsi="Times New Roman" w:eastAsia="宋体" w:cs="Times New Roman"/>
                <w:b/>
                <w:bCs/>
                <w:color w:val="auto"/>
                <w:spacing w:val="0"/>
                <w:sz w:val="24"/>
                <w:szCs w:val="24"/>
                <w:lang w:val="en-US" w:eastAsia="zh-CN"/>
              </w:rPr>
              <w:t>2</w:t>
            </w:r>
            <w:r>
              <w:rPr>
                <w:rFonts w:ascii="Times New Roman" w:hAnsi="Times New Roman" w:eastAsia="宋体" w:cs="Times New Roman"/>
                <w:b/>
                <w:bCs/>
                <w:color w:val="auto"/>
                <w:spacing w:val="0"/>
                <w:sz w:val="24"/>
                <w:szCs w:val="24"/>
              </w:rPr>
              <w:t>、水污染物排放标准</w:t>
            </w:r>
          </w:p>
          <w:p>
            <w:pPr>
              <w:pStyle w:val="454"/>
              <w:keepNext w:val="0"/>
              <w:keepLines w:val="0"/>
              <w:pageBreakBefore w:val="0"/>
              <w:widowControl w:val="0"/>
              <w:kinsoku/>
              <w:wordWrap/>
              <w:overflowPunct/>
              <w:topLinePunct w:val="0"/>
              <w:bidi w:val="0"/>
              <w:adjustRightInd/>
              <w:snapToGrid/>
              <w:textAlignment w:val="auto"/>
              <w:rPr>
                <w:color w:val="auto"/>
                <w:highlight w:val="none"/>
              </w:rPr>
            </w:pPr>
            <w:r>
              <w:rPr>
                <w:rFonts w:hint="eastAsia"/>
                <w:color w:val="auto"/>
                <w:highlight w:val="none"/>
                <w:lang w:val="en-US" w:eastAsia="zh-CN"/>
              </w:rPr>
              <w:t>本项目生产废水经沉淀池处理后回用于生产，不外排。生活污水排入防渗化粪池定期委托清运至博湖县污水处理厂进一步处理。</w:t>
            </w:r>
          </w:p>
          <w:p>
            <w:pPr>
              <w:keepNext w:val="0"/>
              <w:keepLines w:val="0"/>
              <w:pageBreakBefore w:val="0"/>
              <w:widowControl w:val="0"/>
              <w:kinsoku/>
              <w:wordWrap/>
              <w:overflowPunct/>
              <w:topLinePunct w:val="0"/>
              <w:bidi w:val="0"/>
              <w:adjustRightInd/>
              <w:snapToGrid/>
              <w:ind w:firstLine="482"/>
              <w:textAlignment w:val="auto"/>
              <w:rPr>
                <w:rFonts w:ascii="Times New Roman" w:hAnsi="Times New Roman" w:eastAsia="宋体" w:cs="Times New Roman"/>
                <w:b/>
                <w:bCs/>
                <w:color w:val="auto"/>
                <w:spacing w:val="0"/>
                <w:sz w:val="24"/>
                <w:szCs w:val="24"/>
              </w:rPr>
            </w:pPr>
            <w:r>
              <w:rPr>
                <w:rFonts w:hint="eastAsia" w:ascii="Times New Roman" w:hAnsi="Times New Roman" w:eastAsia="宋体" w:cs="Times New Roman"/>
                <w:b/>
                <w:bCs/>
                <w:color w:val="auto"/>
                <w:spacing w:val="0"/>
                <w:sz w:val="24"/>
                <w:szCs w:val="24"/>
                <w:lang w:val="en-US" w:eastAsia="zh-CN"/>
              </w:rPr>
              <w:t>3、</w:t>
            </w:r>
            <w:r>
              <w:rPr>
                <w:rFonts w:ascii="Times New Roman" w:hAnsi="Times New Roman" w:eastAsia="宋体" w:cs="Times New Roman"/>
                <w:b/>
                <w:bCs/>
                <w:color w:val="auto"/>
                <w:spacing w:val="0"/>
                <w:sz w:val="24"/>
                <w:szCs w:val="24"/>
              </w:rPr>
              <w:t>噪声</w:t>
            </w:r>
          </w:p>
          <w:p>
            <w:pPr>
              <w:pStyle w:val="454"/>
              <w:keepNext w:val="0"/>
              <w:keepLines w:val="0"/>
              <w:pageBreakBefore w:val="0"/>
              <w:widowControl w:val="0"/>
              <w:kinsoku/>
              <w:wordWrap/>
              <w:overflowPunct/>
              <w:topLinePunct w:val="0"/>
              <w:bidi w:val="0"/>
              <w:adjustRightInd/>
              <w:snapToGrid/>
              <w:textAlignment w:val="auto"/>
              <w:rPr>
                <w:rFonts w:hint="default"/>
                <w:color w:val="auto"/>
                <w:highlight w:val="none"/>
                <w:lang w:val="en-US" w:eastAsia="zh-CN"/>
              </w:rPr>
            </w:pPr>
            <w:r>
              <w:rPr>
                <w:rFonts w:hint="eastAsia"/>
                <w:color w:val="auto"/>
                <w:highlight w:val="none"/>
                <w:lang w:val="en-US" w:eastAsia="zh-CN"/>
              </w:rPr>
              <w:t>（1）施工期</w:t>
            </w:r>
          </w:p>
          <w:p>
            <w:pPr>
              <w:keepNext w:val="0"/>
              <w:keepLines w:val="0"/>
              <w:pageBreakBefore w:val="0"/>
              <w:widowControl w:val="0"/>
              <w:kinsoku/>
              <w:wordWrap/>
              <w:overflowPunct/>
              <w:topLinePunct w:val="0"/>
              <w:autoSpaceDE w:val="0"/>
              <w:autoSpaceDN w:val="0"/>
              <w:bidi w:val="0"/>
              <w:adjustRightInd/>
              <w:snapToGrid/>
              <w:spacing w:before="0" w:after="0" w:line="360" w:lineRule="auto"/>
              <w:ind w:left="0" w:right="0" w:firstLine="480" w:firstLineChars="200"/>
              <w:textAlignment w:val="auto"/>
              <w:rPr>
                <w:rFonts w:ascii="Times New Roman" w:hAnsi="Times New Roman" w:eastAsia="宋体" w:cs="宋体"/>
                <w:color w:val="auto"/>
                <w:kern w:val="0"/>
                <w:sz w:val="24"/>
                <w:szCs w:val="22"/>
              </w:rPr>
            </w:pPr>
            <w:r>
              <w:rPr>
                <w:rFonts w:ascii="Times New Roman" w:hAnsi="Times New Roman" w:eastAsia="宋体" w:cs="宋体"/>
                <w:color w:val="auto"/>
                <w:kern w:val="0"/>
                <w:sz w:val="24"/>
                <w:szCs w:val="22"/>
              </w:rPr>
              <w:t>施工期噪声执行《</w:t>
            </w:r>
            <w:r>
              <w:rPr>
                <w:rFonts w:ascii="宋体" w:hAnsi="宋体" w:eastAsia="宋体" w:cs="宋体"/>
                <w:color w:val="auto"/>
                <w:sz w:val="24"/>
                <w:szCs w:val="24"/>
              </w:rPr>
              <w:t>建筑施工噪声排放标准</w:t>
            </w:r>
            <w:r>
              <w:rPr>
                <w:rFonts w:ascii="Times New Roman" w:hAnsi="Times New Roman" w:eastAsia="宋体" w:cs="宋体"/>
                <w:color w:val="auto"/>
                <w:kern w:val="0"/>
                <w:sz w:val="24"/>
                <w:szCs w:val="22"/>
              </w:rPr>
              <w:t>》（</w:t>
            </w:r>
            <w:r>
              <w:rPr>
                <w:rFonts w:hint="eastAsia" w:ascii="Times New Roman" w:hAnsi="Times New Roman" w:eastAsia="宋体" w:cs="宋体"/>
                <w:color w:val="auto"/>
                <w:kern w:val="0"/>
                <w:sz w:val="24"/>
                <w:szCs w:val="22"/>
                <w:lang w:eastAsia="zh-CN"/>
              </w:rPr>
              <w:t>GB12523-2025</w:t>
            </w:r>
            <w:r>
              <w:rPr>
                <w:rFonts w:ascii="Times New Roman" w:hAnsi="Times New Roman" w:eastAsia="宋体" w:cs="宋体"/>
                <w:color w:val="auto"/>
                <w:kern w:val="0"/>
                <w:sz w:val="24"/>
                <w:szCs w:val="22"/>
              </w:rPr>
              <w:t>）表1中标准，见表</w:t>
            </w:r>
            <w:r>
              <w:rPr>
                <w:rFonts w:hint="eastAsia" w:ascii="Times New Roman" w:hAnsi="Times New Roman" w:eastAsia="宋体" w:cs="宋体"/>
                <w:color w:val="auto"/>
                <w:kern w:val="0"/>
                <w:sz w:val="24"/>
                <w:szCs w:val="22"/>
                <w:lang w:val="en-US" w:eastAsia="zh-CN"/>
              </w:rPr>
              <w:t>3-4</w:t>
            </w:r>
            <w:r>
              <w:rPr>
                <w:rFonts w:ascii="Times New Roman" w:hAnsi="Times New Roman" w:eastAsia="宋体" w:cs="宋体"/>
                <w:color w:val="auto"/>
                <w:kern w:val="0"/>
                <w:sz w:val="24"/>
                <w:szCs w:val="22"/>
              </w:rPr>
              <w:t>。</w:t>
            </w:r>
          </w:p>
          <w:p>
            <w:pPr>
              <w:keepNext w:val="0"/>
              <w:keepLines w:val="0"/>
              <w:pageBreakBefore w:val="0"/>
              <w:widowControl w:val="0"/>
              <w:kinsoku/>
              <w:wordWrap/>
              <w:overflowPunct/>
              <w:topLinePunct w:val="0"/>
              <w:autoSpaceDE w:val="0"/>
              <w:autoSpaceDN w:val="0"/>
              <w:bidi w:val="0"/>
              <w:adjustRightInd/>
              <w:snapToGrid/>
              <w:spacing w:before="0" w:after="0" w:line="360" w:lineRule="auto"/>
              <w:ind w:left="0" w:right="0" w:firstLine="0" w:firstLineChars="0"/>
              <w:jc w:val="center"/>
              <w:textAlignment w:val="auto"/>
              <w:outlineLvl w:val="9"/>
              <w:rPr>
                <w:rFonts w:ascii="Times New Roman" w:hAnsi="Times New Roman" w:eastAsia="宋体" w:cs="宋体"/>
                <w:b/>
                <w:color w:val="auto"/>
                <w:sz w:val="21"/>
                <w:szCs w:val="21"/>
                <w:lang w:val="en-US" w:eastAsia="zh-CN" w:bidi="ar-SA"/>
              </w:rPr>
            </w:pPr>
            <w:r>
              <w:rPr>
                <w:rFonts w:ascii="Times New Roman" w:hAnsi="Times New Roman" w:eastAsia="宋体" w:cs="宋体"/>
                <w:b/>
                <w:color w:val="auto"/>
                <w:sz w:val="21"/>
                <w:szCs w:val="21"/>
                <w:lang w:val="en-US" w:eastAsia="zh-CN" w:bidi="ar-SA"/>
              </w:rPr>
              <w:t>表</w:t>
            </w:r>
            <w:r>
              <w:rPr>
                <w:rFonts w:hint="eastAsia" w:ascii="Times New Roman" w:hAnsi="Times New Roman" w:eastAsia="宋体" w:cs="宋体"/>
                <w:b/>
                <w:color w:val="auto"/>
                <w:sz w:val="21"/>
                <w:szCs w:val="21"/>
                <w:lang w:val="en-US" w:eastAsia="zh-CN" w:bidi="ar-SA"/>
              </w:rPr>
              <w:t>3-4</w:t>
            </w:r>
            <w:r>
              <w:rPr>
                <w:rFonts w:ascii="Times New Roman" w:hAnsi="Times New Roman" w:eastAsia="宋体" w:cs="宋体"/>
                <w:b/>
                <w:color w:val="auto"/>
                <w:sz w:val="21"/>
                <w:szCs w:val="21"/>
                <w:lang w:val="en-US" w:eastAsia="zh-CN" w:bidi="ar-SA"/>
              </w:rPr>
              <w:t xml:space="preserve">  建筑施工场界环境噪声排放限值  单位： dB（A）</w:t>
            </w:r>
          </w:p>
          <w:tbl>
            <w:tblPr>
              <w:tblStyle w:val="55"/>
              <w:tblW w:w="4963" w:type="pct"/>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3995"/>
              <w:gridCol w:w="3803"/>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397" w:hRule="atLeast"/>
              </w:trPr>
              <w:tc>
                <w:tcPr>
                  <w:tcW w:w="2561" w:type="pct"/>
                  <w:tcBorders>
                    <w:top w:val="single" w:color="auto" w:sz="4" w:space="0"/>
                    <w:left w:val="single" w:color="auto" w:sz="0" w:space="0"/>
                    <w:bottom w:val="single" w:color="auto" w:sz="4" w:space="0"/>
                    <w:right w:val="single" w:color="auto" w:sz="4" w:space="0"/>
                  </w:tcBorders>
                  <w:noWrap w:val="0"/>
                  <w:vAlign w:val="center"/>
                </w:tcPr>
                <w:p>
                  <w:pPr>
                    <w:widowControl w:val="0"/>
                    <w:autoSpaceDE w:val="0"/>
                    <w:autoSpaceDN w:val="0"/>
                    <w:adjustRightInd w:val="0"/>
                    <w:snapToGrid w:val="0"/>
                    <w:spacing w:before="0" w:after="0" w:line="240" w:lineRule="auto"/>
                    <w:ind w:left="0" w:right="0" w:firstLine="420" w:firstLineChars="200"/>
                    <w:jc w:val="center"/>
                    <w:rPr>
                      <w:rFonts w:ascii="Times New Roman" w:hAnsi="Times New Roman" w:eastAsia="宋体" w:cs="宋体"/>
                      <w:b w:val="0"/>
                      <w:bCs/>
                      <w:color w:val="auto"/>
                      <w:sz w:val="21"/>
                      <w:szCs w:val="21"/>
                      <w:lang w:val="en-US" w:eastAsia="zh-CN" w:bidi="ar-SA"/>
                    </w:rPr>
                  </w:pPr>
                  <w:r>
                    <w:rPr>
                      <w:rFonts w:ascii="Times New Roman" w:hAnsi="Times New Roman" w:eastAsia="宋体" w:cs="宋体"/>
                      <w:b w:val="0"/>
                      <w:bCs/>
                      <w:color w:val="auto"/>
                      <w:sz w:val="21"/>
                      <w:szCs w:val="21"/>
                      <w:lang w:val="en-US" w:eastAsia="zh-CN" w:bidi="ar-SA"/>
                    </w:rPr>
                    <w:t>昼间</w:t>
                  </w:r>
                </w:p>
              </w:tc>
              <w:tc>
                <w:tcPr>
                  <w:tcW w:w="2438" w:type="pct"/>
                  <w:tcBorders>
                    <w:top w:val="single" w:color="auto" w:sz="4" w:space="0"/>
                    <w:left w:val="single" w:color="auto" w:sz="4" w:space="0"/>
                    <w:bottom w:val="single" w:color="auto" w:sz="4" w:space="0"/>
                    <w:right w:val="single" w:color="auto" w:sz="4" w:space="0"/>
                  </w:tcBorders>
                  <w:noWrap w:val="0"/>
                  <w:vAlign w:val="center"/>
                </w:tcPr>
                <w:p>
                  <w:pPr>
                    <w:widowControl w:val="0"/>
                    <w:autoSpaceDE w:val="0"/>
                    <w:autoSpaceDN w:val="0"/>
                    <w:adjustRightInd w:val="0"/>
                    <w:snapToGrid w:val="0"/>
                    <w:spacing w:before="0" w:after="0" w:line="240" w:lineRule="auto"/>
                    <w:ind w:left="0" w:right="0" w:firstLine="420" w:firstLineChars="200"/>
                    <w:jc w:val="center"/>
                    <w:rPr>
                      <w:rFonts w:ascii="Times New Roman" w:hAnsi="Times New Roman" w:eastAsia="宋体" w:cs="宋体"/>
                      <w:b w:val="0"/>
                      <w:bCs/>
                      <w:color w:val="auto"/>
                      <w:sz w:val="21"/>
                      <w:szCs w:val="21"/>
                      <w:lang w:val="en-US" w:eastAsia="zh-CN" w:bidi="ar-SA"/>
                    </w:rPr>
                  </w:pPr>
                  <w:r>
                    <w:rPr>
                      <w:rFonts w:ascii="Times New Roman" w:hAnsi="Times New Roman" w:eastAsia="宋体" w:cs="宋体"/>
                      <w:b w:val="0"/>
                      <w:bCs/>
                      <w:color w:val="auto"/>
                      <w:sz w:val="21"/>
                      <w:szCs w:val="21"/>
                      <w:lang w:val="en-US" w:eastAsia="zh-CN" w:bidi="ar-SA"/>
                    </w:rPr>
                    <w:t>夜间</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561" w:type="pct"/>
                  <w:tcBorders>
                    <w:top w:val="single" w:color="auto" w:sz="4" w:space="0"/>
                    <w:left w:val="single" w:color="auto" w:sz="4" w:space="0"/>
                    <w:bottom w:val="single" w:color="auto" w:sz="4" w:space="0"/>
                    <w:right w:val="single" w:color="auto" w:sz="4" w:space="0"/>
                  </w:tcBorders>
                  <w:noWrap w:val="0"/>
                  <w:vAlign w:val="center"/>
                </w:tcPr>
                <w:p>
                  <w:pPr>
                    <w:widowControl w:val="0"/>
                    <w:autoSpaceDE w:val="0"/>
                    <w:autoSpaceDN w:val="0"/>
                    <w:adjustRightInd w:val="0"/>
                    <w:snapToGrid w:val="0"/>
                    <w:spacing w:before="0" w:after="0" w:line="240" w:lineRule="auto"/>
                    <w:ind w:left="0" w:right="0" w:firstLine="420" w:firstLineChars="200"/>
                    <w:jc w:val="center"/>
                    <w:rPr>
                      <w:rFonts w:ascii="Times New Roman" w:hAnsi="Times New Roman" w:eastAsia="宋体" w:cs="宋体"/>
                      <w:b w:val="0"/>
                      <w:bCs/>
                      <w:color w:val="auto"/>
                      <w:sz w:val="21"/>
                      <w:szCs w:val="21"/>
                      <w:lang w:val="en-US" w:eastAsia="zh-CN" w:bidi="ar-SA"/>
                    </w:rPr>
                  </w:pPr>
                  <w:r>
                    <w:rPr>
                      <w:rFonts w:ascii="Times New Roman" w:hAnsi="Times New Roman" w:eastAsia="宋体" w:cs="宋体"/>
                      <w:b w:val="0"/>
                      <w:bCs/>
                      <w:color w:val="auto"/>
                      <w:sz w:val="21"/>
                      <w:szCs w:val="21"/>
                      <w:lang w:val="en-US" w:eastAsia="zh-CN" w:bidi="ar-SA"/>
                    </w:rPr>
                    <w:t>70</w:t>
                  </w:r>
                </w:p>
              </w:tc>
              <w:tc>
                <w:tcPr>
                  <w:tcW w:w="2438" w:type="pct"/>
                  <w:tcBorders>
                    <w:top w:val="single" w:color="auto" w:sz="4" w:space="0"/>
                    <w:left w:val="single" w:color="auto" w:sz="4" w:space="0"/>
                    <w:bottom w:val="single" w:color="auto" w:sz="4" w:space="0"/>
                    <w:right w:val="single" w:color="auto" w:sz="4" w:space="0"/>
                  </w:tcBorders>
                  <w:noWrap w:val="0"/>
                  <w:vAlign w:val="center"/>
                </w:tcPr>
                <w:p>
                  <w:pPr>
                    <w:widowControl w:val="0"/>
                    <w:autoSpaceDE w:val="0"/>
                    <w:autoSpaceDN w:val="0"/>
                    <w:adjustRightInd w:val="0"/>
                    <w:snapToGrid w:val="0"/>
                    <w:spacing w:before="0" w:after="0" w:line="240" w:lineRule="auto"/>
                    <w:ind w:left="0" w:right="0" w:firstLine="420" w:firstLineChars="200"/>
                    <w:jc w:val="center"/>
                    <w:rPr>
                      <w:rFonts w:ascii="Times New Roman" w:hAnsi="Times New Roman" w:eastAsia="宋体" w:cs="宋体"/>
                      <w:b w:val="0"/>
                      <w:bCs/>
                      <w:color w:val="auto"/>
                      <w:sz w:val="21"/>
                      <w:szCs w:val="21"/>
                      <w:lang w:val="en-US" w:eastAsia="zh-CN" w:bidi="ar-SA"/>
                    </w:rPr>
                  </w:pPr>
                  <w:r>
                    <w:rPr>
                      <w:rFonts w:ascii="Times New Roman" w:hAnsi="Times New Roman" w:eastAsia="宋体" w:cs="宋体"/>
                      <w:b w:val="0"/>
                      <w:bCs/>
                      <w:color w:val="auto"/>
                      <w:sz w:val="21"/>
                      <w:szCs w:val="21"/>
                      <w:lang w:val="en-US" w:eastAsia="zh-CN" w:bidi="ar-SA"/>
                    </w:rPr>
                    <w:t>55</w:t>
                  </w:r>
                </w:p>
              </w:tc>
            </w:tr>
          </w:tbl>
          <w:p>
            <w:pPr>
              <w:pStyle w:val="454"/>
              <w:keepNext w:val="0"/>
              <w:keepLines w:val="0"/>
              <w:pageBreakBefore w:val="0"/>
              <w:widowControl w:val="0"/>
              <w:kinsoku/>
              <w:wordWrap/>
              <w:overflowPunct/>
              <w:topLinePunct w:val="0"/>
              <w:autoSpaceDE/>
              <w:autoSpaceDN/>
              <w:bidi w:val="0"/>
              <w:adjustRightInd/>
              <w:snapToGrid/>
              <w:textAlignment w:val="auto"/>
              <w:rPr>
                <w:rFonts w:hint="eastAsia"/>
                <w:color w:val="auto"/>
                <w:highlight w:val="none"/>
                <w:lang w:val="en-US" w:eastAsia="zh-CN"/>
              </w:rPr>
            </w:pPr>
            <w:r>
              <w:rPr>
                <w:rFonts w:hint="eastAsia"/>
                <w:color w:val="auto"/>
                <w:highlight w:val="none"/>
                <w:lang w:val="en-US" w:eastAsia="zh-CN"/>
              </w:rPr>
              <w:t>（2）</w:t>
            </w:r>
            <w:r>
              <w:rPr>
                <w:rFonts w:hint="eastAsia" w:ascii="Times New Roman" w:hAnsi="Times New Roman" w:eastAsia="宋体" w:cs="Times New Roman"/>
                <w:color w:val="auto"/>
                <w:spacing w:val="0"/>
                <w:sz w:val="24"/>
                <w:szCs w:val="24"/>
                <w:lang w:val="en-US" w:eastAsia="zh-CN"/>
              </w:rPr>
              <w:t>营运期</w:t>
            </w:r>
          </w:p>
          <w:p>
            <w:pPr>
              <w:pStyle w:val="454"/>
              <w:keepNext w:val="0"/>
              <w:keepLines w:val="0"/>
              <w:pageBreakBefore w:val="0"/>
              <w:widowControl w:val="0"/>
              <w:kinsoku/>
              <w:wordWrap/>
              <w:overflowPunct/>
              <w:topLinePunct w:val="0"/>
              <w:autoSpaceDE/>
              <w:autoSpaceDN/>
              <w:bidi w:val="0"/>
              <w:adjustRightInd/>
              <w:snapToGrid/>
              <w:textAlignment w:val="auto"/>
              <w:rPr>
                <w:color w:val="auto"/>
                <w:highlight w:val="none"/>
              </w:rPr>
            </w:pPr>
            <w:r>
              <w:rPr>
                <w:rFonts w:hint="eastAsia"/>
                <w:color w:val="auto"/>
                <w:highlight w:val="none"/>
                <w:lang w:val="en-US" w:eastAsia="zh-CN"/>
              </w:rPr>
              <w:t>根据</w:t>
            </w:r>
            <w:r>
              <w:rPr>
                <w:color w:val="auto"/>
                <w:highlight w:val="none"/>
              </w:rPr>
              <w:t>《博湖县声环境功能区划实施方案》</w:t>
            </w:r>
            <w:r>
              <w:rPr>
                <w:rFonts w:hint="eastAsia"/>
                <w:color w:val="auto"/>
                <w:highlight w:val="none"/>
              </w:rPr>
              <w:t>《声环境功能区划分技术规范》（GB/T15190-2014）相关要求</w:t>
            </w:r>
            <w:r>
              <w:rPr>
                <w:rFonts w:hint="eastAsia"/>
                <w:color w:val="auto"/>
                <w:highlight w:val="none"/>
                <w:lang w:eastAsia="zh-CN"/>
              </w:rPr>
              <w:t>，</w:t>
            </w:r>
            <w:r>
              <w:rPr>
                <w:rFonts w:hint="eastAsia"/>
                <w:color w:val="auto"/>
                <w:highlight w:val="none"/>
                <w:lang w:val="en-US" w:eastAsia="zh-CN"/>
              </w:rPr>
              <w:t>项目所在地周边200m范围内主要为博湖县鑫新建材有限公司、万达商混站等工业企业以及交通道路、养殖场等，无集中居民住户，且项目用地性质为工业用地，所在声环境功能区执行2类，</w:t>
            </w:r>
            <w:r>
              <w:rPr>
                <w:color w:val="auto"/>
                <w:highlight w:val="none"/>
              </w:rPr>
              <w:t>运营期厂界噪声执行《工业企业厂界环境噪声排放标准》（GB12348-2008）中</w:t>
            </w:r>
            <w:r>
              <w:rPr>
                <w:rFonts w:hint="eastAsia"/>
                <w:color w:val="auto"/>
                <w:highlight w:val="none"/>
                <w:lang w:val="en-US" w:eastAsia="zh-CN"/>
              </w:rPr>
              <w:t>2</w:t>
            </w:r>
            <w:r>
              <w:rPr>
                <w:color w:val="auto"/>
                <w:highlight w:val="none"/>
              </w:rPr>
              <w:t>类标准，排放标准限值见下表。</w:t>
            </w:r>
          </w:p>
          <w:p>
            <w:pPr>
              <w:keepNext/>
              <w:keepLines/>
              <w:pageBreakBefore w:val="0"/>
              <w:widowControl w:val="0"/>
              <w:kinsoku/>
              <w:wordWrap/>
              <w:overflowPunct/>
              <w:topLinePunct w:val="0"/>
              <w:autoSpaceDE/>
              <w:autoSpaceDN/>
              <w:bidi w:val="0"/>
              <w:adjustRightInd/>
              <w:snapToGrid/>
              <w:ind w:firstLine="0" w:firstLineChars="0"/>
              <w:jc w:val="center"/>
              <w:textAlignment w:val="baseline"/>
              <w:rPr>
                <w:rFonts w:ascii="Times New Roman" w:hAnsi="Times New Roman" w:eastAsia="宋体" w:cs="Times New Roman"/>
                <w:b/>
                <w:bCs/>
                <w:color w:val="auto"/>
                <w:spacing w:val="0"/>
                <w:sz w:val="21"/>
              </w:rPr>
            </w:pPr>
            <w:r>
              <w:rPr>
                <w:rFonts w:ascii="Times New Roman" w:hAnsi="Times New Roman" w:eastAsia="宋体" w:cs="Times New Roman"/>
                <w:b/>
                <w:bCs/>
                <w:color w:val="auto"/>
                <w:spacing w:val="0"/>
                <w:sz w:val="21"/>
              </w:rPr>
              <w:t>表</w:t>
            </w:r>
            <w:r>
              <w:rPr>
                <w:rFonts w:hint="eastAsia" w:ascii="Times New Roman" w:hAnsi="Times New Roman" w:eastAsia="宋体" w:cs="Times New Roman"/>
                <w:b/>
                <w:bCs/>
                <w:color w:val="auto"/>
                <w:spacing w:val="0"/>
                <w:sz w:val="21"/>
              </w:rPr>
              <w:t>3-</w:t>
            </w:r>
            <w:r>
              <w:rPr>
                <w:rFonts w:hint="eastAsia" w:ascii="Times New Roman" w:hAnsi="Times New Roman" w:eastAsia="宋体" w:cs="Times New Roman"/>
                <w:b/>
                <w:bCs/>
                <w:color w:val="auto"/>
                <w:spacing w:val="0"/>
                <w:sz w:val="21"/>
                <w:lang w:val="en-US" w:eastAsia="zh-CN"/>
              </w:rPr>
              <w:t>5</w:t>
            </w:r>
            <w:r>
              <w:rPr>
                <w:rFonts w:ascii="Times New Roman" w:hAnsi="Times New Roman" w:eastAsia="宋体" w:cs="Times New Roman"/>
                <w:b/>
                <w:bCs/>
                <w:color w:val="auto"/>
                <w:spacing w:val="0"/>
                <w:sz w:val="21"/>
              </w:rPr>
              <w:t xml:space="preserve"> 噪声排放标准一览表</w:t>
            </w:r>
          </w:p>
          <w:tbl>
            <w:tblPr>
              <w:tblStyle w:val="55"/>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1099"/>
              <w:gridCol w:w="814"/>
              <w:gridCol w:w="1044"/>
              <w:gridCol w:w="936"/>
              <w:gridCol w:w="394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01" w:type="pct"/>
                  <w:vMerge w:val="restart"/>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时段</w:t>
                  </w:r>
                </w:p>
              </w:tc>
              <w:tc>
                <w:tcPr>
                  <w:tcW w:w="1185" w:type="pct"/>
                  <w:gridSpan w:val="2"/>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标准值</w:t>
                  </w:r>
                </w:p>
              </w:tc>
              <w:tc>
                <w:tcPr>
                  <w:tcW w:w="597" w:type="pct"/>
                  <w:vMerge w:val="restart"/>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单位</w:t>
                  </w:r>
                </w:p>
              </w:tc>
              <w:tc>
                <w:tcPr>
                  <w:tcW w:w="2515" w:type="pct"/>
                  <w:vMerge w:val="restart"/>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标准来源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01" w:type="pct"/>
                  <w:vMerge w:val="continue"/>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p>
              </w:tc>
              <w:tc>
                <w:tcPr>
                  <w:tcW w:w="519" w:type="pct"/>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昼间</w:t>
                  </w:r>
                </w:p>
              </w:tc>
              <w:tc>
                <w:tcPr>
                  <w:tcW w:w="666" w:type="pct"/>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夜间</w:t>
                  </w:r>
                </w:p>
              </w:tc>
              <w:tc>
                <w:tcPr>
                  <w:tcW w:w="597" w:type="pct"/>
                  <w:vMerge w:val="continue"/>
                  <w:tcBorders>
                    <w:bottom w:val="single" w:color="auto" w:sz="4" w:space="0"/>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p>
              </w:tc>
              <w:tc>
                <w:tcPr>
                  <w:tcW w:w="2515" w:type="pct"/>
                  <w:vMerge w:val="continue"/>
                  <w:tcBorders>
                    <w:bottom w:val="single" w:color="auto" w:sz="4" w:space="0"/>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01" w:type="pct"/>
                  <w:tcBorders>
                    <w:top w:val="single" w:color="auto" w:sz="4" w:space="0"/>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运营期</w:t>
                  </w:r>
                </w:p>
              </w:tc>
              <w:tc>
                <w:tcPr>
                  <w:tcW w:w="519" w:type="pct"/>
                  <w:tcBorders>
                    <w:top w:val="single" w:color="auto" w:sz="4" w:space="0"/>
                    <w:bottom w:val="single" w:color="auto" w:sz="4" w:space="0"/>
                  </w:tcBorders>
                  <w:vAlign w:val="center"/>
                </w:tcPr>
                <w:p>
                  <w:pPr>
                    <w:pStyle w:val="322"/>
                    <w:spacing w:line="240" w:lineRule="auto"/>
                    <w:ind w:firstLine="0" w:firstLineChars="0"/>
                    <w:jc w:val="center"/>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60</w:t>
                  </w:r>
                </w:p>
              </w:tc>
              <w:tc>
                <w:tcPr>
                  <w:tcW w:w="666" w:type="pct"/>
                  <w:tcBorders>
                    <w:top w:val="single" w:color="auto" w:sz="4" w:space="0"/>
                    <w:bottom w:val="single" w:color="auto" w:sz="4" w:space="0"/>
                  </w:tcBorders>
                  <w:vAlign w:val="center"/>
                </w:tcPr>
                <w:p>
                  <w:pPr>
                    <w:pStyle w:val="322"/>
                    <w:spacing w:line="240" w:lineRule="auto"/>
                    <w:ind w:firstLine="0" w:firstLineChars="0"/>
                    <w:jc w:val="center"/>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50</w:t>
                  </w:r>
                </w:p>
              </w:tc>
              <w:tc>
                <w:tcPr>
                  <w:tcW w:w="597" w:type="pct"/>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dB(A)</w:t>
                  </w:r>
                </w:p>
              </w:tc>
              <w:tc>
                <w:tcPr>
                  <w:tcW w:w="2515" w:type="pct"/>
                  <w:tcBorders>
                    <w:top w:val="single" w:color="auto" w:sz="4" w:space="0"/>
                    <w:bottom w:val="single" w:color="auto" w:sz="4" w:space="0"/>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《工业企业厂界环境噪声排放标准》（GB12348-2008）</w:t>
                  </w:r>
                  <w:r>
                    <w:rPr>
                      <w:rFonts w:hint="eastAsia" w:ascii="Times New Roman" w:hAnsi="Times New Roman" w:cs="Times New Roman" w:eastAsiaTheme="minorEastAsia"/>
                      <w:color w:val="auto"/>
                      <w:spacing w:val="0"/>
                      <w:sz w:val="21"/>
                      <w:szCs w:val="21"/>
                      <w:lang w:val="en-US" w:eastAsia="zh-CN"/>
                    </w:rPr>
                    <w:t>2</w:t>
                  </w:r>
                  <w:r>
                    <w:rPr>
                      <w:rFonts w:hint="eastAsia" w:ascii="Times New Roman" w:hAnsi="Times New Roman" w:cs="Times New Roman" w:eastAsiaTheme="minorEastAsia"/>
                      <w:color w:val="auto"/>
                      <w:spacing w:val="0"/>
                      <w:sz w:val="21"/>
                      <w:szCs w:val="21"/>
                    </w:rPr>
                    <w:t>类标准</w:t>
                  </w:r>
                </w:p>
              </w:tc>
            </w:tr>
          </w:tbl>
          <w:p>
            <w:pPr>
              <w:keepNext w:val="0"/>
              <w:keepLines w:val="0"/>
              <w:pageBreakBefore w:val="0"/>
              <w:kinsoku/>
              <w:wordWrap/>
              <w:overflowPunct/>
              <w:topLinePunct w:val="0"/>
              <w:autoSpaceDE/>
              <w:autoSpaceDN/>
              <w:bidi w:val="0"/>
              <w:adjustRightInd/>
              <w:snapToGrid/>
              <w:ind w:firstLine="482"/>
              <w:textAlignment w:val="auto"/>
              <w:rPr>
                <w:rFonts w:ascii="Times New Roman" w:hAnsi="Times New Roman" w:eastAsia="宋体" w:cs="Times New Roman"/>
                <w:b/>
                <w:bCs/>
                <w:color w:val="auto"/>
                <w:spacing w:val="0"/>
                <w:sz w:val="24"/>
                <w:szCs w:val="24"/>
              </w:rPr>
            </w:pPr>
            <w:r>
              <w:rPr>
                <w:rFonts w:hint="eastAsia" w:ascii="Times New Roman" w:hAnsi="Times New Roman" w:eastAsia="宋体" w:cs="Times New Roman"/>
                <w:b/>
                <w:bCs/>
                <w:color w:val="auto"/>
                <w:spacing w:val="0"/>
                <w:sz w:val="24"/>
                <w:szCs w:val="24"/>
              </w:rPr>
              <w:t>4</w:t>
            </w:r>
            <w:r>
              <w:rPr>
                <w:rFonts w:ascii="Times New Roman" w:hAnsi="Times New Roman" w:eastAsia="宋体" w:cs="Times New Roman"/>
                <w:b/>
                <w:bCs/>
                <w:color w:val="auto"/>
                <w:spacing w:val="0"/>
                <w:sz w:val="24"/>
                <w:szCs w:val="24"/>
              </w:rPr>
              <w:t>、固体废物</w:t>
            </w:r>
          </w:p>
          <w:p>
            <w:pPr>
              <w:keepNext w:val="0"/>
              <w:keepLines w:val="0"/>
              <w:pageBreakBefore w:val="0"/>
              <w:widowControl/>
              <w:kinsoku/>
              <w:wordWrap/>
              <w:overflowPunct/>
              <w:topLinePunct w:val="0"/>
              <w:autoSpaceDE/>
              <w:autoSpaceDN/>
              <w:bidi w:val="0"/>
              <w:adjustRightInd/>
              <w:snapToGrid/>
              <w:ind w:firstLine="480"/>
              <w:textAlignment w:val="auto"/>
              <w:rPr>
                <w:color w:val="auto"/>
                <w:spacing w:val="0"/>
              </w:rPr>
            </w:pPr>
            <w:r>
              <w:rPr>
                <w:rFonts w:ascii="Times New Roman" w:hAnsi="Times New Roman" w:eastAsia="宋体" w:cs="Times New Roman"/>
                <w:color w:val="auto"/>
                <w:spacing w:val="0"/>
                <w:sz w:val="24"/>
                <w:szCs w:val="24"/>
              </w:rPr>
              <w:t>一般工业固体废物执行《一般工业固体废物贮存和填埋污染控制标准》（GB18599-2020）</w:t>
            </w:r>
            <w:r>
              <w:rPr>
                <w:rFonts w:hint="eastAsia" w:ascii="Times New Roman" w:hAnsi="Times New Roman" w:eastAsia="宋体" w:cs="Times New Roman"/>
                <w:color w:val="auto"/>
                <w:spacing w:val="0"/>
                <w:sz w:val="24"/>
                <w:szCs w:val="24"/>
              </w:rPr>
              <w:t>；</w:t>
            </w:r>
            <w:r>
              <w:rPr>
                <w:rFonts w:ascii="Times New Roman" w:hAnsi="Times New Roman" w:eastAsia="宋体" w:cs="Times New Roman"/>
                <w:color w:val="auto"/>
                <w:spacing w:val="0"/>
                <w:sz w:val="24"/>
                <w:szCs w:val="24"/>
              </w:rPr>
              <w:t>危险废物执行《危险废物贮存污染控制标准》（</w:t>
            </w:r>
            <w:r>
              <w:rPr>
                <w:rFonts w:hint="eastAsia" w:ascii="Times New Roman" w:hAnsi="Times New Roman" w:eastAsia="宋体" w:cs="Times New Roman"/>
                <w:color w:val="auto"/>
                <w:spacing w:val="0"/>
                <w:sz w:val="24"/>
                <w:szCs w:val="24"/>
              </w:rPr>
              <w:t>GB18597-2023</w:t>
            </w:r>
            <w:r>
              <w:rPr>
                <w:rFonts w:ascii="Times New Roman" w:hAnsi="Times New Roman" w:eastAsia="宋体" w:cs="Times New Roman"/>
                <w:color w:val="auto"/>
                <w:spacing w:val="0"/>
                <w:sz w:val="24"/>
                <w:szCs w:val="24"/>
              </w:rPr>
              <w:t>）</w:t>
            </w:r>
            <w:r>
              <w:rPr>
                <w:rFonts w:hint="eastAsia" w:ascii="Times New Roman" w:hAnsi="Times New Roman" w:eastAsia="宋体" w:cs="Times New Roman"/>
                <w:color w:val="auto"/>
                <w:spacing w:val="0"/>
                <w:sz w:val="24"/>
                <w:szCs w:val="24"/>
              </w:rPr>
              <w:t>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4420" w:hRule="atLeast"/>
          <w:jc w:val="center"/>
        </w:trPr>
        <w:tc>
          <w:tcPr>
            <w:tcW w:w="456" w:type="dxa"/>
            <w:vAlign w:val="center"/>
          </w:tcPr>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总</w:t>
            </w:r>
          </w:p>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量</w:t>
            </w:r>
          </w:p>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控</w:t>
            </w:r>
          </w:p>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制</w:t>
            </w:r>
          </w:p>
          <w:p>
            <w:pPr>
              <w:pStyle w:val="50"/>
              <w:adjustRightInd/>
              <w:snapToGrid/>
              <w:spacing w:before="0" w:beforeAutospacing="0" w:after="0" w:afterAutospacing="0" w:line="240" w:lineRule="auto"/>
              <w:ind w:firstLine="0" w:firstLineChars="0"/>
              <w:jc w:val="center"/>
              <w:outlineLvl w:val="0"/>
              <w:rPr>
                <w:rFonts w:ascii="Times New Roman" w:hAnsi="Times New Roman" w:eastAsia="宋体" w:cs="Times New Roman"/>
                <w:bCs/>
                <w:snapToGrid w:val="0"/>
                <w:color w:val="auto"/>
                <w:spacing w:val="0"/>
              </w:rPr>
            </w:pPr>
            <w:r>
              <w:rPr>
                <w:rFonts w:ascii="Times New Roman" w:hAnsi="Times New Roman" w:eastAsia="宋体" w:cs="Times New Roman"/>
                <w:bCs/>
                <w:snapToGrid w:val="0"/>
                <w:color w:val="auto"/>
                <w:spacing w:val="0"/>
              </w:rPr>
              <w:t>指</w:t>
            </w:r>
          </w:p>
          <w:p>
            <w:pPr>
              <w:pStyle w:val="50"/>
              <w:adjustRightInd/>
              <w:snapToGrid/>
              <w:spacing w:before="0" w:beforeAutospacing="0" w:after="0" w:afterAutospacing="0" w:line="240" w:lineRule="auto"/>
              <w:ind w:firstLine="0" w:firstLineChars="0"/>
              <w:jc w:val="center"/>
              <w:outlineLvl w:val="0"/>
              <w:rPr>
                <w:color w:val="auto"/>
                <w:spacing w:val="0"/>
                <w:szCs w:val="21"/>
              </w:rPr>
            </w:pPr>
            <w:r>
              <w:rPr>
                <w:rFonts w:ascii="Times New Roman" w:hAnsi="Times New Roman" w:eastAsia="宋体" w:cs="Times New Roman"/>
                <w:bCs/>
                <w:snapToGrid w:val="0"/>
                <w:color w:val="auto"/>
                <w:spacing w:val="0"/>
              </w:rPr>
              <w:t>标</w:t>
            </w:r>
          </w:p>
        </w:tc>
        <w:tc>
          <w:tcPr>
            <w:tcW w:w="8072" w:type="dxa"/>
            <w:shd w:val="clear" w:color="auto" w:fill="auto"/>
          </w:tcPr>
          <w:p>
            <w:pPr>
              <w:keepNext w:val="0"/>
              <w:keepLines w:val="0"/>
              <w:pageBreakBefore w:val="0"/>
              <w:widowControl/>
              <w:numPr>
                <w:ilvl w:val="0"/>
                <w:numId w:val="0"/>
              </w:numPr>
              <w:kinsoku/>
              <w:wordWrap/>
              <w:overflowPunct/>
              <w:topLinePunct w:val="0"/>
              <w:autoSpaceDE/>
              <w:autoSpaceDN/>
              <w:bidi w:val="0"/>
              <w:adjustRightInd/>
              <w:snapToGrid/>
              <w:ind w:firstLine="480" w:firstLineChars="200"/>
              <w:textAlignment w:val="auto"/>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lang w:val="en-US" w:eastAsia="zh-CN" w:bidi="ar-SA"/>
              </w:rPr>
              <w:t>1.</w:t>
            </w:r>
            <w:r>
              <w:rPr>
                <w:rFonts w:ascii="Times New Roman" w:hAnsi="Times New Roman" w:eastAsia="宋体" w:cs="Times New Roman"/>
                <w:color w:val="auto"/>
                <w:spacing w:val="0"/>
                <w:sz w:val="24"/>
                <w:szCs w:val="24"/>
              </w:rPr>
              <w:t xml:space="preserve">废气总量控制分析 </w:t>
            </w:r>
          </w:p>
          <w:p>
            <w:pPr>
              <w:keepNext w:val="0"/>
              <w:keepLines w:val="0"/>
              <w:pageBreakBefore w:val="0"/>
              <w:widowControl/>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spacing w:val="0"/>
                <w:sz w:val="24"/>
                <w:szCs w:val="24"/>
                <w:lang w:val="en-US" w:eastAsia="zh-CN"/>
              </w:rPr>
            </w:pPr>
            <w:r>
              <w:rPr>
                <w:rFonts w:ascii="Times New Roman" w:hAnsi="Times New Roman" w:eastAsia="宋体" w:cs="Times New Roman"/>
                <w:color w:val="auto"/>
                <w:spacing w:val="0"/>
                <w:sz w:val="24"/>
                <w:szCs w:val="24"/>
              </w:rPr>
              <w:t>本项目废气主要污染物为颗粒物，无二氧化硫、氮氧化物产生；</w:t>
            </w:r>
            <w:r>
              <w:rPr>
                <w:rFonts w:hint="eastAsia" w:ascii="Times New Roman" w:hAnsi="Times New Roman" w:eastAsia="宋体" w:cs="Times New Roman"/>
                <w:color w:val="auto"/>
                <w:spacing w:val="0"/>
                <w:sz w:val="24"/>
                <w:szCs w:val="24"/>
                <w:lang w:eastAsia="zh-CN"/>
              </w:rPr>
              <w:t>危废贮存点</w:t>
            </w:r>
            <w:r>
              <w:rPr>
                <w:rFonts w:ascii="Times New Roman" w:hAnsi="Times New Roman" w:eastAsia="宋体" w:cs="Times New Roman"/>
                <w:color w:val="auto"/>
                <w:spacing w:val="0"/>
                <w:sz w:val="24"/>
                <w:szCs w:val="24"/>
              </w:rPr>
              <w:t>产生VOCs（非甲烷总烃）为微量无组织挥发，排放量仅</w:t>
            </w:r>
            <w:r>
              <w:rPr>
                <w:rFonts w:hint="default" w:ascii="Times New Roman" w:hAnsi="Times New Roman" w:eastAsia="宋体" w:cs="Times New Roman"/>
                <w:color w:val="auto"/>
                <w:sz w:val="24"/>
                <w:szCs w:val="24"/>
                <w:lang w:val="en-US" w:eastAsia="zh-CN"/>
              </w:rPr>
              <w:t>0.000085</w:t>
            </w:r>
            <w:r>
              <w:rPr>
                <w:rFonts w:ascii="Times New Roman" w:hAnsi="Times New Roman" w:eastAsia="宋体" w:cs="Times New Roman"/>
                <w:color w:val="auto"/>
                <w:spacing w:val="0"/>
                <w:sz w:val="24"/>
                <w:szCs w:val="24"/>
              </w:rPr>
              <w:t>t/a，远低于0.1t/a。按照自治区环评总量管理相关要求，VOCs年排放量小于0.1t/a，免于提交总量来源，由属地生态环境部门纳入台账统筹管理。</w:t>
            </w:r>
            <w:r>
              <w:rPr>
                <w:rFonts w:hint="eastAsia" w:ascii="Times New Roman" w:hAnsi="Times New Roman" w:eastAsia="宋体" w:cs="Times New Roman"/>
                <w:color w:val="auto"/>
                <w:spacing w:val="0"/>
                <w:sz w:val="24"/>
                <w:szCs w:val="24"/>
                <w:lang w:val="en-US" w:eastAsia="zh-CN"/>
              </w:rPr>
              <w:t>根据报告运营期环境影响和保护措施章节核算过程，本</w:t>
            </w:r>
            <w:r>
              <w:rPr>
                <w:rFonts w:ascii="Times New Roman" w:hAnsi="Times New Roman" w:eastAsia="宋体" w:cs="Times New Roman"/>
                <w:color w:val="auto"/>
                <w:spacing w:val="0"/>
                <w:sz w:val="24"/>
                <w:szCs w:val="24"/>
              </w:rPr>
              <w:t>项目</w:t>
            </w:r>
            <w:r>
              <w:rPr>
                <w:rFonts w:hint="eastAsia" w:ascii="Times New Roman" w:hAnsi="Times New Roman" w:eastAsia="宋体" w:cs="Times New Roman"/>
                <w:color w:val="auto"/>
                <w:spacing w:val="0"/>
                <w:sz w:val="24"/>
                <w:szCs w:val="24"/>
                <w:lang w:val="en-US" w:eastAsia="zh-CN"/>
              </w:rPr>
              <w:t>颗粒物有组织排放量为4.874t/a，无组织颗粒物排放量为12.14t/a，根据《关于将巴音郭楞蒙古自治州 吐鲁番市 哈密市纳入执行&lt;环境影响评价技术导则 大气环境(HJ2.2-2018)&gt;差别化政策范围的复函》(环办环评函〔2020〕341号)对巴音郭楞蒙古自治州实行环境影响评价差别化政策，可不进行颗粒物区域消减。</w:t>
            </w:r>
          </w:p>
          <w:p>
            <w:pPr>
              <w:keepNext w:val="0"/>
              <w:keepLines w:val="0"/>
              <w:pageBreakBefore w:val="0"/>
              <w:widowControl/>
              <w:numPr>
                <w:ilvl w:val="0"/>
                <w:numId w:val="0"/>
              </w:numPr>
              <w:kinsoku/>
              <w:wordWrap/>
              <w:overflowPunct/>
              <w:topLinePunct w:val="0"/>
              <w:autoSpaceDE/>
              <w:autoSpaceDN/>
              <w:bidi w:val="0"/>
              <w:adjustRightInd/>
              <w:snapToGrid/>
              <w:ind w:firstLine="480" w:firstLineChars="200"/>
              <w:textAlignment w:val="auto"/>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lang w:val="en-US" w:eastAsia="zh-CN" w:bidi="ar-SA"/>
              </w:rPr>
              <w:t>2.</w:t>
            </w:r>
            <w:r>
              <w:rPr>
                <w:rFonts w:ascii="Times New Roman" w:hAnsi="Times New Roman" w:eastAsia="宋体" w:cs="Times New Roman"/>
                <w:color w:val="auto"/>
                <w:spacing w:val="0"/>
                <w:sz w:val="24"/>
                <w:szCs w:val="24"/>
              </w:rPr>
              <w:t xml:space="preserve">废水总量控制分析 </w:t>
            </w:r>
          </w:p>
          <w:p>
            <w:pPr>
              <w:keepNext w:val="0"/>
              <w:keepLines w:val="0"/>
              <w:pageBreakBefore w:val="0"/>
              <w:widowControl/>
              <w:numPr>
                <w:ilvl w:val="0"/>
                <w:numId w:val="0"/>
              </w:numPr>
              <w:kinsoku/>
              <w:wordWrap/>
              <w:overflowPunct/>
              <w:topLinePunct w:val="0"/>
              <w:autoSpaceDE/>
              <w:autoSpaceDN/>
              <w:bidi w:val="0"/>
              <w:adjustRightInd/>
              <w:snapToGrid/>
              <w:ind w:firstLine="480" w:firstLineChars="200"/>
              <w:textAlignment w:val="auto"/>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本项目生产废水全部厂内循环回用，无生产废水向外环境排放；生活污水经化粪池预处理后密闭罐车转运至博湖县城镇污水处理厂处置，不直接排入地表水体。根据《建设项目主要污染物排放总量指标审核及管理暂行办法》，生活污水排入城镇污水处理厂，不单独申请水污染物总量指标，纳入污水处理厂已核定的总量指标内管理。</w:t>
            </w:r>
          </w:p>
          <w:p>
            <w:pPr>
              <w:keepNext w:val="0"/>
              <w:keepLines w:val="0"/>
              <w:pageBreakBefore w:val="0"/>
              <w:widowControl/>
              <w:kinsoku/>
              <w:wordWrap/>
              <w:overflowPunct/>
              <w:topLinePunct w:val="0"/>
              <w:autoSpaceDE/>
              <w:autoSpaceDN/>
              <w:bidi w:val="0"/>
              <w:adjustRightInd/>
              <w:snapToGrid/>
              <w:ind w:firstLine="480"/>
              <w:textAlignment w:val="auto"/>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综上：本项目无需单独申请建设项目主要污染物总量控制指标。建设单</w:t>
            </w:r>
            <w:r>
              <w:rPr>
                <w:rFonts w:hint="eastAsia" w:ascii="Times New Roman" w:hAnsi="Times New Roman" w:eastAsia="宋体" w:cs="Times New Roman"/>
                <w:color w:val="auto"/>
                <w:spacing w:val="0"/>
                <w:sz w:val="24"/>
                <w:szCs w:val="24"/>
                <w:lang w:eastAsia="zh-CN"/>
              </w:rPr>
              <w:t>位在</w:t>
            </w:r>
            <w:r>
              <w:rPr>
                <w:rFonts w:ascii="Times New Roman" w:hAnsi="Times New Roman" w:eastAsia="宋体" w:cs="Times New Roman"/>
                <w:color w:val="auto"/>
                <w:spacing w:val="0"/>
                <w:sz w:val="24"/>
                <w:szCs w:val="24"/>
              </w:rPr>
              <w:t>投产前按照《固定污染源排污许可分类管理名录（2019版）》要求，在全国排污许可证管理信息平台完成排污登记，登记污染物排放信息即可，不需要申领排污许可证。</w:t>
            </w:r>
          </w:p>
          <w:p>
            <w:pPr>
              <w:pStyle w:val="50"/>
              <w:keepNext w:val="0"/>
              <w:keepLines w:val="0"/>
              <w:pageBreakBefore w:val="0"/>
              <w:widowControl/>
              <w:kinsoku/>
              <w:wordWrap/>
              <w:overflowPunct/>
              <w:topLinePunct w:val="0"/>
              <w:autoSpaceDE/>
              <w:autoSpaceDN/>
              <w:bidi w:val="0"/>
              <w:adjustRightInd/>
              <w:snapToGrid/>
              <w:spacing w:before="0" w:beforeAutospacing="0" w:after="0" w:afterAutospacing="0"/>
              <w:ind w:left="0" w:leftChars="0" w:firstLine="480" w:firstLineChars="200"/>
              <w:jc w:val="both"/>
              <w:textAlignment w:val="auto"/>
              <w:rPr>
                <w:rFonts w:ascii="Times New Roman" w:hAnsi="Times New Roman" w:eastAsia="宋体" w:cs="Times New Roman"/>
                <w:color w:val="auto"/>
                <w:spacing w:val="0"/>
                <w:sz w:val="24"/>
                <w:szCs w:val="24"/>
                <w:lang w:val="en-US" w:eastAsia="zh-CN" w:bidi="ar-SA"/>
              </w:rPr>
            </w:pPr>
          </w:p>
          <w:p>
            <w:pPr>
              <w:pStyle w:val="73"/>
              <w:ind w:left="0" w:leftChars="0" w:firstLine="0" w:firstLineChars="0"/>
              <w:rPr>
                <w:rFonts w:ascii="Times New Roman" w:hAnsi="Times New Roman" w:eastAsia="宋体" w:cs="Times New Roman"/>
                <w:color w:val="auto"/>
                <w:spacing w:val="0"/>
                <w:sz w:val="24"/>
                <w:highlight w:val="green"/>
              </w:rPr>
            </w:pPr>
          </w:p>
          <w:p>
            <w:pPr>
              <w:pStyle w:val="73"/>
              <w:ind w:left="0" w:leftChars="0" w:firstLine="0" w:firstLineChars="0"/>
              <w:rPr>
                <w:rFonts w:ascii="Times New Roman" w:hAnsi="Times New Roman" w:eastAsia="宋体" w:cs="Times New Roman"/>
                <w:color w:val="auto"/>
                <w:spacing w:val="0"/>
                <w:sz w:val="24"/>
                <w:highlight w:val="green"/>
              </w:rPr>
            </w:pPr>
          </w:p>
          <w:p>
            <w:pPr>
              <w:pStyle w:val="73"/>
              <w:ind w:left="0" w:leftChars="0" w:firstLine="0" w:firstLineChars="0"/>
              <w:rPr>
                <w:rFonts w:ascii="Times New Roman" w:hAnsi="Times New Roman" w:eastAsia="宋体" w:cs="Times New Roman"/>
                <w:color w:val="auto"/>
                <w:spacing w:val="0"/>
                <w:sz w:val="24"/>
                <w:highlight w:val="green"/>
              </w:rPr>
            </w:pPr>
          </w:p>
        </w:tc>
      </w:tr>
    </w:tbl>
    <w:p>
      <w:pPr>
        <w:adjustRightInd/>
        <w:snapToGrid/>
        <w:ind w:firstLine="0" w:firstLineChars="0"/>
        <w:jc w:val="center"/>
        <w:outlineLvl w:val="0"/>
        <w:rPr>
          <w:b/>
          <w:color w:val="auto"/>
          <w:spacing w:val="0"/>
          <w:sz w:val="30"/>
          <w:szCs w:val="30"/>
        </w:rPr>
      </w:pPr>
      <w:r>
        <w:rPr>
          <w:b/>
          <w:color w:val="auto"/>
          <w:spacing w:val="0"/>
          <w:sz w:val="36"/>
          <w:szCs w:val="36"/>
        </w:rPr>
        <w:br w:type="page"/>
      </w:r>
      <w:r>
        <w:rPr>
          <w:rFonts w:hint="eastAsia" w:ascii="黑体" w:hAnsi="黑体" w:eastAsia="黑体" w:cs="黑体"/>
          <w:b/>
          <w:color w:val="auto"/>
          <w:spacing w:val="0"/>
          <w:sz w:val="30"/>
          <w:szCs w:val="30"/>
        </w:rPr>
        <w:t>四、主要环境影响和保护措施</w:t>
      </w:r>
    </w:p>
    <w:tbl>
      <w:tblPr>
        <w:tblStyle w:val="55"/>
        <w:tblW w:w="844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09"/>
        <w:gridCol w:w="813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9" w:type="dxa"/>
            <w:tcMar>
              <w:left w:w="28" w:type="dxa"/>
              <w:right w:w="28" w:type="dxa"/>
            </w:tcMar>
            <w:vAlign w:val="center"/>
          </w:tcPr>
          <w:p>
            <w:pPr>
              <w:pStyle w:val="50"/>
              <w:widowControl w:val="0"/>
              <w:adjustRightInd/>
              <w:snapToGrid/>
              <w:spacing w:before="0" w:beforeAutospacing="0" w:after="0" w:afterAutospacing="0" w:line="240" w:lineRule="auto"/>
              <w:ind w:firstLine="0" w:firstLineChars="0"/>
              <w:jc w:val="center"/>
              <w:rPr>
                <w:rFonts w:ascii="Times New Roman" w:hAnsi="Times New Roman"/>
                <w:bCs/>
                <w:color w:val="auto"/>
                <w:spacing w:val="0"/>
                <w:kern w:val="2"/>
              </w:rPr>
            </w:pPr>
            <w:r>
              <w:rPr>
                <w:rFonts w:hint="eastAsia" w:eastAsia="宋体"/>
                <w:color w:val="auto"/>
                <w:spacing w:val="0"/>
                <w:kern w:val="2"/>
              </w:rPr>
              <w:t>施工期环境保护措施</w:t>
            </w:r>
          </w:p>
        </w:tc>
        <w:tc>
          <w:tcPr>
            <w:tcW w:w="8139" w:type="dxa"/>
            <w:vAlign w:val="center"/>
          </w:tcPr>
          <w:p>
            <w:pPr>
              <w:keepNext w:val="0"/>
              <w:keepLines w:val="0"/>
              <w:pageBreakBefore w:val="0"/>
              <w:widowControl w:val="0"/>
              <w:kinsoku/>
              <w:wordWrap/>
              <w:overflowPunct/>
              <w:topLinePunct w:val="0"/>
              <w:bidi w:val="0"/>
              <w:adjustRightInd/>
              <w:snapToGrid/>
              <w:spacing w:line="360" w:lineRule="auto"/>
              <w:ind w:left="0" w:right="0" w:firstLine="480"/>
              <w:jc w:val="both"/>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lang w:val="en-US" w:eastAsia="zh-CN"/>
              </w:rPr>
              <w:t>本项目新建资源化利用生产车间，业务用房等。</w:t>
            </w:r>
            <w:r>
              <w:rPr>
                <w:rFonts w:ascii="Times New Roman" w:hAnsi="Times New Roman" w:eastAsia="宋体" w:cs="Times New Roman"/>
                <w:color w:val="auto"/>
                <w:spacing w:val="0"/>
                <w:sz w:val="24"/>
                <w:szCs w:val="24"/>
              </w:rPr>
              <w:t>主要施工期环境影响为</w:t>
            </w:r>
            <w:r>
              <w:rPr>
                <w:rFonts w:hint="eastAsia" w:ascii="Times New Roman" w:hAnsi="Times New Roman" w:eastAsia="宋体" w:cs="Times New Roman"/>
                <w:color w:val="auto"/>
                <w:spacing w:val="0"/>
                <w:sz w:val="24"/>
                <w:szCs w:val="24"/>
                <w:lang w:val="en-US" w:eastAsia="zh-CN"/>
              </w:rPr>
              <w:t>施工扬尘、</w:t>
            </w:r>
            <w:r>
              <w:rPr>
                <w:rFonts w:ascii="Times New Roman" w:hAnsi="Times New Roman" w:eastAsia="宋体" w:cs="Times New Roman"/>
                <w:color w:val="auto"/>
                <w:spacing w:val="0"/>
                <w:sz w:val="24"/>
                <w:szCs w:val="24"/>
              </w:rPr>
              <w:t>设备安装噪声、施工废水、固废。</w:t>
            </w:r>
          </w:p>
          <w:p>
            <w:pPr>
              <w:keepNext w:val="0"/>
              <w:keepLines w:val="0"/>
              <w:pageBreakBefore w:val="0"/>
              <w:widowControl w:val="0"/>
              <w:kinsoku/>
              <w:wordWrap/>
              <w:overflowPunct/>
              <w:topLinePunct w:val="0"/>
              <w:bidi w:val="0"/>
              <w:adjustRightInd/>
              <w:snapToGrid/>
              <w:spacing w:line="360" w:lineRule="auto"/>
              <w:ind w:left="0" w:right="0" w:firstLine="482"/>
              <w:jc w:val="both"/>
              <w:rPr>
                <w:rFonts w:hint="eastAsia" w:ascii="Times New Roman" w:hAnsi="Times New Roman" w:eastAsia="宋体" w:cs="Times New Roman"/>
                <w:b/>
                <w:bCs/>
                <w:color w:val="auto"/>
                <w:spacing w:val="0"/>
                <w:sz w:val="24"/>
                <w:szCs w:val="24"/>
                <w:lang w:val="en-US" w:eastAsia="zh-CN"/>
              </w:rPr>
            </w:pPr>
            <w:r>
              <w:rPr>
                <w:rFonts w:ascii="Times New Roman" w:hAnsi="Times New Roman" w:eastAsia="宋体" w:cs="Times New Roman"/>
                <w:b/>
                <w:bCs/>
                <w:color w:val="auto"/>
                <w:spacing w:val="0"/>
                <w:sz w:val="24"/>
                <w:szCs w:val="24"/>
              </w:rPr>
              <w:t>一、</w:t>
            </w:r>
            <w:r>
              <w:rPr>
                <w:rFonts w:hint="eastAsia" w:ascii="Times New Roman" w:hAnsi="Times New Roman" w:eastAsia="宋体" w:cs="Times New Roman"/>
                <w:b/>
                <w:bCs/>
                <w:color w:val="auto"/>
                <w:spacing w:val="0"/>
                <w:sz w:val="24"/>
                <w:szCs w:val="24"/>
                <w:lang w:val="en-US" w:eastAsia="zh-CN"/>
              </w:rPr>
              <w:t>大气环境</w:t>
            </w:r>
            <w:r>
              <w:rPr>
                <w:rFonts w:ascii="Times New Roman" w:hAnsi="Times New Roman" w:eastAsia="宋体" w:cs="Times New Roman"/>
                <w:b/>
                <w:bCs/>
                <w:color w:val="auto"/>
                <w:spacing w:val="0"/>
                <w:sz w:val="24"/>
                <w:szCs w:val="24"/>
              </w:rPr>
              <w:t>影响分析</w:t>
            </w:r>
          </w:p>
          <w:p>
            <w:pPr>
              <w:keepNext w:val="0"/>
              <w:keepLines w:val="0"/>
              <w:pageBreakBefore w:val="0"/>
              <w:widowControl w:val="0"/>
              <w:kinsoku/>
              <w:wordWrap/>
              <w:overflowPunct/>
              <w:topLinePunct w:val="0"/>
              <w:bidi w:val="0"/>
              <w:adjustRightInd/>
              <w:snapToGrid/>
              <w:spacing w:line="360" w:lineRule="auto"/>
              <w:ind w:left="0" w:right="0" w:firstLine="482"/>
              <w:jc w:val="both"/>
              <w:rPr>
                <w:rFonts w:ascii="Times New Roman" w:hAnsi="Times New Roman" w:eastAsia="宋体" w:cs="Times New Roman"/>
                <w:b w:val="0"/>
                <w:bCs w:val="0"/>
                <w:color w:val="auto"/>
                <w:spacing w:val="0"/>
                <w:sz w:val="24"/>
                <w:szCs w:val="24"/>
              </w:rPr>
            </w:pPr>
            <w:r>
              <w:rPr>
                <w:rFonts w:hint="eastAsia" w:ascii="Times New Roman" w:hAnsi="Times New Roman" w:eastAsia="宋体" w:cs="Times New Roman"/>
                <w:b w:val="0"/>
                <w:bCs w:val="0"/>
                <w:color w:val="auto"/>
                <w:spacing w:val="0"/>
                <w:sz w:val="24"/>
                <w:szCs w:val="24"/>
              </w:rPr>
              <w:t>本项目施工过程中，对环境空气构成影响的主要因素是施工扬尘，包括挖土填方以及材料运输、搅拌等产生的扬尘。一般情况下，其产生量在有风旱季晴天多于无风和雨季，动态施工多于静态作业。另外，工程施工时施工机械运行产生的无组织排放废气也对空气环境质量有所影响。</w:t>
            </w:r>
          </w:p>
          <w:p>
            <w:pPr>
              <w:keepNext w:val="0"/>
              <w:keepLines w:val="0"/>
              <w:pageBreakBefore w:val="0"/>
              <w:widowControl w:val="0"/>
              <w:kinsoku/>
              <w:wordWrap/>
              <w:overflowPunct/>
              <w:topLinePunct w:val="0"/>
              <w:bidi w:val="0"/>
              <w:adjustRightInd/>
              <w:snapToGrid/>
              <w:spacing w:line="360" w:lineRule="auto"/>
              <w:ind w:left="0" w:right="0" w:firstLine="482"/>
              <w:jc w:val="both"/>
              <w:rPr>
                <w:rFonts w:ascii="Times New Roman" w:hAnsi="Times New Roman" w:eastAsia="宋体" w:cs="Times New Roman"/>
                <w:b w:val="0"/>
                <w:bCs w:val="0"/>
                <w:color w:val="auto"/>
                <w:spacing w:val="0"/>
                <w:sz w:val="24"/>
                <w:szCs w:val="24"/>
              </w:rPr>
            </w:pPr>
            <w:r>
              <w:rPr>
                <w:rFonts w:hint="eastAsia" w:ascii="Times New Roman" w:hAnsi="Times New Roman" w:eastAsia="宋体" w:cs="Times New Roman"/>
                <w:b w:val="0"/>
                <w:bCs w:val="0"/>
                <w:color w:val="auto"/>
                <w:spacing w:val="0"/>
                <w:sz w:val="24"/>
                <w:szCs w:val="24"/>
              </w:rPr>
              <w:t>（1）施工扬尘</w:t>
            </w:r>
          </w:p>
          <w:p>
            <w:pPr>
              <w:keepNext w:val="0"/>
              <w:keepLines w:val="0"/>
              <w:pageBreakBefore w:val="0"/>
              <w:widowControl w:val="0"/>
              <w:kinsoku/>
              <w:wordWrap/>
              <w:overflowPunct/>
              <w:topLinePunct w:val="0"/>
              <w:bidi w:val="0"/>
              <w:adjustRightInd/>
              <w:snapToGrid/>
              <w:spacing w:line="360" w:lineRule="auto"/>
              <w:ind w:left="0" w:right="0" w:firstLine="482"/>
              <w:jc w:val="both"/>
              <w:rPr>
                <w:rFonts w:ascii="Times New Roman" w:hAnsi="Times New Roman" w:eastAsia="宋体" w:cs="Times New Roman"/>
                <w:b w:val="0"/>
                <w:bCs w:val="0"/>
                <w:color w:val="auto"/>
                <w:spacing w:val="0"/>
                <w:sz w:val="24"/>
                <w:szCs w:val="24"/>
              </w:rPr>
            </w:pPr>
            <w:r>
              <w:rPr>
                <w:rFonts w:hint="eastAsia" w:ascii="Times New Roman" w:hAnsi="Times New Roman" w:eastAsia="宋体" w:cs="Times New Roman"/>
                <w:b w:val="0"/>
                <w:bCs w:val="0"/>
                <w:color w:val="auto"/>
                <w:spacing w:val="0"/>
                <w:sz w:val="24"/>
                <w:szCs w:val="24"/>
              </w:rPr>
              <w:t>必须采取合理可行的控制措施，施工企业要在开工前制定建筑施工现场扬尘控制措施，对施工现场实施封闭围挡、道路硬化、材料堆放遮盖、进出车辆冲洗、工程立面围护、建筑垃圾清运等措施。增加城市道路施工洒水频次，限制鼓风式除尘器，推广吸尘式除尘器或吹吸一体式除尘设备。推进渣土运输企业化管理，严格实施密闭运输，落实冲洗保洁措施。</w:t>
            </w:r>
          </w:p>
          <w:p>
            <w:pPr>
              <w:keepNext w:val="0"/>
              <w:keepLines w:val="0"/>
              <w:pageBreakBefore w:val="0"/>
              <w:widowControl w:val="0"/>
              <w:kinsoku/>
              <w:wordWrap/>
              <w:overflowPunct/>
              <w:topLinePunct w:val="0"/>
              <w:bidi w:val="0"/>
              <w:adjustRightInd/>
              <w:snapToGrid/>
              <w:spacing w:line="360" w:lineRule="auto"/>
              <w:ind w:left="0" w:right="0" w:firstLine="482"/>
              <w:jc w:val="both"/>
              <w:rPr>
                <w:rFonts w:ascii="Times New Roman" w:hAnsi="Times New Roman" w:eastAsia="宋体" w:cs="Times New Roman"/>
                <w:b w:val="0"/>
                <w:bCs w:val="0"/>
                <w:color w:val="auto"/>
                <w:spacing w:val="0"/>
                <w:sz w:val="24"/>
                <w:szCs w:val="24"/>
              </w:rPr>
            </w:pPr>
            <w:r>
              <w:rPr>
                <w:rFonts w:hint="eastAsia" w:ascii="Times New Roman" w:hAnsi="Times New Roman" w:eastAsia="宋体" w:cs="Times New Roman"/>
                <w:b w:val="0"/>
                <w:bCs w:val="0"/>
                <w:color w:val="auto"/>
                <w:spacing w:val="0"/>
                <w:sz w:val="24"/>
                <w:szCs w:val="24"/>
              </w:rPr>
              <w:t>为减轻扬尘对区域环境空气质量的不利影响，建议对各污染源和扬尘点采取以下控制措施。</w:t>
            </w:r>
          </w:p>
          <w:p>
            <w:pPr>
              <w:keepNext w:val="0"/>
              <w:keepLines w:val="0"/>
              <w:pageBreakBefore w:val="0"/>
              <w:widowControl w:val="0"/>
              <w:kinsoku/>
              <w:wordWrap/>
              <w:overflowPunct/>
              <w:topLinePunct w:val="0"/>
              <w:bidi w:val="0"/>
              <w:adjustRightInd/>
              <w:snapToGrid/>
              <w:spacing w:line="360" w:lineRule="auto"/>
              <w:ind w:left="0" w:right="0" w:firstLine="482"/>
              <w:jc w:val="both"/>
              <w:rPr>
                <w:rFonts w:ascii="Times New Roman" w:hAnsi="Times New Roman" w:eastAsia="宋体" w:cs="Times New Roman"/>
                <w:b w:val="0"/>
                <w:bCs w:val="0"/>
                <w:color w:val="auto"/>
                <w:spacing w:val="0"/>
                <w:sz w:val="24"/>
                <w:szCs w:val="24"/>
              </w:rPr>
            </w:pPr>
            <w:r>
              <w:rPr>
                <w:rFonts w:hint="eastAsia" w:ascii="Times New Roman" w:hAnsi="Times New Roman" w:eastAsia="宋体" w:cs="Times New Roman"/>
                <w:b w:val="0"/>
                <w:bCs w:val="0"/>
                <w:color w:val="auto"/>
                <w:spacing w:val="0"/>
                <w:sz w:val="24"/>
                <w:szCs w:val="24"/>
              </w:rPr>
              <w:t>①加强施工机械、设备的维护，保持良好的工作运行状态，减少非正常工况排放的废气对周围大气环境的影响；</w:t>
            </w:r>
          </w:p>
          <w:p>
            <w:pPr>
              <w:keepNext w:val="0"/>
              <w:keepLines w:val="0"/>
              <w:pageBreakBefore w:val="0"/>
              <w:widowControl w:val="0"/>
              <w:kinsoku/>
              <w:wordWrap/>
              <w:overflowPunct/>
              <w:topLinePunct w:val="0"/>
              <w:bidi w:val="0"/>
              <w:adjustRightInd/>
              <w:snapToGrid/>
              <w:spacing w:line="360" w:lineRule="auto"/>
              <w:ind w:left="0" w:right="0" w:firstLine="482"/>
              <w:jc w:val="both"/>
              <w:rPr>
                <w:rFonts w:ascii="Times New Roman" w:hAnsi="Times New Roman" w:eastAsia="宋体" w:cs="Times New Roman"/>
                <w:b w:val="0"/>
                <w:bCs w:val="0"/>
                <w:color w:val="auto"/>
                <w:spacing w:val="0"/>
                <w:sz w:val="24"/>
                <w:szCs w:val="24"/>
              </w:rPr>
            </w:pPr>
            <w:r>
              <w:rPr>
                <w:rFonts w:hint="eastAsia" w:ascii="Times New Roman" w:hAnsi="Times New Roman" w:eastAsia="宋体" w:cs="Times New Roman"/>
                <w:b w:val="0"/>
                <w:bCs w:val="0"/>
                <w:color w:val="auto"/>
                <w:spacing w:val="0"/>
                <w:sz w:val="24"/>
                <w:szCs w:val="24"/>
              </w:rPr>
              <w:t>②项目施工时应遵照建设部的有关施工规范，在工地边界设置一定高度的围护装备，工地建筑结构施工架外侧设置有效抑尘的防尘网或防尘布；</w:t>
            </w:r>
          </w:p>
          <w:p>
            <w:pPr>
              <w:keepNext w:val="0"/>
              <w:keepLines w:val="0"/>
              <w:pageBreakBefore w:val="0"/>
              <w:widowControl w:val="0"/>
              <w:kinsoku/>
              <w:wordWrap/>
              <w:overflowPunct/>
              <w:topLinePunct w:val="0"/>
              <w:bidi w:val="0"/>
              <w:adjustRightInd/>
              <w:snapToGrid/>
              <w:spacing w:line="360" w:lineRule="auto"/>
              <w:ind w:left="0" w:right="0" w:firstLine="482"/>
              <w:jc w:val="both"/>
              <w:rPr>
                <w:rFonts w:ascii="Times New Roman" w:hAnsi="Times New Roman" w:eastAsia="宋体" w:cs="Times New Roman"/>
                <w:b w:val="0"/>
                <w:bCs w:val="0"/>
                <w:color w:val="auto"/>
                <w:spacing w:val="0"/>
                <w:sz w:val="24"/>
                <w:szCs w:val="24"/>
              </w:rPr>
            </w:pPr>
            <w:r>
              <w:rPr>
                <w:rFonts w:hint="eastAsia" w:ascii="Times New Roman" w:hAnsi="Times New Roman" w:eastAsia="宋体" w:cs="Times New Roman"/>
                <w:b w:val="0"/>
                <w:bCs w:val="0"/>
                <w:color w:val="auto"/>
                <w:spacing w:val="0"/>
                <w:sz w:val="24"/>
                <w:szCs w:val="24"/>
              </w:rPr>
              <w:t>③在施工期间要合理规划物料，避免现场大量堆放水泥、</w:t>
            </w:r>
            <w:r>
              <w:rPr>
                <w:rFonts w:hint="eastAsia" w:ascii="Times New Roman" w:hAnsi="Times New Roman" w:eastAsia="宋体" w:cs="Times New Roman"/>
                <w:b w:val="0"/>
                <w:bCs w:val="0"/>
                <w:color w:val="auto"/>
                <w:spacing w:val="0"/>
                <w:sz w:val="24"/>
                <w:szCs w:val="24"/>
                <w:lang w:eastAsia="zh-CN"/>
              </w:rPr>
              <w:t>砂石</w:t>
            </w:r>
            <w:r>
              <w:rPr>
                <w:rFonts w:hint="eastAsia" w:ascii="Times New Roman" w:hAnsi="Times New Roman" w:eastAsia="宋体" w:cs="Times New Roman"/>
                <w:b w:val="0"/>
                <w:bCs w:val="0"/>
                <w:color w:val="auto"/>
                <w:spacing w:val="0"/>
                <w:sz w:val="24"/>
                <w:szCs w:val="24"/>
              </w:rPr>
              <w:t>等物料，必须堆放的物料应存于料棚内，没有料棚时应至少加盖棚布；</w:t>
            </w:r>
          </w:p>
          <w:p>
            <w:pPr>
              <w:keepNext w:val="0"/>
              <w:keepLines w:val="0"/>
              <w:pageBreakBefore w:val="0"/>
              <w:widowControl w:val="0"/>
              <w:kinsoku/>
              <w:wordWrap/>
              <w:overflowPunct/>
              <w:topLinePunct w:val="0"/>
              <w:bidi w:val="0"/>
              <w:adjustRightInd/>
              <w:snapToGrid/>
              <w:spacing w:line="360" w:lineRule="auto"/>
              <w:ind w:left="0" w:right="0" w:firstLine="482"/>
              <w:jc w:val="both"/>
              <w:rPr>
                <w:rFonts w:ascii="Times New Roman" w:hAnsi="Times New Roman" w:eastAsia="宋体" w:cs="Times New Roman"/>
                <w:b w:val="0"/>
                <w:bCs w:val="0"/>
                <w:color w:val="auto"/>
                <w:spacing w:val="0"/>
                <w:sz w:val="24"/>
                <w:szCs w:val="24"/>
              </w:rPr>
            </w:pPr>
            <w:r>
              <w:rPr>
                <w:rFonts w:hint="eastAsia" w:ascii="Times New Roman" w:hAnsi="Times New Roman" w:eastAsia="宋体" w:cs="Times New Roman"/>
                <w:b w:val="0"/>
                <w:bCs w:val="0"/>
                <w:color w:val="auto"/>
                <w:spacing w:val="0"/>
                <w:sz w:val="24"/>
                <w:szCs w:val="24"/>
              </w:rPr>
              <w:t>④施工场地应定期洒水、清扫和冲洗，对运输车辆要限速行驶；</w:t>
            </w:r>
          </w:p>
          <w:p>
            <w:pPr>
              <w:keepNext w:val="0"/>
              <w:keepLines w:val="0"/>
              <w:pageBreakBefore w:val="0"/>
              <w:widowControl w:val="0"/>
              <w:kinsoku/>
              <w:wordWrap/>
              <w:overflowPunct/>
              <w:topLinePunct w:val="0"/>
              <w:bidi w:val="0"/>
              <w:adjustRightInd/>
              <w:snapToGrid/>
              <w:spacing w:line="360" w:lineRule="auto"/>
              <w:ind w:left="0" w:right="0" w:firstLine="482"/>
              <w:jc w:val="both"/>
              <w:rPr>
                <w:rFonts w:ascii="Times New Roman" w:hAnsi="Times New Roman" w:eastAsia="宋体" w:cs="Times New Roman"/>
                <w:b w:val="0"/>
                <w:bCs w:val="0"/>
                <w:color w:val="auto"/>
                <w:spacing w:val="0"/>
                <w:sz w:val="24"/>
                <w:szCs w:val="24"/>
              </w:rPr>
            </w:pPr>
            <w:r>
              <w:rPr>
                <w:rFonts w:hint="eastAsia" w:ascii="Times New Roman" w:hAnsi="Times New Roman" w:eastAsia="宋体" w:cs="Times New Roman"/>
                <w:b w:val="0"/>
                <w:bCs w:val="0"/>
                <w:color w:val="auto"/>
                <w:spacing w:val="0"/>
                <w:sz w:val="24"/>
                <w:szCs w:val="24"/>
              </w:rPr>
              <w:t>⑤运输车辆不许超载，运输车辆出场前一律清洗轮胎，用毡布覆盖，在施工出口设置防尘飞扬垫等一系列措施，可减少施工扬尘对环境空气的影响。</w:t>
            </w:r>
          </w:p>
          <w:p>
            <w:pPr>
              <w:keepNext w:val="0"/>
              <w:keepLines w:val="0"/>
              <w:pageBreakBefore w:val="0"/>
              <w:widowControl w:val="0"/>
              <w:kinsoku/>
              <w:wordWrap/>
              <w:overflowPunct/>
              <w:topLinePunct w:val="0"/>
              <w:bidi w:val="0"/>
              <w:adjustRightInd/>
              <w:snapToGrid/>
              <w:spacing w:line="360" w:lineRule="auto"/>
              <w:ind w:left="0" w:right="0" w:firstLine="482"/>
              <w:jc w:val="both"/>
              <w:rPr>
                <w:rFonts w:ascii="Times New Roman" w:hAnsi="Times New Roman" w:eastAsia="宋体" w:cs="Times New Roman"/>
                <w:b w:val="0"/>
                <w:bCs w:val="0"/>
                <w:color w:val="auto"/>
                <w:spacing w:val="0"/>
                <w:sz w:val="24"/>
                <w:szCs w:val="24"/>
              </w:rPr>
            </w:pPr>
            <w:r>
              <w:rPr>
                <w:rFonts w:hint="eastAsia" w:ascii="Times New Roman" w:hAnsi="Times New Roman" w:eastAsia="宋体" w:cs="Times New Roman"/>
                <w:b w:val="0"/>
                <w:bCs w:val="0"/>
                <w:color w:val="auto"/>
                <w:spacing w:val="0"/>
                <w:sz w:val="24"/>
                <w:szCs w:val="24"/>
              </w:rPr>
              <w:t>（2）施工机械尾气</w:t>
            </w:r>
          </w:p>
          <w:p>
            <w:pPr>
              <w:keepNext w:val="0"/>
              <w:keepLines w:val="0"/>
              <w:pageBreakBefore w:val="0"/>
              <w:widowControl w:val="0"/>
              <w:kinsoku/>
              <w:wordWrap/>
              <w:overflowPunct/>
              <w:topLinePunct w:val="0"/>
              <w:bidi w:val="0"/>
              <w:adjustRightInd/>
              <w:snapToGrid/>
              <w:spacing w:line="360" w:lineRule="auto"/>
              <w:ind w:left="0" w:right="0" w:firstLine="482"/>
              <w:jc w:val="both"/>
              <w:rPr>
                <w:rFonts w:ascii="Times New Roman" w:hAnsi="Times New Roman" w:eastAsia="宋体" w:cs="Times New Roman"/>
                <w:b w:val="0"/>
                <w:bCs w:val="0"/>
                <w:color w:val="auto"/>
                <w:spacing w:val="0"/>
                <w:sz w:val="24"/>
                <w:szCs w:val="24"/>
              </w:rPr>
            </w:pPr>
            <w:r>
              <w:rPr>
                <w:rFonts w:hint="eastAsia" w:ascii="Times New Roman" w:hAnsi="Times New Roman" w:eastAsia="宋体" w:cs="Times New Roman"/>
                <w:b w:val="0"/>
                <w:bCs w:val="0"/>
                <w:color w:val="auto"/>
                <w:spacing w:val="0"/>
                <w:sz w:val="24"/>
                <w:szCs w:val="24"/>
              </w:rPr>
              <w:t>项目施工期使用的施工机械、运输车辆所排放的废气中含有CO、THC等污染物，对施工现场及运输路线两侧区域的大气环境有一定影响。非道路移动机械安装尾气净化装置，运输车辆达到国五及以上排放标准。施工期废气产生量较小，且露天空旷条件利于气体扩散，采取以上措施后对大气环境影响轻微。</w:t>
            </w:r>
          </w:p>
          <w:p>
            <w:pPr>
              <w:keepNext w:val="0"/>
              <w:keepLines w:val="0"/>
              <w:pageBreakBefore w:val="0"/>
              <w:widowControl w:val="0"/>
              <w:kinsoku/>
              <w:wordWrap/>
              <w:overflowPunct/>
              <w:topLinePunct w:val="0"/>
              <w:bidi w:val="0"/>
              <w:adjustRightInd/>
              <w:snapToGrid/>
              <w:spacing w:line="360" w:lineRule="auto"/>
              <w:ind w:left="0" w:right="0" w:firstLine="482"/>
              <w:jc w:val="both"/>
              <w:rPr>
                <w:rFonts w:hint="eastAsia" w:ascii="Times New Roman" w:hAnsi="Times New Roman" w:eastAsia="宋体" w:cs="Times New Roman"/>
                <w:b w:val="0"/>
                <w:bCs w:val="0"/>
                <w:color w:val="auto"/>
                <w:spacing w:val="0"/>
                <w:sz w:val="24"/>
                <w:szCs w:val="24"/>
              </w:rPr>
            </w:pPr>
            <w:r>
              <w:rPr>
                <w:rFonts w:hint="eastAsia" w:ascii="Times New Roman" w:hAnsi="Times New Roman" w:eastAsia="宋体" w:cs="Times New Roman"/>
                <w:b w:val="0"/>
                <w:bCs w:val="0"/>
                <w:color w:val="auto"/>
                <w:spacing w:val="0"/>
                <w:sz w:val="24"/>
                <w:szCs w:val="24"/>
              </w:rPr>
              <w:t>施工土方开挖、建材运输、临时堆土产生扬尘，颗粒物随东南风输送至南侧闲置养殖场，仅会造成建构筑物表面短期落尘风险；无畜禽受影响风险。配套减缓措施：施工场地全围挡、土方全覆盖、每日4次洒水、车辆冲洗、大风天停止土方作业，厂区南侧增设高密度防尘网阻隔扬尘向南扩散。</w:t>
            </w:r>
          </w:p>
          <w:p>
            <w:pPr>
              <w:keepNext w:val="0"/>
              <w:keepLines w:val="0"/>
              <w:pageBreakBefore w:val="0"/>
              <w:widowControl w:val="0"/>
              <w:kinsoku/>
              <w:wordWrap/>
              <w:overflowPunct/>
              <w:topLinePunct w:val="0"/>
              <w:bidi w:val="0"/>
              <w:adjustRightInd/>
              <w:snapToGrid/>
              <w:spacing w:line="360" w:lineRule="auto"/>
              <w:ind w:left="0" w:right="0" w:firstLine="482"/>
              <w:jc w:val="both"/>
              <w:rPr>
                <w:rFonts w:ascii="Times New Roman" w:hAnsi="Times New Roman" w:eastAsia="宋体" w:cs="Times New Roman"/>
                <w:b/>
                <w:bCs/>
                <w:color w:val="auto"/>
                <w:spacing w:val="0"/>
                <w:sz w:val="24"/>
                <w:szCs w:val="24"/>
              </w:rPr>
            </w:pPr>
            <w:r>
              <w:rPr>
                <w:rFonts w:hint="eastAsia" w:ascii="Times New Roman" w:hAnsi="Times New Roman" w:eastAsia="宋体" w:cs="Times New Roman"/>
                <w:b w:val="0"/>
                <w:bCs w:val="0"/>
                <w:color w:val="auto"/>
                <w:spacing w:val="0"/>
                <w:sz w:val="24"/>
                <w:szCs w:val="24"/>
              </w:rPr>
              <w:t>综上所述，项目施工期将会对项目所在地环境空气质量造成一定影响，但这些影响随着施工期的结束也会结束。因此，项目施工期不会对项目所在地环境空气质量造成明显影响。</w:t>
            </w:r>
          </w:p>
          <w:p>
            <w:pPr>
              <w:keepNext w:val="0"/>
              <w:keepLines w:val="0"/>
              <w:pageBreakBefore w:val="0"/>
              <w:widowControl w:val="0"/>
              <w:kinsoku/>
              <w:wordWrap/>
              <w:overflowPunct/>
              <w:topLinePunct w:val="0"/>
              <w:bidi w:val="0"/>
              <w:adjustRightInd/>
              <w:snapToGrid/>
              <w:spacing w:line="360" w:lineRule="auto"/>
              <w:ind w:left="0" w:right="0" w:firstLine="482"/>
              <w:jc w:val="both"/>
              <w:rPr>
                <w:rFonts w:ascii="Times New Roman" w:hAnsi="Times New Roman" w:eastAsia="宋体" w:cs="Times New Roman"/>
                <w:color w:val="auto"/>
                <w:spacing w:val="0"/>
                <w:sz w:val="24"/>
                <w:szCs w:val="24"/>
              </w:rPr>
            </w:pPr>
            <w:r>
              <w:rPr>
                <w:rFonts w:hint="eastAsia" w:ascii="Times New Roman" w:hAnsi="Times New Roman" w:eastAsia="宋体" w:cs="Times New Roman"/>
                <w:b/>
                <w:bCs/>
                <w:color w:val="auto"/>
                <w:spacing w:val="0"/>
                <w:sz w:val="24"/>
                <w:szCs w:val="24"/>
                <w:lang w:val="en-US" w:eastAsia="zh-CN"/>
              </w:rPr>
              <w:t>二、</w:t>
            </w:r>
            <w:r>
              <w:rPr>
                <w:rFonts w:ascii="Times New Roman" w:hAnsi="Times New Roman" w:eastAsia="宋体" w:cs="Times New Roman"/>
                <w:b/>
                <w:bCs/>
                <w:color w:val="auto"/>
                <w:spacing w:val="0"/>
                <w:sz w:val="24"/>
                <w:szCs w:val="24"/>
              </w:rPr>
              <w:t>声环境影响分析</w:t>
            </w:r>
          </w:p>
          <w:p>
            <w:pPr>
              <w:keepNext w:val="0"/>
              <w:keepLines w:val="0"/>
              <w:pageBreakBefore w:val="0"/>
              <w:widowControl w:val="0"/>
              <w:kinsoku/>
              <w:wordWrap/>
              <w:overflowPunct/>
              <w:topLinePunct w:val="0"/>
              <w:bidi w:val="0"/>
              <w:adjustRightInd/>
              <w:snapToGrid/>
              <w:spacing w:line="360" w:lineRule="auto"/>
              <w:ind w:left="0" w:right="0" w:firstLine="480"/>
              <w:jc w:val="both"/>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施工期的噪声主要来源于施工现场的各种机械设备噪声。施工现场的噪声主要是安装调试机械设备噪声，物料装卸、运输噪声，将对项目周围产生一定的影响。结合施工特点，提出一些治理措施和建议：</w:t>
            </w:r>
          </w:p>
          <w:p>
            <w:pPr>
              <w:keepNext w:val="0"/>
              <w:keepLines w:val="0"/>
              <w:pageBreakBefore w:val="0"/>
              <w:widowControl w:val="0"/>
              <w:kinsoku/>
              <w:wordWrap/>
              <w:overflowPunct/>
              <w:topLinePunct w:val="0"/>
              <w:bidi w:val="0"/>
              <w:adjustRightInd/>
              <w:snapToGrid/>
              <w:spacing w:line="360" w:lineRule="auto"/>
              <w:ind w:left="0" w:right="0" w:firstLine="480"/>
              <w:jc w:val="both"/>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1、采购低噪声机械设备，同时在</w:t>
            </w:r>
            <w:r>
              <w:rPr>
                <w:rFonts w:ascii="Times New Roman" w:hAnsi="Times New Roman" w:eastAsia="宋体" w:cs="Times New Roman"/>
                <w:bCs/>
                <w:color w:val="auto"/>
                <w:spacing w:val="0"/>
                <w:sz w:val="24"/>
                <w:szCs w:val="24"/>
              </w:rPr>
              <w:t>安装和调试</w:t>
            </w:r>
            <w:r>
              <w:rPr>
                <w:rFonts w:ascii="Times New Roman" w:hAnsi="Times New Roman" w:eastAsia="宋体" w:cs="Times New Roman"/>
                <w:color w:val="auto"/>
                <w:spacing w:val="0"/>
                <w:sz w:val="24"/>
                <w:szCs w:val="24"/>
              </w:rPr>
              <w:t>过程中，要求工作人员严格按操作规范</w:t>
            </w:r>
            <w:r>
              <w:rPr>
                <w:rFonts w:ascii="Times New Roman" w:hAnsi="Times New Roman" w:eastAsia="宋体" w:cs="Times New Roman"/>
                <w:bCs/>
                <w:color w:val="auto"/>
                <w:spacing w:val="0"/>
                <w:sz w:val="24"/>
                <w:szCs w:val="24"/>
              </w:rPr>
              <w:t>安装和调试</w:t>
            </w:r>
            <w:r>
              <w:rPr>
                <w:rFonts w:ascii="Times New Roman" w:hAnsi="Times New Roman" w:eastAsia="宋体" w:cs="Times New Roman"/>
                <w:color w:val="auto"/>
                <w:spacing w:val="0"/>
                <w:sz w:val="24"/>
                <w:szCs w:val="24"/>
              </w:rPr>
              <w:t>各类机械。</w:t>
            </w:r>
          </w:p>
          <w:p>
            <w:pPr>
              <w:keepNext w:val="0"/>
              <w:keepLines w:val="0"/>
              <w:pageBreakBefore w:val="0"/>
              <w:widowControl w:val="0"/>
              <w:kinsoku/>
              <w:wordWrap/>
              <w:overflowPunct/>
              <w:topLinePunct w:val="0"/>
              <w:bidi w:val="0"/>
              <w:adjustRightInd/>
              <w:snapToGrid/>
              <w:spacing w:line="360" w:lineRule="auto"/>
              <w:ind w:left="0" w:right="0" w:firstLine="480"/>
              <w:jc w:val="both"/>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2、合理安排设备安装和调试时间。</w:t>
            </w:r>
          </w:p>
          <w:p>
            <w:pPr>
              <w:keepNext w:val="0"/>
              <w:keepLines w:val="0"/>
              <w:pageBreakBefore w:val="0"/>
              <w:widowControl w:val="0"/>
              <w:kinsoku/>
              <w:wordWrap/>
              <w:overflowPunct/>
              <w:topLinePunct w:val="0"/>
              <w:bidi w:val="0"/>
              <w:adjustRightInd/>
              <w:snapToGrid/>
              <w:spacing w:line="360" w:lineRule="auto"/>
              <w:ind w:left="0" w:right="0" w:firstLine="480"/>
              <w:jc w:val="both"/>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3、安装调试设备期间，尽量关闭厂房大门，减轻噪声影响。</w:t>
            </w:r>
          </w:p>
          <w:p>
            <w:pPr>
              <w:keepNext w:val="0"/>
              <w:keepLines w:val="0"/>
              <w:pageBreakBefore w:val="0"/>
              <w:widowControl w:val="0"/>
              <w:kinsoku/>
              <w:wordWrap/>
              <w:overflowPunct/>
              <w:topLinePunct w:val="0"/>
              <w:bidi w:val="0"/>
              <w:adjustRightInd/>
              <w:snapToGrid/>
              <w:spacing w:line="360" w:lineRule="auto"/>
              <w:ind w:left="0" w:right="0" w:firstLine="480"/>
              <w:jc w:val="both"/>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4、运输车辆出入地点，尽量远离环境敏感点，车辆出入现场时，应低速、禁鸣，同时还应注意项目运输车辆尽量避开交通高峰期。</w:t>
            </w:r>
          </w:p>
          <w:p>
            <w:pPr>
              <w:keepNext w:val="0"/>
              <w:keepLines w:val="0"/>
              <w:pageBreakBefore w:val="0"/>
              <w:widowControl w:val="0"/>
              <w:kinsoku/>
              <w:wordWrap/>
              <w:overflowPunct/>
              <w:topLinePunct w:val="0"/>
              <w:bidi w:val="0"/>
              <w:adjustRightInd/>
              <w:snapToGrid/>
              <w:spacing w:line="360" w:lineRule="auto"/>
              <w:ind w:left="0" w:right="0" w:firstLine="480"/>
              <w:jc w:val="both"/>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5、施工企业应对设备安装和调试噪声进行自律，文明施工，避免因施工噪声产生纠纷。</w:t>
            </w:r>
          </w:p>
          <w:p>
            <w:pPr>
              <w:keepNext w:val="0"/>
              <w:keepLines w:val="0"/>
              <w:pageBreakBefore w:val="0"/>
              <w:widowControl w:val="0"/>
              <w:kinsoku/>
              <w:wordWrap/>
              <w:overflowPunct/>
              <w:topLinePunct w:val="0"/>
              <w:bidi w:val="0"/>
              <w:adjustRightInd/>
              <w:snapToGrid/>
              <w:spacing w:line="360" w:lineRule="auto"/>
              <w:ind w:left="0" w:right="0" w:firstLine="480"/>
              <w:jc w:val="both"/>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施工挖掘机、破碎机、运输车辆噪声80~90dB(A）；南侧养殖场已闲置，无畜禽、人员常驻，不会造成畜禽应激伤害。管控措施：高噪声工序安排白天8:00</w:t>
            </w:r>
            <w:r>
              <w:rPr>
                <w:rFonts w:ascii="Times New Roman" w:hAnsi="Times New Roman" w:eastAsia="宋体" w:cs="Times New Roman"/>
                <w:color w:val="auto"/>
                <w:spacing w:val="0"/>
                <w:sz w:val="24"/>
                <w:szCs w:val="24"/>
              </w:rPr>
              <w:noBreakHyphen/>
            </w:r>
            <w:r>
              <w:rPr>
                <w:rFonts w:ascii="Times New Roman" w:hAnsi="Times New Roman" w:eastAsia="宋体" w:cs="Times New Roman"/>
                <w:color w:val="auto"/>
                <w:spacing w:val="0"/>
                <w:sz w:val="24"/>
                <w:szCs w:val="24"/>
              </w:rPr>
              <w:t>18:00施工，夜间停工；厂区南侧设置隔声屏障，运输车辆厂区限速5km/h、禁鸣喇叭。</w:t>
            </w:r>
          </w:p>
          <w:p>
            <w:pPr>
              <w:keepNext w:val="0"/>
              <w:keepLines w:val="0"/>
              <w:pageBreakBefore w:val="0"/>
              <w:widowControl w:val="0"/>
              <w:kinsoku/>
              <w:wordWrap/>
              <w:overflowPunct/>
              <w:topLinePunct w:val="0"/>
              <w:bidi w:val="0"/>
              <w:adjustRightInd/>
              <w:snapToGrid/>
              <w:spacing w:line="360" w:lineRule="auto"/>
              <w:ind w:left="0" w:right="0" w:firstLine="480"/>
              <w:jc w:val="both"/>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采取以上措施后可使施工期噪声不会对周边声环境造成明显影响。</w:t>
            </w:r>
          </w:p>
          <w:p>
            <w:pPr>
              <w:keepNext w:val="0"/>
              <w:keepLines w:val="0"/>
              <w:pageBreakBefore w:val="0"/>
              <w:widowControl w:val="0"/>
              <w:kinsoku/>
              <w:wordWrap/>
              <w:overflowPunct/>
              <w:topLinePunct w:val="0"/>
              <w:bidi w:val="0"/>
              <w:adjustRightInd/>
              <w:snapToGrid/>
              <w:spacing w:line="360" w:lineRule="auto"/>
              <w:ind w:left="0" w:right="0" w:firstLine="482"/>
              <w:jc w:val="both"/>
              <w:rPr>
                <w:rFonts w:ascii="Times New Roman" w:hAnsi="Times New Roman" w:eastAsia="宋体" w:cs="Times New Roman"/>
                <w:color w:val="auto"/>
                <w:spacing w:val="0"/>
                <w:sz w:val="24"/>
                <w:szCs w:val="24"/>
              </w:rPr>
            </w:pPr>
            <w:r>
              <w:rPr>
                <w:rFonts w:hint="eastAsia" w:ascii="Times New Roman" w:hAnsi="Times New Roman" w:eastAsia="宋体" w:cs="Times New Roman"/>
                <w:b/>
                <w:bCs/>
                <w:color w:val="auto"/>
                <w:spacing w:val="0"/>
                <w:sz w:val="24"/>
                <w:szCs w:val="24"/>
                <w:lang w:val="en-US" w:eastAsia="zh-CN"/>
              </w:rPr>
              <w:t>三</w:t>
            </w:r>
            <w:r>
              <w:rPr>
                <w:rFonts w:ascii="Times New Roman" w:hAnsi="Times New Roman" w:eastAsia="宋体" w:cs="Times New Roman"/>
                <w:b/>
                <w:bCs/>
                <w:color w:val="auto"/>
                <w:spacing w:val="0"/>
                <w:sz w:val="24"/>
                <w:szCs w:val="24"/>
              </w:rPr>
              <w:t>、水环境影响分析</w:t>
            </w:r>
          </w:p>
          <w:p>
            <w:pPr>
              <w:keepNext w:val="0"/>
              <w:keepLines w:val="0"/>
              <w:pageBreakBefore w:val="0"/>
              <w:widowControl w:val="0"/>
              <w:kinsoku/>
              <w:wordWrap/>
              <w:overflowPunct/>
              <w:topLinePunct w:val="0"/>
              <w:bidi w:val="0"/>
              <w:adjustRightInd/>
              <w:snapToGrid/>
              <w:spacing w:line="360" w:lineRule="auto"/>
              <w:ind w:left="0" w:right="0" w:firstLine="480"/>
              <w:jc w:val="both"/>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本项目</w:t>
            </w:r>
            <w:r>
              <w:rPr>
                <w:rFonts w:hint="eastAsia" w:ascii="Times New Roman" w:hAnsi="Times New Roman" w:eastAsia="宋体" w:cs="Times New Roman"/>
                <w:color w:val="auto"/>
                <w:spacing w:val="0"/>
                <w:sz w:val="24"/>
                <w:szCs w:val="24"/>
                <w:lang w:val="en-US" w:eastAsia="zh-CN"/>
              </w:rPr>
              <w:t>不</w:t>
            </w:r>
            <w:r>
              <w:rPr>
                <w:rFonts w:hint="default" w:ascii="Times New Roman" w:hAnsi="Times New Roman" w:eastAsia="宋体" w:cs="Times New Roman"/>
                <w:color w:val="auto"/>
                <w:spacing w:val="0"/>
                <w:sz w:val="24"/>
                <w:szCs w:val="24"/>
                <w:lang w:val="en-US" w:eastAsia="zh-CN"/>
              </w:rPr>
              <w:t>在</w:t>
            </w:r>
            <w:r>
              <w:rPr>
                <w:rFonts w:hint="eastAsia" w:ascii="Times New Roman" w:hAnsi="Times New Roman" w:eastAsia="宋体" w:cs="Times New Roman"/>
                <w:color w:val="auto"/>
                <w:spacing w:val="0"/>
                <w:sz w:val="24"/>
                <w:szCs w:val="24"/>
                <w:lang w:val="en-US" w:eastAsia="zh-CN"/>
              </w:rPr>
              <w:t>施工场地设置</w:t>
            </w:r>
            <w:r>
              <w:rPr>
                <w:rFonts w:hint="default" w:ascii="Times New Roman" w:hAnsi="Times New Roman" w:eastAsia="宋体" w:cs="Times New Roman"/>
                <w:color w:val="auto"/>
                <w:spacing w:val="0"/>
                <w:sz w:val="24"/>
                <w:szCs w:val="24"/>
                <w:lang w:val="en-US" w:eastAsia="zh-CN"/>
              </w:rPr>
              <w:t>生活营地，施工营地依托</w:t>
            </w:r>
            <w:r>
              <w:rPr>
                <w:rFonts w:hint="eastAsia" w:ascii="Times New Roman" w:hAnsi="Times New Roman" w:eastAsia="宋体" w:cs="Times New Roman"/>
                <w:color w:val="auto"/>
                <w:spacing w:val="0"/>
                <w:sz w:val="24"/>
                <w:szCs w:val="24"/>
                <w:lang w:val="en-US" w:eastAsia="zh-CN"/>
              </w:rPr>
              <w:t>博湖县</w:t>
            </w:r>
            <w:r>
              <w:rPr>
                <w:rFonts w:hint="default" w:ascii="Times New Roman" w:hAnsi="Times New Roman" w:eastAsia="宋体" w:cs="Times New Roman"/>
                <w:color w:val="auto"/>
                <w:spacing w:val="0"/>
                <w:sz w:val="24"/>
                <w:szCs w:val="24"/>
                <w:lang w:val="en-US" w:eastAsia="zh-CN"/>
              </w:rPr>
              <w:t>已有</w:t>
            </w:r>
            <w:r>
              <w:rPr>
                <w:rFonts w:hint="eastAsia" w:ascii="Times New Roman" w:hAnsi="Times New Roman" w:eastAsia="宋体" w:cs="Times New Roman"/>
                <w:color w:val="auto"/>
                <w:spacing w:val="0"/>
                <w:sz w:val="24"/>
                <w:szCs w:val="24"/>
                <w:lang w:val="en-US" w:eastAsia="zh-CN"/>
              </w:rPr>
              <w:t>社会服务设施解决，</w:t>
            </w:r>
            <w:r>
              <w:rPr>
                <w:rFonts w:hint="default" w:ascii="Times New Roman" w:hAnsi="Times New Roman" w:eastAsia="宋体" w:cs="Times New Roman"/>
                <w:color w:val="auto"/>
                <w:spacing w:val="0"/>
                <w:sz w:val="24"/>
                <w:szCs w:val="24"/>
                <w:lang w:val="en-US" w:eastAsia="zh-CN"/>
              </w:rPr>
              <w:t>施工期废水主要</w:t>
            </w:r>
            <w:r>
              <w:rPr>
                <w:rFonts w:hint="eastAsia" w:ascii="Times New Roman" w:hAnsi="Times New Roman" w:eastAsia="宋体" w:cs="Times New Roman"/>
                <w:color w:val="auto"/>
                <w:spacing w:val="0"/>
                <w:sz w:val="24"/>
                <w:szCs w:val="24"/>
                <w:lang w:val="en-US" w:eastAsia="zh-CN"/>
              </w:rPr>
              <w:t>为</w:t>
            </w:r>
            <w:r>
              <w:rPr>
                <w:rFonts w:hint="default" w:ascii="Times New Roman" w:hAnsi="Times New Roman" w:eastAsia="宋体" w:cs="Times New Roman"/>
                <w:color w:val="auto"/>
                <w:spacing w:val="0"/>
                <w:sz w:val="24"/>
                <w:szCs w:val="24"/>
                <w:lang w:val="en-US" w:eastAsia="zh-CN"/>
              </w:rPr>
              <w:t>施工废水。施工期废水影响治理措施如下：</w:t>
            </w:r>
          </w:p>
          <w:p>
            <w:pPr>
              <w:keepNext w:val="0"/>
              <w:keepLines w:val="0"/>
              <w:pageBreakBefore w:val="0"/>
              <w:widowControl w:val="0"/>
              <w:kinsoku/>
              <w:wordWrap/>
              <w:overflowPunct/>
              <w:topLinePunct w:val="0"/>
              <w:bidi w:val="0"/>
              <w:adjustRightInd/>
              <w:snapToGrid/>
              <w:spacing w:line="360" w:lineRule="auto"/>
              <w:ind w:left="0" w:right="0" w:firstLine="480"/>
              <w:jc w:val="both"/>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（1）施工期工地一切废物都要按指定地点堆放并及时组织清除，避免因暴雨径流而被冲走流入附近</w:t>
            </w:r>
            <w:r>
              <w:rPr>
                <w:rFonts w:hint="eastAsia" w:ascii="Times New Roman" w:hAnsi="Times New Roman" w:eastAsia="宋体" w:cs="Times New Roman"/>
                <w:color w:val="auto"/>
                <w:spacing w:val="0"/>
                <w:sz w:val="24"/>
                <w:szCs w:val="24"/>
                <w:lang w:val="en-US" w:eastAsia="zh-CN"/>
              </w:rPr>
              <w:t>开都河</w:t>
            </w:r>
            <w:r>
              <w:rPr>
                <w:rFonts w:hint="default" w:ascii="Times New Roman" w:hAnsi="Times New Roman" w:eastAsia="宋体" w:cs="Times New Roman"/>
                <w:color w:val="auto"/>
                <w:spacing w:val="0"/>
                <w:sz w:val="24"/>
                <w:szCs w:val="24"/>
                <w:lang w:val="en-US" w:eastAsia="zh-CN"/>
              </w:rPr>
              <w:t>水体。</w:t>
            </w:r>
          </w:p>
          <w:p>
            <w:pPr>
              <w:keepNext w:val="0"/>
              <w:keepLines w:val="0"/>
              <w:pageBreakBefore w:val="0"/>
              <w:widowControl w:val="0"/>
              <w:kinsoku/>
              <w:wordWrap/>
              <w:overflowPunct/>
              <w:topLinePunct w:val="0"/>
              <w:bidi w:val="0"/>
              <w:adjustRightInd/>
              <w:snapToGrid/>
              <w:spacing w:line="360" w:lineRule="auto"/>
              <w:ind w:left="0" w:right="0" w:firstLine="480"/>
              <w:jc w:val="both"/>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（2）加强施工机械设备的维修保养，避免在施工过程中燃料油的跑、冒、滴、漏。</w:t>
            </w:r>
          </w:p>
          <w:p>
            <w:pPr>
              <w:keepNext w:val="0"/>
              <w:keepLines w:val="0"/>
              <w:pageBreakBefore w:val="0"/>
              <w:widowControl w:val="0"/>
              <w:kinsoku/>
              <w:wordWrap/>
              <w:overflowPunct/>
              <w:topLinePunct w:val="0"/>
              <w:bidi w:val="0"/>
              <w:adjustRightInd/>
              <w:snapToGrid/>
              <w:spacing w:line="360" w:lineRule="auto"/>
              <w:ind w:left="0" w:right="0" w:firstLine="480"/>
              <w:jc w:val="both"/>
              <w:rPr>
                <w:rFonts w:hint="eastAsia"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（3）</w:t>
            </w:r>
            <w:r>
              <w:rPr>
                <w:rFonts w:hint="eastAsia" w:ascii="Times New Roman" w:hAnsi="Times New Roman" w:eastAsia="宋体" w:cs="Times New Roman"/>
                <w:color w:val="auto"/>
                <w:spacing w:val="0"/>
                <w:sz w:val="24"/>
                <w:szCs w:val="24"/>
                <w:lang w:val="en-US" w:eastAsia="zh-CN"/>
              </w:rPr>
              <w:t>不在施工场地内进行施工设备</w:t>
            </w:r>
            <w:r>
              <w:rPr>
                <w:rFonts w:hint="default" w:ascii="Times New Roman" w:hAnsi="Times New Roman" w:eastAsia="宋体" w:cs="Times New Roman"/>
                <w:color w:val="auto"/>
                <w:spacing w:val="0"/>
                <w:sz w:val="24"/>
                <w:szCs w:val="24"/>
                <w:lang w:val="en-US" w:eastAsia="zh-CN"/>
              </w:rPr>
              <w:t>检修和清洗。运输车辆清洗处应当设置沉淀池</w:t>
            </w:r>
            <w:r>
              <w:rPr>
                <w:rFonts w:hint="eastAsia" w:ascii="Times New Roman" w:hAnsi="Times New Roman" w:eastAsia="宋体" w:cs="Times New Roman"/>
                <w:color w:val="auto"/>
                <w:spacing w:val="0"/>
                <w:sz w:val="24"/>
                <w:szCs w:val="24"/>
                <w:lang w:val="en-US" w:eastAsia="zh-CN"/>
              </w:rPr>
              <w:t>，经沉淀后循环使用。</w:t>
            </w:r>
          </w:p>
          <w:p>
            <w:pPr>
              <w:keepNext w:val="0"/>
              <w:keepLines w:val="0"/>
              <w:pageBreakBefore w:val="0"/>
              <w:widowControl w:val="0"/>
              <w:kinsoku/>
              <w:wordWrap/>
              <w:overflowPunct/>
              <w:topLinePunct w:val="0"/>
              <w:bidi w:val="0"/>
              <w:adjustRightInd/>
              <w:snapToGrid/>
              <w:spacing w:line="360" w:lineRule="auto"/>
              <w:ind w:left="0" w:right="0" w:firstLine="480"/>
              <w:jc w:val="both"/>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（4）施工单位对施工场地用水应严格管理，贯彻</w:t>
            </w:r>
            <w:r>
              <w:rPr>
                <w:rFonts w:hint="eastAsia" w:ascii="Times New Roman" w:hAnsi="Times New Roman" w:eastAsia="宋体" w:cs="Times New Roman"/>
                <w:color w:val="auto"/>
                <w:spacing w:val="0"/>
                <w:sz w:val="24"/>
                <w:szCs w:val="24"/>
                <w:lang w:val="en-US" w:eastAsia="zh-CN"/>
              </w:rPr>
              <w:t>“</w:t>
            </w:r>
            <w:r>
              <w:rPr>
                <w:rFonts w:hint="default" w:ascii="Times New Roman" w:hAnsi="Times New Roman" w:eastAsia="宋体" w:cs="Times New Roman"/>
                <w:color w:val="auto"/>
                <w:spacing w:val="0"/>
                <w:sz w:val="24"/>
                <w:szCs w:val="24"/>
                <w:lang w:val="en-US" w:eastAsia="zh-CN"/>
              </w:rPr>
              <w:t>一水多用、重复利用、节约用水</w:t>
            </w:r>
            <w:r>
              <w:rPr>
                <w:rFonts w:hint="eastAsia" w:ascii="Times New Roman" w:hAnsi="Times New Roman" w:eastAsia="宋体" w:cs="Times New Roman"/>
                <w:color w:val="auto"/>
                <w:spacing w:val="0"/>
                <w:sz w:val="24"/>
                <w:szCs w:val="24"/>
                <w:lang w:val="en-US" w:eastAsia="zh-CN"/>
              </w:rPr>
              <w:t>”</w:t>
            </w:r>
            <w:r>
              <w:rPr>
                <w:rFonts w:hint="default" w:ascii="Times New Roman" w:hAnsi="Times New Roman" w:eastAsia="宋体" w:cs="Times New Roman"/>
                <w:color w:val="auto"/>
                <w:spacing w:val="0"/>
                <w:sz w:val="24"/>
                <w:szCs w:val="24"/>
                <w:lang w:val="en-US" w:eastAsia="zh-CN"/>
              </w:rPr>
              <w:t>的原则，尽量减少废水的排放量，减轻废水排放对周围环境的影响。</w:t>
            </w:r>
          </w:p>
          <w:p>
            <w:pPr>
              <w:keepNext w:val="0"/>
              <w:keepLines w:val="0"/>
              <w:pageBreakBefore w:val="0"/>
              <w:widowControl w:val="0"/>
              <w:kinsoku/>
              <w:wordWrap/>
              <w:overflowPunct/>
              <w:topLinePunct w:val="0"/>
              <w:bidi w:val="0"/>
              <w:adjustRightInd/>
              <w:snapToGrid/>
              <w:spacing w:line="360" w:lineRule="auto"/>
              <w:ind w:left="0" w:right="0" w:firstLine="480"/>
              <w:jc w:val="both"/>
              <w:rPr>
                <w:rFonts w:hint="eastAsia"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（5）</w:t>
            </w:r>
            <w:r>
              <w:rPr>
                <w:rFonts w:hint="eastAsia" w:ascii="Times New Roman" w:hAnsi="Times New Roman" w:eastAsia="宋体" w:cs="Times New Roman"/>
                <w:color w:val="auto"/>
                <w:spacing w:val="0"/>
                <w:sz w:val="24"/>
                <w:szCs w:val="24"/>
                <w:lang w:val="en-US" w:eastAsia="zh-CN"/>
              </w:rPr>
              <w:t>施工期地表水环境保护措施</w:t>
            </w:r>
          </w:p>
          <w:p>
            <w:pPr>
              <w:keepNext w:val="0"/>
              <w:keepLines w:val="0"/>
              <w:pageBreakBefore w:val="0"/>
              <w:widowControl w:val="0"/>
              <w:kinsoku/>
              <w:wordWrap/>
              <w:overflowPunct/>
              <w:topLinePunct w:val="0"/>
              <w:bidi w:val="0"/>
              <w:adjustRightInd/>
              <w:snapToGrid/>
              <w:spacing w:line="360" w:lineRule="auto"/>
              <w:ind w:left="0" w:right="0" w:firstLine="480"/>
              <w:jc w:val="both"/>
              <w:rPr>
                <w:rFonts w:hint="default"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①防渗存储：施工期施工材料水泥、砂石等易扬尘物料需覆盖防尘网，并设置防渗围挡，防止雨水冲刷导致污染物入河。</w:t>
            </w:r>
          </w:p>
          <w:p>
            <w:pPr>
              <w:keepNext w:val="0"/>
              <w:keepLines w:val="0"/>
              <w:pageBreakBefore w:val="0"/>
              <w:widowControl w:val="0"/>
              <w:kinsoku/>
              <w:wordWrap/>
              <w:overflowPunct/>
              <w:topLinePunct w:val="0"/>
              <w:bidi w:val="0"/>
              <w:adjustRightInd/>
              <w:snapToGrid/>
              <w:spacing w:line="360" w:lineRule="auto"/>
              <w:ind w:left="0" w:right="0" w:firstLine="480"/>
              <w:jc w:val="both"/>
              <w:rPr>
                <w:rFonts w:hint="eastAsia"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②废水、固废分类处置：</w:t>
            </w:r>
            <w:r>
              <w:rPr>
                <w:rFonts w:hint="default" w:ascii="Times New Roman" w:hAnsi="Times New Roman" w:eastAsia="宋体" w:cs="Times New Roman"/>
                <w:color w:val="auto"/>
                <w:spacing w:val="0"/>
                <w:sz w:val="24"/>
                <w:szCs w:val="24"/>
                <w:lang w:val="en-US" w:eastAsia="zh-CN"/>
              </w:rPr>
              <w:t>在施工场地混凝土养护废水产生点应设置临时沉淀池，含泥沙泥浆水经沉淀后回用施工场区洒水抑尘。</w:t>
            </w:r>
            <w:r>
              <w:rPr>
                <w:rFonts w:ascii="Times New Roman" w:hAnsi="Times New Roman" w:eastAsia="宋体" w:cs="Times New Roman"/>
                <w:color w:val="auto"/>
                <w:spacing w:val="0"/>
                <w:sz w:val="24"/>
                <w:szCs w:val="24"/>
              </w:rPr>
              <w:t>严禁</w:t>
            </w:r>
            <w:r>
              <w:rPr>
                <w:rFonts w:hint="eastAsia" w:ascii="Times New Roman" w:hAnsi="Times New Roman" w:eastAsia="宋体" w:cs="Times New Roman"/>
                <w:color w:val="auto"/>
                <w:spacing w:val="0"/>
                <w:sz w:val="24"/>
                <w:szCs w:val="24"/>
                <w:lang w:val="en-US" w:eastAsia="zh-CN"/>
              </w:rPr>
              <w:t>将废水、废弃物</w:t>
            </w:r>
            <w:r>
              <w:rPr>
                <w:rFonts w:ascii="Times New Roman" w:hAnsi="Times New Roman" w:eastAsia="宋体" w:cs="Times New Roman"/>
                <w:color w:val="auto"/>
                <w:spacing w:val="0"/>
                <w:sz w:val="24"/>
                <w:szCs w:val="24"/>
              </w:rPr>
              <w:t>倾倒至</w:t>
            </w:r>
            <w:r>
              <w:rPr>
                <w:rFonts w:hint="eastAsia" w:ascii="Times New Roman" w:hAnsi="Times New Roman" w:eastAsia="宋体" w:cs="Times New Roman"/>
                <w:color w:val="auto"/>
                <w:spacing w:val="0"/>
                <w:sz w:val="24"/>
                <w:szCs w:val="24"/>
                <w:lang w:val="en-US" w:eastAsia="zh-CN"/>
              </w:rPr>
              <w:t>开都河</w:t>
            </w:r>
            <w:r>
              <w:rPr>
                <w:rFonts w:ascii="Times New Roman" w:hAnsi="Times New Roman" w:eastAsia="宋体" w:cs="Times New Roman"/>
                <w:color w:val="auto"/>
                <w:spacing w:val="0"/>
                <w:sz w:val="24"/>
                <w:szCs w:val="24"/>
              </w:rPr>
              <w:t>河道或滩涂。</w:t>
            </w:r>
          </w:p>
          <w:p>
            <w:pPr>
              <w:keepNext w:val="0"/>
              <w:keepLines w:val="0"/>
              <w:pageBreakBefore w:val="0"/>
              <w:widowControl w:val="0"/>
              <w:kinsoku/>
              <w:wordWrap/>
              <w:overflowPunct/>
              <w:topLinePunct w:val="0"/>
              <w:bidi w:val="0"/>
              <w:adjustRightInd/>
              <w:snapToGrid/>
              <w:spacing w:line="360" w:lineRule="auto"/>
              <w:ind w:left="0" w:right="0" w:firstLine="480"/>
              <w:jc w:val="both"/>
              <w:rPr>
                <w:rFonts w:hint="eastAsia"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③土方平衡：</w:t>
            </w:r>
            <w:r>
              <w:rPr>
                <w:rFonts w:ascii="Times New Roman" w:hAnsi="Times New Roman" w:eastAsia="宋体" w:cs="Times New Roman"/>
                <w:color w:val="auto"/>
                <w:spacing w:val="0"/>
                <w:sz w:val="24"/>
                <w:szCs w:val="24"/>
              </w:rPr>
              <w:t>优化土方开挖与回填方案，减少余土外运，避免泥浆水入河。</w:t>
            </w:r>
          </w:p>
          <w:p>
            <w:pPr>
              <w:keepNext w:val="0"/>
              <w:keepLines w:val="0"/>
              <w:pageBreakBefore w:val="0"/>
              <w:widowControl w:val="0"/>
              <w:kinsoku/>
              <w:wordWrap/>
              <w:overflowPunct/>
              <w:topLinePunct w:val="0"/>
              <w:bidi w:val="0"/>
              <w:adjustRightInd/>
              <w:snapToGrid/>
              <w:spacing w:line="360" w:lineRule="auto"/>
              <w:ind w:left="0" w:right="0" w:firstLine="480"/>
              <w:jc w:val="both"/>
              <w:rPr>
                <w:rFonts w:hint="default"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④禁止直排：严禁将未经处理的废水直接排入河道，设置明显警示标识。</w:t>
            </w:r>
          </w:p>
          <w:p>
            <w:pPr>
              <w:keepNext w:val="0"/>
              <w:keepLines w:val="0"/>
              <w:pageBreakBefore w:val="0"/>
              <w:widowControl w:val="0"/>
              <w:kinsoku/>
              <w:wordWrap/>
              <w:overflowPunct/>
              <w:topLinePunct w:val="0"/>
              <w:bidi w:val="0"/>
              <w:adjustRightInd/>
              <w:snapToGrid/>
              <w:spacing w:line="360" w:lineRule="auto"/>
              <w:ind w:left="0" w:right="0" w:firstLine="480"/>
              <w:jc w:val="both"/>
              <w:rPr>
                <w:rFonts w:ascii="Times New Roman" w:hAnsi="Times New Roman" w:eastAsia="宋体" w:cs="Times New Roman"/>
                <w:color w:val="auto"/>
                <w:spacing w:val="0"/>
                <w:sz w:val="24"/>
                <w:szCs w:val="24"/>
              </w:rPr>
            </w:pPr>
            <w:r>
              <w:rPr>
                <w:rFonts w:hint="default" w:ascii="Times New Roman" w:hAnsi="Times New Roman" w:eastAsia="宋体" w:cs="Times New Roman"/>
                <w:color w:val="auto"/>
                <w:spacing w:val="0"/>
                <w:sz w:val="24"/>
                <w:szCs w:val="24"/>
                <w:lang w:val="en-US" w:eastAsia="zh-CN"/>
              </w:rPr>
              <w:t>综上所述，只要加强管理，把以上措施落到实处，施工期的废水对周围环境的影响不大，并随着施工期的完成而消除。施工废水对项目所在区</w:t>
            </w:r>
            <w:r>
              <w:rPr>
                <w:rFonts w:hint="eastAsia" w:ascii="Times New Roman" w:hAnsi="Times New Roman" w:eastAsia="宋体" w:cs="Times New Roman"/>
                <w:color w:val="auto"/>
                <w:spacing w:val="0"/>
                <w:sz w:val="24"/>
                <w:szCs w:val="24"/>
                <w:lang w:val="en-US" w:eastAsia="zh-CN"/>
              </w:rPr>
              <w:t>域的</w:t>
            </w:r>
            <w:r>
              <w:rPr>
                <w:rFonts w:hint="default" w:ascii="Times New Roman" w:hAnsi="Times New Roman" w:eastAsia="宋体" w:cs="Times New Roman"/>
                <w:color w:val="auto"/>
                <w:spacing w:val="0"/>
                <w:sz w:val="24"/>
                <w:szCs w:val="24"/>
                <w:lang w:val="en-US" w:eastAsia="zh-CN"/>
              </w:rPr>
              <w:t>水环境影响很小。</w:t>
            </w:r>
          </w:p>
          <w:p>
            <w:pPr>
              <w:keepNext w:val="0"/>
              <w:keepLines w:val="0"/>
              <w:pageBreakBefore w:val="0"/>
              <w:widowControl w:val="0"/>
              <w:kinsoku/>
              <w:wordWrap/>
              <w:overflowPunct/>
              <w:topLinePunct w:val="0"/>
              <w:bidi w:val="0"/>
              <w:adjustRightInd/>
              <w:snapToGrid/>
              <w:spacing w:line="360" w:lineRule="auto"/>
              <w:ind w:left="0" w:right="0" w:firstLine="482"/>
              <w:jc w:val="both"/>
              <w:rPr>
                <w:rFonts w:ascii="Times New Roman" w:hAnsi="Times New Roman" w:eastAsia="宋体" w:cs="Times New Roman"/>
                <w:b/>
                <w:bCs/>
                <w:color w:val="auto"/>
                <w:spacing w:val="0"/>
                <w:sz w:val="24"/>
                <w:szCs w:val="24"/>
              </w:rPr>
            </w:pPr>
            <w:r>
              <w:rPr>
                <w:rFonts w:hint="eastAsia" w:ascii="Times New Roman" w:hAnsi="Times New Roman" w:eastAsia="宋体" w:cs="Times New Roman"/>
                <w:b/>
                <w:bCs/>
                <w:color w:val="auto"/>
                <w:spacing w:val="0"/>
                <w:sz w:val="24"/>
                <w:szCs w:val="24"/>
                <w:lang w:val="en-US" w:eastAsia="zh-CN"/>
              </w:rPr>
              <w:t>四</w:t>
            </w:r>
            <w:r>
              <w:rPr>
                <w:rFonts w:ascii="Times New Roman" w:hAnsi="Times New Roman" w:eastAsia="宋体" w:cs="Times New Roman"/>
                <w:b/>
                <w:bCs/>
                <w:color w:val="auto"/>
                <w:spacing w:val="0"/>
                <w:sz w:val="24"/>
                <w:szCs w:val="24"/>
              </w:rPr>
              <w:t>、固体废弃物影响分析</w:t>
            </w:r>
          </w:p>
          <w:p>
            <w:pPr>
              <w:keepNext w:val="0"/>
              <w:keepLines w:val="0"/>
              <w:pageBreakBefore w:val="0"/>
              <w:widowControl w:val="0"/>
              <w:kinsoku/>
              <w:wordWrap/>
              <w:overflowPunct/>
              <w:topLinePunct w:val="0"/>
              <w:autoSpaceDE w:val="0"/>
              <w:autoSpaceDN w:val="0"/>
              <w:bidi w:val="0"/>
              <w:adjustRightInd/>
              <w:snapToGrid/>
              <w:spacing w:line="360" w:lineRule="auto"/>
              <w:ind w:left="0" w:right="0" w:firstLine="480"/>
              <w:jc w:val="both"/>
              <w:rPr>
                <w:rFonts w:ascii="Times New Roman" w:hAnsi="Times New Roman" w:eastAsia="宋体" w:cs="Times New Roman"/>
                <w:color w:val="auto"/>
                <w:spacing w:val="0"/>
                <w:sz w:val="24"/>
                <w:szCs w:val="24"/>
              </w:rPr>
            </w:pPr>
            <w:r>
              <w:rPr>
                <w:rFonts w:hint="default" w:ascii="Times New Roman" w:hAnsi="Times New Roman" w:eastAsia="宋体" w:cs="Times New Roman"/>
                <w:color w:val="auto"/>
                <w:spacing w:val="0"/>
                <w:sz w:val="24"/>
                <w:szCs w:val="24"/>
                <w:lang w:val="en-US" w:eastAsia="zh-CN"/>
              </w:rPr>
              <w:t>本项目施工期间主要固废为建筑垃圾和生活垃圾。施工人员生活垃圾在场区由垃圾桶收集后由环卫部门定期清运统一处理；施工废料主要为砂土、石块、钢结构件、管道材料等，其中钢结构件、管道材料等可外售给废品回收站；沙土、石块等回收利用</w:t>
            </w:r>
            <w:r>
              <w:rPr>
                <w:rFonts w:hint="eastAsia" w:ascii="Times New Roman" w:hAnsi="Times New Roman" w:eastAsia="宋体" w:cs="Times New Roman"/>
                <w:color w:val="auto"/>
                <w:spacing w:val="0"/>
                <w:sz w:val="24"/>
                <w:szCs w:val="24"/>
                <w:lang w:val="en-US" w:eastAsia="zh-CN"/>
              </w:rPr>
              <w:t>作为</w:t>
            </w:r>
            <w:r>
              <w:rPr>
                <w:rFonts w:hint="default" w:ascii="Times New Roman" w:hAnsi="Times New Roman" w:eastAsia="宋体" w:cs="Times New Roman"/>
                <w:color w:val="auto"/>
                <w:spacing w:val="0"/>
                <w:sz w:val="24"/>
                <w:szCs w:val="24"/>
                <w:lang w:val="en-US" w:eastAsia="zh-CN"/>
              </w:rPr>
              <w:t>厂区内道路建设；剩下部分建筑物垃圾经收集后送至附近的垃圾收集点，由环卫部门统一处理。因此，施工期固废对环境影响很小</w:t>
            </w:r>
            <w:r>
              <w:rPr>
                <w:rFonts w:ascii="Times New Roman" w:hAnsi="Times New Roman" w:eastAsia="宋体" w:cs="Times New Roman"/>
                <w:color w:val="auto"/>
                <w:spacing w:val="0"/>
                <w:sz w:val="24"/>
                <w:szCs w:val="24"/>
              </w:rPr>
              <w:t>。</w:t>
            </w:r>
          </w:p>
          <w:p>
            <w:pPr>
              <w:pStyle w:val="308"/>
              <w:keepNext w:val="0"/>
              <w:keepLines w:val="0"/>
              <w:pageBreakBefore w:val="0"/>
              <w:widowControl w:val="0"/>
              <w:kinsoku/>
              <w:wordWrap/>
              <w:overflowPunct/>
              <w:topLinePunct w:val="0"/>
              <w:autoSpaceDE/>
              <w:autoSpaceDN/>
              <w:bidi w:val="0"/>
              <w:adjustRightInd/>
              <w:snapToGrid/>
              <w:spacing w:line="360" w:lineRule="auto"/>
              <w:ind w:left="0" w:right="0" w:firstLine="480"/>
              <w:jc w:val="both"/>
              <w:textAlignment w:val="baseline"/>
              <w:rPr>
                <w:rFonts w:hint="default" w:ascii="Times New Roman" w:hAnsi="Times New Roman" w:eastAsia="宋体" w:cs="Times New Roman"/>
                <w:b/>
                <w:bCs/>
                <w:color w:val="auto"/>
                <w:spacing w:val="0"/>
                <w:sz w:val="24"/>
                <w:szCs w:val="24"/>
                <w:lang w:val="en-US" w:eastAsia="zh-CN" w:bidi="ar-SA"/>
              </w:rPr>
            </w:pPr>
            <w:r>
              <w:rPr>
                <w:rFonts w:hint="eastAsia" w:ascii="Times New Roman" w:hAnsi="Times New Roman" w:eastAsia="宋体" w:cs="Times New Roman"/>
                <w:b/>
                <w:bCs/>
                <w:color w:val="auto"/>
                <w:spacing w:val="0"/>
                <w:sz w:val="24"/>
                <w:szCs w:val="24"/>
                <w:lang w:val="en-US" w:eastAsia="zh-CN" w:bidi="ar-SA"/>
              </w:rPr>
              <w:t>五、</w:t>
            </w:r>
            <w:r>
              <w:rPr>
                <w:rFonts w:hint="default" w:ascii="Times New Roman" w:hAnsi="Times New Roman" w:eastAsia="宋体" w:cs="Times New Roman"/>
                <w:b/>
                <w:bCs/>
                <w:color w:val="auto"/>
                <w:spacing w:val="0"/>
                <w:sz w:val="24"/>
                <w:szCs w:val="24"/>
                <w:lang w:val="en-US" w:eastAsia="zh-CN" w:bidi="ar-SA"/>
              </w:rPr>
              <w:t>生态环境影响和保护措施</w:t>
            </w:r>
          </w:p>
          <w:p>
            <w:pPr>
              <w:pStyle w:val="73"/>
              <w:keepNext w:val="0"/>
              <w:keepLines w:val="0"/>
              <w:pageBreakBefore w:val="0"/>
              <w:widowControl w:val="0"/>
              <w:kinsoku/>
              <w:wordWrap/>
              <w:overflowPunct/>
              <w:topLinePunct w:val="0"/>
              <w:bidi w:val="0"/>
              <w:adjustRightInd/>
              <w:snapToGrid/>
              <w:spacing w:line="360" w:lineRule="auto"/>
              <w:ind w:left="0" w:right="0" w:firstLine="480"/>
              <w:jc w:val="both"/>
              <w:rPr>
                <w:rFonts w:hint="eastAsia" w:ascii="Times New Roman" w:hAnsi="Times New Roman" w:eastAsia="宋体" w:cs="Times New Roman"/>
                <w:color w:val="auto"/>
                <w:spacing w:val="0"/>
                <w:sz w:val="24"/>
                <w:lang w:val="en-US" w:eastAsia="zh-CN"/>
              </w:rPr>
            </w:pPr>
            <w:r>
              <w:rPr>
                <w:rFonts w:hint="eastAsia" w:ascii="Times New Roman" w:hAnsi="Times New Roman" w:eastAsia="宋体" w:cs="Times New Roman"/>
                <w:color w:val="auto"/>
                <w:spacing w:val="0"/>
                <w:sz w:val="24"/>
                <w:lang w:val="en-US" w:eastAsia="zh-CN"/>
              </w:rPr>
              <w:t>本项目施工位于博湖县本布图镇，用地类型为工业用地。项目所在地周围没有国家重点保护的野生动植物，也没有自然保护区等生态环境敏感点。施工期对生态影响主要表现在土方开挖、基础平整等过程，可能会造成少量水土流失、并对土层结构有一定影响。</w:t>
            </w:r>
          </w:p>
          <w:p>
            <w:pPr>
              <w:pStyle w:val="73"/>
              <w:keepNext w:val="0"/>
              <w:keepLines w:val="0"/>
              <w:pageBreakBefore w:val="0"/>
              <w:widowControl w:val="0"/>
              <w:kinsoku/>
              <w:wordWrap/>
              <w:overflowPunct/>
              <w:topLinePunct w:val="0"/>
              <w:bidi w:val="0"/>
              <w:adjustRightInd/>
              <w:snapToGrid/>
              <w:spacing w:line="360" w:lineRule="auto"/>
              <w:ind w:left="0" w:right="0" w:firstLine="480"/>
              <w:jc w:val="both"/>
              <w:rPr>
                <w:rFonts w:hint="eastAsia" w:ascii="Times New Roman" w:hAnsi="Times New Roman" w:eastAsia="宋体" w:cs="Times New Roman"/>
                <w:color w:val="auto"/>
                <w:spacing w:val="0"/>
                <w:sz w:val="24"/>
                <w:lang w:val="en-US" w:eastAsia="zh-CN"/>
              </w:rPr>
            </w:pPr>
            <w:r>
              <w:rPr>
                <w:rFonts w:hint="eastAsia" w:ascii="Times New Roman" w:hAnsi="Times New Roman" w:eastAsia="宋体" w:cs="Times New Roman"/>
                <w:color w:val="auto"/>
                <w:spacing w:val="0"/>
                <w:sz w:val="24"/>
                <w:lang w:val="en-US" w:eastAsia="zh-CN"/>
              </w:rPr>
              <w:t>在施工建设过程中加强对施工场地平整过程中的弃土（渣）的管理，施工时应减少土方开挖、回填量和堆放占用土地，最大限度地减少对土地的扰动；在工程结束后开挖土方及时进行回填，应尽量做到平衡。施工完成后，对工程填平低洼处等表面进行土地平整和表土覆盖，并依据植被生态演替的基本规律采取恢复措施，选用当地物种进行恢复。对于临时占用的施工场地和施工临时道路采取植被恢复措施或复垦措施，由建设单位组织复垦或植被恢复。</w:t>
            </w:r>
          </w:p>
          <w:p>
            <w:pPr>
              <w:pStyle w:val="73"/>
              <w:keepNext w:val="0"/>
              <w:keepLines w:val="0"/>
              <w:pageBreakBefore w:val="0"/>
              <w:widowControl w:val="0"/>
              <w:kinsoku/>
              <w:wordWrap/>
              <w:overflowPunct/>
              <w:topLinePunct w:val="0"/>
              <w:bidi w:val="0"/>
              <w:adjustRightInd/>
              <w:snapToGrid/>
              <w:spacing w:line="360" w:lineRule="auto"/>
              <w:ind w:left="0" w:right="0" w:firstLine="480"/>
              <w:jc w:val="both"/>
              <w:rPr>
                <w:rFonts w:hint="eastAsia" w:ascii="Times New Roman" w:hAnsi="Times New Roman" w:eastAsia="宋体" w:cs="Times New Roman"/>
                <w:color w:val="auto"/>
                <w:spacing w:val="0"/>
                <w:sz w:val="24"/>
                <w:lang w:val="en-US" w:eastAsia="zh-CN"/>
              </w:rPr>
            </w:pPr>
            <w:r>
              <w:rPr>
                <w:rFonts w:hint="eastAsia" w:ascii="Times New Roman" w:hAnsi="Times New Roman" w:eastAsia="宋体" w:cs="Times New Roman"/>
                <w:color w:val="auto"/>
                <w:spacing w:val="0"/>
                <w:sz w:val="24"/>
                <w:lang w:val="en-US" w:eastAsia="zh-CN"/>
              </w:rPr>
              <w:t>工程建设期间虽然对生物量、分布格局及生物多样性造成一定程度的影响，但施工结束后的植被恢复和绿化工程，在一定程度上补偿了生态环境效益。</w:t>
            </w:r>
          </w:p>
          <w:p>
            <w:pPr>
              <w:pStyle w:val="73"/>
              <w:keepNext w:val="0"/>
              <w:keepLines w:val="0"/>
              <w:pageBreakBefore w:val="0"/>
              <w:widowControl w:val="0"/>
              <w:kinsoku/>
              <w:wordWrap/>
              <w:overflowPunct/>
              <w:topLinePunct w:val="0"/>
              <w:bidi w:val="0"/>
              <w:adjustRightInd/>
              <w:snapToGrid/>
              <w:spacing w:line="360" w:lineRule="auto"/>
              <w:ind w:left="0" w:right="0" w:firstLine="480"/>
              <w:jc w:val="both"/>
              <w:rPr>
                <w:rFonts w:hint="eastAsia" w:ascii="Times New Roman" w:hAnsi="Times New Roman" w:eastAsia="宋体" w:cs="Times New Roman"/>
                <w:color w:val="auto"/>
                <w:spacing w:val="0"/>
                <w:sz w:val="24"/>
                <w:lang w:val="en-US" w:eastAsia="zh-CN"/>
              </w:rPr>
            </w:pPr>
            <w:r>
              <w:rPr>
                <w:rFonts w:hint="eastAsia" w:ascii="Times New Roman" w:hAnsi="Times New Roman" w:eastAsia="宋体" w:cs="Times New Roman"/>
                <w:color w:val="auto"/>
                <w:spacing w:val="0"/>
                <w:sz w:val="24"/>
                <w:lang w:val="en-US" w:eastAsia="zh-CN"/>
              </w:rPr>
              <w:t>本工程在施工时，施工区域有一定开挖量，开挖面积和开挖量均较小，并且工期较短，随着施工结束，这些不良影响也将逐步消失。综上，施工期对生态环境影响较小。</w:t>
            </w:r>
          </w:p>
          <w:p>
            <w:pPr>
              <w:pStyle w:val="308"/>
              <w:keepNext w:val="0"/>
              <w:keepLines w:val="0"/>
              <w:pageBreakBefore w:val="0"/>
              <w:widowControl w:val="0"/>
              <w:kinsoku/>
              <w:wordWrap/>
              <w:overflowPunct/>
              <w:topLinePunct w:val="0"/>
              <w:autoSpaceDE/>
              <w:autoSpaceDN/>
              <w:bidi w:val="0"/>
              <w:adjustRightInd/>
              <w:snapToGrid/>
              <w:spacing w:line="360" w:lineRule="auto"/>
              <w:ind w:left="0" w:right="0" w:firstLine="480"/>
              <w:jc w:val="both"/>
              <w:textAlignment w:val="baseline"/>
              <w:rPr>
                <w:rFonts w:hint="default" w:ascii="Times New Roman" w:hAnsi="Times New Roman" w:eastAsia="宋体" w:cs="Times New Roman"/>
                <w:b/>
                <w:bCs/>
                <w:color w:val="auto"/>
                <w:spacing w:val="0"/>
                <w:sz w:val="24"/>
                <w:szCs w:val="24"/>
                <w:lang w:val="en-US" w:eastAsia="zh-CN" w:bidi="ar-SA"/>
              </w:rPr>
            </w:pPr>
            <w:r>
              <w:rPr>
                <w:rFonts w:hint="eastAsia" w:ascii="Times New Roman" w:hAnsi="Times New Roman" w:eastAsia="宋体" w:cs="Times New Roman"/>
                <w:b/>
                <w:bCs/>
                <w:color w:val="auto"/>
                <w:spacing w:val="0"/>
                <w:sz w:val="24"/>
                <w:szCs w:val="24"/>
                <w:lang w:val="en-US" w:eastAsia="zh-CN" w:bidi="ar-SA"/>
              </w:rPr>
              <w:t>六、</w:t>
            </w:r>
            <w:r>
              <w:rPr>
                <w:rFonts w:hint="default" w:ascii="Times New Roman" w:hAnsi="Times New Roman" w:eastAsia="宋体" w:cs="Times New Roman"/>
                <w:b/>
                <w:bCs/>
                <w:color w:val="auto"/>
                <w:spacing w:val="0"/>
                <w:sz w:val="24"/>
                <w:szCs w:val="24"/>
                <w:lang w:val="en-US" w:eastAsia="zh-CN" w:bidi="ar-SA"/>
              </w:rPr>
              <w:t>防沙治沙措施</w:t>
            </w:r>
          </w:p>
          <w:p>
            <w:pPr>
              <w:pStyle w:val="73"/>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jc w:val="both"/>
              <w:textAlignment w:val="auto"/>
              <w:rPr>
                <w:rFonts w:hint="default" w:ascii="Times New Roman" w:hAnsi="Times New Roman" w:eastAsia="宋体" w:cs="Times New Roman"/>
                <w:color w:val="auto"/>
                <w:spacing w:val="0"/>
                <w:sz w:val="24"/>
                <w:lang w:val="en-US" w:eastAsia="zh-CN"/>
              </w:rPr>
            </w:pPr>
            <w:r>
              <w:rPr>
                <w:rFonts w:hint="eastAsia" w:ascii="Times New Roman" w:hAnsi="Times New Roman" w:eastAsia="宋体" w:cs="Times New Roman"/>
                <w:color w:val="auto"/>
                <w:spacing w:val="0"/>
                <w:sz w:val="24"/>
                <w:lang w:val="en-US" w:eastAsia="zh-CN"/>
              </w:rPr>
              <w:t>根据《新疆第六次沙化和荒漠化监测报告》，本项目不涉及沙化土地</w:t>
            </w:r>
            <w:r>
              <w:rPr>
                <w:rFonts w:hint="default" w:ascii="Times New Roman" w:hAnsi="Times New Roman" w:eastAsia="宋体" w:cs="Times New Roman"/>
                <w:color w:val="auto"/>
                <w:spacing w:val="0"/>
                <w:sz w:val="24"/>
                <w:lang w:val="en-US" w:eastAsia="zh-CN"/>
              </w:rPr>
              <w:t>，不占用防沙治沙设施。根据《关于加强沙区建设项目环境影响评价工作的通知》</w:t>
            </w:r>
            <w:r>
              <w:rPr>
                <w:rFonts w:hint="eastAsia" w:ascii="Times New Roman" w:hAnsi="Times New Roman" w:eastAsia="宋体" w:cs="Times New Roman"/>
                <w:color w:val="auto"/>
                <w:spacing w:val="0"/>
                <w:sz w:val="24"/>
                <w:lang w:val="en-US" w:eastAsia="zh-CN"/>
              </w:rPr>
              <w:t>（</w:t>
            </w:r>
            <w:r>
              <w:rPr>
                <w:rFonts w:hint="default" w:ascii="Times New Roman" w:hAnsi="Times New Roman" w:eastAsia="宋体" w:cs="Times New Roman"/>
                <w:color w:val="auto"/>
                <w:spacing w:val="0"/>
                <w:sz w:val="24"/>
                <w:lang w:val="en-US" w:eastAsia="zh-CN"/>
              </w:rPr>
              <w:t>新环环评发〔2020〕138号</w:t>
            </w:r>
            <w:r>
              <w:rPr>
                <w:rFonts w:hint="eastAsia" w:ascii="Times New Roman" w:hAnsi="Times New Roman" w:eastAsia="宋体" w:cs="Times New Roman"/>
                <w:color w:val="auto"/>
                <w:spacing w:val="0"/>
                <w:sz w:val="24"/>
                <w:lang w:val="en-US" w:eastAsia="zh-CN"/>
              </w:rPr>
              <w:t>）</w:t>
            </w:r>
            <w:r>
              <w:rPr>
                <w:rFonts w:hint="default" w:ascii="Times New Roman" w:hAnsi="Times New Roman" w:eastAsia="宋体" w:cs="Times New Roman"/>
                <w:color w:val="auto"/>
                <w:spacing w:val="0"/>
                <w:sz w:val="24"/>
                <w:lang w:val="en-US" w:eastAsia="zh-CN"/>
              </w:rPr>
              <w:t>的要求，本项目虽不在沙区，但也根据以上要求提出相应的防沙治沙措施：</w:t>
            </w:r>
          </w:p>
          <w:p>
            <w:pPr>
              <w:pStyle w:val="73"/>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jc w:val="both"/>
              <w:textAlignment w:val="auto"/>
              <w:rPr>
                <w:rFonts w:ascii="Times New Roman" w:hAnsi="Times New Roman" w:eastAsia="宋体" w:cs="Times New Roman"/>
                <w:color w:val="auto"/>
                <w:spacing w:val="0"/>
                <w:sz w:val="24"/>
              </w:rPr>
            </w:pPr>
            <w:r>
              <w:rPr>
                <w:rFonts w:hint="default" w:ascii="Times New Roman" w:hAnsi="Times New Roman" w:eastAsia="宋体" w:cs="Times New Roman"/>
                <w:color w:val="auto"/>
                <w:spacing w:val="0"/>
                <w:sz w:val="24"/>
                <w:lang w:val="en-US" w:eastAsia="zh-CN"/>
              </w:rPr>
              <w:t>项目施工严格控制在厂区内；场地平整后，采取砾石压盖；施工土方全部用于场地平整，严禁随意堆置；遇到干燥、易起尘的土方工程作业时，辅以洒水降尘，尽量缩短起尘操作时间，遇到四级及四级以上大风天气，停止土方作业，同时作业处覆以防尘网；严格控制和管理运输车辆的运行线路和范围，充分利用区域现有道路，施工机械和车辆严格按照规定路线行驶，禁止随意开辟道路，以防破坏土壤和植被，加剧土地沙化。</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9" w:type="dxa"/>
            <w:tcMar>
              <w:left w:w="28" w:type="dxa"/>
              <w:right w:w="28" w:type="dxa"/>
            </w:tcMar>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运</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营</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期</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环</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境</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影</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响</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和</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保</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护</w:t>
            </w:r>
          </w:p>
          <w:p>
            <w:pPr>
              <w:spacing w:line="240" w:lineRule="auto"/>
              <w:ind w:firstLine="0" w:firstLineChars="0"/>
              <w:jc w:val="center"/>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rPr>
              <w:t>措</w:t>
            </w:r>
          </w:p>
          <w:p>
            <w:pPr>
              <w:spacing w:line="240" w:lineRule="auto"/>
              <w:ind w:firstLine="0" w:firstLineChars="0"/>
              <w:jc w:val="center"/>
              <w:rPr>
                <w:rFonts w:ascii="Times New Roman" w:hAnsi="Times New Roman"/>
                <w:bCs/>
                <w:color w:val="auto"/>
                <w:spacing w:val="0"/>
                <w:sz w:val="24"/>
              </w:rPr>
            </w:pPr>
            <w:r>
              <w:rPr>
                <w:rFonts w:hint="eastAsia" w:ascii="Times New Roman" w:hAnsi="Times New Roman" w:eastAsia="宋体" w:cs="Times New Roman"/>
                <w:color w:val="auto"/>
                <w:spacing w:val="0"/>
                <w:sz w:val="24"/>
                <w:szCs w:val="24"/>
              </w:rPr>
              <w:t>施</w:t>
            </w:r>
          </w:p>
        </w:tc>
        <w:tc>
          <w:tcPr>
            <w:tcW w:w="8139" w:type="dxa"/>
            <w:vAlign w:val="center"/>
          </w:tcPr>
          <w:p>
            <w:pPr>
              <w:pageBreakBefore w:val="0"/>
              <w:widowControl w:val="0"/>
              <w:kinsoku/>
              <w:wordWrap/>
              <w:overflowPunct/>
              <w:topLinePunct w:val="0"/>
              <w:autoSpaceDE/>
              <w:autoSpaceDN/>
              <w:bidi w:val="0"/>
              <w:adjustRightInd/>
              <w:snapToGrid/>
              <w:ind w:firstLine="482"/>
              <w:textAlignment w:val="auto"/>
              <w:rPr>
                <w:rFonts w:ascii="Times New Roman" w:hAnsi="Times New Roman" w:eastAsia="宋体" w:cs="Times New Roman"/>
                <w:b/>
                <w:color w:val="auto"/>
                <w:spacing w:val="0"/>
                <w:sz w:val="24"/>
                <w:szCs w:val="24"/>
              </w:rPr>
            </w:pPr>
            <w:r>
              <w:rPr>
                <w:rFonts w:ascii="Times New Roman" w:hAnsi="Times New Roman" w:eastAsia="宋体" w:cs="Times New Roman"/>
                <w:b/>
                <w:color w:val="auto"/>
                <w:spacing w:val="0"/>
                <w:sz w:val="24"/>
                <w:szCs w:val="24"/>
              </w:rPr>
              <w:t>1、</w:t>
            </w:r>
            <w:r>
              <w:rPr>
                <w:rFonts w:hint="eastAsia" w:ascii="Times New Roman" w:hAnsi="Times New Roman" w:eastAsia="宋体" w:cs="Times New Roman"/>
                <w:b/>
                <w:color w:val="auto"/>
                <w:spacing w:val="0"/>
                <w:sz w:val="24"/>
                <w:szCs w:val="24"/>
              </w:rPr>
              <w:t>废气</w:t>
            </w:r>
          </w:p>
          <w:p>
            <w:pPr>
              <w:keepNext/>
              <w:keepLines/>
              <w:pageBreakBefore w:val="0"/>
              <w:widowControl w:val="0"/>
              <w:kinsoku/>
              <w:wordWrap/>
              <w:overflowPunct/>
              <w:topLinePunct w:val="0"/>
              <w:autoSpaceDE/>
              <w:autoSpaceDN/>
              <w:bidi w:val="0"/>
              <w:adjustRightInd/>
              <w:snapToGrid/>
              <w:ind w:firstLine="482"/>
              <w:textAlignment w:val="auto"/>
              <w:rPr>
                <w:rFonts w:hint="eastAsia" w:ascii="Times New Roman" w:hAnsi="Times New Roman" w:eastAsia="宋体" w:cs="Times New Roman"/>
                <w:b w:val="0"/>
                <w:bCs w:val="0"/>
                <w:color w:val="auto"/>
                <w:spacing w:val="0"/>
                <w:sz w:val="24"/>
                <w:szCs w:val="24"/>
                <w:lang w:val="en-US" w:eastAsia="zh-CN"/>
              </w:rPr>
            </w:pPr>
            <w:r>
              <w:rPr>
                <w:rFonts w:hint="eastAsia" w:ascii="Times New Roman" w:hAnsi="Times New Roman" w:eastAsia="宋体" w:cs="Times New Roman"/>
                <w:b w:val="0"/>
                <w:bCs w:val="0"/>
                <w:color w:val="auto"/>
                <w:spacing w:val="0"/>
                <w:sz w:val="24"/>
                <w:szCs w:val="24"/>
                <w:lang w:val="en-US" w:eastAsia="zh-CN"/>
              </w:rPr>
              <w:t>本项目营运期废气主要为</w:t>
            </w:r>
            <w:r>
              <w:rPr>
                <w:rFonts w:hint="eastAsia" w:ascii="Times New Roman" w:hAnsi="Times New Roman" w:cs="Times New Roman" w:eastAsiaTheme="minorEastAsia"/>
                <w:bCs w:val="0"/>
                <w:color w:val="auto"/>
                <w:spacing w:val="0"/>
                <w:sz w:val="24"/>
                <w:szCs w:val="24"/>
                <w:lang w:val="en-US" w:eastAsia="zh-CN"/>
              </w:rPr>
              <w:t>颚破、渣土筛分、风选、反击破、成品筛分等工序产生的有组织废气和物料</w:t>
            </w:r>
            <w:r>
              <w:rPr>
                <w:rFonts w:hint="eastAsia" w:ascii="Times New Roman" w:hAnsi="Times New Roman" w:cs="Times New Roman" w:eastAsiaTheme="minorEastAsia"/>
                <w:b w:val="0"/>
                <w:bCs w:val="0"/>
                <w:color w:val="auto"/>
                <w:spacing w:val="0"/>
                <w:sz w:val="24"/>
                <w:szCs w:val="24"/>
                <w:lang w:val="en-US" w:eastAsia="zh-CN"/>
              </w:rPr>
              <w:t>卸料、堆存</w:t>
            </w:r>
            <w:r>
              <w:rPr>
                <w:rFonts w:hint="eastAsia" w:ascii="Times New Roman" w:hAnsi="Times New Roman" w:cs="Times New Roman" w:eastAsiaTheme="minorEastAsia"/>
                <w:bCs w:val="0"/>
                <w:color w:val="auto"/>
                <w:spacing w:val="0"/>
                <w:sz w:val="24"/>
                <w:szCs w:val="24"/>
                <w:lang w:val="en-US" w:eastAsia="zh-CN"/>
              </w:rPr>
              <w:t>、成品出料、装车粉尘以及车辆运输过程中产生的无组织废气</w:t>
            </w:r>
            <w:r>
              <w:rPr>
                <w:rFonts w:hint="eastAsia" w:ascii="Times New Roman" w:hAnsi="Times New Roman" w:eastAsia="宋体" w:cs="Times New Roman"/>
                <w:b w:val="0"/>
                <w:bCs w:val="0"/>
                <w:color w:val="auto"/>
                <w:spacing w:val="0"/>
                <w:sz w:val="24"/>
                <w:szCs w:val="24"/>
                <w:lang w:val="en-US" w:eastAsia="zh-CN"/>
              </w:rPr>
              <w:t>。</w:t>
            </w:r>
          </w:p>
          <w:p>
            <w:pPr>
              <w:keepNext/>
              <w:keepLines/>
              <w:pageBreakBefore w:val="0"/>
              <w:widowControl w:val="0"/>
              <w:kinsoku/>
              <w:wordWrap/>
              <w:overflowPunct/>
              <w:topLinePunct w:val="0"/>
              <w:autoSpaceDE/>
              <w:autoSpaceDN/>
              <w:bidi w:val="0"/>
              <w:adjustRightInd/>
              <w:snapToGrid/>
              <w:ind w:firstLine="482"/>
              <w:textAlignment w:val="auto"/>
              <w:rPr>
                <w:rFonts w:ascii="Times New Roman" w:hAnsi="Times New Roman" w:eastAsia="宋体" w:cs="Times New Roman"/>
                <w:b w:val="0"/>
                <w:bCs w:val="0"/>
                <w:color w:val="auto"/>
                <w:spacing w:val="0"/>
                <w:sz w:val="24"/>
                <w:szCs w:val="24"/>
              </w:rPr>
            </w:pPr>
            <w:r>
              <w:rPr>
                <w:rFonts w:hint="eastAsia" w:ascii="Times New Roman" w:hAnsi="Times New Roman" w:eastAsia="宋体" w:cs="Times New Roman"/>
                <w:b w:val="0"/>
                <w:bCs w:val="0"/>
                <w:color w:val="auto"/>
                <w:spacing w:val="0"/>
                <w:sz w:val="24"/>
                <w:szCs w:val="24"/>
                <w:lang w:val="en-US" w:eastAsia="zh-CN"/>
              </w:rPr>
              <w:t>建设单位设计时将生产线主要生产工序</w:t>
            </w:r>
            <w:r>
              <w:rPr>
                <w:rFonts w:hint="default" w:ascii="Times New Roman" w:hAnsi="Times New Roman" w:eastAsia="宋体" w:cs="Times New Roman"/>
                <w:b w:val="0"/>
                <w:bCs w:val="0"/>
                <w:color w:val="auto"/>
                <w:spacing w:val="0"/>
                <w:sz w:val="24"/>
                <w:szCs w:val="24"/>
                <w:lang w:val="en-US" w:eastAsia="zh-CN"/>
              </w:rPr>
              <w:t>包括</w:t>
            </w:r>
            <w:r>
              <w:rPr>
                <w:rFonts w:hint="eastAsia" w:ascii="Times New Roman" w:hAnsi="Times New Roman" w:eastAsia="宋体" w:cs="Times New Roman"/>
                <w:b w:val="0"/>
                <w:bCs w:val="0"/>
                <w:color w:val="auto"/>
                <w:spacing w:val="0"/>
                <w:sz w:val="24"/>
                <w:szCs w:val="24"/>
                <w:lang w:val="en-US" w:eastAsia="zh-CN"/>
              </w:rPr>
              <w:t>上料</w:t>
            </w:r>
            <w:r>
              <w:rPr>
                <w:rFonts w:hint="default" w:ascii="Times New Roman" w:hAnsi="Times New Roman" w:eastAsia="宋体" w:cs="Times New Roman"/>
                <w:b w:val="0"/>
                <w:bCs w:val="0"/>
                <w:color w:val="auto"/>
                <w:spacing w:val="0"/>
                <w:sz w:val="24"/>
                <w:szCs w:val="24"/>
                <w:lang w:val="en-US" w:eastAsia="zh-CN"/>
              </w:rPr>
              <w:t>、物料输送、</w:t>
            </w:r>
            <w:r>
              <w:rPr>
                <w:rFonts w:hint="eastAsia" w:ascii="Times New Roman" w:hAnsi="Times New Roman" w:cs="Times New Roman" w:eastAsiaTheme="minorEastAsia"/>
                <w:bCs w:val="0"/>
                <w:color w:val="auto"/>
                <w:spacing w:val="0"/>
                <w:sz w:val="24"/>
                <w:szCs w:val="24"/>
                <w:lang w:val="en-US" w:eastAsia="zh-CN"/>
              </w:rPr>
              <w:t>颚破</w:t>
            </w:r>
            <w:r>
              <w:rPr>
                <w:rFonts w:hint="default" w:ascii="Times New Roman" w:hAnsi="Times New Roman" w:eastAsia="宋体" w:cs="Times New Roman"/>
                <w:b w:val="0"/>
                <w:bCs w:val="0"/>
                <w:color w:val="auto"/>
                <w:spacing w:val="0"/>
                <w:sz w:val="24"/>
                <w:szCs w:val="24"/>
                <w:lang w:val="en-US" w:eastAsia="zh-CN"/>
              </w:rPr>
              <w:t>、</w:t>
            </w:r>
            <w:r>
              <w:rPr>
                <w:rFonts w:hint="eastAsia" w:ascii="Times New Roman" w:hAnsi="Times New Roman" w:cs="Times New Roman" w:eastAsiaTheme="minorEastAsia"/>
                <w:bCs w:val="0"/>
                <w:color w:val="auto"/>
                <w:spacing w:val="0"/>
                <w:sz w:val="24"/>
                <w:szCs w:val="24"/>
                <w:lang w:val="en-US" w:eastAsia="zh-CN"/>
              </w:rPr>
              <w:t>筛分、风选、反击破、</w:t>
            </w:r>
            <w:r>
              <w:rPr>
                <w:rFonts w:hint="eastAsia" w:ascii="Times New Roman" w:hAnsi="Times New Roman" w:eastAsia="宋体" w:cs="Times New Roman"/>
                <w:b w:val="0"/>
                <w:bCs w:val="0"/>
                <w:color w:val="auto"/>
                <w:spacing w:val="0"/>
                <w:sz w:val="24"/>
                <w:szCs w:val="24"/>
                <w:lang w:val="en-US" w:eastAsia="zh-CN"/>
              </w:rPr>
              <w:t>出料等</w:t>
            </w:r>
            <w:r>
              <w:rPr>
                <w:rFonts w:hint="default" w:ascii="Times New Roman" w:hAnsi="Times New Roman" w:eastAsia="宋体" w:cs="Times New Roman"/>
                <w:b w:val="0"/>
                <w:bCs w:val="0"/>
                <w:color w:val="auto"/>
                <w:spacing w:val="0"/>
                <w:sz w:val="24"/>
                <w:szCs w:val="24"/>
                <w:lang w:val="en-US" w:eastAsia="zh-CN"/>
              </w:rPr>
              <w:t>全部</w:t>
            </w:r>
            <w:r>
              <w:rPr>
                <w:rFonts w:hint="eastAsia" w:ascii="Times New Roman" w:hAnsi="Times New Roman" w:eastAsia="宋体" w:cs="Times New Roman"/>
                <w:b w:val="0"/>
                <w:bCs w:val="0"/>
                <w:color w:val="auto"/>
                <w:spacing w:val="0"/>
                <w:sz w:val="24"/>
                <w:szCs w:val="24"/>
                <w:lang w:val="en-US" w:eastAsia="zh-CN"/>
              </w:rPr>
              <w:t>设置</w:t>
            </w:r>
            <w:r>
              <w:rPr>
                <w:rFonts w:hint="default" w:ascii="Times New Roman" w:hAnsi="Times New Roman" w:eastAsia="宋体" w:cs="Times New Roman"/>
                <w:b w:val="0"/>
                <w:bCs w:val="0"/>
                <w:color w:val="auto"/>
                <w:spacing w:val="0"/>
                <w:sz w:val="24"/>
                <w:szCs w:val="24"/>
                <w:lang w:val="en-US" w:eastAsia="zh-CN"/>
              </w:rPr>
              <w:t>在封闭的环境</w:t>
            </w:r>
            <w:r>
              <w:rPr>
                <w:rFonts w:hint="eastAsia" w:ascii="Times New Roman" w:hAnsi="Times New Roman" w:eastAsia="宋体" w:cs="Times New Roman"/>
                <w:b w:val="0"/>
                <w:bCs w:val="0"/>
                <w:color w:val="auto"/>
                <w:spacing w:val="0"/>
                <w:sz w:val="24"/>
                <w:szCs w:val="24"/>
                <w:lang w:val="en-US" w:eastAsia="zh-CN"/>
              </w:rPr>
              <w:t>内</w:t>
            </w:r>
            <w:r>
              <w:rPr>
                <w:rFonts w:hint="default" w:ascii="Times New Roman" w:hAnsi="Times New Roman" w:eastAsia="宋体" w:cs="Times New Roman"/>
                <w:b w:val="0"/>
                <w:bCs w:val="0"/>
                <w:color w:val="auto"/>
                <w:spacing w:val="0"/>
                <w:sz w:val="24"/>
                <w:szCs w:val="24"/>
                <w:lang w:val="en-US" w:eastAsia="zh-CN"/>
              </w:rPr>
              <w:t>作业</w:t>
            </w:r>
            <w:r>
              <w:rPr>
                <w:rFonts w:hint="eastAsia" w:ascii="Times New Roman" w:hAnsi="Times New Roman" w:eastAsia="宋体" w:cs="Times New Roman"/>
                <w:b w:val="0"/>
                <w:bCs w:val="0"/>
                <w:color w:val="auto"/>
                <w:spacing w:val="0"/>
                <w:sz w:val="24"/>
                <w:szCs w:val="24"/>
                <w:lang w:val="en-US" w:eastAsia="zh-CN"/>
              </w:rPr>
              <w:t>。</w:t>
            </w:r>
          </w:p>
          <w:p>
            <w:pPr>
              <w:keepNext/>
              <w:keepLines/>
              <w:pageBreakBefore w:val="0"/>
              <w:widowControl w:val="0"/>
              <w:kinsoku/>
              <w:wordWrap/>
              <w:overflowPunct/>
              <w:topLinePunct w:val="0"/>
              <w:autoSpaceDE/>
              <w:autoSpaceDN/>
              <w:bidi w:val="0"/>
              <w:adjustRightInd/>
              <w:snapToGrid/>
              <w:ind w:firstLine="482"/>
              <w:textAlignment w:val="auto"/>
              <w:rPr>
                <w:rFonts w:ascii="Times New Roman" w:hAnsi="Times New Roman" w:eastAsia="宋体" w:cs="Times New Roman"/>
                <w:b/>
                <w:bCs/>
                <w:color w:val="auto"/>
                <w:spacing w:val="0"/>
                <w:sz w:val="24"/>
                <w:szCs w:val="24"/>
              </w:rPr>
            </w:pPr>
            <w:r>
              <w:rPr>
                <w:rFonts w:ascii="Times New Roman" w:hAnsi="Times New Roman" w:eastAsia="宋体" w:cs="Times New Roman"/>
                <w:b/>
                <w:bCs/>
                <w:color w:val="auto"/>
                <w:spacing w:val="0"/>
                <w:sz w:val="24"/>
                <w:szCs w:val="24"/>
              </w:rPr>
              <w:t>1.1污染物源强核算</w:t>
            </w:r>
          </w:p>
          <w:p>
            <w:pPr>
              <w:pStyle w:val="37"/>
              <w:pageBreakBefore w:val="0"/>
              <w:widowControl w:val="0"/>
              <w:kinsoku/>
              <w:wordWrap/>
              <w:overflowPunct/>
              <w:topLinePunct w:val="0"/>
              <w:autoSpaceDE/>
              <w:autoSpaceDN/>
              <w:bidi w:val="0"/>
              <w:adjustRightInd/>
              <w:snapToGrid/>
              <w:ind w:firstLine="482"/>
              <w:jc w:val="both"/>
              <w:textAlignment w:val="auto"/>
              <w:rPr>
                <w:rFonts w:hint="eastAsia" w:ascii="Times New Roman" w:hAnsi="Times New Roman" w:cs="Times New Roman" w:eastAsiaTheme="minorEastAsia"/>
                <w:b w:val="0"/>
                <w:bCs w:val="0"/>
                <w:color w:val="auto"/>
                <w:spacing w:val="0"/>
                <w:sz w:val="24"/>
                <w:szCs w:val="24"/>
                <w:lang w:val="en-US" w:eastAsia="zh-CN"/>
              </w:rPr>
            </w:pPr>
            <w:r>
              <w:rPr>
                <w:rFonts w:hint="eastAsia" w:ascii="Times New Roman" w:hAnsi="Times New Roman" w:cs="Times New Roman" w:eastAsiaTheme="minorEastAsia"/>
                <w:b w:val="0"/>
                <w:bCs w:val="0"/>
                <w:color w:val="auto"/>
                <w:spacing w:val="0"/>
                <w:sz w:val="24"/>
                <w:szCs w:val="24"/>
                <w:lang w:val="en-US" w:eastAsia="zh-CN"/>
              </w:rPr>
              <w:t>（1）物料卸料、堆存粉尘</w:t>
            </w:r>
          </w:p>
          <w:p>
            <w:pPr>
              <w:pStyle w:val="37"/>
              <w:pageBreakBefore w:val="0"/>
              <w:widowControl w:val="0"/>
              <w:kinsoku/>
              <w:wordWrap/>
              <w:overflowPunct/>
              <w:topLinePunct w:val="0"/>
              <w:autoSpaceDE/>
              <w:autoSpaceDN/>
              <w:bidi w:val="0"/>
              <w:adjustRightInd/>
              <w:snapToGrid/>
              <w:ind w:firstLine="482"/>
              <w:jc w:val="both"/>
              <w:textAlignment w:val="auto"/>
              <w:rPr>
                <w:rFonts w:hint="eastAsia" w:ascii="Times New Roman" w:hAnsi="Times New Roman" w:cs="Times New Roman" w:eastAsiaTheme="minorEastAsia"/>
                <w:b w:val="0"/>
                <w:bCs w:val="0"/>
                <w:color w:val="auto"/>
                <w:spacing w:val="0"/>
                <w:sz w:val="24"/>
                <w:szCs w:val="24"/>
                <w:lang w:val="en-US" w:eastAsia="zh-CN"/>
              </w:rPr>
            </w:pPr>
            <w:r>
              <w:rPr>
                <w:rFonts w:hint="eastAsia" w:ascii="Times New Roman" w:hAnsi="Times New Roman" w:cs="Times New Roman" w:eastAsiaTheme="minorEastAsia"/>
                <w:b w:val="0"/>
                <w:bCs w:val="0"/>
                <w:color w:val="auto"/>
                <w:spacing w:val="0"/>
                <w:sz w:val="24"/>
                <w:szCs w:val="24"/>
                <w:lang w:val="en-US" w:eastAsia="zh-CN"/>
              </w:rPr>
              <w:t>项目原料堆场设置于原料库，用于堆放拆除垃圾原料。参照《逸散性工业粉尘控制技术》“表18-1粒料加工厂逸散尘的排放因子”中卸料工序中“碎石”的排放因子，碎石的卸料粉尘产尘系数为0.02kg/t-卸料，贮存过程产污系数为0.235kg/t，本项目年处理5万吨建筑垃圾，则原料卸料、堆存过程产生的粉尘为12.75t/a，产生速率为4.83kg/h。</w:t>
            </w:r>
            <w:r>
              <w:rPr>
                <w:rFonts w:ascii="宋体" w:hAnsi="宋体" w:eastAsia="宋体" w:cs="宋体"/>
                <w:color w:val="auto"/>
                <w:sz w:val="24"/>
                <w:szCs w:val="24"/>
              </w:rPr>
              <w:t>本项目原料堆场</w:t>
            </w:r>
            <w:r>
              <w:rPr>
                <w:rFonts w:hint="eastAsia" w:ascii="宋体" w:hAnsi="宋体" w:eastAsia="宋体" w:cs="宋体"/>
                <w:color w:val="auto"/>
                <w:sz w:val="24"/>
                <w:szCs w:val="24"/>
                <w:lang w:val="en-US" w:eastAsia="zh-CN"/>
              </w:rPr>
              <w:t>设置于原料库</w:t>
            </w:r>
            <w:r>
              <w:rPr>
                <w:rFonts w:ascii="宋体" w:hAnsi="宋体" w:eastAsia="宋体" w:cs="宋体"/>
                <w:color w:val="auto"/>
                <w:sz w:val="24"/>
                <w:szCs w:val="24"/>
              </w:rPr>
              <w:t>，在</w:t>
            </w:r>
            <w:r>
              <w:rPr>
                <w:rFonts w:hint="eastAsia" w:ascii="宋体" w:hAnsi="宋体" w:eastAsia="宋体" w:cs="宋体"/>
                <w:color w:val="auto"/>
                <w:sz w:val="24"/>
                <w:szCs w:val="24"/>
                <w:lang w:val="en-US" w:eastAsia="zh-CN"/>
              </w:rPr>
              <w:t>原料库</w:t>
            </w:r>
            <w:r>
              <w:rPr>
                <w:rFonts w:ascii="宋体" w:hAnsi="宋体" w:eastAsia="宋体" w:cs="宋体"/>
                <w:color w:val="auto"/>
                <w:sz w:val="24"/>
                <w:szCs w:val="24"/>
              </w:rPr>
              <w:t>布置雾炮机，卸料过程中保持连续喷雾降尘。</w:t>
            </w:r>
            <w:r>
              <w:rPr>
                <w:rFonts w:hint="eastAsia" w:ascii="Times New Roman" w:hAnsi="Times New Roman" w:cs="Times New Roman" w:eastAsiaTheme="minorEastAsia"/>
                <w:b w:val="0"/>
                <w:bCs w:val="0"/>
                <w:color w:val="auto"/>
                <w:spacing w:val="0"/>
                <w:sz w:val="24"/>
                <w:szCs w:val="24"/>
                <w:lang w:val="en-US" w:eastAsia="zh-CN"/>
              </w:rPr>
              <w:t>参考《排放源统计调查产排污核算方法和系数手册》303砖瓦、石材等建筑材料制造行业中3039其他建筑材料制造行业系数表，建筑固体废弃物破碎、筛分的末端治理技术中其他（喷淋降尘）对粉尘去除效率为80%，根据《固体物料堆存颗粒物产排污核算系数手册》，密闭空间对粉尘的控制效率为60%，则粉尘的控制效率为1-（1-80%）*（1-60%）=92%，建筑垃圾的卸料、堆存粉尘排放量为1.02t/a，排放速率为0.386kg/h。</w:t>
            </w:r>
          </w:p>
          <w:p>
            <w:pPr>
              <w:pStyle w:val="37"/>
              <w:pageBreakBefore w:val="0"/>
              <w:widowControl w:val="0"/>
              <w:kinsoku/>
              <w:wordWrap/>
              <w:overflowPunct/>
              <w:topLinePunct w:val="0"/>
              <w:autoSpaceDE/>
              <w:autoSpaceDN/>
              <w:bidi w:val="0"/>
              <w:adjustRightInd/>
              <w:snapToGrid/>
              <w:ind w:firstLine="482"/>
              <w:jc w:val="both"/>
              <w:textAlignment w:val="auto"/>
              <w:rPr>
                <w:rFonts w:hint="eastAsia" w:ascii="Times New Roman" w:hAnsi="Times New Roman" w:cs="Times New Roman" w:eastAsiaTheme="minorEastAsia"/>
                <w:b w:val="0"/>
                <w:bCs w:val="0"/>
                <w:color w:val="auto"/>
                <w:spacing w:val="0"/>
                <w:sz w:val="24"/>
                <w:szCs w:val="24"/>
                <w:lang w:val="en-US" w:eastAsia="zh-CN"/>
              </w:rPr>
            </w:pPr>
            <w:r>
              <w:rPr>
                <w:rFonts w:hint="eastAsia" w:ascii="Times New Roman" w:hAnsi="Times New Roman" w:cs="Times New Roman" w:eastAsiaTheme="minorEastAsia"/>
                <w:b w:val="0"/>
                <w:bCs w:val="0"/>
                <w:color w:val="auto"/>
                <w:spacing w:val="0"/>
                <w:sz w:val="24"/>
                <w:szCs w:val="24"/>
                <w:lang w:val="en-US" w:eastAsia="zh-CN"/>
              </w:rPr>
              <w:t>（2）投料废气</w:t>
            </w:r>
          </w:p>
          <w:p>
            <w:pPr>
              <w:pStyle w:val="37"/>
              <w:pageBreakBefore w:val="0"/>
              <w:widowControl w:val="0"/>
              <w:kinsoku/>
              <w:wordWrap/>
              <w:overflowPunct/>
              <w:topLinePunct w:val="0"/>
              <w:autoSpaceDE/>
              <w:autoSpaceDN/>
              <w:bidi w:val="0"/>
              <w:adjustRightInd/>
              <w:snapToGrid/>
              <w:ind w:firstLine="482"/>
              <w:jc w:val="both"/>
              <w:textAlignment w:val="auto"/>
              <w:rPr>
                <w:rFonts w:hint="eastAsia" w:ascii="Times New Roman" w:hAnsi="Times New Roman" w:cs="Times New Roman" w:eastAsiaTheme="minorEastAsia"/>
                <w:b w:val="0"/>
                <w:bCs w:val="0"/>
                <w:color w:val="auto"/>
                <w:spacing w:val="0"/>
                <w:sz w:val="24"/>
                <w:szCs w:val="24"/>
              </w:rPr>
            </w:pPr>
            <w:r>
              <w:rPr>
                <w:rFonts w:hint="eastAsia" w:ascii="Times New Roman" w:hAnsi="Times New Roman" w:cs="Times New Roman" w:eastAsiaTheme="minorEastAsia"/>
                <w:bCs w:val="0"/>
                <w:color w:val="auto"/>
                <w:sz w:val="24"/>
                <w:szCs w:val="24"/>
              </w:rPr>
              <w:t>原料上料时会产生给料粉尘，参照《逸散性工业粉尘控制技术》“表18-1粒料加工厂逸散尘的排放因子”中上料工序中“碎石”的排放因子，碎石的</w:t>
            </w:r>
            <w:r>
              <w:rPr>
                <w:rFonts w:hint="eastAsia" w:ascii="Times New Roman" w:hAnsi="Times New Roman" w:cs="Times New Roman" w:eastAsiaTheme="minorEastAsia"/>
                <w:bCs w:val="0"/>
                <w:color w:val="auto"/>
                <w:sz w:val="24"/>
                <w:szCs w:val="24"/>
                <w:lang w:eastAsia="zh-CN"/>
              </w:rPr>
              <w:t>投料废气</w:t>
            </w:r>
            <w:r>
              <w:rPr>
                <w:rFonts w:hint="eastAsia" w:ascii="Times New Roman" w:hAnsi="Times New Roman" w:cs="Times New Roman" w:eastAsiaTheme="minorEastAsia"/>
                <w:bCs w:val="0"/>
                <w:color w:val="auto"/>
                <w:sz w:val="24"/>
                <w:szCs w:val="24"/>
              </w:rPr>
              <w:t>产尘系数为0.0007kg/t-进料，原料的进料量为50000t/a，则</w:t>
            </w:r>
            <w:r>
              <w:rPr>
                <w:rFonts w:hint="eastAsia" w:ascii="Times New Roman" w:hAnsi="Times New Roman" w:cs="Times New Roman" w:eastAsiaTheme="minorEastAsia"/>
                <w:bCs w:val="0"/>
                <w:color w:val="auto"/>
                <w:sz w:val="24"/>
                <w:szCs w:val="24"/>
                <w:lang w:eastAsia="zh-CN"/>
              </w:rPr>
              <w:t>投料废气</w:t>
            </w:r>
            <w:r>
              <w:rPr>
                <w:rFonts w:hint="eastAsia" w:ascii="Times New Roman" w:hAnsi="Times New Roman" w:cs="Times New Roman" w:eastAsiaTheme="minorEastAsia"/>
                <w:bCs w:val="0"/>
                <w:color w:val="auto"/>
                <w:sz w:val="24"/>
                <w:szCs w:val="24"/>
              </w:rPr>
              <w:t>产生量为0.035t/a，年工作时间按2640h/a计，产生速率为0.013kg/h。本项目在给料口上方设置水喷淋装置喷淋降尘，给料过程中保持连续喷淋，参考《排放源统计调查产排污核算方法和系数手册》303砖瓦、石材等建筑材料制造行业中3039其他建筑材料制造行业系数表，建筑固体废弃物破碎、筛分的末端治理技术中其他（喷淋降尘）对粉尘去除效率为80%，则给料粉尘排放量为</w:t>
            </w:r>
            <w:r>
              <w:rPr>
                <w:rFonts w:hint="eastAsia" w:ascii="Times New Roman" w:hAnsi="Times New Roman" w:cs="Times New Roman" w:eastAsiaTheme="minorEastAsia"/>
                <w:bCs w:val="0"/>
                <w:color w:val="auto"/>
                <w:sz w:val="24"/>
                <w:szCs w:val="24"/>
                <w:lang w:val="en-US" w:eastAsia="zh-CN"/>
              </w:rPr>
              <w:t>0.007</w:t>
            </w:r>
            <w:r>
              <w:rPr>
                <w:rFonts w:hint="eastAsia" w:ascii="Times New Roman" w:hAnsi="Times New Roman" w:cs="Times New Roman" w:eastAsiaTheme="minorEastAsia"/>
                <w:bCs w:val="0"/>
                <w:color w:val="auto"/>
                <w:sz w:val="24"/>
                <w:szCs w:val="24"/>
              </w:rPr>
              <w:t>t/a，排放速率为</w:t>
            </w:r>
            <w:r>
              <w:rPr>
                <w:rFonts w:hint="eastAsia" w:ascii="Times New Roman" w:hAnsi="Times New Roman" w:cs="Times New Roman" w:eastAsiaTheme="minorEastAsia"/>
                <w:bCs w:val="0"/>
                <w:color w:val="auto"/>
                <w:sz w:val="24"/>
                <w:szCs w:val="24"/>
                <w:lang w:val="en-US" w:eastAsia="zh-CN"/>
              </w:rPr>
              <w:t>0.0027</w:t>
            </w:r>
            <w:r>
              <w:rPr>
                <w:rFonts w:hint="eastAsia" w:ascii="Times New Roman" w:hAnsi="Times New Roman" w:cs="Times New Roman" w:eastAsiaTheme="minorEastAsia"/>
                <w:bCs w:val="0"/>
                <w:color w:val="auto"/>
                <w:sz w:val="24"/>
                <w:szCs w:val="24"/>
              </w:rPr>
              <w:t>kg/h。</w:t>
            </w:r>
          </w:p>
          <w:p>
            <w:pPr>
              <w:pStyle w:val="37"/>
              <w:pageBreakBefore w:val="0"/>
              <w:widowControl w:val="0"/>
              <w:kinsoku/>
              <w:wordWrap/>
              <w:overflowPunct/>
              <w:topLinePunct w:val="0"/>
              <w:autoSpaceDE/>
              <w:autoSpaceDN/>
              <w:bidi w:val="0"/>
              <w:adjustRightInd/>
              <w:snapToGrid/>
              <w:ind w:firstLine="482"/>
              <w:jc w:val="both"/>
              <w:textAlignment w:val="auto"/>
              <w:rPr>
                <w:rFonts w:hint="default" w:ascii="Times New Roman" w:hAnsi="Times New Roman" w:cs="Times New Roman" w:eastAsiaTheme="minorEastAsia"/>
                <w:b w:val="0"/>
                <w:bCs w:val="0"/>
                <w:color w:val="auto"/>
                <w:spacing w:val="0"/>
                <w:sz w:val="24"/>
                <w:szCs w:val="24"/>
                <w:lang w:val="en-US" w:eastAsia="zh-CN"/>
              </w:rPr>
            </w:pPr>
            <w:r>
              <w:rPr>
                <w:rFonts w:hint="eastAsia" w:ascii="Times New Roman" w:hAnsi="Times New Roman" w:cs="Times New Roman" w:eastAsiaTheme="minorEastAsia"/>
                <w:b w:val="0"/>
                <w:bCs w:val="0"/>
                <w:color w:val="auto"/>
                <w:spacing w:val="0"/>
                <w:sz w:val="24"/>
                <w:szCs w:val="24"/>
                <w:lang w:val="en-US" w:eastAsia="zh-CN"/>
              </w:rPr>
              <w:t>（3）颚破废气、</w:t>
            </w:r>
            <w:r>
              <w:rPr>
                <w:rFonts w:hint="eastAsia" w:ascii="Times New Roman" w:hAnsi="Times New Roman" w:cs="Times New Roman" w:eastAsiaTheme="minorEastAsia"/>
                <w:bCs w:val="0"/>
                <w:color w:val="auto"/>
                <w:sz w:val="24"/>
                <w:szCs w:val="24"/>
                <w:lang w:eastAsia="zh-CN"/>
              </w:rPr>
              <w:t>渣土筛分废气、风选废气、</w:t>
            </w:r>
            <w:r>
              <w:rPr>
                <w:rFonts w:hint="eastAsia" w:ascii="Times New Roman" w:hAnsi="Times New Roman" w:cs="Times New Roman" w:eastAsiaTheme="minorEastAsia"/>
                <w:bCs w:val="0"/>
                <w:color w:val="auto"/>
                <w:sz w:val="24"/>
                <w:szCs w:val="24"/>
                <w:lang w:val="en-US" w:eastAsia="zh-CN"/>
              </w:rPr>
              <w:t>反击破废气、成品筛分废气</w:t>
            </w:r>
          </w:p>
          <w:p>
            <w:pPr>
              <w:pStyle w:val="37"/>
              <w:pageBreakBefore w:val="0"/>
              <w:widowControl w:val="0"/>
              <w:kinsoku/>
              <w:wordWrap/>
              <w:overflowPunct/>
              <w:topLinePunct w:val="0"/>
              <w:autoSpaceDE/>
              <w:autoSpaceDN/>
              <w:bidi w:val="0"/>
              <w:adjustRightInd/>
              <w:snapToGrid/>
              <w:ind w:firstLine="482"/>
              <w:jc w:val="both"/>
              <w:textAlignment w:val="auto"/>
              <w:rPr>
                <w:rFonts w:hint="default" w:ascii="Times New Roman" w:hAnsi="Times New Roman" w:cs="Times New Roman" w:eastAsiaTheme="minorEastAsia"/>
                <w:bCs w:val="0"/>
                <w:color w:val="auto"/>
                <w:sz w:val="24"/>
                <w:szCs w:val="24"/>
                <w:lang w:val="en-US" w:eastAsia="zh-CN"/>
              </w:rPr>
            </w:pPr>
            <w:r>
              <w:rPr>
                <w:rFonts w:hint="eastAsia" w:ascii="Times New Roman" w:hAnsi="Times New Roman" w:cs="Times New Roman" w:eastAsiaTheme="minorEastAsia"/>
                <w:bCs w:val="0"/>
                <w:color w:val="auto"/>
                <w:sz w:val="24"/>
                <w:szCs w:val="24"/>
                <w:lang w:val="en-US" w:eastAsia="zh-CN"/>
              </w:rPr>
              <w:t>①有组织废气</w:t>
            </w:r>
          </w:p>
          <w:p>
            <w:pPr>
              <w:pStyle w:val="37"/>
              <w:pageBreakBefore w:val="0"/>
              <w:widowControl w:val="0"/>
              <w:kinsoku/>
              <w:wordWrap/>
              <w:overflowPunct/>
              <w:topLinePunct w:val="0"/>
              <w:autoSpaceDE/>
              <w:autoSpaceDN/>
              <w:bidi w:val="0"/>
              <w:adjustRightInd/>
              <w:snapToGrid/>
              <w:ind w:firstLine="482"/>
              <w:jc w:val="both"/>
              <w:textAlignment w:val="auto"/>
              <w:rPr>
                <w:rFonts w:hint="eastAsia" w:ascii="Times New Roman" w:hAnsi="Times New Roman" w:cs="Times New Roman" w:eastAsiaTheme="minorEastAsia"/>
                <w:bCs w:val="0"/>
                <w:color w:val="auto"/>
                <w:sz w:val="24"/>
                <w:szCs w:val="24"/>
                <w:lang w:val="en-US" w:eastAsia="zh-CN"/>
              </w:rPr>
            </w:pPr>
            <w:r>
              <w:rPr>
                <w:rFonts w:hint="eastAsia" w:ascii="Times New Roman" w:hAnsi="Times New Roman" w:cs="Times New Roman" w:eastAsiaTheme="minorEastAsia"/>
                <w:bCs w:val="0"/>
                <w:color w:val="auto"/>
                <w:sz w:val="24"/>
                <w:szCs w:val="24"/>
                <w:lang w:val="en-US" w:eastAsia="zh-CN"/>
              </w:rPr>
              <w:t>a.颚破废气</w:t>
            </w:r>
          </w:p>
          <w:p>
            <w:pPr>
              <w:pStyle w:val="37"/>
              <w:pageBreakBefore w:val="0"/>
              <w:widowControl w:val="0"/>
              <w:kinsoku/>
              <w:wordWrap/>
              <w:overflowPunct/>
              <w:topLinePunct w:val="0"/>
              <w:autoSpaceDE/>
              <w:autoSpaceDN/>
              <w:bidi w:val="0"/>
              <w:adjustRightInd/>
              <w:snapToGrid/>
              <w:ind w:firstLine="482"/>
              <w:jc w:val="both"/>
              <w:textAlignment w:val="auto"/>
              <w:rPr>
                <w:rFonts w:hint="eastAsia" w:ascii="Times New Roman" w:hAnsi="Times New Roman" w:cs="Times New Roman" w:eastAsiaTheme="minorEastAsia"/>
                <w:bCs w:val="0"/>
                <w:color w:val="auto"/>
                <w:sz w:val="24"/>
                <w:szCs w:val="24"/>
              </w:rPr>
            </w:pPr>
            <w:r>
              <w:rPr>
                <w:rFonts w:hint="eastAsia" w:ascii="Times New Roman" w:hAnsi="Times New Roman" w:cs="Times New Roman" w:eastAsiaTheme="minorEastAsia"/>
                <w:bCs w:val="0"/>
                <w:color w:val="auto"/>
                <w:sz w:val="24"/>
                <w:szCs w:val="24"/>
              </w:rPr>
              <w:t>生产过程中原料需要进行一级破碎筛分与二级破碎筛分，采用颚式破碎机一级破碎时，会产生颚破废气。参照《排放源统计调查产排污核算方法和系数手册》303砖瓦、石材等建筑材料制造行业</w:t>
            </w:r>
            <w:r>
              <w:rPr>
                <w:rFonts w:hint="eastAsia" w:ascii="Times New Roman" w:hAnsi="Times New Roman" w:cs="Times New Roman" w:eastAsiaTheme="minorEastAsia"/>
                <w:bCs w:val="0"/>
                <w:color w:val="auto"/>
                <w:sz w:val="24"/>
                <w:szCs w:val="24"/>
              </w:rPr>
              <w:noBreakHyphen/>
            </w:r>
            <w:r>
              <w:rPr>
                <w:rFonts w:hint="eastAsia" w:ascii="Times New Roman" w:hAnsi="Times New Roman" w:cs="Times New Roman" w:eastAsiaTheme="minorEastAsia"/>
                <w:bCs w:val="0"/>
                <w:color w:val="auto"/>
                <w:sz w:val="24"/>
                <w:szCs w:val="24"/>
              </w:rPr>
              <w:t>3039其他建筑材料制造行业，建筑固体废弃物破碎产尘系数取1.89kg/t</w:t>
            </w:r>
            <w:r>
              <w:rPr>
                <w:rFonts w:hint="eastAsia" w:ascii="Times New Roman" w:hAnsi="Times New Roman" w:cs="Times New Roman" w:eastAsiaTheme="minorEastAsia"/>
                <w:bCs w:val="0"/>
                <w:color w:val="auto"/>
                <w:sz w:val="24"/>
                <w:szCs w:val="24"/>
              </w:rPr>
              <w:noBreakHyphen/>
            </w:r>
            <w:r>
              <w:rPr>
                <w:rFonts w:hint="eastAsia" w:ascii="Times New Roman" w:hAnsi="Times New Roman" w:cs="Times New Roman" w:eastAsiaTheme="minorEastAsia"/>
                <w:bCs w:val="0"/>
                <w:color w:val="auto"/>
                <w:sz w:val="24"/>
                <w:szCs w:val="24"/>
              </w:rPr>
              <w:t>产品，本项目年产3.5万吨再生骨料。本项目在颚式破碎机上部给料转运点设置喷雾装置，喷雾加湿物料，从源头削减粉尘产生。颚破废气经密闭集气罩收集通过布袋除尘器处理后由20m高排气筒（DA001）有组织排放。收集效率按90%计，风机风量为70000m</w:t>
            </w:r>
            <w:r>
              <w:rPr>
                <w:rFonts w:hint="eastAsia" w:ascii="Times New Roman" w:hAnsi="Times New Roman" w:cs="Times New Roman" w:eastAsiaTheme="minorEastAsia"/>
                <w:bCs w:val="0"/>
                <w:color w:val="auto"/>
                <w:sz w:val="24"/>
                <w:szCs w:val="24"/>
                <w:vertAlign w:val="superscript"/>
                <w:lang w:val="en-US" w:eastAsia="zh-CN"/>
              </w:rPr>
              <w:t>3</w:t>
            </w:r>
            <w:r>
              <w:rPr>
                <w:rFonts w:hint="eastAsia" w:ascii="Times New Roman" w:hAnsi="Times New Roman" w:cs="Times New Roman" w:eastAsiaTheme="minorEastAsia"/>
                <w:bCs w:val="0"/>
                <w:color w:val="auto"/>
                <w:sz w:val="24"/>
                <w:szCs w:val="24"/>
              </w:rPr>
              <w:t>/h，布袋除尘器处理效率为98%。颚破工序总粉尘产生量66.15t/a</w:t>
            </w:r>
            <w:r>
              <w:rPr>
                <w:rFonts w:hint="eastAsia" w:ascii="Times New Roman" w:hAnsi="Times New Roman" w:cs="Times New Roman" w:eastAsiaTheme="minorEastAsia"/>
                <w:bCs w:val="0"/>
                <w:color w:val="auto"/>
                <w:sz w:val="24"/>
                <w:szCs w:val="24"/>
                <w:lang w:eastAsia="zh-CN"/>
              </w:rPr>
              <w:t>；</w:t>
            </w:r>
            <w:r>
              <w:rPr>
                <w:rFonts w:hint="eastAsia" w:ascii="Times New Roman" w:hAnsi="Times New Roman" w:cs="Times New Roman" w:eastAsiaTheme="minorEastAsia"/>
                <w:bCs w:val="0"/>
                <w:color w:val="auto"/>
                <w:sz w:val="24"/>
                <w:szCs w:val="24"/>
              </w:rPr>
              <w:t>有组织</w:t>
            </w:r>
            <w:r>
              <w:rPr>
                <w:rFonts w:hint="eastAsia" w:ascii="Times New Roman" w:hAnsi="Times New Roman" w:cs="Times New Roman" w:eastAsiaTheme="minorEastAsia"/>
                <w:bCs w:val="0"/>
                <w:color w:val="auto"/>
                <w:sz w:val="24"/>
                <w:szCs w:val="24"/>
                <w:lang w:val="en-US" w:eastAsia="zh-CN"/>
              </w:rPr>
              <w:t>颗粒物</w:t>
            </w:r>
            <w:r>
              <w:rPr>
                <w:rFonts w:hint="eastAsia" w:ascii="Times New Roman" w:hAnsi="Times New Roman" w:cs="Times New Roman" w:eastAsiaTheme="minorEastAsia"/>
                <w:bCs w:val="0"/>
                <w:color w:val="auto"/>
                <w:sz w:val="24"/>
                <w:szCs w:val="24"/>
              </w:rPr>
              <w:t>产生量59.535t/a，产生速率22.55kg/h</w:t>
            </w:r>
            <w:r>
              <w:rPr>
                <w:rFonts w:hint="eastAsia" w:ascii="Times New Roman" w:hAnsi="Times New Roman" w:cs="Times New Roman" w:eastAsiaTheme="minorEastAsia"/>
                <w:bCs w:val="0"/>
                <w:color w:val="auto"/>
                <w:sz w:val="24"/>
                <w:szCs w:val="24"/>
                <w:lang w:eastAsia="zh-CN"/>
              </w:rPr>
              <w:t>。</w:t>
            </w:r>
            <w:r>
              <w:rPr>
                <w:rFonts w:hint="eastAsia" w:ascii="Times New Roman" w:hAnsi="Times New Roman" w:cs="Times New Roman" w:eastAsiaTheme="minorEastAsia"/>
                <w:bCs w:val="0"/>
                <w:color w:val="auto"/>
                <w:sz w:val="24"/>
                <w:szCs w:val="24"/>
              </w:rPr>
              <w:t>无组织（车间内沉降）产生量：6.615t/a，产生速率2.506kg/h。</w:t>
            </w:r>
          </w:p>
          <w:p>
            <w:pPr>
              <w:pStyle w:val="37"/>
              <w:pageBreakBefore w:val="0"/>
              <w:widowControl w:val="0"/>
              <w:kinsoku/>
              <w:wordWrap/>
              <w:overflowPunct/>
              <w:topLinePunct w:val="0"/>
              <w:autoSpaceDE/>
              <w:autoSpaceDN/>
              <w:bidi w:val="0"/>
              <w:adjustRightInd/>
              <w:snapToGrid/>
              <w:ind w:firstLine="482"/>
              <w:jc w:val="both"/>
              <w:textAlignment w:val="auto"/>
              <w:rPr>
                <w:rFonts w:hint="eastAsia" w:ascii="Times New Roman" w:hAnsi="Times New Roman" w:cs="Times New Roman" w:eastAsiaTheme="minorEastAsia"/>
                <w:bCs w:val="0"/>
                <w:color w:val="auto"/>
                <w:sz w:val="24"/>
                <w:szCs w:val="24"/>
                <w:lang w:eastAsia="zh-CN"/>
              </w:rPr>
            </w:pPr>
            <w:r>
              <w:rPr>
                <w:rFonts w:hint="eastAsia" w:ascii="Times New Roman" w:hAnsi="Times New Roman" w:cs="Times New Roman" w:eastAsiaTheme="minorEastAsia"/>
                <w:bCs w:val="0"/>
                <w:color w:val="auto"/>
                <w:sz w:val="24"/>
                <w:szCs w:val="24"/>
                <w:lang w:val="en-US" w:eastAsia="zh-CN"/>
              </w:rPr>
              <w:t>b.</w:t>
            </w:r>
            <w:r>
              <w:rPr>
                <w:rFonts w:hint="eastAsia" w:ascii="Times New Roman" w:hAnsi="Times New Roman" w:cs="Times New Roman" w:eastAsiaTheme="minorEastAsia"/>
                <w:bCs w:val="0"/>
                <w:color w:val="auto"/>
                <w:sz w:val="24"/>
                <w:szCs w:val="24"/>
                <w:lang w:eastAsia="zh-CN"/>
              </w:rPr>
              <w:t>渣土筛分废气</w:t>
            </w:r>
          </w:p>
          <w:p>
            <w:pPr>
              <w:pStyle w:val="37"/>
              <w:pageBreakBefore w:val="0"/>
              <w:widowControl w:val="0"/>
              <w:kinsoku/>
              <w:wordWrap/>
              <w:overflowPunct/>
              <w:topLinePunct w:val="0"/>
              <w:autoSpaceDE/>
              <w:autoSpaceDN/>
              <w:bidi w:val="0"/>
              <w:adjustRightInd/>
              <w:snapToGrid/>
              <w:ind w:firstLine="482"/>
              <w:jc w:val="both"/>
              <w:textAlignment w:val="auto"/>
              <w:rPr>
                <w:rFonts w:hint="eastAsia" w:ascii="Times New Roman" w:hAnsi="Times New Roman" w:cs="Times New Roman" w:eastAsiaTheme="minorEastAsia"/>
                <w:bCs w:val="0"/>
                <w:color w:val="auto"/>
                <w:sz w:val="24"/>
                <w:szCs w:val="24"/>
                <w:lang w:eastAsia="zh-CN"/>
              </w:rPr>
            </w:pPr>
            <w:r>
              <w:rPr>
                <w:rFonts w:hint="eastAsia" w:ascii="Times New Roman" w:hAnsi="Times New Roman" w:cs="Times New Roman" w:eastAsiaTheme="minorEastAsia"/>
                <w:bCs w:val="0"/>
                <w:color w:val="auto"/>
                <w:sz w:val="24"/>
                <w:szCs w:val="24"/>
              </w:rPr>
              <w:t>渣土筛分为一级筛分，会产生渣土筛分废气。参照《排放源统计调查产排污核算方法和系数手册》303砖瓦、石材等建筑材料制造行业</w:t>
            </w:r>
            <w:r>
              <w:rPr>
                <w:rFonts w:hint="eastAsia" w:ascii="Times New Roman" w:hAnsi="Times New Roman" w:cs="Times New Roman" w:eastAsiaTheme="minorEastAsia"/>
                <w:bCs w:val="0"/>
                <w:color w:val="auto"/>
                <w:sz w:val="24"/>
                <w:szCs w:val="24"/>
              </w:rPr>
              <w:noBreakHyphen/>
            </w:r>
            <w:r>
              <w:rPr>
                <w:rFonts w:hint="eastAsia" w:ascii="Times New Roman" w:hAnsi="Times New Roman" w:cs="Times New Roman" w:eastAsiaTheme="minorEastAsia"/>
                <w:bCs w:val="0"/>
                <w:color w:val="auto"/>
                <w:sz w:val="24"/>
                <w:szCs w:val="24"/>
              </w:rPr>
              <w:t>3039其他建筑材料制造行业，建筑固废筛分工序产尘系数1.89kg/t</w:t>
            </w:r>
            <w:r>
              <w:rPr>
                <w:rFonts w:hint="eastAsia" w:ascii="Times New Roman" w:hAnsi="Times New Roman" w:cs="Times New Roman" w:eastAsiaTheme="minorEastAsia"/>
                <w:bCs w:val="0"/>
                <w:color w:val="auto"/>
                <w:sz w:val="24"/>
                <w:szCs w:val="24"/>
              </w:rPr>
              <w:noBreakHyphen/>
            </w:r>
            <w:r>
              <w:rPr>
                <w:rFonts w:hint="eastAsia" w:ascii="Times New Roman" w:hAnsi="Times New Roman" w:cs="Times New Roman" w:eastAsiaTheme="minorEastAsia"/>
                <w:bCs w:val="0"/>
                <w:color w:val="auto"/>
                <w:sz w:val="24"/>
                <w:szCs w:val="24"/>
              </w:rPr>
              <w:t>产品，年产再生骨料3.5万t；筛分工序落料点设置喷雾加湿抑尘。渣土筛分废气经密闭集气罩收集通过布袋除尘器处理后由20m高排气筒（DA001）有组织排放，收集效率90%，布袋除尘效率98%。筛分工序总粉尘产生量66.15t/a；有组织产生量59.535t/a，产生速率22.55kg/h；有组织排放量1.191t/a；无组织（车间内沉降）产生量6.615t/a，产生速率2.506kg/h。</w:t>
            </w:r>
          </w:p>
          <w:p>
            <w:pPr>
              <w:pStyle w:val="37"/>
              <w:adjustRightInd/>
              <w:snapToGrid/>
              <w:ind w:firstLine="480"/>
              <w:jc w:val="both"/>
              <w:rPr>
                <w:rFonts w:hint="eastAsia" w:ascii="Times New Roman" w:hAnsi="Times New Roman" w:cs="Times New Roman" w:eastAsiaTheme="minorEastAsia"/>
                <w:bCs w:val="0"/>
                <w:color w:val="auto"/>
                <w:sz w:val="24"/>
                <w:szCs w:val="24"/>
                <w:lang w:eastAsia="zh-CN"/>
              </w:rPr>
            </w:pPr>
            <w:r>
              <w:rPr>
                <w:rFonts w:hint="eastAsia" w:ascii="Times New Roman" w:hAnsi="Times New Roman" w:cs="Times New Roman" w:eastAsiaTheme="minorEastAsia"/>
                <w:bCs w:val="0"/>
                <w:color w:val="auto"/>
                <w:sz w:val="24"/>
                <w:szCs w:val="24"/>
                <w:lang w:val="en-US" w:eastAsia="zh-CN"/>
              </w:rPr>
              <w:t>c.</w:t>
            </w:r>
            <w:r>
              <w:rPr>
                <w:rFonts w:hint="eastAsia" w:ascii="Times New Roman" w:hAnsi="Times New Roman" w:cs="Times New Roman" w:eastAsiaTheme="minorEastAsia"/>
                <w:bCs w:val="0"/>
                <w:color w:val="auto"/>
                <w:sz w:val="24"/>
                <w:szCs w:val="24"/>
                <w:lang w:eastAsia="zh-CN"/>
              </w:rPr>
              <w:t>风选废气</w:t>
            </w:r>
          </w:p>
          <w:p>
            <w:pPr>
              <w:pStyle w:val="37"/>
              <w:adjustRightInd/>
              <w:snapToGrid/>
              <w:ind w:firstLine="480"/>
              <w:jc w:val="both"/>
              <w:rPr>
                <w:rFonts w:hint="eastAsia" w:ascii="Times New Roman" w:hAnsi="Times New Roman" w:cs="Times New Roman" w:eastAsiaTheme="minorEastAsia"/>
                <w:bCs w:val="0"/>
                <w:color w:val="auto"/>
                <w:sz w:val="24"/>
                <w:szCs w:val="24"/>
              </w:rPr>
            </w:pPr>
            <w:r>
              <w:rPr>
                <w:rFonts w:hint="eastAsia" w:ascii="Times New Roman" w:hAnsi="Times New Roman" w:cs="Times New Roman" w:eastAsiaTheme="minorEastAsia"/>
                <w:bCs w:val="0"/>
                <w:color w:val="auto"/>
                <w:sz w:val="24"/>
                <w:szCs w:val="24"/>
              </w:rPr>
              <w:t>渣土筛分后物料需经过风选筛分出轻物质，会产生</w:t>
            </w:r>
            <w:r>
              <w:rPr>
                <w:rFonts w:hint="eastAsia" w:ascii="Times New Roman" w:hAnsi="Times New Roman" w:cs="Times New Roman" w:eastAsiaTheme="minorEastAsia"/>
                <w:bCs w:val="0"/>
                <w:color w:val="auto"/>
                <w:sz w:val="24"/>
                <w:szCs w:val="24"/>
                <w:lang w:eastAsia="zh-CN"/>
              </w:rPr>
              <w:t>风选废气</w:t>
            </w:r>
            <w:r>
              <w:rPr>
                <w:rFonts w:hint="eastAsia" w:ascii="Times New Roman" w:hAnsi="Times New Roman" w:cs="Times New Roman" w:eastAsiaTheme="minorEastAsia"/>
                <w:bCs w:val="0"/>
                <w:color w:val="auto"/>
                <w:sz w:val="24"/>
                <w:szCs w:val="24"/>
              </w:rPr>
              <w:t>，采用国内同类建筑垃圾资源化项目类比源强，风选工序颗粒物产生量为6.20t/a。风选废气经密闭集气罩收集通过布袋除尘器处理后由20m排气筒（DA001）排放，则有组织粉尘产生量为5.58t/a，产生速率为2.114kg/h。有组织粉尘排放量为0.1116t/a。无组织粉尘在密闭车间内自然沉降，产生量为0.62t/a，产生速率为0.235kg/h。</w:t>
            </w:r>
          </w:p>
          <w:p>
            <w:pPr>
              <w:pStyle w:val="37"/>
              <w:adjustRightInd/>
              <w:snapToGrid/>
              <w:ind w:firstLine="480"/>
              <w:jc w:val="both"/>
              <w:rPr>
                <w:rFonts w:hint="eastAsia" w:ascii="Times New Roman" w:hAnsi="Times New Roman" w:cs="Times New Roman" w:eastAsiaTheme="minorEastAsia"/>
                <w:bCs w:val="0"/>
                <w:color w:val="auto"/>
                <w:sz w:val="24"/>
                <w:szCs w:val="24"/>
                <w:lang w:val="en-US" w:eastAsia="zh-CN"/>
              </w:rPr>
            </w:pPr>
            <w:r>
              <w:rPr>
                <w:rFonts w:hint="eastAsia" w:ascii="Times New Roman" w:hAnsi="Times New Roman" w:cs="Times New Roman" w:eastAsiaTheme="minorEastAsia"/>
                <w:bCs w:val="0"/>
                <w:color w:val="auto"/>
                <w:sz w:val="24"/>
                <w:szCs w:val="24"/>
                <w:lang w:val="en-US" w:eastAsia="zh-CN"/>
              </w:rPr>
              <w:t>d.反击破废气</w:t>
            </w:r>
          </w:p>
          <w:p>
            <w:pPr>
              <w:pStyle w:val="37"/>
              <w:adjustRightInd/>
              <w:snapToGrid/>
              <w:ind w:firstLine="480"/>
              <w:jc w:val="both"/>
              <w:rPr>
                <w:rFonts w:hint="eastAsia" w:ascii="Times New Roman" w:hAnsi="Times New Roman" w:cs="Times New Roman" w:eastAsiaTheme="minorEastAsia"/>
                <w:bCs w:val="0"/>
                <w:color w:val="auto"/>
                <w:sz w:val="24"/>
                <w:szCs w:val="24"/>
                <w:lang w:val="en-US" w:eastAsia="zh-CN"/>
              </w:rPr>
            </w:pPr>
            <w:r>
              <w:rPr>
                <w:rFonts w:hint="eastAsia" w:ascii="Times New Roman" w:hAnsi="Times New Roman" w:cs="Times New Roman" w:eastAsiaTheme="minorEastAsia"/>
                <w:bCs w:val="0"/>
                <w:color w:val="auto"/>
                <w:sz w:val="24"/>
                <w:szCs w:val="24"/>
                <w:lang w:val="en-US" w:eastAsia="zh-CN"/>
              </w:rPr>
              <w:t>反击破为二级破碎筛分，参照3039其他建筑材料制造行业破碎产尘系数1.89kg/t</w:t>
            </w:r>
            <w:r>
              <w:rPr>
                <w:rFonts w:hint="eastAsia" w:ascii="Times New Roman" w:hAnsi="Times New Roman" w:cs="Times New Roman" w:eastAsiaTheme="minorEastAsia"/>
                <w:bCs w:val="0"/>
                <w:color w:val="auto"/>
                <w:sz w:val="24"/>
                <w:szCs w:val="24"/>
                <w:lang w:val="en-US" w:eastAsia="zh-CN"/>
              </w:rPr>
              <w:noBreakHyphen/>
            </w:r>
            <w:r>
              <w:rPr>
                <w:rFonts w:hint="eastAsia" w:ascii="Times New Roman" w:hAnsi="Times New Roman" w:cs="Times New Roman" w:eastAsiaTheme="minorEastAsia"/>
                <w:bCs w:val="0"/>
                <w:color w:val="auto"/>
                <w:sz w:val="24"/>
                <w:szCs w:val="24"/>
                <w:lang w:val="en-US" w:eastAsia="zh-CN"/>
              </w:rPr>
              <w:t>产品，年产再生骨料3.5万t；反击破碎机上部给料转运点设置喷雾装置加湿抑尘。反击破废气经密闭罩收集通过布袋除尘器处理后由20m排气筒（DA001）排放，收集效率90%，布袋除尘效率98%。反击破碎工序总粉尘产生量66.15t/a；有组织产生量59.535t/a，产生速率22.55kg/h；无组织（车间内沉降）产生量6.615t/a，产生速率2.506kg/h。</w:t>
            </w:r>
          </w:p>
          <w:p>
            <w:pPr>
              <w:pStyle w:val="37"/>
              <w:adjustRightInd/>
              <w:snapToGrid/>
              <w:ind w:firstLine="480"/>
              <w:jc w:val="both"/>
              <w:rPr>
                <w:rFonts w:hint="eastAsia" w:ascii="Times New Roman" w:hAnsi="Times New Roman" w:cs="Times New Roman" w:eastAsiaTheme="minorEastAsia"/>
                <w:bCs w:val="0"/>
                <w:color w:val="auto"/>
                <w:sz w:val="24"/>
                <w:szCs w:val="24"/>
                <w:lang w:eastAsia="zh-CN"/>
              </w:rPr>
            </w:pPr>
            <w:r>
              <w:rPr>
                <w:rFonts w:hint="eastAsia" w:ascii="Times New Roman" w:hAnsi="Times New Roman" w:cs="Times New Roman" w:eastAsiaTheme="minorEastAsia"/>
                <w:bCs w:val="0"/>
                <w:color w:val="auto"/>
                <w:sz w:val="24"/>
                <w:szCs w:val="24"/>
                <w:lang w:val="en-US" w:eastAsia="zh-CN"/>
              </w:rPr>
              <w:t>e.</w:t>
            </w:r>
            <w:r>
              <w:rPr>
                <w:rFonts w:hint="eastAsia" w:ascii="Times New Roman" w:hAnsi="Times New Roman" w:cs="Times New Roman" w:eastAsiaTheme="minorEastAsia"/>
                <w:bCs w:val="0"/>
                <w:color w:val="auto"/>
                <w:sz w:val="24"/>
                <w:szCs w:val="24"/>
                <w:lang w:eastAsia="zh-CN"/>
              </w:rPr>
              <w:t>成品筛分废气</w:t>
            </w:r>
          </w:p>
          <w:p>
            <w:pPr>
              <w:pStyle w:val="37"/>
              <w:pageBreakBefore w:val="0"/>
              <w:widowControl w:val="0"/>
              <w:kinsoku/>
              <w:wordWrap/>
              <w:overflowPunct/>
              <w:topLinePunct w:val="0"/>
              <w:autoSpaceDE/>
              <w:autoSpaceDN/>
              <w:bidi w:val="0"/>
              <w:adjustRightInd/>
              <w:snapToGrid/>
              <w:ind w:firstLine="482"/>
              <w:jc w:val="both"/>
              <w:textAlignment w:val="auto"/>
              <w:rPr>
                <w:rFonts w:hint="eastAsia" w:ascii="Times New Roman" w:hAnsi="Times New Roman" w:cs="Times New Roman" w:eastAsiaTheme="minorEastAsia"/>
                <w:bCs w:val="0"/>
                <w:color w:val="auto"/>
                <w:sz w:val="24"/>
                <w:szCs w:val="24"/>
                <w:lang w:val="en-US" w:eastAsia="zh-CN"/>
              </w:rPr>
            </w:pPr>
            <w:r>
              <w:rPr>
                <w:rFonts w:hint="eastAsia" w:ascii="Times New Roman" w:hAnsi="Times New Roman" w:cs="Times New Roman" w:eastAsiaTheme="minorEastAsia"/>
                <w:bCs w:val="0"/>
                <w:color w:val="auto"/>
                <w:sz w:val="24"/>
                <w:szCs w:val="24"/>
              </w:rPr>
              <w:t>成品筛分为二级筛分，参照3039其他建筑材料制造行业筛分工序产尘系数1.89kg/t</w:t>
            </w:r>
            <w:r>
              <w:rPr>
                <w:rFonts w:hint="eastAsia" w:ascii="Times New Roman" w:hAnsi="Times New Roman" w:cs="Times New Roman" w:eastAsiaTheme="minorEastAsia"/>
                <w:bCs w:val="0"/>
                <w:color w:val="auto"/>
                <w:sz w:val="24"/>
                <w:szCs w:val="24"/>
              </w:rPr>
              <w:noBreakHyphen/>
            </w:r>
            <w:r>
              <w:rPr>
                <w:rFonts w:hint="eastAsia" w:ascii="Times New Roman" w:hAnsi="Times New Roman" w:cs="Times New Roman" w:eastAsiaTheme="minorEastAsia"/>
                <w:bCs w:val="0"/>
                <w:color w:val="auto"/>
                <w:sz w:val="24"/>
                <w:szCs w:val="24"/>
              </w:rPr>
              <w:t>产品，年产再生骨料3.5万t；成品筛落料皮带受料点设置喷雾装置加湿抑尘。成品筛分废气经密闭集气罩收集通过布袋除尘器处理后由20m高排气筒（DA001）有组织排放，收集效率90%，布袋除尘效率98%。成品筛分工序总粉尘产生量66.15t/a；有组织产生量59.535t/a，产生速率22.55kg/h；无组织（车间内沉降）产生量6.615t/a，产生速率2.506kg/h。</w:t>
            </w:r>
          </w:p>
          <w:p>
            <w:pPr>
              <w:pStyle w:val="37"/>
              <w:pageBreakBefore w:val="0"/>
              <w:widowControl w:val="0"/>
              <w:kinsoku/>
              <w:wordWrap/>
              <w:overflowPunct/>
              <w:topLinePunct w:val="0"/>
              <w:autoSpaceDE/>
              <w:autoSpaceDN/>
              <w:bidi w:val="0"/>
              <w:adjustRightInd/>
              <w:snapToGrid/>
              <w:ind w:firstLine="482"/>
              <w:jc w:val="both"/>
              <w:textAlignment w:val="auto"/>
              <w:rPr>
                <w:rFonts w:hint="eastAsia" w:ascii="Times New Roman" w:hAnsi="Times New Roman" w:cs="Times New Roman" w:eastAsiaTheme="minorEastAsia"/>
                <w:bCs w:val="0"/>
                <w:color w:val="auto"/>
                <w:sz w:val="24"/>
                <w:szCs w:val="24"/>
              </w:rPr>
            </w:pPr>
            <w:r>
              <w:rPr>
                <w:rFonts w:hint="eastAsia" w:ascii="Times New Roman" w:hAnsi="Times New Roman" w:cs="Times New Roman" w:eastAsiaTheme="minorEastAsia"/>
                <w:bCs w:val="0"/>
                <w:color w:val="auto"/>
                <w:sz w:val="24"/>
                <w:szCs w:val="24"/>
              </w:rPr>
              <w:t>颚破废气、渣土筛分废气、风选废气、反击破废气、成品筛分废气经各自集气罩收集后一并进入布袋除尘器处理，再经1根20m高排气筒（DA001）排放；</w:t>
            </w:r>
          </w:p>
          <w:p>
            <w:pPr>
              <w:pStyle w:val="37"/>
              <w:pageBreakBefore w:val="0"/>
              <w:widowControl w:val="0"/>
              <w:kinsoku/>
              <w:wordWrap/>
              <w:overflowPunct/>
              <w:topLinePunct w:val="0"/>
              <w:autoSpaceDE/>
              <w:autoSpaceDN/>
              <w:bidi w:val="0"/>
              <w:adjustRightInd/>
              <w:snapToGrid/>
              <w:ind w:firstLine="482"/>
              <w:jc w:val="both"/>
              <w:textAlignment w:val="auto"/>
              <w:rPr>
                <w:rFonts w:hint="default" w:ascii="Times New Roman" w:hAnsi="Times New Roman" w:cs="Times New Roman" w:eastAsiaTheme="minorEastAsia"/>
                <w:bCs w:val="0"/>
                <w:color w:val="auto"/>
                <w:sz w:val="24"/>
                <w:szCs w:val="24"/>
                <w:lang w:val="en-US" w:eastAsia="zh-CN"/>
              </w:rPr>
            </w:pPr>
            <w:r>
              <w:rPr>
                <w:rFonts w:hint="eastAsia" w:ascii="Times New Roman" w:hAnsi="Times New Roman" w:cs="Times New Roman" w:eastAsiaTheme="minorEastAsia"/>
                <w:bCs w:val="0"/>
                <w:color w:val="auto"/>
                <w:sz w:val="24"/>
                <w:szCs w:val="24"/>
              </w:rPr>
              <w:t>合计有组织颗粒物产生量243.72t/a；合计有组织颗粒物排放量：4.87</w:t>
            </w:r>
            <w:r>
              <w:rPr>
                <w:rFonts w:hint="eastAsia" w:ascii="Times New Roman" w:hAnsi="Times New Roman" w:cs="Times New Roman" w:eastAsiaTheme="minorEastAsia"/>
                <w:bCs w:val="0"/>
                <w:color w:val="auto"/>
                <w:sz w:val="24"/>
                <w:szCs w:val="24"/>
                <w:lang w:val="en-US" w:eastAsia="zh-CN"/>
              </w:rPr>
              <w:t>4</w:t>
            </w:r>
            <w:r>
              <w:rPr>
                <w:rFonts w:hint="eastAsia" w:ascii="Times New Roman" w:hAnsi="Times New Roman" w:cs="Times New Roman" w:eastAsiaTheme="minorEastAsia"/>
                <w:bCs w:val="0"/>
                <w:color w:val="auto"/>
                <w:sz w:val="24"/>
                <w:szCs w:val="24"/>
              </w:rPr>
              <w:t>t/a；DA001排气筒风机风量70000m</w:t>
            </w:r>
            <w:r>
              <w:rPr>
                <w:rFonts w:hint="eastAsia" w:ascii="Times New Roman" w:hAnsi="Times New Roman" w:cs="Times New Roman" w:eastAsiaTheme="minorEastAsia"/>
                <w:bCs w:val="0"/>
                <w:color w:val="auto"/>
                <w:sz w:val="24"/>
                <w:szCs w:val="24"/>
                <w:vertAlign w:val="superscript"/>
                <w:lang w:val="en-US" w:eastAsia="zh-CN"/>
              </w:rPr>
              <w:t>3</w:t>
            </w:r>
            <w:r>
              <w:rPr>
                <w:rFonts w:hint="eastAsia" w:ascii="Times New Roman" w:hAnsi="Times New Roman" w:cs="Times New Roman" w:eastAsiaTheme="minorEastAsia"/>
                <w:bCs w:val="0"/>
                <w:color w:val="auto"/>
                <w:sz w:val="24"/>
                <w:szCs w:val="24"/>
              </w:rPr>
              <w:t>/h，年运行2640h；排放速率1.84</w:t>
            </w:r>
            <w:r>
              <w:rPr>
                <w:rFonts w:hint="eastAsia" w:ascii="Times New Roman" w:hAnsi="Times New Roman" w:cs="Times New Roman" w:eastAsiaTheme="minorEastAsia"/>
                <w:bCs w:val="0"/>
                <w:color w:val="auto"/>
                <w:sz w:val="24"/>
                <w:szCs w:val="24"/>
                <w:lang w:val="en-US" w:eastAsia="zh-CN"/>
              </w:rPr>
              <w:t>6</w:t>
            </w:r>
            <w:r>
              <w:rPr>
                <w:rFonts w:hint="eastAsia" w:ascii="Times New Roman" w:hAnsi="Times New Roman" w:cs="Times New Roman" w:eastAsiaTheme="minorEastAsia"/>
                <w:bCs w:val="0"/>
                <w:color w:val="auto"/>
                <w:sz w:val="24"/>
                <w:szCs w:val="24"/>
              </w:rPr>
              <w:t>kg/h；排放浓度26.</w:t>
            </w:r>
            <w:r>
              <w:rPr>
                <w:rFonts w:hint="eastAsia" w:ascii="Times New Roman" w:hAnsi="Times New Roman" w:cs="Times New Roman" w:eastAsiaTheme="minorEastAsia"/>
                <w:bCs w:val="0"/>
                <w:color w:val="auto"/>
                <w:sz w:val="24"/>
                <w:szCs w:val="24"/>
                <w:lang w:val="en-US" w:eastAsia="zh-CN"/>
              </w:rPr>
              <w:t>4</w:t>
            </w:r>
            <w:r>
              <w:rPr>
                <w:rFonts w:hint="eastAsia" w:ascii="Times New Roman" w:hAnsi="Times New Roman" w:cs="Times New Roman" w:eastAsiaTheme="minorEastAsia"/>
                <w:bCs w:val="0"/>
                <w:color w:val="auto"/>
                <w:sz w:val="24"/>
                <w:szCs w:val="24"/>
              </w:rPr>
              <w:t>mg/m</w:t>
            </w:r>
            <w:r>
              <w:rPr>
                <w:rFonts w:hint="eastAsia" w:ascii="Times New Roman" w:hAnsi="Times New Roman" w:cs="Times New Roman" w:eastAsiaTheme="minorEastAsia"/>
                <w:bCs w:val="0"/>
                <w:color w:val="auto"/>
                <w:sz w:val="24"/>
                <w:szCs w:val="24"/>
                <w:vertAlign w:val="superscript"/>
                <w:lang w:val="en-US" w:eastAsia="zh-CN"/>
              </w:rPr>
              <w:t>3</w:t>
            </w:r>
            <w:r>
              <w:rPr>
                <w:rFonts w:hint="eastAsia" w:ascii="Times New Roman" w:hAnsi="Times New Roman" w:cs="Times New Roman" w:eastAsiaTheme="minorEastAsia"/>
                <w:bCs w:val="0"/>
                <w:color w:val="auto"/>
                <w:sz w:val="24"/>
                <w:szCs w:val="24"/>
              </w:rPr>
              <w:t>，满足《大气污染物综合排放标准》（GB16297</w:t>
            </w:r>
            <w:r>
              <w:rPr>
                <w:rFonts w:hint="eastAsia" w:ascii="Times New Roman" w:hAnsi="Times New Roman" w:cs="Times New Roman" w:eastAsiaTheme="minorEastAsia"/>
                <w:bCs w:val="0"/>
                <w:color w:val="auto"/>
                <w:sz w:val="24"/>
                <w:szCs w:val="24"/>
              </w:rPr>
              <w:noBreakHyphen/>
            </w:r>
            <w:r>
              <w:rPr>
                <w:rFonts w:hint="eastAsia" w:ascii="Times New Roman" w:hAnsi="Times New Roman" w:cs="Times New Roman" w:eastAsiaTheme="minorEastAsia"/>
                <w:bCs w:val="0"/>
                <w:color w:val="auto"/>
                <w:sz w:val="24"/>
                <w:szCs w:val="24"/>
              </w:rPr>
              <w:t>1996）表2二级标准。</w:t>
            </w:r>
          </w:p>
          <w:p>
            <w:pPr>
              <w:pStyle w:val="37"/>
              <w:pageBreakBefore w:val="0"/>
              <w:widowControl w:val="0"/>
              <w:kinsoku/>
              <w:wordWrap/>
              <w:overflowPunct/>
              <w:topLinePunct w:val="0"/>
              <w:autoSpaceDE/>
              <w:autoSpaceDN/>
              <w:bidi w:val="0"/>
              <w:adjustRightInd/>
              <w:snapToGrid/>
              <w:ind w:firstLine="482"/>
              <w:jc w:val="both"/>
              <w:textAlignment w:val="auto"/>
              <w:rPr>
                <w:rFonts w:hint="default" w:ascii="Times New Roman" w:hAnsi="Times New Roman" w:cs="Times New Roman" w:eastAsiaTheme="minorEastAsia"/>
                <w:b w:val="0"/>
                <w:bCs w:val="0"/>
                <w:color w:val="auto"/>
                <w:spacing w:val="0"/>
                <w:sz w:val="24"/>
                <w:szCs w:val="24"/>
                <w:lang w:val="en-US" w:eastAsia="zh-CN"/>
              </w:rPr>
            </w:pPr>
            <w:r>
              <w:rPr>
                <w:rFonts w:hint="eastAsia" w:ascii="Times New Roman" w:hAnsi="Times New Roman" w:cs="Times New Roman" w:eastAsiaTheme="minorEastAsia"/>
                <w:b w:val="0"/>
                <w:bCs w:val="0"/>
                <w:color w:val="auto"/>
                <w:spacing w:val="0"/>
                <w:sz w:val="24"/>
                <w:szCs w:val="24"/>
                <w:lang w:val="en-US" w:eastAsia="zh-CN"/>
              </w:rPr>
              <w:t>②无组织废气</w:t>
            </w:r>
          </w:p>
          <w:p>
            <w:pPr>
              <w:pStyle w:val="37"/>
              <w:pageBreakBefore w:val="0"/>
              <w:widowControl w:val="0"/>
              <w:kinsoku/>
              <w:wordWrap/>
              <w:overflowPunct/>
              <w:topLinePunct w:val="0"/>
              <w:autoSpaceDE/>
              <w:autoSpaceDN/>
              <w:bidi w:val="0"/>
              <w:adjustRightInd/>
              <w:snapToGrid/>
              <w:ind w:firstLine="482"/>
              <w:jc w:val="both"/>
              <w:textAlignment w:val="auto"/>
              <w:rPr>
                <w:rFonts w:hint="eastAsia" w:ascii="Times New Roman" w:hAnsi="Times New Roman" w:cs="Times New Roman" w:eastAsiaTheme="minorEastAsia"/>
                <w:b w:val="0"/>
                <w:bCs w:val="0"/>
                <w:color w:val="auto"/>
                <w:spacing w:val="0"/>
                <w:sz w:val="24"/>
                <w:szCs w:val="24"/>
                <w:lang w:val="en-US" w:eastAsia="zh-CN"/>
              </w:rPr>
            </w:pPr>
            <w:r>
              <w:rPr>
                <w:rFonts w:hint="eastAsia" w:ascii="Times New Roman" w:hAnsi="Times New Roman" w:cs="Times New Roman" w:eastAsiaTheme="minorEastAsia"/>
                <w:b w:val="0"/>
                <w:bCs w:val="0"/>
                <w:color w:val="auto"/>
                <w:spacing w:val="0"/>
                <w:sz w:val="24"/>
                <w:szCs w:val="24"/>
                <w:lang w:val="en-US" w:eastAsia="zh-CN"/>
              </w:rPr>
              <w:t>车间内部未被集气罩收集、在密闭厂房内自然沉降无组织粉尘合计27.08t/a，速率10.25kg/h。根据《固体物料堆存颗粒物产排污核算系数手册》，密闭空间对粉尘的控制效率为60%，颚破、渣土筛分、风选、反击破、成品筛分无组织废气中颗粒物排放量为10.832t/a，排放速率为4.103kg/h。</w:t>
            </w:r>
          </w:p>
          <w:p>
            <w:pPr>
              <w:pStyle w:val="37"/>
              <w:pageBreakBefore w:val="0"/>
              <w:widowControl w:val="0"/>
              <w:kinsoku/>
              <w:wordWrap/>
              <w:overflowPunct/>
              <w:topLinePunct w:val="0"/>
              <w:autoSpaceDE/>
              <w:autoSpaceDN/>
              <w:bidi w:val="0"/>
              <w:adjustRightInd/>
              <w:snapToGrid/>
              <w:ind w:firstLine="482"/>
              <w:jc w:val="both"/>
              <w:textAlignment w:val="auto"/>
              <w:rPr>
                <w:rFonts w:hint="eastAsia" w:ascii="Times New Roman" w:hAnsi="Times New Roman" w:cs="Times New Roman" w:eastAsiaTheme="minorEastAsia"/>
                <w:b w:val="0"/>
                <w:bCs w:val="0"/>
                <w:color w:val="auto"/>
                <w:spacing w:val="0"/>
                <w:sz w:val="24"/>
                <w:szCs w:val="24"/>
                <w:lang w:val="en-US" w:eastAsia="zh-CN"/>
              </w:rPr>
            </w:pPr>
            <w:r>
              <w:rPr>
                <w:rFonts w:hint="eastAsia" w:ascii="Times New Roman" w:hAnsi="Times New Roman" w:cs="Times New Roman" w:eastAsiaTheme="minorEastAsia"/>
                <w:b w:val="0"/>
                <w:bCs w:val="0"/>
                <w:color w:val="auto"/>
                <w:spacing w:val="0"/>
                <w:sz w:val="24"/>
                <w:szCs w:val="24"/>
                <w:lang w:val="en-US" w:eastAsia="zh-CN"/>
              </w:rPr>
              <w:t>（4）成品出料废气</w:t>
            </w:r>
          </w:p>
          <w:p>
            <w:pPr>
              <w:pStyle w:val="37"/>
              <w:pageBreakBefore w:val="0"/>
              <w:widowControl w:val="0"/>
              <w:kinsoku/>
              <w:wordWrap/>
              <w:overflowPunct/>
              <w:topLinePunct w:val="0"/>
              <w:autoSpaceDE/>
              <w:autoSpaceDN/>
              <w:bidi w:val="0"/>
              <w:adjustRightInd/>
              <w:snapToGrid/>
              <w:ind w:firstLine="482"/>
              <w:jc w:val="both"/>
              <w:textAlignment w:val="auto"/>
              <w:rPr>
                <w:rFonts w:hint="eastAsia" w:ascii="Times New Roman" w:hAnsi="Times New Roman" w:cs="Times New Roman" w:eastAsiaTheme="minorEastAsia"/>
                <w:b w:val="0"/>
                <w:bCs w:val="0"/>
                <w:color w:val="auto"/>
                <w:spacing w:val="0"/>
                <w:sz w:val="24"/>
                <w:szCs w:val="24"/>
                <w:lang w:val="en-US" w:eastAsia="zh-CN"/>
              </w:rPr>
            </w:pPr>
            <w:r>
              <w:rPr>
                <w:rFonts w:hint="eastAsia" w:ascii="Times New Roman" w:hAnsi="Times New Roman" w:cs="Times New Roman" w:eastAsiaTheme="minorEastAsia"/>
                <w:b w:val="0"/>
                <w:bCs w:val="0"/>
                <w:color w:val="auto"/>
                <w:spacing w:val="0"/>
                <w:sz w:val="24"/>
                <w:szCs w:val="24"/>
                <w:lang w:val="en-US" w:eastAsia="zh-CN"/>
              </w:rPr>
              <w:t>经成品筛分后获得的成品骨料由密闭皮带输送机送入对应的骨料暂存区，会产生成品出料废气。</w:t>
            </w:r>
            <w:r>
              <w:rPr>
                <w:rFonts w:hint="eastAsia" w:ascii="Times New Roman" w:hAnsi="Times New Roman" w:cs="Times New Roman" w:eastAsiaTheme="minorEastAsia"/>
                <w:b w:val="0"/>
                <w:bCs w:val="0"/>
                <w:color w:val="auto"/>
                <w:spacing w:val="0"/>
                <w:sz w:val="24"/>
                <w:szCs w:val="24"/>
              </w:rPr>
              <w:t>参照《逸散性工业粉尘控制技术》</w:t>
            </w:r>
            <w:r>
              <w:rPr>
                <w:rFonts w:hint="eastAsia" w:ascii="Times New Roman" w:hAnsi="Times New Roman" w:cs="Times New Roman" w:eastAsiaTheme="minorEastAsia"/>
                <w:b w:val="0"/>
                <w:bCs w:val="0"/>
                <w:color w:val="auto"/>
                <w:spacing w:val="0"/>
                <w:sz w:val="24"/>
                <w:szCs w:val="24"/>
                <w:lang w:val="en-US" w:eastAsia="zh-CN"/>
              </w:rPr>
              <w:t>“表18-1粒料加工厂逸散尘的排放因子”中出料工序中“砂和砾石”的排放因子</w:t>
            </w:r>
            <w:r>
              <w:rPr>
                <w:rFonts w:hint="eastAsia" w:ascii="Times New Roman" w:hAnsi="Times New Roman" w:cs="Times New Roman" w:eastAsiaTheme="minorEastAsia"/>
                <w:b w:val="0"/>
                <w:bCs w:val="0"/>
                <w:color w:val="auto"/>
                <w:spacing w:val="0"/>
                <w:sz w:val="24"/>
                <w:szCs w:val="24"/>
              </w:rPr>
              <w:t>，</w:t>
            </w:r>
            <w:r>
              <w:rPr>
                <w:rFonts w:hint="eastAsia" w:ascii="Times New Roman" w:hAnsi="Times New Roman" w:cs="Times New Roman" w:eastAsiaTheme="minorEastAsia"/>
                <w:b w:val="0"/>
                <w:bCs w:val="0"/>
                <w:color w:val="auto"/>
                <w:spacing w:val="0"/>
                <w:sz w:val="24"/>
                <w:szCs w:val="24"/>
                <w:lang w:val="en-US" w:eastAsia="zh-CN"/>
              </w:rPr>
              <w:t>出料</w:t>
            </w:r>
            <w:r>
              <w:rPr>
                <w:rFonts w:hint="eastAsia" w:ascii="Times New Roman" w:hAnsi="Times New Roman" w:cs="Times New Roman" w:eastAsiaTheme="minorEastAsia"/>
                <w:b w:val="0"/>
                <w:bCs w:val="0"/>
                <w:color w:val="auto"/>
                <w:spacing w:val="0"/>
                <w:sz w:val="24"/>
                <w:szCs w:val="24"/>
              </w:rPr>
              <w:t>粉尘产尘系数</w:t>
            </w:r>
            <w:r>
              <w:rPr>
                <w:rFonts w:hint="eastAsia" w:ascii="Times New Roman" w:hAnsi="Times New Roman" w:cs="Times New Roman" w:eastAsiaTheme="minorEastAsia"/>
                <w:b w:val="0"/>
                <w:bCs w:val="0"/>
                <w:color w:val="auto"/>
                <w:spacing w:val="0"/>
                <w:sz w:val="24"/>
                <w:szCs w:val="24"/>
                <w:lang w:val="en-US" w:eastAsia="zh-CN"/>
              </w:rPr>
              <w:t>为</w:t>
            </w:r>
            <w:r>
              <w:rPr>
                <w:rFonts w:hint="eastAsia" w:ascii="Times New Roman" w:hAnsi="Times New Roman" w:cs="Times New Roman" w:eastAsiaTheme="minorEastAsia"/>
                <w:b w:val="0"/>
                <w:bCs w:val="0"/>
                <w:color w:val="auto"/>
                <w:spacing w:val="0"/>
                <w:sz w:val="24"/>
                <w:szCs w:val="24"/>
              </w:rPr>
              <w:t>0.</w:t>
            </w:r>
            <w:r>
              <w:rPr>
                <w:rFonts w:hint="eastAsia" w:ascii="Times New Roman" w:hAnsi="Times New Roman" w:cs="Times New Roman" w:eastAsiaTheme="minorEastAsia"/>
                <w:b w:val="0"/>
                <w:bCs w:val="0"/>
                <w:color w:val="auto"/>
                <w:spacing w:val="0"/>
                <w:sz w:val="24"/>
                <w:szCs w:val="24"/>
                <w:lang w:val="en-US" w:eastAsia="zh-CN"/>
              </w:rPr>
              <w:t>00115</w:t>
            </w:r>
            <w:r>
              <w:rPr>
                <w:rFonts w:hint="eastAsia" w:ascii="Times New Roman" w:hAnsi="Times New Roman" w:cs="Times New Roman" w:eastAsiaTheme="minorEastAsia"/>
                <w:b w:val="0"/>
                <w:bCs w:val="0"/>
                <w:color w:val="auto"/>
                <w:spacing w:val="0"/>
                <w:sz w:val="24"/>
                <w:szCs w:val="24"/>
              </w:rPr>
              <w:t>kg/t</w:t>
            </w:r>
            <w:r>
              <w:rPr>
                <w:rFonts w:hint="eastAsia" w:ascii="Times New Roman" w:hAnsi="Times New Roman" w:cs="Times New Roman" w:eastAsiaTheme="minorEastAsia"/>
                <w:b w:val="0"/>
                <w:bCs w:val="0"/>
                <w:color w:val="auto"/>
                <w:spacing w:val="0"/>
                <w:sz w:val="24"/>
                <w:szCs w:val="24"/>
                <w:lang w:val="en-US" w:eastAsia="zh-CN"/>
              </w:rPr>
              <w:t>-装</w:t>
            </w:r>
            <w:r>
              <w:rPr>
                <w:rFonts w:hint="eastAsia" w:ascii="Times New Roman" w:hAnsi="Times New Roman" w:cs="Times New Roman" w:eastAsiaTheme="minorEastAsia"/>
                <w:b w:val="0"/>
                <w:bCs w:val="0"/>
                <w:color w:val="auto"/>
                <w:spacing w:val="0"/>
                <w:sz w:val="24"/>
                <w:szCs w:val="24"/>
              </w:rPr>
              <w:t>料，</w:t>
            </w:r>
            <w:r>
              <w:rPr>
                <w:rFonts w:hint="eastAsia" w:ascii="Times New Roman" w:hAnsi="Times New Roman" w:cs="Times New Roman" w:eastAsiaTheme="minorEastAsia"/>
                <w:b w:val="0"/>
                <w:bCs w:val="0"/>
                <w:color w:val="auto"/>
                <w:spacing w:val="0"/>
                <w:sz w:val="24"/>
                <w:szCs w:val="24"/>
                <w:lang w:val="en-US" w:eastAsia="zh-CN"/>
              </w:rPr>
              <w:t>本项目年生产3.5万吨成品骨料，则成品出料过程产生的粉尘为0.04t/a，时间按2640h/a计，产生速率为0.015kg/h</w:t>
            </w:r>
            <w:r>
              <w:rPr>
                <w:rFonts w:hint="eastAsia" w:ascii="Times New Roman" w:hAnsi="Times New Roman" w:cs="Times New Roman" w:eastAsiaTheme="minorEastAsia"/>
                <w:b w:val="0"/>
                <w:bCs w:val="0"/>
                <w:color w:val="auto"/>
                <w:spacing w:val="0"/>
                <w:sz w:val="24"/>
                <w:szCs w:val="24"/>
              </w:rPr>
              <w:t>。</w:t>
            </w:r>
            <w:r>
              <w:rPr>
                <w:rFonts w:hint="eastAsia" w:ascii="Times New Roman" w:hAnsi="Times New Roman" w:cs="Times New Roman" w:eastAsiaTheme="minorEastAsia"/>
                <w:b w:val="0"/>
                <w:bCs w:val="0"/>
                <w:color w:val="auto"/>
                <w:spacing w:val="0"/>
                <w:sz w:val="24"/>
                <w:szCs w:val="24"/>
                <w:lang w:val="en-US" w:eastAsia="zh-CN"/>
              </w:rPr>
              <w:t>本项目输送皮带密闭运输，骨料暂存区位于车间内，参考《排放源统计调查产排污核算方法和系数手册》303砖瓦、石材等建筑材料制造行业中3039其他建筑材料制造行业系数表，建筑固体废弃物末端治理技术中其他（喷淋降尘）对粉尘去除效率为80%，则无组织粉尘排放量为0.008t/a，排放速率为0.003kg/h。</w:t>
            </w:r>
          </w:p>
          <w:p>
            <w:pPr>
              <w:pStyle w:val="37"/>
              <w:pageBreakBefore w:val="0"/>
              <w:widowControl w:val="0"/>
              <w:kinsoku/>
              <w:wordWrap/>
              <w:overflowPunct/>
              <w:topLinePunct w:val="0"/>
              <w:autoSpaceDE/>
              <w:autoSpaceDN/>
              <w:bidi w:val="0"/>
              <w:adjustRightInd/>
              <w:snapToGrid/>
              <w:ind w:firstLine="482"/>
              <w:jc w:val="both"/>
              <w:textAlignment w:val="auto"/>
              <w:rPr>
                <w:rFonts w:hint="eastAsia" w:ascii="Times New Roman" w:hAnsi="Times New Roman" w:cs="Times New Roman" w:eastAsiaTheme="minorEastAsia"/>
                <w:b w:val="0"/>
                <w:bCs w:val="0"/>
                <w:color w:val="auto"/>
                <w:spacing w:val="0"/>
                <w:sz w:val="24"/>
                <w:szCs w:val="24"/>
                <w:lang w:eastAsia="zh-CN"/>
              </w:rPr>
            </w:pPr>
            <w:r>
              <w:rPr>
                <w:rFonts w:hint="eastAsia" w:ascii="Times New Roman" w:hAnsi="Times New Roman" w:cs="Times New Roman" w:eastAsiaTheme="minorEastAsia"/>
                <w:b w:val="0"/>
                <w:bCs w:val="0"/>
                <w:color w:val="auto"/>
                <w:spacing w:val="0"/>
                <w:sz w:val="24"/>
                <w:szCs w:val="24"/>
                <w:lang w:val="en-US" w:eastAsia="zh-CN"/>
              </w:rPr>
              <w:t>（5）</w:t>
            </w:r>
            <w:r>
              <w:rPr>
                <w:rFonts w:hint="eastAsia" w:ascii="Times New Roman" w:hAnsi="Times New Roman" w:cs="Times New Roman" w:eastAsiaTheme="minorEastAsia"/>
                <w:b w:val="0"/>
                <w:bCs w:val="0"/>
                <w:color w:val="auto"/>
                <w:spacing w:val="0"/>
                <w:sz w:val="24"/>
                <w:szCs w:val="24"/>
                <w:lang w:eastAsia="zh-CN"/>
              </w:rPr>
              <w:t>皮带输送无组织废气</w:t>
            </w:r>
          </w:p>
          <w:p>
            <w:pPr>
              <w:pStyle w:val="37"/>
              <w:pageBreakBefore w:val="0"/>
              <w:widowControl w:val="0"/>
              <w:kinsoku/>
              <w:wordWrap/>
              <w:overflowPunct/>
              <w:topLinePunct w:val="0"/>
              <w:autoSpaceDE/>
              <w:autoSpaceDN/>
              <w:bidi w:val="0"/>
              <w:adjustRightInd/>
              <w:snapToGrid/>
              <w:ind w:firstLine="482"/>
              <w:jc w:val="both"/>
              <w:textAlignment w:val="auto"/>
              <w:rPr>
                <w:rFonts w:hint="eastAsia" w:ascii="Times New Roman" w:hAnsi="Times New Roman" w:cs="Times New Roman" w:eastAsiaTheme="minorEastAsia"/>
                <w:b/>
                <w:color w:val="auto"/>
                <w:spacing w:val="0"/>
                <w:sz w:val="24"/>
                <w:szCs w:val="24"/>
              </w:rPr>
            </w:pPr>
            <w:r>
              <w:rPr>
                <w:rFonts w:hint="eastAsia" w:ascii="Times New Roman" w:hAnsi="Times New Roman" w:cs="Times New Roman" w:eastAsiaTheme="minorEastAsia"/>
                <w:b w:val="0"/>
                <w:bCs w:val="0"/>
                <w:color w:val="auto"/>
                <w:spacing w:val="0"/>
                <w:sz w:val="24"/>
                <w:szCs w:val="24"/>
              </w:rPr>
              <w:t>本项目</w:t>
            </w:r>
            <w:r>
              <w:rPr>
                <w:rFonts w:hint="eastAsia" w:ascii="Times New Roman" w:hAnsi="Times New Roman" w:cs="Times New Roman" w:eastAsiaTheme="minorEastAsia"/>
                <w:b w:val="0"/>
                <w:bCs w:val="0"/>
                <w:color w:val="auto"/>
                <w:spacing w:val="0"/>
                <w:sz w:val="24"/>
                <w:szCs w:val="24"/>
                <w:lang w:val="en-US" w:eastAsia="zh-CN"/>
              </w:rPr>
              <w:t>生产</w:t>
            </w:r>
            <w:r>
              <w:rPr>
                <w:rFonts w:hint="eastAsia" w:ascii="Times New Roman" w:hAnsi="Times New Roman" w:cs="Times New Roman" w:eastAsiaTheme="minorEastAsia"/>
                <w:b w:val="0"/>
                <w:bCs w:val="0"/>
                <w:color w:val="auto"/>
                <w:spacing w:val="0"/>
                <w:sz w:val="24"/>
                <w:szCs w:val="24"/>
              </w:rPr>
              <w:t>设备之间采用皮带输送机连接，物料通过</w:t>
            </w:r>
            <w:r>
              <w:rPr>
                <w:rFonts w:hint="eastAsia" w:ascii="Times New Roman" w:hAnsi="Times New Roman" w:cs="Times New Roman" w:eastAsiaTheme="minorEastAsia"/>
                <w:b w:val="0"/>
                <w:bCs w:val="0"/>
                <w:color w:val="auto"/>
                <w:spacing w:val="0"/>
                <w:sz w:val="24"/>
                <w:szCs w:val="24"/>
                <w:lang w:val="en-US" w:eastAsia="zh-CN"/>
              </w:rPr>
              <w:t>密闭</w:t>
            </w:r>
            <w:r>
              <w:rPr>
                <w:rFonts w:hint="eastAsia" w:ascii="Times New Roman" w:hAnsi="Times New Roman" w:cs="Times New Roman" w:eastAsiaTheme="minorEastAsia"/>
                <w:b w:val="0"/>
                <w:bCs w:val="0"/>
                <w:color w:val="auto"/>
                <w:spacing w:val="0"/>
                <w:sz w:val="24"/>
                <w:szCs w:val="24"/>
              </w:rPr>
              <w:t>皮带输送机运输</w:t>
            </w:r>
            <w:r>
              <w:rPr>
                <w:rFonts w:hint="eastAsia" w:ascii="Times New Roman" w:hAnsi="Times New Roman" w:cs="Times New Roman" w:eastAsiaTheme="minorEastAsia"/>
                <w:b w:val="0"/>
                <w:bCs w:val="0"/>
                <w:color w:val="auto"/>
                <w:spacing w:val="0"/>
                <w:sz w:val="24"/>
                <w:szCs w:val="24"/>
                <w:lang w:eastAsia="zh-CN"/>
              </w:rPr>
              <w:t>，</w:t>
            </w:r>
            <w:r>
              <w:rPr>
                <w:rFonts w:hint="eastAsia" w:ascii="Times New Roman" w:hAnsi="Times New Roman" w:cs="Times New Roman" w:eastAsiaTheme="minorEastAsia"/>
                <w:b w:val="0"/>
                <w:bCs w:val="0"/>
                <w:color w:val="auto"/>
                <w:spacing w:val="0"/>
                <w:sz w:val="24"/>
                <w:szCs w:val="24"/>
              </w:rPr>
              <w:t>输送过程中粉尘产生量少，且车间</w:t>
            </w:r>
            <w:r>
              <w:rPr>
                <w:rFonts w:hint="eastAsia" w:ascii="Times New Roman" w:hAnsi="Times New Roman" w:cs="Times New Roman" w:eastAsiaTheme="minorEastAsia"/>
                <w:b w:val="0"/>
                <w:bCs w:val="0"/>
                <w:color w:val="auto"/>
                <w:spacing w:val="0"/>
                <w:sz w:val="24"/>
                <w:szCs w:val="24"/>
                <w:lang w:val="en-US" w:eastAsia="zh-CN"/>
              </w:rPr>
              <w:t>为密闭车间</w:t>
            </w:r>
            <w:r>
              <w:rPr>
                <w:rFonts w:hint="eastAsia" w:ascii="Times New Roman" w:hAnsi="Times New Roman" w:cs="Times New Roman" w:eastAsiaTheme="minorEastAsia"/>
                <w:b w:val="0"/>
                <w:bCs w:val="0"/>
                <w:color w:val="auto"/>
                <w:spacing w:val="0"/>
                <w:sz w:val="24"/>
                <w:szCs w:val="24"/>
              </w:rPr>
              <w:t>，对外环境影响较小，</w:t>
            </w:r>
            <w:r>
              <w:rPr>
                <w:rFonts w:hint="eastAsia" w:ascii="Times New Roman" w:hAnsi="Times New Roman" w:cs="Times New Roman" w:eastAsiaTheme="minorEastAsia"/>
                <w:b w:val="0"/>
                <w:bCs w:val="0"/>
                <w:color w:val="auto"/>
                <w:spacing w:val="0"/>
                <w:sz w:val="24"/>
                <w:szCs w:val="24"/>
                <w:lang w:val="en-US" w:eastAsia="zh-CN"/>
              </w:rPr>
              <w:t>可忽略不计</w:t>
            </w:r>
            <w:r>
              <w:rPr>
                <w:rFonts w:hint="eastAsia" w:ascii="Times New Roman" w:hAnsi="Times New Roman" w:cs="Times New Roman" w:eastAsiaTheme="minorEastAsia"/>
                <w:b w:val="0"/>
                <w:bCs w:val="0"/>
                <w:color w:val="auto"/>
                <w:spacing w:val="0"/>
                <w:sz w:val="24"/>
                <w:szCs w:val="24"/>
              </w:rPr>
              <w:t>。</w:t>
            </w:r>
          </w:p>
          <w:p>
            <w:pPr>
              <w:pStyle w:val="37"/>
              <w:pageBreakBefore w:val="0"/>
              <w:widowControl w:val="0"/>
              <w:kinsoku/>
              <w:wordWrap/>
              <w:overflowPunct/>
              <w:topLinePunct w:val="0"/>
              <w:autoSpaceDE/>
              <w:autoSpaceDN/>
              <w:bidi w:val="0"/>
              <w:adjustRightInd/>
              <w:snapToGrid/>
              <w:ind w:firstLine="482"/>
              <w:jc w:val="both"/>
              <w:textAlignment w:val="auto"/>
              <w:rPr>
                <w:rFonts w:hint="eastAsia" w:ascii="Times New Roman" w:hAnsi="Times New Roman" w:cs="Times New Roman" w:eastAsiaTheme="minorEastAsia"/>
                <w:b w:val="0"/>
                <w:bCs w:val="0"/>
                <w:color w:val="auto"/>
                <w:spacing w:val="0"/>
                <w:sz w:val="24"/>
                <w:szCs w:val="24"/>
                <w:lang w:val="en-US" w:eastAsia="zh-CN"/>
              </w:rPr>
            </w:pPr>
            <w:r>
              <w:rPr>
                <w:rFonts w:hint="eastAsia" w:ascii="Times New Roman" w:hAnsi="Times New Roman" w:cs="Times New Roman" w:eastAsiaTheme="minorEastAsia"/>
                <w:b w:val="0"/>
                <w:bCs w:val="0"/>
                <w:color w:val="auto"/>
                <w:spacing w:val="0"/>
                <w:sz w:val="24"/>
                <w:szCs w:val="24"/>
                <w:lang w:val="en-US" w:eastAsia="zh-CN"/>
              </w:rPr>
              <w:t>（6）成品装车废气</w:t>
            </w:r>
          </w:p>
          <w:p>
            <w:pPr>
              <w:pStyle w:val="37"/>
              <w:keepNext w:val="0"/>
              <w:keepLines w:val="0"/>
              <w:pageBreakBefore w:val="0"/>
              <w:widowControl w:val="0"/>
              <w:kinsoku/>
              <w:wordWrap/>
              <w:overflowPunct/>
              <w:topLinePunct w:val="0"/>
              <w:autoSpaceDE/>
              <w:autoSpaceDN/>
              <w:bidi w:val="0"/>
              <w:adjustRightInd/>
              <w:snapToGrid/>
              <w:ind w:firstLine="482"/>
              <w:jc w:val="both"/>
              <w:textAlignment w:val="auto"/>
              <w:rPr>
                <w:rFonts w:hint="eastAsia" w:ascii="Times New Roman" w:hAnsi="Times New Roman" w:cs="Times New Roman" w:eastAsiaTheme="minorEastAsia"/>
                <w:b w:val="0"/>
                <w:bCs w:val="0"/>
                <w:color w:val="auto"/>
                <w:spacing w:val="0"/>
                <w:sz w:val="24"/>
                <w:szCs w:val="24"/>
                <w:lang w:val="en-US" w:eastAsia="zh-CN"/>
              </w:rPr>
            </w:pPr>
            <w:r>
              <w:rPr>
                <w:rFonts w:hint="eastAsia" w:ascii="Times New Roman" w:hAnsi="Times New Roman" w:cs="Times New Roman" w:eastAsiaTheme="minorEastAsia"/>
                <w:b w:val="0"/>
                <w:bCs w:val="0"/>
                <w:color w:val="auto"/>
                <w:spacing w:val="0"/>
                <w:sz w:val="24"/>
                <w:szCs w:val="24"/>
                <w:lang w:val="en-US" w:eastAsia="zh-CN"/>
              </w:rPr>
              <w:t>骨料暂存区内的成品骨料由运输车辆装运出厂外售，装货过程中会产生成品装车废气。</w:t>
            </w:r>
            <w:r>
              <w:rPr>
                <w:rFonts w:hint="eastAsia" w:ascii="Times New Roman" w:hAnsi="Times New Roman" w:cs="Times New Roman" w:eastAsiaTheme="minorEastAsia"/>
                <w:b w:val="0"/>
                <w:bCs w:val="0"/>
                <w:color w:val="auto"/>
                <w:spacing w:val="0"/>
                <w:sz w:val="24"/>
                <w:szCs w:val="24"/>
              </w:rPr>
              <w:t>参照《逸散性工业粉尘控制技术》</w:t>
            </w:r>
            <w:r>
              <w:rPr>
                <w:rFonts w:hint="eastAsia" w:ascii="Times New Roman" w:hAnsi="Times New Roman" w:cs="Times New Roman" w:eastAsiaTheme="minorEastAsia"/>
                <w:b w:val="0"/>
                <w:bCs w:val="0"/>
                <w:color w:val="auto"/>
                <w:spacing w:val="0"/>
                <w:sz w:val="24"/>
                <w:szCs w:val="24"/>
                <w:lang w:val="en-US" w:eastAsia="zh-CN"/>
              </w:rPr>
              <w:t>“表18-1粒料加工厂逸散尘的排放因子”中装货工序中“砂和砾石”的排放因子</w:t>
            </w:r>
            <w:r>
              <w:rPr>
                <w:rFonts w:hint="eastAsia" w:ascii="Times New Roman" w:hAnsi="Times New Roman" w:cs="Times New Roman" w:eastAsiaTheme="minorEastAsia"/>
                <w:b w:val="0"/>
                <w:bCs w:val="0"/>
                <w:color w:val="auto"/>
                <w:spacing w:val="0"/>
                <w:sz w:val="24"/>
                <w:szCs w:val="24"/>
              </w:rPr>
              <w:t>，</w:t>
            </w:r>
            <w:r>
              <w:rPr>
                <w:rFonts w:hint="eastAsia" w:ascii="Times New Roman" w:hAnsi="Times New Roman" w:cs="Times New Roman" w:eastAsiaTheme="minorEastAsia"/>
                <w:b w:val="0"/>
                <w:bCs w:val="0"/>
                <w:color w:val="auto"/>
                <w:spacing w:val="0"/>
                <w:sz w:val="24"/>
                <w:szCs w:val="24"/>
                <w:lang w:val="en-US" w:eastAsia="zh-CN"/>
              </w:rPr>
              <w:t>装车</w:t>
            </w:r>
            <w:r>
              <w:rPr>
                <w:rFonts w:hint="eastAsia" w:ascii="Times New Roman" w:hAnsi="Times New Roman" w:cs="Times New Roman" w:eastAsiaTheme="minorEastAsia"/>
                <w:b w:val="0"/>
                <w:bCs w:val="0"/>
                <w:color w:val="auto"/>
                <w:spacing w:val="0"/>
                <w:sz w:val="24"/>
                <w:szCs w:val="24"/>
              </w:rPr>
              <w:t>粉尘产尘系数</w:t>
            </w:r>
            <w:r>
              <w:rPr>
                <w:rFonts w:hint="eastAsia" w:ascii="Times New Roman" w:hAnsi="Times New Roman" w:cs="Times New Roman" w:eastAsiaTheme="minorEastAsia"/>
                <w:b w:val="0"/>
                <w:bCs w:val="0"/>
                <w:color w:val="auto"/>
                <w:spacing w:val="0"/>
                <w:sz w:val="24"/>
                <w:szCs w:val="24"/>
                <w:lang w:val="en-US" w:eastAsia="zh-CN"/>
              </w:rPr>
              <w:t>为</w:t>
            </w:r>
            <w:r>
              <w:rPr>
                <w:rFonts w:hint="eastAsia" w:ascii="Times New Roman" w:hAnsi="Times New Roman" w:cs="Times New Roman" w:eastAsiaTheme="minorEastAsia"/>
                <w:b w:val="0"/>
                <w:bCs w:val="0"/>
                <w:color w:val="auto"/>
                <w:spacing w:val="0"/>
                <w:sz w:val="24"/>
                <w:szCs w:val="24"/>
              </w:rPr>
              <w:t>0.</w:t>
            </w:r>
            <w:r>
              <w:rPr>
                <w:rFonts w:hint="eastAsia" w:ascii="Times New Roman" w:hAnsi="Times New Roman" w:cs="Times New Roman" w:eastAsiaTheme="minorEastAsia"/>
                <w:b w:val="0"/>
                <w:bCs w:val="0"/>
                <w:color w:val="auto"/>
                <w:spacing w:val="0"/>
                <w:sz w:val="24"/>
                <w:szCs w:val="24"/>
                <w:lang w:val="en-US" w:eastAsia="zh-CN"/>
              </w:rPr>
              <w:t>01</w:t>
            </w:r>
            <w:r>
              <w:rPr>
                <w:rFonts w:hint="eastAsia" w:ascii="Times New Roman" w:hAnsi="Times New Roman" w:cs="Times New Roman" w:eastAsiaTheme="minorEastAsia"/>
                <w:b w:val="0"/>
                <w:bCs w:val="0"/>
                <w:color w:val="auto"/>
                <w:spacing w:val="0"/>
                <w:sz w:val="24"/>
                <w:szCs w:val="24"/>
              </w:rPr>
              <w:t>kg/t</w:t>
            </w:r>
            <w:r>
              <w:rPr>
                <w:rFonts w:hint="eastAsia" w:ascii="Times New Roman" w:hAnsi="Times New Roman" w:cs="Times New Roman" w:eastAsiaTheme="minorEastAsia"/>
                <w:b w:val="0"/>
                <w:bCs w:val="0"/>
                <w:color w:val="auto"/>
                <w:spacing w:val="0"/>
                <w:sz w:val="24"/>
                <w:szCs w:val="24"/>
                <w:lang w:val="en-US" w:eastAsia="zh-CN"/>
              </w:rPr>
              <w:t>-装货</w:t>
            </w:r>
            <w:r>
              <w:rPr>
                <w:rFonts w:hint="eastAsia" w:ascii="Times New Roman" w:hAnsi="Times New Roman" w:cs="Times New Roman" w:eastAsiaTheme="minorEastAsia"/>
                <w:b w:val="0"/>
                <w:bCs w:val="0"/>
                <w:color w:val="auto"/>
                <w:spacing w:val="0"/>
                <w:sz w:val="24"/>
                <w:szCs w:val="24"/>
              </w:rPr>
              <w:t>，</w:t>
            </w:r>
            <w:r>
              <w:rPr>
                <w:rFonts w:hint="eastAsia" w:ascii="Times New Roman" w:hAnsi="Times New Roman" w:cs="Times New Roman" w:eastAsiaTheme="minorEastAsia"/>
                <w:b w:val="0"/>
                <w:bCs w:val="0"/>
                <w:color w:val="auto"/>
                <w:spacing w:val="0"/>
                <w:sz w:val="24"/>
                <w:szCs w:val="24"/>
                <w:lang w:val="en-US" w:eastAsia="zh-CN"/>
              </w:rPr>
              <w:t>本项目年生产3.5万吨成品骨料，则成品装车过程产生的粉尘为0.35t/a，时间按198h/a计算（预计每天装车4趟采用挖掘机进行，时间为6-9分钟，环评取9分钟一趟，每天装车时间0.6h），产生速率为1.768kg/h</w:t>
            </w:r>
            <w:r>
              <w:rPr>
                <w:rFonts w:hint="eastAsia" w:ascii="Times New Roman" w:hAnsi="Times New Roman" w:cs="Times New Roman" w:eastAsiaTheme="minorEastAsia"/>
                <w:b w:val="0"/>
                <w:bCs w:val="0"/>
                <w:color w:val="auto"/>
                <w:spacing w:val="0"/>
                <w:sz w:val="24"/>
                <w:szCs w:val="24"/>
              </w:rPr>
              <w:t>。</w:t>
            </w:r>
            <w:r>
              <w:rPr>
                <w:rFonts w:hint="eastAsia" w:ascii="Times New Roman" w:hAnsi="Times New Roman" w:cs="Times New Roman" w:eastAsiaTheme="minorEastAsia"/>
                <w:b w:val="0"/>
                <w:bCs w:val="0"/>
                <w:color w:val="auto"/>
                <w:spacing w:val="0"/>
                <w:sz w:val="24"/>
                <w:szCs w:val="24"/>
                <w:lang w:val="en-US" w:eastAsia="zh-CN"/>
              </w:rPr>
              <w:t>本项目骨料暂存区位于车间内，运输车辆加盖围挡帘，装车区域设置喷雾降尘，参考《排放源统计调查产排污核算方法和系数手册》303砖瓦、石材等建筑材料制造行业中3039其他建筑材料制造行业系数表，建筑固体废弃物破碎、筛分的末端治理技术中其他（喷淋降尘）对粉尘去除效率为80%，则无组织粉尘排放量为0.07t/a，排放速率为0.354kg/h。</w:t>
            </w:r>
          </w:p>
          <w:p>
            <w:pPr>
              <w:pStyle w:val="37"/>
              <w:keepNext w:val="0"/>
              <w:keepLines w:val="0"/>
              <w:pageBreakBefore w:val="0"/>
              <w:widowControl w:val="0"/>
              <w:kinsoku/>
              <w:wordWrap/>
              <w:overflowPunct/>
              <w:topLinePunct w:val="0"/>
              <w:autoSpaceDE/>
              <w:autoSpaceDN/>
              <w:bidi w:val="0"/>
              <w:adjustRightInd/>
              <w:snapToGrid/>
              <w:ind w:firstLine="482"/>
              <w:jc w:val="both"/>
              <w:textAlignment w:val="auto"/>
              <w:rPr>
                <w:rFonts w:hint="eastAsia" w:ascii="Times New Roman" w:hAnsi="Times New Roman" w:cs="Times New Roman" w:eastAsiaTheme="minorEastAsia"/>
                <w:b w:val="0"/>
                <w:bCs w:val="0"/>
                <w:color w:val="auto"/>
                <w:spacing w:val="0"/>
                <w:sz w:val="24"/>
                <w:szCs w:val="24"/>
                <w:lang w:val="en-US" w:eastAsia="zh-CN"/>
              </w:rPr>
            </w:pPr>
            <w:r>
              <w:rPr>
                <w:rFonts w:hint="eastAsia" w:ascii="Times New Roman" w:hAnsi="Times New Roman" w:cs="Times New Roman" w:eastAsiaTheme="minorEastAsia"/>
                <w:b w:val="0"/>
                <w:bCs w:val="0"/>
                <w:color w:val="auto"/>
                <w:spacing w:val="0"/>
                <w:sz w:val="24"/>
                <w:szCs w:val="24"/>
                <w:lang w:val="en-US" w:eastAsia="zh-CN"/>
              </w:rPr>
              <w:t>（7）车辆运输扬尘</w:t>
            </w:r>
          </w:p>
          <w:p>
            <w:pPr>
              <w:pStyle w:val="37"/>
              <w:pageBreakBefore w:val="0"/>
              <w:widowControl w:val="0"/>
              <w:kinsoku/>
              <w:wordWrap/>
              <w:overflowPunct/>
              <w:topLinePunct w:val="0"/>
              <w:autoSpaceDE/>
              <w:autoSpaceDN/>
              <w:bidi w:val="0"/>
              <w:adjustRightInd/>
              <w:snapToGrid/>
              <w:ind w:firstLine="482"/>
              <w:jc w:val="both"/>
              <w:textAlignment w:val="auto"/>
              <w:rPr>
                <w:rFonts w:hint="eastAsia" w:ascii="Times New Roman" w:hAnsi="Times New Roman" w:cs="Times New Roman" w:eastAsiaTheme="minorEastAsia"/>
                <w:b w:val="0"/>
                <w:bCs w:val="0"/>
                <w:color w:val="auto"/>
                <w:spacing w:val="0"/>
                <w:sz w:val="24"/>
                <w:szCs w:val="24"/>
              </w:rPr>
            </w:pPr>
            <w:r>
              <w:rPr>
                <w:rFonts w:hint="eastAsia" w:ascii="Times New Roman" w:hAnsi="Times New Roman" w:cs="Times New Roman" w:eastAsiaTheme="minorEastAsia"/>
                <w:b w:val="0"/>
                <w:bCs w:val="0"/>
                <w:color w:val="auto"/>
                <w:spacing w:val="0"/>
                <w:sz w:val="24"/>
                <w:szCs w:val="24"/>
              </w:rPr>
              <w:t>项目原料及产品均采用汽车运输，汽车运输时扬尘对道路两侧一定范围内会造成污染。由于项目汽车运输量较大，载重车辆频繁地进出，引起周边道路扬尘量增加，影响到厂区及周边的环境空气质量。本评价选取上海港环境保护中心和武汉水运工程学院提出的经验公式进行计算，公式如下：</w:t>
            </w:r>
          </w:p>
          <w:p>
            <w:pPr>
              <w:pStyle w:val="37"/>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cs="Times New Roman" w:eastAsiaTheme="minorEastAsia"/>
                <w:b w:val="0"/>
                <w:bCs w:val="0"/>
                <w:color w:val="auto"/>
                <w:spacing w:val="0"/>
                <w:sz w:val="24"/>
                <w:szCs w:val="24"/>
              </w:rPr>
            </w:pPr>
            <w:r>
              <w:rPr>
                <w:color w:val="auto"/>
              </w:rPr>
              <w:drawing>
                <wp:inline distT="0" distB="0" distL="114300" distR="114300">
                  <wp:extent cx="2008505" cy="810895"/>
                  <wp:effectExtent l="0" t="0" r="10795" b="8255"/>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16"/>
                          <a:stretch>
                            <a:fillRect/>
                          </a:stretch>
                        </pic:blipFill>
                        <pic:spPr>
                          <a:xfrm>
                            <a:off x="0" y="0"/>
                            <a:ext cx="2008505" cy="810895"/>
                          </a:xfrm>
                          <a:prstGeom prst="rect">
                            <a:avLst/>
                          </a:prstGeom>
                          <a:noFill/>
                          <a:ln>
                            <a:noFill/>
                          </a:ln>
                        </pic:spPr>
                      </pic:pic>
                    </a:graphicData>
                  </a:graphic>
                </wp:inline>
              </w:drawing>
            </w:r>
          </w:p>
          <w:p>
            <w:pPr>
              <w:pStyle w:val="37"/>
              <w:adjustRightInd/>
              <w:snapToGrid/>
              <w:ind w:firstLine="482"/>
              <w:jc w:val="both"/>
              <w:rPr>
                <w:rFonts w:hint="eastAsia" w:ascii="Times New Roman" w:hAnsi="Times New Roman" w:cs="Times New Roman" w:eastAsiaTheme="minorEastAsia"/>
                <w:b w:val="0"/>
                <w:bCs w:val="0"/>
                <w:color w:val="auto"/>
                <w:spacing w:val="0"/>
                <w:sz w:val="24"/>
                <w:szCs w:val="24"/>
              </w:rPr>
            </w:pPr>
            <w:r>
              <w:rPr>
                <w:rFonts w:hint="eastAsia" w:ascii="Times New Roman" w:hAnsi="Times New Roman" w:cs="Times New Roman" w:eastAsiaTheme="minorEastAsia"/>
                <w:b w:val="0"/>
                <w:bCs w:val="0"/>
                <w:color w:val="auto"/>
                <w:spacing w:val="0"/>
                <w:sz w:val="24"/>
                <w:szCs w:val="24"/>
              </w:rPr>
              <w:t>式中∶Q</w:t>
            </w:r>
            <w:r>
              <w:rPr>
                <w:rFonts w:hint="eastAsia" w:ascii="Times New Roman" w:hAnsi="Times New Roman" w:cs="Times New Roman" w:eastAsiaTheme="minorEastAsia"/>
                <w:b w:val="0"/>
                <w:bCs w:val="0"/>
                <w:color w:val="auto"/>
                <w:spacing w:val="0"/>
                <w:sz w:val="24"/>
                <w:szCs w:val="24"/>
                <w:vertAlign w:val="subscript"/>
              </w:rPr>
              <w:t>y</w:t>
            </w:r>
            <w:r>
              <w:rPr>
                <w:rFonts w:hint="eastAsia" w:ascii="Times New Roman" w:hAnsi="Times New Roman" w:cs="Times New Roman" w:eastAsiaTheme="minorEastAsia"/>
                <w:b w:val="0"/>
                <w:bCs w:val="0"/>
                <w:color w:val="auto"/>
                <w:spacing w:val="0"/>
                <w:sz w:val="24"/>
                <w:szCs w:val="24"/>
              </w:rPr>
              <w:t>:——交通运输起尘量，kg/km/辆</w:t>
            </w:r>
          </w:p>
          <w:p>
            <w:pPr>
              <w:pStyle w:val="37"/>
              <w:keepNext w:val="0"/>
              <w:keepLines w:val="0"/>
              <w:pageBreakBefore w:val="0"/>
              <w:widowControl w:val="0"/>
              <w:kinsoku/>
              <w:wordWrap/>
              <w:overflowPunct/>
              <w:topLinePunct w:val="0"/>
              <w:autoSpaceDE/>
              <w:autoSpaceDN/>
              <w:bidi w:val="0"/>
              <w:adjustRightInd/>
              <w:snapToGrid/>
              <w:ind w:firstLine="1200" w:firstLineChars="500"/>
              <w:jc w:val="both"/>
              <w:textAlignment w:val="auto"/>
              <w:rPr>
                <w:rFonts w:hint="eastAsia" w:ascii="Times New Roman" w:hAnsi="Times New Roman" w:cs="Times New Roman" w:eastAsiaTheme="minorEastAsia"/>
                <w:b w:val="0"/>
                <w:bCs w:val="0"/>
                <w:color w:val="auto"/>
                <w:spacing w:val="0"/>
                <w:sz w:val="24"/>
                <w:szCs w:val="24"/>
              </w:rPr>
            </w:pPr>
            <w:r>
              <w:rPr>
                <w:rFonts w:hint="eastAsia" w:ascii="Times New Roman" w:hAnsi="Times New Roman" w:cs="Times New Roman" w:eastAsiaTheme="minorEastAsia"/>
                <w:b w:val="0"/>
                <w:bCs w:val="0"/>
                <w:color w:val="auto"/>
                <w:spacing w:val="0"/>
                <w:sz w:val="24"/>
                <w:szCs w:val="24"/>
              </w:rPr>
              <w:t>Q</w:t>
            </w:r>
            <w:r>
              <w:rPr>
                <w:rFonts w:hint="eastAsia" w:ascii="Times New Roman" w:hAnsi="Times New Roman" w:cs="Times New Roman" w:eastAsiaTheme="minorEastAsia"/>
                <w:b w:val="0"/>
                <w:bCs w:val="0"/>
                <w:color w:val="auto"/>
                <w:spacing w:val="0"/>
                <w:sz w:val="24"/>
                <w:szCs w:val="24"/>
                <w:vertAlign w:val="subscript"/>
              </w:rPr>
              <w:t>T</w:t>
            </w:r>
            <w:r>
              <w:rPr>
                <w:rFonts w:hint="eastAsia" w:ascii="Times New Roman" w:hAnsi="Times New Roman" w:cs="Times New Roman" w:eastAsiaTheme="minorEastAsia"/>
                <w:b w:val="0"/>
                <w:bCs w:val="0"/>
                <w:color w:val="auto"/>
                <w:spacing w:val="0"/>
                <w:sz w:val="24"/>
                <w:szCs w:val="24"/>
              </w:rPr>
              <w:t>:——运输途中起尘量，kg/a</w:t>
            </w:r>
          </w:p>
          <w:p>
            <w:pPr>
              <w:pStyle w:val="37"/>
              <w:keepNext w:val="0"/>
              <w:keepLines w:val="0"/>
              <w:pageBreakBefore w:val="0"/>
              <w:widowControl w:val="0"/>
              <w:kinsoku/>
              <w:wordWrap/>
              <w:overflowPunct/>
              <w:topLinePunct w:val="0"/>
              <w:autoSpaceDE/>
              <w:autoSpaceDN/>
              <w:bidi w:val="0"/>
              <w:adjustRightInd/>
              <w:snapToGrid/>
              <w:ind w:firstLine="1200" w:firstLineChars="500"/>
              <w:jc w:val="both"/>
              <w:textAlignment w:val="auto"/>
              <w:rPr>
                <w:rFonts w:hint="eastAsia" w:ascii="Times New Roman" w:hAnsi="Times New Roman" w:cs="Times New Roman" w:eastAsiaTheme="minorEastAsia"/>
                <w:b w:val="0"/>
                <w:bCs w:val="0"/>
                <w:color w:val="auto"/>
                <w:spacing w:val="0"/>
                <w:sz w:val="24"/>
                <w:szCs w:val="24"/>
              </w:rPr>
            </w:pPr>
            <w:r>
              <w:rPr>
                <w:rFonts w:hint="eastAsia" w:ascii="Times New Roman" w:hAnsi="Times New Roman" w:cs="Times New Roman" w:eastAsiaTheme="minorEastAsia"/>
                <w:b w:val="0"/>
                <w:bCs w:val="0"/>
                <w:color w:val="auto"/>
                <w:spacing w:val="0"/>
                <w:sz w:val="24"/>
                <w:szCs w:val="24"/>
              </w:rPr>
              <w:t>V:——车辆行驶速度，km/h</w:t>
            </w:r>
          </w:p>
          <w:p>
            <w:pPr>
              <w:pStyle w:val="37"/>
              <w:keepNext w:val="0"/>
              <w:keepLines w:val="0"/>
              <w:pageBreakBefore w:val="0"/>
              <w:widowControl w:val="0"/>
              <w:kinsoku/>
              <w:wordWrap/>
              <w:overflowPunct/>
              <w:topLinePunct w:val="0"/>
              <w:autoSpaceDE/>
              <w:autoSpaceDN/>
              <w:bidi w:val="0"/>
              <w:adjustRightInd/>
              <w:snapToGrid/>
              <w:ind w:firstLine="1200" w:firstLineChars="500"/>
              <w:jc w:val="both"/>
              <w:textAlignment w:val="auto"/>
              <w:rPr>
                <w:rFonts w:hint="eastAsia" w:ascii="Times New Roman" w:hAnsi="Times New Roman" w:cs="Times New Roman" w:eastAsiaTheme="minorEastAsia"/>
                <w:b w:val="0"/>
                <w:bCs w:val="0"/>
                <w:color w:val="auto"/>
                <w:spacing w:val="0"/>
                <w:sz w:val="24"/>
                <w:szCs w:val="24"/>
              </w:rPr>
            </w:pPr>
            <w:r>
              <w:rPr>
                <w:rFonts w:hint="eastAsia" w:ascii="Times New Roman" w:hAnsi="Times New Roman" w:cs="Times New Roman" w:eastAsiaTheme="minorEastAsia"/>
                <w:b w:val="0"/>
                <w:bCs w:val="0"/>
                <w:color w:val="auto"/>
                <w:spacing w:val="0"/>
                <w:sz w:val="24"/>
                <w:szCs w:val="24"/>
              </w:rPr>
              <w:t>P:——路面状况，以每平方米路面灰尘覆盖率表示，kg/m</w:t>
            </w:r>
            <w:r>
              <w:rPr>
                <w:rFonts w:hint="eastAsia" w:ascii="Times New Roman" w:hAnsi="Times New Roman" w:cs="Times New Roman" w:eastAsiaTheme="minorEastAsia"/>
                <w:b w:val="0"/>
                <w:bCs w:val="0"/>
                <w:color w:val="auto"/>
                <w:spacing w:val="0"/>
                <w:sz w:val="24"/>
                <w:szCs w:val="24"/>
                <w:vertAlign w:val="superscript"/>
              </w:rPr>
              <w:t>2</w:t>
            </w:r>
          </w:p>
          <w:p>
            <w:pPr>
              <w:pStyle w:val="37"/>
              <w:keepNext w:val="0"/>
              <w:keepLines w:val="0"/>
              <w:pageBreakBefore w:val="0"/>
              <w:widowControl w:val="0"/>
              <w:kinsoku/>
              <w:wordWrap/>
              <w:overflowPunct/>
              <w:topLinePunct w:val="0"/>
              <w:autoSpaceDE/>
              <w:autoSpaceDN/>
              <w:bidi w:val="0"/>
              <w:adjustRightInd/>
              <w:snapToGrid/>
              <w:ind w:firstLine="1200" w:firstLineChars="500"/>
              <w:jc w:val="both"/>
              <w:textAlignment w:val="auto"/>
              <w:rPr>
                <w:rFonts w:hint="eastAsia" w:ascii="Times New Roman" w:hAnsi="Times New Roman" w:cs="Times New Roman" w:eastAsiaTheme="minorEastAsia"/>
                <w:b w:val="0"/>
                <w:bCs w:val="0"/>
                <w:color w:val="auto"/>
                <w:spacing w:val="0"/>
                <w:sz w:val="24"/>
                <w:szCs w:val="24"/>
              </w:rPr>
            </w:pPr>
            <w:r>
              <w:rPr>
                <w:rFonts w:hint="eastAsia" w:ascii="Times New Roman" w:hAnsi="Times New Roman" w:cs="Times New Roman" w:eastAsiaTheme="minorEastAsia"/>
                <w:b w:val="0"/>
                <w:bCs w:val="0"/>
                <w:color w:val="auto"/>
                <w:spacing w:val="0"/>
                <w:sz w:val="24"/>
                <w:szCs w:val="24"/>
              </w:rPr>
              <w:t>M:——车辆载重，t/辆</w:t>
            </w:r>
          </w:p>
          <w:p>
            <w:pPr>
              <w:pStyle w:val="37"/>
              <w:keepNext w:val="0"/>
              <w:keepLines w:val="0"/>
              <w:pageBreakBefore w:val="0"/>
              <w:widowControl w:val="0"/>
              <w:kinsoku/>
              <w:wordWrap/>
              <w:overflowPunct/>
              <w:topLinePunct w:val="0"/>
              <w:autoSpaceDE/>
              <w:autoSpaceDN/>
              <w:bidi w:val="0"/>
              <w:adjustRightInd/>
              <w:snapToGrid/>
              <w:ind w:firstLine="1200" w:firstLineChars="500"/>
              <w:jc w:val="both"/>
              <w:textAlignment w:val="auto"/>
              <w:rPr>
                <w:rFonts w:hint="eastAsia" w:ascii="Times New Roman" w:hAnsi="Times New Roman" w:cs="Times New Roman" w:eastAsiaTheme="minorEastAsia"/>
                <w:b w:val="0"/>
                <w:bCs w:val="0"/>
                <w:color w:val="auto"/>
                <w:spacing w:val="0"/>
                <w:sz w:val="24"/>
                <w:szCs w:val="24"/>
              </w:rPr>
            </w:pPr>
            <w:r>
              <w:rPr>
                <w:rFonts w:hint="eastAsia" w:ascii="Times New Roman" w:hAnsi="Times New Roman" w:cs="Times New Roman" w:eastAsiaTheme="minorEastAsia"/>
                <w:b w:val="0"/>
                <w:bCs w:val="0"/>
                <w:color w:val="auto"/>
                <w:spacing w:val="0"/>
                <w:sz w:val="24"/>
                <w:szCs w:val="24"/>
              </w:rPr>
              <w:t>L:——运输距离，km</w:t>
            </w:r>
          </w:p>
          <w:p>
            <w:pPr>
              <w:pStyle w:val="37"/>
              <w:keepNext w:val="0"/>
              <w:keepLines w:val="0"/>
              <w:pageBreakBefore w:val="0"/>
              <w:widowControl w:val="0"/>
              <w:kinsoku/>
              <w:wordWrap/>
              <w:overflowPunct/>
              <w:topLinePunct w:val="0"/>
              <w:autoSpaceDE/>
              <w:autoSpaceDN/>
              <w:bidi w:val="0"/>
              <w:adjustRightInd/>
              <w:snapToGrid/>
              <w:ind w:firstLine="1200" w:firstLineChars="500"/>
              <w:jc w:val="both"/>
              <w:textAlignment w:val="auto"/>
              <w:rPr>
                <w:rFonts w:hint="eastAsia" w:ascii="Times New Roman" w:hAnsi="Times New Roman" w:cs="Times New Roman" w:eastAsiaTheme="minorEastAsia"/>
                <w:b w:val="0"/>
                <w:bCs w:val="0"/>
                <w:color w:val="auto"/>
                <w:spacing w:val="0"/>
                <w:sz w:val="24"/>
                <w:szCs w:val="24"/>
              </w:rPr>
            </w:pPr>
            <w:r>
              <w:rPr>
                <w:rFonts w:hint="eastAsia" w:ascii="Times New Roman" w:hAnsi="Times New Roman" w:cs="Times New Roman" w:eastAsiaTheme="minorEastAsia"/>
                <w:b w:val="0"/>
                <w:bCs w:val="0"/>
                <w:color w:val="auto"/>
                <w:spacing w:val="0"/>
                <w:sz w:val="24"/>
                <w:szCs w:val="24"/>
              </w:rPr>
              <w:t>Q:——运输量，t/a。</w:t>
            </w:r>
          </w:p>
          <w:p>
            <w:pPr>
              <w:pStyle w:val="37"/>
              <w:keepNext w:val="0"/>
              <w:keepLines w:val="0"/>
              <w:pageBreakBefore w:val="0"/>
              <w:widowControl w:val="0"/>
              <w:kinsoku/>
              <w:wordWrap/>
              <w:overflowPunct/>
              <w:topLinePunct w:val="0"/>
              <w:autoSpaceDE/>
              <w:autoSpaceDN/>
              <w:bidi w:val="0"/>
              <w:adjustRightInd/>
              <w:snapToGrid/>
              <w:ind w:firstLine="482"/>
              <w:jc w:val="both"/>
              <w:textAlignment w:val="auto"/>
              <w:rPr>
                <w:rFonts w:hint="eastAsia" w:ascii="Times New Roman" w:hAnsi="Times New Roman" w:cs="Times New Roman" w:eastAsiaTheme="minorEastAsia"/>
                <w:b w:val="0"/>
                <w:bCs w:val="0"/>
                <w:color w:val="auto"/>
                <w:spacing w:val="0"/>
                <w:sz w:val="24"/>
                <w:szCs w:val="24"/>
              </w:rPr>
            </w:pPr>
            <w:r>
              <w:rPr>
                <w:rFonts w:hint="eastAsia" w:ascii="Times New Roman" w:hAnsi="Times New Roman" w:cs="Times New Roman" w:eastAsiaTheme="minorEastAsia"/>
                <w:b w:val="0"/>
                <w:bCs w:val="0"/>
                <w:color w:val="auto"/>
                <w:spacing w:val="0"/>
                <w:sz w:val="24"/>
                <w:szCs w:val="24"/>
              </w:rPr>
              <w:t>经核算，车辆载重M=30t/辆，行驶速度V=10km/h，厂区运输道路L=</w:t>
            </w:r>
            <w:r>
              <w:rPr>
                <w:rFonts w:hint="eastAsia" w:ascii="Times New Roman" w:hAnsi="Times New Roman" w:cs="Times New Roman" w:eastAsiaTheme="minorEastAsia"/>
                <w:b w:val="0"/>
                <w:bCs w:val="0"/>
                <w:color w:val="auto"/>
                <w:spacing w:val="0"/>
                <w:sz w:val="24"/>
                <w:szCs w:val="24"/>
                <w:lang w:val="en-US" w:eastAsia="zh-CN"/>
              </w:rPr>
              <w:t>20</w:t>
            </w:r>
            <w:r>
              <w:rPr>
                <w:rFonts w:hint="eastAsia" w:ascii="Times New Roman" w:hAnsi="Times New Roman" w:cs="Times New Roman" w:eastAsiaTheme="minorEastAsia"/>
                <w:b w:val="0"/>
                <w:bCs w:val="0"/>
                <w:color w:val="auto"/>
                <w:spacing w:val="0"/>
                <w:sz w:val="24"/>
                <w:szCs w:val="24"/>
              </w:rPr>
              <w:t>0m，车次</w:t>
            </w:r>
            <w:r>
              <w:rPr>
                <w:rFonts w:hint="eastAsia" w:ascii="Times New Roman" w:hAnsi="Times New Roman" w:cs="Times New Roman" w:eastAsiaTheme="minorEastAsia"/>
                <w:b w:val="0"/>
                <w:bCs w:val="0"/>
                <w:color w:val="auto"/>
                <w:spacing w:val="0"/>
                <w:sz w:val="24"/>
                <w:szCs w:val="24"/>
                <w:lang w:val="en-US" w:eastAsia="zh-CN"/>
              </w:rPr>
              <w:t>2834</w:t>
            </w:r>
            <w:r>
              <w:rPr>
                <w:rFonts w:hint="eastAsia" w:ascii="Times New Roman" w:hAnsi="Times New Roman" w:cs="Times New Roman" w:eastAsiaTheme="minorEastAsia"/>
                <w:b w:val="0"/>
                <w:bCs w:val="0"/>
                <w:color w:val="auto"/>
                <w:spacing w:val="0"/>
                <w:sz w:val="24"/>
                <w:szCs w:val="24"/>
              </w:rPr>
              <w:t>辆/年，路面状况P取0.</w:t>
            </w:r>
            <w:r>
              <w:rPr>
                <w:rFonts w:hint="eastAsia" w:ascii="Times New Roman" w:hAnsi="Times New Roman" w:cs="Times New Roman" w:eastAsiaTheme="minorEastAsia"/>
                <w:b w:val="0"/>
                <w:bCs w:val="0"/>
                <w:color w:val="auto"/>
                <w:spacing w:val="0"/>
                <w:sz w:val="24"/>
                <w:szCs w:val="24"/>
                <w:lang w:val="en-US" w:eastAsia="zh-CN"/>
              </w:rPr>
              <w:t>1</w:t>
            </w:r>
            <w:r>
              <w:rPr>
                <w:rFonts w:hint="eastAsia" w:ascii="Times New Roman" w:hAnsi="Times New Roman" w:cs="Times New Roman" w:eastAsiaTheme="minorEastAsia"/>
                <w:b w:val="0"/>
                <w:bCs w:val="0"/>
                <w:color w:val="auto"/>
                <w:spacing w:val="0"/>
                <w:sz w:val="24"/>
                <w:szCs w:val="24"/>
              </w:rPr>
              <w:t>kg/m</w:t>
            </w:r>
            <w:r>
              <w:rPr>
                <w:rFonts w:hint="eastAsia" w:ascii="Times New Roman" w:hAnsi="Times New Roman" w:cs="Times New Roman" w:eastAsiaTheme="minorEastAsia"/>
                <w:b w:val="0"/>
                <w:bCs w:val="0"/>
                <w:color w:val="auto"/>
                <w:spacing w:val="0"/>
                <w:sz w:val="24"/>
                <w:szCs w:val="24"/>
                <w:vertAlign w:val="superscript"/>
              </w:rPr>
              <w:t>2</w:t>
            </w:r>
            <w:r>
              <w:rPr>
                <w:rFonts w:hint="eastAsia" w:ascii="Times New Roman" w:hAnsi="Times New Roman" w:cs="Times New Roman" w:eastAsiaTheme="minorEastAsia"/>
                <w:b w:val="0"/>
                <w:bCs w:val="0"/>
                <w:color w:val="auto"/>
                <w:spacing w:val="0"/>
                <w:sz w:val="24"/>
                <w:szCs w:val="24"/>
              </w:rPr>
              <w:t>，经计算Qy为</w:t>
            </w:r>
            <w:r>
              <w:rPr>
                <w:rFonts w:hint="eastAsia" w:ascii="Times New Roman" w:hAnsi="Times New Roman" w:cs="Times New Roman" w:eastAsiaTheme="minorEastAsia"/>
                <w:b w:val="0"/>
                <w:bCs w:val="0"/>
                <w:color w:val="auto"/>
                <w:spacing w:val="0"/>
                <w:sz w:val="24"/>
                <w:szCs w:val="24"/>
                <w:lang w:val="en-US" w:eastAsia="zh-CN"/>
              </w:rPr>
              <w:t>1.681</w:t>
            </w:r>
            <w:r>
              <w:rPr>
                <w:rFonts w:hint="eastAsia" w:ascii="Times New Roman" w:hAnsi="Times New Roman" w:cs="Times New Roman" w:eastAsiaTheme="minorEastAsia"/>
                <w:b w:val="0"/>
                <w:bCs w:val="0"/>
                <w:color w:val="auto"/>
                <w:spacing w:val="0"/>
                <w:sz w:val="24"/>
                <w:szCs w:val="24"/>
              </w:rPr>
              <w:t>kg/km/辆，计算可知运输总扬尘量为</w:t>
            </w:r>
            <w:r>
              <w:rPr>
                <w:rFonts w:hint="eastAsia" w:ascii="Times New Roman" w:hAnsi="Times New Roman" w:cs="Times New Roman" w:eastAsiaTheme="minorEastAsia"/>
                <w:b w:val="0"/>
                <w:bCs w:val="0"/>
                <w:color w:val="auto"/>
                <w:spacing w:val="0"/>
                <w:sz w:val="24"/>
                <w:szCs w:val="24"/>
                <w:lang w:val="en-US" w:eastAsia="zh-CN"/>
              </w:rPr>
              <w:t>0.953</w:t>
            </w:r>
            <w:r>
              <w:rPr>
                <w:rFonts w:hint="eastAsia" w:ascii="Times New Roman" w:hAnsi="Times New Roman" w:cs="Times New Roman" w:eastAsiaTheme="minorEastAsia"/>
                <w:b w:val="0"/>
                <w:bCs w:val="0"/>
                <w:color w:val="auto"/>
                <w:spacing w:val="0"/>
                <w:sz w:val="24"/>
                <w:szCs w:val="24"/>
              </w:rPr>
              <w:t>t/a。由计算公式可知，扬尘产生量与地表粉尘覆盖量、行驶速度、载重等有关，因此在车辆进出场地需冲洗，</w:t>
            </w:r>
            <w:r>
              <w:rPr>
                <w:rFonts w:hint="eastAsia" w:ascii="Times New Roman" w:hAnsi="Times New Roman" w:cs="Times New Roman" w:eastAsiaTheme="minorEastAsia"/>
                <w:b w:val="0"/>
                <w:bCs w:val="0"/>
                <w:color w:val="auto"/>
                <w:spacing w:val="0"/>
                <w:sz w:val="24"/>
                <w:szCs w:val="24"/>
                <w:lang w:val="en-US" w:eastAsia="zh-CN"/>
              </w:rPr>
              <w:t>厂内道路</w:t>
            </w:r>
            <w:r>
              <w:rPr>
                <w:rFonts w:hint="eastAsia" w:ascii="Times New Roman" w:hAnsi="Times New Roman" w:cs="Times New Roman" w:eastAsiaTheme="minorEastAsia"/>
                <w:b w:val="0"/>
                <w:bCs w:val="0"/>
                <w:color w:val="auto"/>
                <w:spacing w:val="0"/>
                <w:sz w:val="24"/>
                <w:szCs w:val="24"/>
              </w:rPr>
              <w:t>同时定期安排专人对厂区内进行清扫、洒水工作，加强运行车辆管理，严禁超速（限速行驶</w:t>
            </w:r>
            <w:r>
              <w:rPr>
                <w:rFonts w:hint="eastAsia" w:ascii="Times New Roman" w:hAnsi="Times New Roman" w:cs="Times New Roman" w:eastAsiaTheme="minorEastAsia"/>
                <w:b w:val="0"/>
                <w:bCs w:val="0"/>
                <w:color w:val="auto"/>
                <w:spacing w:val="0"/>
                <w:sz w:val="24"/>
                <w:szCs w:val="24"/>
                <w:lang w:eastAsia="zh-CN"/>
              </w:rPr>
              <w:t>（</w:t>
            </w:r>
            <w:r>
              <w:rPr>
                <w:rFonts w:hint="eastAsia" w:ascii="Times New Roman" w:hAnsi="Times New Roman" w:cs="Times New Roman" w:eastAsiaTheme="minorEastAsia"/>
                <w:b w:val="0"/>
                <w:bCs w:val="0"/>
                <w:color w:val="auto"/>
                <w:spacing w:val="0"/>
                <w:sz w:val="24"/>
                <w:szCs w:val="24"/>
              </w:rPr>
              <w:t>10km/h）、超载运行等措施后，道路扬尘量约可抑尘80%，则扬尘排放量为</w:t>
            </w:r>
            <w:r>
              <w:rPr>
                <w:rFonts w:hint="eastAsia" w:ascii="Times New Roman" w:hAnsi="Times New Roman" w:cs="Times New Roman" w:eastAsiaTheme="minorEastAsia"/>
                <w:b w:val="0"/>
                <w:bCs w:val="0"/>
                <w:color w:val="auto"/>
                <w:spacing w:val="0"/>
                <w:sz w:val="24"/>
                <w:szCs w:val="24"/>
                <w:lang w:val="en-US" w:eastAsia="zh-CN"/>
              </w:rPr>
              <w:t>0.191</w:t>
            </w:r>
            <w:r>
              <w:rPr>
                <w:rFonts w:hint="eastAsia" w:ascii="Times New Roman" w:hAnsi="Times New Roman" w:cs="Times New Roman" w:eastAsiaTheme="minorEastAsia"/>
                <w:b w:val="0"/>
                <w:bCs w:val="0"/>
                <w:color w:val="auto"/>
                <w:spacing w:val="0"/>
                <w:sz w:val="24"/>
                <w:szCs w:val="24"/>
              </w:rPr>
              <w:t>t/a。</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bidi="ar-SA"/>
              </w:rPr>
              <w:t>（8）</w:t>
            </w:r>
            <w:r>
              <w:rPr>
                <w:rFonts w:hint="eastAsia" w:ascii="Times New Roman" w:hAnsi="Times New Roman" w:eastAsia="宋体" w:cs="Times New Roman"/>
                <w:color w:val="auto"/>
                <w:sz w:val="24"/>
                <w:szCs w:val="24"/>
                <w:lang w:val="en-US" w:eastAsia="zh-CN"/>
              </w:rPr>
              <w:t>危废贮存点</w:t>
            </w:r>
            <w:r>
              <w:rPr>
                <w:rFonts w:hint="default" w:ascii="Times New Roman" w:hAnsi="Times New Roman" w:eastAsia="宋体" w:cs="Times New Roman"/>
                <w:color w:val="auto"/>
                <w:sz w:val="24"/>
                <w:szCs w:val="24"/>
                <w:lang w:val="en-US" w:eastAsia="zh-CN"/>
              </w:rPr>
              <w:t xml:space="preserve">废机油挥发VOCs源强核算 </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w:t>
            </w:r>
            <w:r>
              <w:rPr>
                <w:rFonts w:hint="eastAsia" w:ascii="Times New Roman" w:hAnsi="Times New Roman" w:eastAsia="宋体" w:cs="Times New Roman"/>
                <w:color w:val="auto"/>
                <w:sz w:val="24"/>
                <w:szCs w:val="24"/>
                <w:lang w:val="en-US" w:eastAsia="zh-CN"/>
              </w:rPr>
              <w:t>危废贮存点</w:t>
            </w:r>
            <w:r>
              <w:rPr>
                <w:rFonts w:hint="default" w:ascii="Times New Roman" w:hAnsi="Times New Roman" w:eastAsia="宋体" w:cs="Times New Roman"/>
                <w:color w:val="auto"/>
                <w:sz w:val="24"/>
                <w:szCs w:val="24"/>
                <w:lang w:val="en-US" w:eastAsia="zh-CN"/>
              </w:rPr>
              <w:t>贮存设备维护产生的废机油，废机油密闭桶装暂存，正常状态桶盖密封；仅在分装、更换桶体、取样时短暂开盖，会产生少量有机废气（VOCs，以非甲烷总烃计）。参考《石化行业VOCs污染源排查工作指南》，废机油（矿物油类）油品静止储存挥发排放因子取0.00085kg/t・a；本项目废机油最大暂存量0.1t/a。VOCs产生量：0.000085</w:t>
            </w:r>
            <w:r>
              <w:rPr>
                <w:rFonts w:hint="eastAsia" w:ascii="Times New Roman" w:hAnsi="Times New Roman" w:eastAsia="宋体" w:cs="Times New Roman"/>
                <w:color w:val="auto"/>
                <w:sz w:val="24"/>
                <w:szCs w:val="24"/>
                <w:lang w:val="en-US" w:eastAsia="zh-CN"/>
              </w:rPr>
              <w:t>t/a。</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bidi="ar-SA"/>
              </w:rPr>
              <w:t>（9）</w:t>
            </w:r>
            <w:r>
              <w:rPr>
                <w:rFonts w:hint="default" w:ascii="Times New Roman" w:hAnsi="Times New Roman" w:eastAsia="宋体" w:cs="Times New Roman"/>
                <w:color w:val="auto"/>
                <w:sz w:val="24"/>
                <w:szCs w:val="24"/>
                <w:lang w:val="en-US" w:eastAsia="zh-CN"/>
              </w:rPr>
              <w:t>皮带转载无组织粉尘</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本项目各段密闭皮带机转载跌落点为无组织产尘环节，转载点设置喷淋抑尘。参照《逸散性工业粉尘控制技术》粒料加工厂皮带转运跌落产尘系数0.0012kg/t</w:t>
            </w:r>
            <w:r>
              <w:rPr>
                <w:rFonts w:hint="default" w:ascii="Times New Roman" w:hAnsi="Times New Roman" w:eastAsia="宋体" w:cs="Times New Roman"/>
                <w:color w:val="auto"/>
                <w:sz w:val="24"/>
                <w:szCs w:val="24"/>
                <w:lang w:val="en-US" w:eastAsia="zh-CN"/>
              </w:rPr>
              <w:noBreakHyphen/>
            </w:r>
            <w:r>
              <w:rPr>
                <w:rFonts w:hint="default" w:ascii="Times New Roman" w:hAnsi="Times New Roman" w:eastAsia="宋体" w:cs="Times New Roman"/>
                <w:color w:val="auto"/>
                <w:sz w:val="24"/>
                <w:szCs w:val="24"/>
                <w:lang w:val="en-US" w:eastAsia="zh-CN"/>
              </w:rPr>
              <w:t>转运物料，年转运建筑垃圾及骨料50000t/a；皮带转载点粉尘产生量</w:t>
            </w:r>
            <w:r>
              <w:rPr>
                <w:rFonts w:hint="eastAsia" w:ascii="Times New Roman" w:hAnsi="Times New Roman" w:eastAsia="宋体" w:cs="Times New Roman"/>
                <w:color w:val="auto"/>
                <w:sz w:val="24"/>
                <w:szCs w:val="24"/>
                <w:lang w:val="en-US" w:eastAsia="zh-CN"/>
              </w:rPr>
              <w:t>0.06t/a，</w:t>
            </w:r>
            <w:r>
              <w:rPr>
                <w:rFonts w:hint="default" w:ascii="Times New Roman" w:hAnsi="Times New Roman" w:eastAsia="宋体" w:cs="Times New Roman"/>
                <w:color w:val="auto"/>
                <w:sz w:val="24"/>
                <w:szCs w:val="24"/>
                <w:lang w:val="en-US" w:eastAsia="zh-CN"/>
              </w:rPr>
              <w:t>年工作2640h，产生速率0.023kg/h；转载点喷淋抑尘，综合去除效率取8</w:t>
            </w:r>
            <w:r>
              <w:rPr>
                <w:rFonts w:hint="eastAsia" w:ascii="Times New Roman" w:hAnsi="Times New Roman" w:eastAsia="宋体" w:cs="Times New Roman"/>
                <w:color w:val="auto"/>
                <w:sz w:val="24"/>
                <w:szCs w:val="24"/>
                <w:lang w:val="en-US" w:eastAsia="zh-CN"/>
              </w:rPr>
              <w:t>0</w:t>
            </w:r>
            <w:r>
              <w:rPr>
                <w:rFonts w:hint="default" w:ascii="Times New Roman" w:hAnsi="Times New Roman" w:eastAsia="宋体" w:cs="Times New Roman"/>
                <w:color w:val="auto"/>
                <w:sz w:val="24"/>
                <w:szCs w:val="24"/>
                <w:lang w:val="en-US" w:eastAsia="zh-CN"/>
              </w:rPr>
              <w:t>%；皮带转载无组织粉尘排放量</w:t>
            </w:r>
            <w:r>
              <w:rPr>
                <w:rFonts w:hint="eastAsia" w:ascii="Times New Roman" w:hAnsi="Times New Roman" w:eastAsia="宋体" w:cs="Times New Roman"/>
                <w:color w:val="auto"/>
                <w:sz w:val="24"/>
                <w:szCs w:val="24"/>
                <w:lang w:val="en-US" w:eastAsia="zh-CN"/>
              </w:rPr>
              <w:t>0.012t/a</w:t>
            </w:r>
            <w:r>
              <w:rPr>
                <w:rFonts w:hint="default" w:ascii="Times New Roman" w:hAnsi="Times New Roman" w:eastAsia="宋体" w:cs="Times New Roman"/>
                <w:color w:val="auto"/>
                <w:sz w:val="24"/>
                <w:szCs w:val="24"/>
                <w:lang w:val="en-US" w:eastAsia="zh-CN"/>
              </w:rPr>
              <w:t>，排放速率0.00</w:t>
            </w:r>
            <w:r>
              <w:rPr>
                <w:rFonts w:hint="eastAsia" w:ascii="Times New Roman" w:hAnsi="Times New Roman" w:eastAsia="宋体" w:cs="Times New Roman"/>
                <w:color w:val="auto"/>
                <w:sz w:val="24"/>
                <w:szCs w:val="24"/>
                <w:lang w:val="en-US" w:eastAsia="zh-CN"/>
              </w:rPr>
              <w:t>46</w:t>
            </w:r>
            <w:r>
              <w:rPr>
                <w:rFonts w:hint="default" w:ascii="Times New Roman" w:hAnsi="Times New Roman" w:eastAsia="宋体" w:cs="Times New Roman"/>
                <w:color w:val="auto"/>
                <w:sz w:val="24"/>
                <w:szCs w:val="24"/>
                <w:lang w:val="en-US" w:eastAsia="zh-CN"/>
              </w:rPr>
              <w:t>kg/h。</w:t>
            </w:r>
          </w:p>
          <w:p>
            <w:pPr>
              <w:keepNext w:val="0"/>
              <w:keepLines w:val="0"/>
              <w:pageBreakBefore w:val="0"/>
              <w:widowControl w:val="0"/>
              <w:kinsoku/>
              <w:wordWrap/>
              <w:overflowPunct/>
              <w:topLinePunct w:val="0"/>
              <w:autoSpaceDE/>
              <w:autoSpaceDN/>
              <w:bidi w:val="0"/>
              <w:adjustRightInd/>
              <w:snapToGrid/>
              <w:ind w:firstLine="480"/>
              <w:textAlignment w:val="auto"/>
              <w:rPr>
                <w:rFonts w:ascii="Times New Roman" w:hAnsi="Times New Roman" w:eastAsia="宋体" w:cs="Times New Roman"/>
                <w:color w:val="auto"/>
                <w:spacing w:val="0"/>
                <w:sz w:val="24"/>
                <w:szCs w:val="24"/>
              </w:rPr>
            </w:pPr>
            <w:r>
              <w:rPr>
                <w:rFonts w:hint="eastAsia" w:ascii="Times New Roman" w:hAnsi="Times New Roman" w:cs="Times New Roman" w:eastAsiaTheme="minorEastAsia"/>
                <w:color w:val="auto"/>
                <w:spacing w:val="0"/>
                <w:sz w:val="24"/>
                <w:szCs w:val="24"/>
              </w:rPr>
              <w:t>本项目污染物产生及排放情况见下表。</w:t>
            </w:r>
          </w:p>
          <w:p>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baseline"/>
              <w:rPr>
                <w:rFonts w:ascii="Times New Roman" w:hAnsi="Times New Roman" w:eastAsia="宋体" w:cs="Times New Roman"/>
                <w:b/>
                <w:bCs/>
                <w:color w:val="auto"/>
                <w:spacing w:val="0"/>
                <w:sz w:val="21"/>
              </w:rPr>
            </w:pPr>
            <w:r>
              <w:rPr>
                <w:rFonts w:ascii="Times New Roman" w:hAnsi="Times New Roman" w:eastAsia="宋体" w:cs="Times New Roman"/>
                <w:b/>
                <w:bCs/>
                <w:color w:val="auto"/>
                <w:spacing w:val="0"/>
                <w:sz w:val="21"/>
              </w:rPr>
              <w:t>表</w:t>
            </w:r>
            <w:r>
              <w:rPr>
                <w:rFonts w:hint="eastAsia" w:ascii="Times New Roman" w:hAnsi="Times New Roman" w:eastAsia="宋体" w:cs="Times New Roman"/>
                <w:b/>
                <w:bCs/>
                <w:color w:val="auto"/>
                <w:spacing w:val="0"/>
                <w:sz w:val="21"/>
              </w:rPr>
              <w:t>4-1</w:t>
            </w:r>
            <w:r>
              <w:rPr>
                <w:rFonts w:ascii="Times New Roman" w:hAnsi="Times New Roman" w:eastAsia="宋体" w:cs="Times New Roman"/>
                <w:b/>
                <w:bCs/>
                <w:color w:val="auto"/>
                <w:spacing w:val="0"/>
                <w:sz w:val="21"/>
              </w:rPr>
              <w:t xml:space="preserve"> 废气污染源产生及排放一览表</w:t>
            </w:r>
          </w:p>
          <w:tbl>
            <w:tblPr>
              <w:tblStyle w:val="55"/>
              <w:tblW w:w="4974" w:type="pct"/>
              <w:jc w:val="right"/>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932"/>
              <w:gridCol w:w="279"/>
              <w:gridCol w:w="450"/>
              <w:gridCol w:w="555"/>
              <w:gridCol w:w="647"/>
              <w:gridCol w:w="840"/>
              <w:gridCol w:w="818"/>
              <w:gridCol w:w="792"/>
              <w:gridCol w:w="241"/>
              <w:gridCol w:w="648"/>
              <w:gridCol w:w="840"/>
              <w:gridCol w:w="820"/>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jc w:val="right"/>
              </w:trPr>
              <w:tc>
                <w:tcPr>
                  <w:tcW w:w="593" w:type="pct"/>
                  <w:vMerge w:val="restart"/>
                  <w:tcMar>
                    <w:top w:w="15" w:type="dxa"/>
                    <w:left w:w="15" w:type="dxa"/>
                    <w:bottom w:w="0" w:type="dxa"/>
                    <w:right w:w="15" w:type="dxa"/>
                  </w:tcMar>
                  <w:vAlign w:val="center"/>
                </w:tcPr>
                <w:p>
                  <w:pPr>
                    <w:widowControl/>
                    <w:spacing w:line="240" w:lineRule="auto"/>
                    <w:ind w:firstLine="0" w:firstLineChars="0"/>
                    <w:jc w:val="center"/>
                    <w:textAlignment w:val="center"/>
                    <w:rPr>
                      <w:rFonts w:ascii="Times New Roman" w:hAnsi="Times New Roman" w:eastAsia="宋体" w:cs="Times New Roman"/>
                      <w:color w:val="auto"/>
                      <w:spacing w:val="0"/>
                      <w:sz w:val="21"/>
                      <w:szCs w:val="21"/>
                    </w:rPr>
                  </w:pPr>
                  <w:r>
                    <w:rPr>
                      <w:rFonts w:ascii="Times New Roman" w:hAnsi="Times New Roman" w:eastAsia="宋体" w:cs="Times New Roman"/>
                      <w:color w:val="auto"/>
                      <w:spacing w:val="0"/>
                      <w:sz w:val="21"/>
                      <w:szCs w:val="21"/>
                    </w:rPr>
                    <w:t>产污</w:t>
                  </w:r>
                </w:p>
                <w:p>
                  <w:pPr>
                    <w:widowControl/>
                    <w:spacing w:line="240" w:lineRule="auto"/>
                    <w:ind w:firstLine="0" w:firstLineChars="0"/>
                    <w:jc w:val="center"/>
                    <w:textAlignment w:val="center"/>
                    <w:rPr>
                      <w:rFonts w:ascii="Times New Roman" w:hAnsi="Times New Roman" w:eastAsia="宋体" w:cs="Times New Roman"/>
                      <w:color w:val="auto"/>
                      <w:spacing w:val="0"/>
                      <w:sz w:val="21"/>
                      <w:szCs w:val="21"/>
                    </w:rPr>
                  </w:pPr>
                  <w:r>
                    <w:rPr>
                      <w:rFonts w:ascii="Times New Roman" w:hAnsi="Times New Roman" w:eastAsia="宋体" w:cs="Times New Roman"/>
                      <w:color w:val="auto"/>
                      <w:spacing w:val="0"/>
                      <w:sz w:val="21"/>
                      <w:szCs w:val="21"/>
                    </w:rPr>
                    <w:t>环节</w:t>
                  </w:r>
                </w:p>
              </w:tc>
              <w:tc>
                <w:tcPr>
                  <w:tcW w:w="177" w:type="pct"/>
                  <w:vMerge w:val="restart"/>
                  <w:tcMar>
                    <w:top w:w="15" w:type="dxa"/>
                    <w:left w:w="15" w:type="dxa"/>
                    <w:bottom w:w="0" w:type="dxa"/>
                    <w:right w:w="15" w:type="dxa"/>
                  </w:tcMar>
                  <w:vAlign w:val="center"/>
                </w:tcPr>
                <w:p>
                  <w:pPr>
                    <w:widowControl/>
                    <w:spacing w:line="240" w:lineRule="auto"/>
                    <w:ind w:firstLine="0" w:firstLineChars="0"/>
                    <w:jc w:val="center"/>
                    <w:textAlignment w:val="center"/>
                    <w:rPr>
                      <w:rFonts w:ascii="Times New Roman" w:hAnsi="Times New Roman" w:eastAsia="宋体" w:cs="Times New Roman"/>
                      <w:color w:val="auto"/>
                      <w:spacing w:val="0"/>
                      <w:sz w:val="21"/>
                      <w:szCs w:val="21"/>
                    </w:rPr>
                  </w:pPr>
                  <w:r>
                    <w:rPr>
                      <w:rFonts w:ascii="Times New Roman" w:hAnsi="Times New Roman" w:eastAsia="宋体" w:cs="Times New Roman"/>
                      <w:color w:val="auto"/>
                      <w:spacing w:val="0"/>
                      <w:sz w:val="21"/>
                      <w:szCs w:val="21"/>
                    </w:rPr>
                    <w:t>污染物种类</w:t>
                  </w:r>
                </w:p>
              </w:tc>
              <w:tc>
                <w:tcPr>
                  <w:tcW w:w="286" w:type="pct"/>
                  <w:vMerge w:val="restart"/>
                  <w:tcMar>
                    <w:top w:w="15" w:type="dxa"/>
                    <w:left w:w="15" w:type="dxa"/>
                    <w:bottom w:w="0" w:type="dxa"/>
                    <w:right w:w="15" w:type="dxa"/>
                  </w:tcMar>
                  <w:vAlign w:val="center"/>
                </w:tcPr>
                <w:p>
                  <w:pPr>
                    <w:widowControl/>
                    <w:spacing w:line="240" w:lineRule="auto"/>
                    <w:ind w:firstLine="0" w:firstLineChars="0"/>
                    <w:jc w:val="center"/>
                    <w:textAlignment w:val="center"/>
                    <w:rPr>
                      <w:rFonts w:ascii="Times New Roman" w:hAnsi="Times New Roman" w:eastAsia="宋体" w:cs="Times New Roman"/>
                      <w:color w:val="auto"/>
                      <w:spacing w:val="0"/>
                      <w:sz w:val="21"/>
                      <w:szCs w:val="21"/>
                    </w:rPr>
                  </w:pPr>
                  <w:r>
                    <w:rPr>
                      <w:rFonts w:ascii="Times New Roman" w:hAnsi="Times New Roman" w:eastAsia="宋体" w:cs="Times New Roman"/>
                      <w:color w:val="auto"/>
                      <w:spacing w:val="0"/>
                      <w:sz w:val="21"/>
                      <w:szCs w:val="21"/>
                    </w:rPr>
                    <w:t>年运行时间</w:t>
                  </w:r>
                  <w:r>
                    <w:rPr>
                      <w:rStyle w:val="149"/>
                      <w:rFonts w:hint="default" w:ascii="Times New Roman" w:hAnsi="Times New Roman" w:cs="Times New Roman"/>
                      <w:color w:val="auto"/>
                      <w:spacing w:val="0"/>
                      <w:sz w:val="21"/>
                      <w:szCs w:val="21"/>
                    </w:rPr>
                    <w:t>/h</w:t>
                  </w:r>
                </w:p>
              </w:tc>
              <w:tc>
                <w:tcPr>
                  <w:tcW w:w="352" w:type="pct"/>
                  <w:vMerge w:val="restart"/>
                  <w:tcMar>
                    <w:top w:w="15" w:type="dxa"/>
                    <w:left w:w="15" w:type="dxa"/>
                    <w:bottom w:w="0" w:type="dxa"/>
                    <w:right w:w="15" w:type="dxa"/>
                  </w:tcMar>
                  <w:vAlign w:val="center"/>
                </w:tcPr>
                <w:p>
                  <w:pPr>
                    <w:widowControl/>
                    <w:spacing w:line="240" w:lineRule="auto"/>
                    <w:ind w:firstLine="0" w:firstLineChars="0"/>
                    <w:jc w:val="center"/>
                    <w:textAlignment w:val="center"/>
                    <w:rPr>
                      <w:rFonts w:ascii="Times New Roman" w:hAnsi="Times New Roman" w:eastAsia="宋体" w:cs="Times New Roman"/>
                      <w:color w:val="auto"/>
                      <w:spacing w:val="0"/>
                      <w:sz w:val="21"/>
                      <w:szCs w:val="21"/>
                    </w:rPr>
                  </w:pPr>
                  <w:r>
                    <w:rPr>
                      <w:rFonts w:ascii="Times New Roman" w:hAnsi="Times New Roman" w:eastAsia="宋体" w:cs="Times New Roman"/>
                      <w:color w:val="auto"/>
                      <w:spacing w:val="0"/>
                      <w:sz w:val="21"/>
                      <w:szCs w:val="21"/>
                    </w:rPr>
                    <w:t>风机</w:t>
                  </w:r>
                </w:p>
                <w:p>
                  <w:pPr>
                    <w:widowControl/>
                    <w:spacing w:line="240" w:lineRule="auto"/>
                    <w:ind w:firstLine="0" w:firstLineChars="0"/>
                    <w:jc w:val="center"/>
                    <w:textAlignment w:val="center"/>
                    <w:rPr>
                      <w:rFonts w:ascii="Times New Roman" w:hAnsi="Times New Roman" w:eastAsia="宋体" w:cs="Times New Roman"/>
                      <w:color w:val="auto"/>
                      <w:spacing w:val="0"/>
                      <w:sz w:val="21"/>
                      <w:szCs w:val="21"/>
                    </w:rPr>
                  </w:pPr>
                  <w:r>
                    <w:rPr>
                      <w:rFonts w:ascii="Times New Roman" w:hAnsi="Times New Roman" w:eastAsia="宋体" w:cs="Times New Roman"/>
                      <w:color w:val="auto"/>
                      <w:spacing w:val="0"/>
                      <w:sz w:val="21"/>
                      <w:szCs w:val="21"/>
                    </w:rPr>
                    <w:t>风量</w:t>
                  </w:r>
                  <w:r>
                    <w:rPr>
                      <w:rStyle w:val="149"/>
                      <w:rFonts w:hint="default" w:ascii="Times New Roman" w:hAnsi="Times New Roman" w:cs="Times New Roman"/>
                      <w:color w:val="auto"/>
                      <w:spacing w:val="0"/>
                      <w:sz w:val="21"/>
                      <w:szCs w:val="21"/>
                    </w:rPr>
                    <w:t>/m</w:t>
                  </w:r>
                  <w:r>
                    <w:rPr>
                      <w:rStyle w:val="149"/>
                      <w:rFonts w:hint="default" w:ascii="Times New Roman" w:hAnsi="Times New Roman" w:cs="Times New Roman"/>
                      <w:color w:val="auto"/>
                      <w:spacing w:val="0"/>
                      <w:sz w:val="21"/>
                      <w:szCs w:val="21"/>
                      <w:vertAlign w:val="superscript"/>
                    </w:rPr>
                    <w:t>3</w:t>
                  </w:r>
                  <w:r>
                    <w:rPr>
                      <w:rStyle w:val="149"/>
                      <w:rFonts w:hint="default" w:ascii="Times New Roman" w:hAnsi="Times New Roman" w:cs="Times New Roman"/>
                      <w:color w:val="auto"/>
                      <w:spacing w:val="0"/>
                      <w:sz w:val="21"/>
                      <w:szCs w:val="21"/>
                    </w:rPr>
                    <w:t>/h</w:t>
                  </w:r>
                </w:p>
              </w:tc>
              <w:tc>
                <w:tcPr>
                  <w:tcW w:w="1465" w:type="pct"/>
                  <w:gridSpan w:val="3"/>
                  <w:tcMar>
                    <w:top w:w="15" w:type="dxa"/>
                    <w:left w:w="15" w:type="dxa"/>
                    <w:bottom w:w="0" w:type="dxa"/>
                    <w:right w:w="15" w:type="dxa"/>
                  </w:tcMar>
                  <w:vAlign w:val="center"/>
                </w:tcPr>
                <w:p>
                  <w:pPr>
                    <w:widowControl/>
                    <w:spacing w:line="240" w:lineRule="auto"/>
                    <w:ind w:firstLine="0" w:firstLineChars="0"/>
                    <w:jc w:val="center"/>
                    <w:textAlignment w:val="center"/>
                    <w:rPr>
                      <w:rFonts w:ascii="Times New Roman" w:hAnsi="Times New Roman" w:eastAsia="宋体" w:cs="Times New Roman"/>
                      <w:color w:val="auto"/>
                      <w:spacing w:val="0"/>
                      <w:sz w:val="21"/>
                      <w:szCs w:val="21"/>
                    </w:rPr>
                  </w:pPr>
                  <w:r>
                    <w:rPr>
                      <w:rFonts w:ascii="Times New Roman" w:hAnsi="Times New Roman" w:eastAsia="宋体" w:cs="Times New Roman"/>
                      <w:color w:val="auto"/>
                      <w:spacing w:val="0"/>
                      <w:sz w:val="21"/>
                      <w:szCs w:val="21"/>
                    </w:rPr>
                    <w:t>产生情况</w:t>
                  </w:r>
                </w:p>
              </w:tc>
              <w:tc>
                <w:tcPr>
                  <w:tcW w:w="656" w:type="pct"/>
                  <w:gridSpan w:val="2"/>
                  <w:tcMar>
                    <w:top w:w="15" w:type="dxa"/>
                    <w:left w:w="15" w:type="dxa"/>
                    <w:bottom w:w="0" w:type="dxa"/>
                    <w:right w:w="15" w:type="dxa"/>
                  </w:tcMar>
                  <w:vAlign w:val="center"/>
                </w:tcPr>
                <w:p>
                  <w:pPr>
                    <w:widowControl/>
                    <w:spacing w:line="240" w:lineRule="auto"/>
                    <w:ind w:firstLine="0" w:firstLineChars="0"/>
                    <w:jc w:val="center"/>
                    <w:textAlignment w:val="center"/>
                    <w:rPr>
                      <w:rFonts w:ascii="Times New Roman" w:hAnsi="Times New Roman" w:eastAsia="宋体" w:cs="Times New Roman"/>
                      <w:color w:val="auto"/>
                      <w:spacing w:val="0"/>
                      <w:sz w:val="21"/>
                      <w:szCs w:val="21"/>
                    </w:rPr>
                  </w:pPr>
                  <w:r>
                    <w:rPr>
                      <w:rFonts w:ascii="Times New Roman" w:hAnsi="Times New Roman" w:eastAsia="宋体" w:cs="Times New Roman"/>
                      <w:color w:val="auto"/>
                      <w:spacing w:val="0"/>
                      <w:sz w:val="21"/>
                      <w:szCs w:val="21"/>
                    </w:rPr>
                    <w:t>治理设施</w:t>
                  </w:r>
                </w:p>
              </w:tc>
              <w:tc>
                <w:tcPr>
                  <w:tcW w:w="1467" w:type="pct"/>
                  <w:gridSpan w:val="3"/>
                  <w:tcMar>
                    <w:top w:w="15" w:type="dxa"/>
                    <w:left w:w="15" w:type="dxa"/>
                    <w:bottom w:w="0" w:type="dxa"/>
                    <w:right w:w="15" w:type="dxa"/>
                  </w:tcMar>
                  <w:vAlign w:val="center"/>
                </w:tcPr>
                <w:p>
                  <w:pPr>
                    <w:widowControl/>
                    <w:spacing w:line="240" w:lineRule="auto"/>
                    <w:ind w:firstLine="0" w:firstLineChars="0"/>
                    <w:jc w:val="center"/>
                    <w:textAlignment w:val="center"/>
                    <w:rPr>
                      <w:rFonts w:ascii="Times New Roman" w:hAnsi="Times New Roman" w:eastAsia="宋体" w:cs="Times New Roman"/>
                      <w:color w:val="auto"/>
                      <w:spacing w:val="0"/>
                      <w:sz w:val="21"/>
                      <w:szCs w:val="21"/>
                    </w:rPr>
                  </w:pPr>
                  <w:r>
                    <w:rPr>
                      <w:rFonts w:ascii="Times New Roman" w:hAnsi="Times New Roman" w:eastAsia="宋体" w:cs="Times New Roman"/>
                      <w:color w:val="auto"/>
                      <w:spacing w:val="0"/>
                      <w:sz w:val="21"/>
                      <w:szCs w:val="21"/>
                    </w:rPr>
                    <w:t>排放情况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jc w:val="right"/>
              </w:trPr>
              <w:tc>
                <w:tcPr>
                  <w:tcW w:w="593" w:type="pct"/>
                  <w:vMerge w:val="continue"/>
                  <w:vAlign w:val="center"/>
                </w:tcPr>
                <w:p>
                  <w:pPr>
                    <w:widowControl/>
                    <w:spacing w:line="240" w:lineRule="auto"/>
                    <w:ind w:firstLine="0" w:firstLineChars="0"/>
                    <w:jc w:val="center"/>
                    <w:rPr>
                      <w:rFonts w:ascii="Times New Roman" w:hAnsi="Times New Roman" w:eastAsia="宋体" w:cs="Times New Roman"/>
                      <w:color w:val="auto"/>
                      <w:spacing w:val="0"/>
                      <w:sz w:val="21"/>
                      <w:szCs w:val="21"/>
                    </w:rPr>
                  </w:pPr>
                </w:p>
              </w:tc>
              <w:tc>
                <w:tcPr>
                  <w:tcW w:w="177" w:type="pct"/>
                  <w:vMerge w:val="continue"/>
                  <w:vAlign w:val="center"/>
                </w:tcPr>
                <w:p>
                  <w:pPr>
                    <w:widowControl/>
                    <w:spacing w:line="240" w:lineRule="auto"/>
                    <w:ind w:firstLine="0" w:firstLineChars="0"/>
                    <w:jc w:val="center"/>
                    <w:rPr>
                      <w:rFonts w:ascii="Times New Roman" w:hAnsi="Times New Roman" w:eastAsia="宋体" w:cs="Times New Roman"/>
                      <w:color w:val="auto"/>
                      <w:spacing w:val="0"/>
                      <w:sz w:val="21"/>
                      <w:szCs w:val="21"/>
                    </w:rPr>
                  </w:pPr>
                </w:p>
              </w:tc>
              <w:tc>
                <w:tcPr>
                  <w:tcW w:w="286" w:type="pct"/>
                  <w:vMerge w:val="continue"/>
                  <w:tcMar>
                    <w:top w:w="15" w:type="dxa"/>
                    <w:left w:w="15" w:type="dxa"/>
                    <w:bottom w:w="0" w:type="dxa"/>
                    <w:right w:w="15" w:type="dxa"/>
                  </w:tcMar>
                  <w:vAlign w:val="center"/>
                </w:tcPr>
                <w:p>
                  <w:pPr>
                    <w:widowControl/>
                    <w:spacing w:line="240" w:lineRule="auto"/>
                    <w:ind w:firstLine="0" w:firstLineChars="0"/>
                    <w:jc w:val="center"/>
                    <w:rPr>
                      <w:rFonts w:ascii="Times New Roman" w:hAnsi="Times New Roman" w:eastAsia="宋体" w:cs="Times New Roman"/>
                      <w:color w:val="auto"/>
                      <w:spacing w:val="0"/>
                      <w:sz w:val="21"/>
                      <w:szCs w:val="21"/>
                    </w:rPr>
                  </w:pPr>
                </w:p>
              </w:tc>
              <w:tc>
                <w:tcPr>
                  <w:tcW w:w="352" w:type="pct"/>
                  <w:vMerge w:val="continue"/>
                  <w:tcMar>
                    <w:top w:w="15" w:type="dxa"/>
                    <w:left w:w="15" w:type="dxa"/>
                    <w:bottom w:w="0" w:type="dxa"/>
                    <w:right w:w="15" w:type="dxa"/>
                  </w:tcMar>
                  <w:vAlign w:val="center"/>
                </w:tcPr>
                <w:p>
                  <w:pPr>
                    <w:widowControl/>
                    <w:spacing w:line="240" w:lineRule="auto"/>
                    <w:ind w:firstLine="0" w:firstLineChars="0"/>
                    <w:jc w:val="center"/>
                    <w:rPr>
                      <w:rFonts w:ascii="Times New Roman" w:hAnsi="Times New Roman" w:eastAsia="宋体" w:cs="Times New Roman"/>
                      <w:color w:val="auto"/>
                      <w:spacing w:val="0"/>
                      <w:sz w:val="21"/>
                      <w:szCs w:val="21"/>
                    </w:rPr>
                  </w:pPr>
                </w:p>
              </w:tc>
              <w:tc>
                <w:tcPr>
                  <w:tcW w:w="411" w:type="pct"/>
                  <w:tcMar>
                    <w:top w:w="15" w:type="dxa"/>
                    <w:left w:w="15" w:type="dxa"/>
                    <w:bottom w:w="0" w:type="dxa"/>
                    <w:right w:w="15" w:type="dxa"/>
                  </w:tcMar>
                  <w:vAlign w:val="center"/>
                </w:tcPr>
                <w:p>
                  <w:pPr>
                    <w:widowControl/>
                    <w:spacing w:line="240" w:lineRule="auto"/>
                    <w:ind w:firstLine="0" w:firstLineChars="0"/>
                    <w:jc w:val="center"/>
                    <w:textAlignment w:val="center"/>
                    <w:rPr>
                      <w:rFonts w:ascii="Times New Roman" w:hAnsi="Times New Roman" w:eastAsia="宋体" w:cs="Times New Roman"/>
                      <w:color w:val="auto"/>
                      <w:spacing w:val="0"/>
                      <w:sz w:val="21"/>
                      <w:szCs w:val="21"/>
                    </w:rPr>
                  </w:pPr>
                  <w:r>
                    <w:rPr>
                      <w:rFonts w:ascii="Times New Roman" w:hAnsi="Times New Roman" w:eastAsia="宋体" w:cs="Times New Roman"/>
                      <w:color w:val="auto"/>
                      <w:spacing w:val="0"/>
                      <w:sz w:val="21"/>
                      <w:szCs w:val="21"/>
                    </w:rPr>
                    <w:t>产生浓度/mg/m</w:t>
                  </w:r>
                  <w:r>
                    <w:rPr>
                      <w:rFonts w:ascii="Times New Roman" w:hAnsi="Times New Roman" w:eastAsia="宋体" w:cs="Times New Roman"/>
                      <w:color w:val="auto"/>
                      <w:spacing w:val="0"/>
                      <w:sz w:val="21"/>
                      <w:szCs w:val="21"/>
                      <w:vertAlign w:val="superscript"/>
                    </w:rPr>
                    <w:t>3</w:t>
                  </w:r>
                </w:p>
              </w:tc>
              <w:tc>
                <w:tcPr>
                  <w:tcW w:w="534" w:type="pct"/>
                  <w:tcMar>
                    <w:top w:w="15" w:type="dxa"/>
                    <w:left w:w="15" w:type="dxa"/>
                    <w:bottom w:w="0" w:type="dxa"/>
                    <w:right w:w="15" w:type="dxa"/>
                  </w:tcMar>
                  <w:vAlign w:val="center"/>
                </w:tcPr>
                <w:p>
                  <w:pPr>
                    <w:widowControl/>
                    <w:spacing w:line="240" w:lineRule="auto"/>
                    <w:ind w:firstLine="0" w:firstLineChars="0"/>
                    <w:jc w:val="center"/>
                    <w:textAlignment w:val="center"/>
                    <w:rPr>
                      <w:rFonts w:ascii="Times New Roman" w:hAnsi="Times New Roman" w:eastAsia="宋体" w:cs="Times New Roman"/>
                      <w:color w:val="auto"/>
                      <w:spacing w:val="0"/>
                      <w:sz w:val="21"/>
                      <w:szCs w:val="21"/>
                    </w:rPr>
                  </w:pPr>
                  <w:r>
                    <w:rPr>
                      <w:rFonts w:ascii="Times New Roman" w:hAnsi="Times New Roman" w:eastAsia="宋体" w:cs="Times New Roman"/>
                      <w:color w:val="auto"/>
                      <w:spacing w:val="0"/>
                      <w:sz w:val="21"/>
                      <w:szCs w:val="21"/>
                    </w:rPr>
                    <w:t>产生</w:t>
                  </w:r>
                </w:p>
                <w:p>
                  <w:pPr>
                    <w:widowControl/>
                    <w:spacing w:line="240" w:lineRule="auto"/>
                    <w:ind w:firstLine="0" w:firstLineChars="0"/>
                    <w:jc w:val="center"/>
                    <w:textAlignment w:val="center"/>
                    <w:rPr>
                      <w:rFonts w:ascii="Times New Roman" w:hAnsi="Times New Roman" w:eastAsia="宋体" w:cs="Times New Roman"/>
                      <w:color w:val="auto"/>
                      <w:spacing w:val="0"/>
                      <w:sz w:val="21"/>
                      <w:szCs w:val="21"/>
                    </w:rPr>
                  </w:pPr>
                  <w:r>
                    <w:rPr>
                      <w:rFonts w:ascii="Times New Roman" w:hAnsi="Times New Roman" w:eastAsia="宋体" w:cs="Times New Roman"/>
                      <w:color w:val="auto"/>
                      <w:spacing w:val="0"/>
                      <w:sz w:val="21"/>
                      <w:szCs w:val="21"/>
                    </w:rPr>
                    <w:t>速率/kg/h</w:t>
                  </w:r>
                </w:p>
              </w:tc>
              <w:tc>
                <w:tcPr>
                  <w:tcW w:w="520" w:type="pct"/>
                  <w:tcMar>
                    <w:top w:w="15" w:type="dxa"/>
                    <w:left w:w="15" w:type="dxa"/>
                    <w:bottom w:w="0" w:type="dxa"/>
                    <w:right w:w="15" w:type="dxa"/>
                  </w:tcMar>
                  <w:vAlign w:val="center"/>
                </w:tcPr>
                <w:p>
                  <w:pPr>
                    <w:widowControl/>
                    <w:spacing w:line="240" w:lineRule="auto"/>
                    <w:ind w:firstLine="0" w:firstLineChars="0"/>
                    <w:jc w:val="center"/>
                    <w:textAlignment w:val="center"/>
                    <w:rPr>
                      <w:rFonts w:ascii="Times New Roman" w:hAnsi="Times New Roman" w:eastAsia="宋体" w:cs="Times New Roman"/>
                      <w:color w:val="auto"/>
                      <w:spacing w:val="0"/>
                      <w:sz w:val="21"/>
                      <w:szCs w:val="21"/>
                    </w:rPr>
                  </w:pPr>
                  <w:r>
                    <w:rPr>
                      <w:rFonts w:ascii="Times New Roman" w:hAnsi="Times New Roman" w:eastAsia="宋体" w:cs="Times New Roman"/>
                      <w:color w:val="auto"/>
                      <w:spacing w:val="0"/>
                      <w:sz w:val="21"/>
                      <w:szCs w:val="21"/>
                    </w:rPr>
                    <w:t>产生量/t/a</w:t>
                  </w:r>
                </w:p>
              </w:tc>
              <w:tc>
                <w:tcPr>
                  <w:tcW w:w="503" w:type="pct"/>
                  <w:tcMar>
                    <w:top w:w="15" w:type="dxa"/>
                    <w:left w:w="15" w:type="dxa"/>
                    <w:bottom w:w="0" w:type="dxa"/>
                    <w:right w:w="15" w:type="dxa"/>
                  </w:tcMar>
                  <w:vAlign w:val="center"/>
                </w:tcPr>
                <w:p>
                  <w:pPr>
                    <w:widowControl/>
                    <w:spacing w:line="240" w:lineRule="auto"/>
                    <w:ind w:firstLine="0" w:firstLineChars="0"/>
                    <w:jc w:val="center"/>
                    <w:textAlignment w:val="center"/>
                    <w:rPr>
                      <w:rFonts w:ascii="Times New Roman" w:hAnsi="Times New Roman" w:eastAsia="宋体" w:cs="Times New Roman"/>
                      <w:color w:val="auto"/>
                      <w:spacing w:val="0"/>
                      <w:sz w:val="21"/>
                      <w:szCs w:val="21"/>
                    </w:rPr>
                  </w:pPr>
                  <w:r>
                    <w:rPr>
                      <w:rFonts w:ascii="Times New Roman" w:hAnsi="Times New Roman" w:eastAsia="宋体" w:cs="Times New Roman"/>
                      <w:color w:val="auto"/>
                      <w:spacing w:val="0"/>
                      <w:sz w:val="21"/>
                      <w:szCs w:val="21"/>
                    </w:rPr>
                    <w:t>治理设施</w:t>
                  </w:r>
                </w:p>
              </w:tc>
              <w:tc>
                <w:tcPr>
                  <w:tcW w:w="152" w:type="pct"/>
                  <w:tcMar>
                    <w:top w:w="15" w:type="dxa"/>
                    <w:left w:w="15" w:type="dxa"/>
                    <w:bottom w:w="0" w:type="dxa"/>
                    <w:right w:w="15" w:type="dxa"/>
                  </w:tcMar>
                  <w:vAlign w:val="center"/>
                </w:tcPr>
                <w:p>
                  <w:pPr>
                    <w:widowControl/>
                    <w:spacing w:line="240" w:lineRule="auto"/>
                    <w:ind w:firstLine="0" w:firstLineChars="0"/>
                    <w:jc w:val="center"/>
                    <w:textAlignment w:val="center"/>
                    <w:rPr>
                      <w:rFonts w:ascii="Times New Roman" w:hAnsi="Times New Roman" w:eastAsia="宋体" w:cs="Times New Roman"/>
                      <w:color w:val="auto"/>
                      <w:spacing w:val="0"/>
                      <w:sz w:val="21"/>
                      <w:szCs w:val="21"/>
                    </w:rPr>
                  </w:pPr>
                  <w:r>
                    <w:rPr>
                      <w:rFonts w:ascii="Times New Roman" w:hAnsi="Times New Roman" w:eastAsia="宋体" w:cs="Times New Roman"/>
                      <w:color w:val="auto"/>
                      <w:spacing w:val="0"/>
                      <w:sz w:val="21"/>
                      <w:szCs w:val="21"/>
                    </w:rPr>
                    <w:t>是否为可行技术</w:t>
                  </w:r>
                </w:p>
              </w:tc>
              <w:tc>
                <w:tcPr>
                  <w:tcW w:w="412" w:type="pct"/>
                  <w:tcMar>
                    <w:top w:w="15" w:type="dxa"/>
                    <w:left w:w="15" w:type="dxa"/>
                    <w:bottom w:w="0" w:type="dxa"/>
                    <w:right w:w="15" w:type="dxa"/>
                  </w:tcMar>
                  <w:vAlign w:val="center"/>
                </w:tcPr>
                <w:p>
                  <w:pPr>
                    <w:widowControl/>
                    <w:spacing w:line="240" w:lineRule="auto"/>
                    <w:ind w:firstLine="0" w:firstLineChars="0"/>
                    <w:jc w:val="center"/>
                    <w:textAlignment w:val="center"/>
                    <w:rPr>
                      <w:rFonts w:ascii="Times New Roman" w:hAnsi="Times New Roman" w:eastAsia="宋体" w:cs="Times New Roman"/>
                      <w:color w:val="auto"/>
                      <w:spacing w:val="0"/>
                      <w:sz w:val="21"/>
                      <w:szCs w:val="21"/>
                    </w:rPr>
                  </w:pPr>
                  <w:r>
                    <w:rPr>
                      <w:rFonts w:ascii="Times New Roman" w:hAnsi="Times New Roman" w:eastAsia="宋体" w:cs="Times New Roman"/>
                      <w:color w:val="auto"/>
                      <w:spacing w:val="0"/>
                      <w:sz w:val="21"/>
                      <w:szCs w:val="21"/>
                    </w:rPr>
                    <w:t>排放浓度/mg/m</w:t>
                  </w:r>
                  <w:r>
                    <w:rPr>
                      <w:rFonts w:ascii="Times New Roman" w:hAnsi="Times New Roman" w:eastAsia="宋体" w:cs="Times New Roman"/>
                      <w:color w:val="auto"/>
                      <w:spacing w:val="0"/>
                      <w:sz w:val="21"/>
                      <w:szCs w:val="21"/>
                      <w:vertAlign w:val="superscript"/>
                    </w:rPr>
                    <w:t>3</w:t>
                  </w:r>
                </w:p>
              </w:tc>
              <w:tc>
                <w:tcPr>
                  <w:tcW w:w="534" w:type="pct"/>
                  <w:tcMar>
                    <w:top w:w="15" w:type="dxa"/>
                    <w:left w:w="15" w:type="dxa"/>
                    <w:bottom w:w="0" w:type="dxa"/>
                    <w:right w:w="15" w:type="dxa"/>
                  </w:tcMar>
                  <w:vAlign w:val="center"/>
                </w:tcPr>
                <w:p>
                  <w:pPr>
                    <w:widowControl/>
                    <w:spacing w:line="240" w:lineRule="auto"/>
                    <w:ind w:firstLine="0" w:firstLineChars="0"/>
                    <w:jc w:val="center"/>
                    <w:textAlignment w:val="center"/>
                    <w:rPr>
                      <w:rFonts w:ascii="Times New Roman" w:hAnsi="Times New Roman" w:eastAsia="宋体" w:cs="Times New Roman"/>
                      <w:color w:val="auto"/>
                      <w:spacing w:val="0"/>
                      <w:sz w:val="21"/>
                      <w:szCs w:val="21"/>
                    </w:rPr>
                  </w:pPr>
                  <w:r>
                    <w:rPr>
                      <w:rFonts w:ascii="Times New Roman" w:hAnsi="Times New Roman" w:eastAsia="宋体" w:cs="Times New Roman"/>
                      <w:color w:val="auto"/>
                      <w:spacing w:val="0"/>
                      <w:sz w:val="21"/>
                      <w:szCs w:val="21"/>
                    </w:rPr>
                    <w:t>排放速率/kg/h</w:t>
                  </w:r>
                </w:p>
              </w:tc>
              <w:tc>
                <w:tcPr>
                  <w:tcW w:w="520" w:type="pct"/>
                  <w:tcMar>
                    <w:top w:w="15" w:type="dxa"/>
                    <w:left w:w="15" w:type="dxa"/>
                    <w:bottom w:w="0" w:type="dxa"/>
                    <w:right w:w="15" w:type="dxa"/>
                  </w:tcMar>
                  <w:vAlign w:val="center"/>
                </w:tcPr>
                <w:p>
                  <w:pPr>
                    <w:widowControl/>
                    <w:spacing w:line="240" w:lineRule="auto"/>
                    <w:ind w:firstLine="0" w:firstLineChars="0"/>
                    <w:jc w:val="center"/>
                    <w:textAlignment w:val="center"/>
                    <w:rPr>
                      <w:rFonts w:ascii="Times New Roman" w:hAnsi="Times New Roman" w:eastAsia="宋体" w:cs="Times New Roman"/>
                      <w:color w:val="auto"/>
                      <w:spacing w:val="0"/>
                      <w:sz w:val="21"/>
                      <w:szCs w:val="21"/>
                    </w:rPr>
                  </w:pPr>
                  <w:r>
                    <w:rPr>
                      <w:rFonts w:ascii="Times New Roman" w:hAnsi="Times New Roman" w:eastAsia="宋体" w:cs="Times New Roman"/>
                      <w:color w:val="auto"/>
                      <w:spacing w:val="0"/>
                      <w:sz w:val="21"/>
                      <w:szCs w:val="21"/>
                    </w:rPr>
                    <w:t>排放量/t/a</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jc w:val="right"/>
              </w:trPr>
              <w:tc>
                <w:tcPr>
                  <w:tcW w:w="593" w:type="pct"/>
                  <w:tcMar>
                    <w:top w:w="15" w:type="dxa"/>
                    <w:left w:w="15" w:type="dxa"/>
                    <w:bottom w:w="0" w:type="dxa"/>
                    <w:right w:w="15" w:type="dxa"/>
                  </w:tcMar>
                  <w:vAlign w:val="center"/>
                </w:tcPr>
                <w:p>
                  <w:pPr>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物料卸料、堆存粉尘</w:t>
                  </w:r>
                </w:p>
              </w:tc>
              <w:tc>
                <w:tcPr>
                  <w:tcW w:w="177" w:type="pct"/>
                  <w:shd w:val="clear" w:color="auto" w:fill="auto"/>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颗粒物</w:t>
                  </w:r>
                </w:p>
              </w:tc>
              <w:tc>
                <w:tcPr>
                  <w:tcW w:w="286" w:type="pct"/>
                  <w:tcMar>
                    <w:top w:w="15" w:type="dxa"/>
                    <w:left w:w="15" w:type="dxa"/>
                    <w:bottom w:w="0" w:type="dxa"/>
                    <w:right w:w="15" w:type="dxa"/>
                  </w:tcMar>
                  <w:vAlign w:val="center"/>
                </w:tcPr>
                <w:p>
                  <w:pPr>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2640</w:t>
                  </w:r>
                </w:p>
              </w:tc>
              <w:tc>
                <w:tcPr>
                  <w:tcW w:w="352"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w:t>
                  </w:r>
                </w:p>
              </w:tc>
              <w:tc>
                <w:tcPr>
                  <w:tcW w:w="411"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w:t>
                  </w:r>
                </w:p>
              </w:tc>
              <w:tc>
                <w:tcPr>
                  <w:tcW w:w="534"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4.83</w:t>
                  </w:r>
                </w:p>
              </w:tc>
              <w:tc>
                <w:tcPr>
                  <w:tcW w:w="520"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12.75</w:t>
                  </w:r>
                </w:p>
              </w:tc>
              <w:tc>
                <w:tcPr>
                  <w:tcW w:w="503" w:type="pct"/>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rPr>
                  </w:pPr>
                  <w:r>
                    <w:rPr>
                      <w:rFonts w:hint="eastAsia" w:ascii="Times New Roman" w:hAnsi="Times New Roman" w:eastAsia="宋体" w:cs="Times New Roman"/>
                      <w:color w:val="auto"/>
                      <w:spacing w:val="0"/>
                      <w:sz w:val="21"/>
                      <w:szCs w:val="21"/>
                      <w:lang w:val="en-US" w:eastAsia="zh-CN"/>
                    </w:rPr>
                    <w:t>配备雾炮降尘，原料堆存设置于密闭原料库</w:t>
                  </w:r>
                  <w:r>
                    <w:rPr>
                      <w:rFonts w:hint="eastAsia" w:ascii="宋体" w:hAnsi="宋体" w:eastAsia="宋体" w:cs="宋体"/>
                      <w:b w:val="0"/>
                      <w:bCs/>
                      <w:i w:val="0"/>
                      <w:iCs w:val="0"/>
                      <w:color w:val="auto"/>
                      <w:kern w:val="0"/>
                      <w:sz w:val="21"/>
                      <w:szCs w:val="21"/>
                      <w:u w:val="none"/>
                      <w:lang w:val="en-US" w:eastAsia="zh-CN" w:bidi="ar"/>
                    </w:rPr>
                    <w:t>，</w:t>
                  </w:r>
                  <w:r>
                    <w:rPr>
                      <w:rFonts w:hint="eastAsia" w:ascii="Times New Roman" w:hAnsi="Times New Roman" w:eastAsia="宋体" w:cs="Times New Roman"/>
                      <w:color w:val="auto"/>
                      <w:spacing w:val="0"/>
                      <w:sz w:val="21"/>
                      <w:szCs w:val="21"/>
                      <w:lang w:val="en-US" w:eastAsia="zh-CN"/>
                    </w:rPr>
                    <w:t>粉尘抑制率可达到92%</w:t>
                  </w:r>
                </w:p>
              </w:tc>
              <w:tc>
                <w:tcPr>
                  <w:tcW w:w="152" w:type="pct"/>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是</w:t>
                  </w:r>
                </w:p>
              </w:tc>
              <w:tc>
                <w:tcPr>
                  <w:tcW w:w="412"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w:t>
                  </w:r>
                </w:p>
              </w:tc>
              <w:tc>
                <w:tcPr>
                  <w:tcW w:w="534"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0.386</w:t>
                  </w:r>
                </w:p>
              </w:tc>
              <w:tc>
                <w:tcPr>
                  <w:tcW w:w="520"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1.02</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jc w:val="right"/>
              </w:trPr>
              <w:tc>
                <w:tcPr>
                  <w:tcW w:w="593" w:type="pct"/>
                  <w:shd w:val="clear" w:color="auto" w:fill="auto"/>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投料废气</w:t>
                  </w:r>
                </w:p>
              </w:tc>
              <w:tc>
                <w:tcPr>
                  <w:tcW w:w="177" w:type="pct"/>
                  <w:shd w:val="clear" w:color="auto" w:fill="auto"/>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颗粒物</w:t>
                  </w:r>
                </w:p>
              </w:tc>
              <w:tc>
                <w:tcPr>
                  <w:tcW w:w="286" w:type="pct"/>
                  <w:shd w:val="clear" w:color="auto" w:fill="auto"/>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2640</w:t>
                  </w:r>
                </w:p>
              </w:tc>
              <w:tc>
                <w:tcPr>
                  <w:tcW w:w="352"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w:t>
                  </w:r>
                </w:p>
              </w:tc>
              <w:tc>
                <w:tcPr>
                  <w:tcW w:w="411"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w:t>
                  </w:r>
                </w:p>
              </w:tc>
              <w:tc>
                <w:tcPr>
                  <w:tcW w:w="534"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0.013</w:t>
                  </w:r>
                </w:p>
              </w:tc>
              <w:tc>
                <w:tcPr>
                  <w:tcW w:w="520"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0.035</w:t>
                  </w:r>
                </w:p>
              </w:tc>
              <w:tc>
                <w:tcPr>
                  <w:tcW w:w="503"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水喷淋抑尘，车间密闭，粉尘抑制率可达到80%</w:t>
                  </w:r>
                </w:p>
              </w:tc>
              <w:tc>
                <w:tcPr>
                  <w:tcW w:w="152" w:type="pct"/>
                  <w:shd w:val="clear" w:color="auto" w:fill="auto"/>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是</w:t>
                  </w:r>
                </w:p>
              </w:tc>
              <w:tc>
                <w:tcPr>
                  <w:tcW w:w="412"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w:t>
                  </w:r>
                </w:p>
              </w:tc>
              <w:tc>
                <w:tcPr>
                  <w:tcW w:w="534"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0.0027</w:t>
                  </w:r>
                </w:p>
              </w:tc>
              <w:tc>
                <w:tcPr>
                  <w:tcW w:w="520"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0.007</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403" w:hRule="atLeast"/>
                <w:jc w:val="right"/>
              </w:trPr>
              <w:tc>
                <w:tcPr>
                  <w:tcW w:w="593" w:type="pct"/>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cs="Times New Roman" w:eastAsiaTheme="minorEastAsia"/>
                      <w:b w:val="0"/>
                      <w:bCs w:val="0"/>
                      <w:color w:val="auto"/>
                      <w:spacing w:val="0"/>
                      <w:sz w:val="21"/>
                      <w:szCs w:val="21"/>
                      <w:lang w:val="en-US" w:eastAsia="zh-CN"/>
                    </w:rPr>
                  </w:pPr>
                  <w:r>
                    <w:rPr>
                      <w:rFonts w:hint="eastAsia" w:ascii="Times New Roman" w:hAnsi="Times New Roman" w:cs="Times New Roman" w:eastAsiaTheme="minorEastAsia"/>
                      <w:b w:val="0"/>
                      <w:bCs w:val="0"/>
                      <w:color w:val="auto"/>
                      <w:spacing w:val="0"/>
                      <w:sz w:val="21"/>
                      <w:szCs w:val="21"/>
                      <w:lang w:val="en-US" w:eastAsia="zh-CN"/>
                    </w:rPr>
                    <w:t>颚破、</w:t>
                  </w:r>
                  <w:r>
                    <w:rPr>
                      <w:rFonts w:hint="eastAsia" w:ascii="Times New Roman" w:hAnsi="Times New Roman" w:cs="Times New Roman" w:eastAsiaTheme="minorEastAsia"/>
                      <w:bCs w:val="0"/>
                      <w:color w:val="auto"/>
                      <w:sz w:val="21"/>
                      <w:szCs w:val="21"/>
                      <w:lang w:eastAsia="zh-CN"/>
                    </w:rPr>
                    <w:t>渣土筛分、风选、</w:t>
                  </w:r>
                  <w:r>
                    <w:rPr>
                      <w:rFonts w:hint="eastAsia" w:ascii="Times New Roman" w:hAnsi="Times New Roman" w:cs="Times New Roman" w:eastAsiaTheme="minorEastAsia"/>
                      <w:bCs w:val="0"/>
                      <w:color w:val="auto"/>
                      <w:sz w:val="21"/>
                      <w:szCs w:val="21"/>
                      <w:lang w:val="en-US" w:eastAsia="zh-CN"/>
                    </w:rPr>
                    <w:t>反击破、成品筛分有组织废气</w:t>
                  </w:r>
                  <w:r>
                    <w:rPr>
                      <w:rFonts w:hint="eastAsia" w:ascii="Times New Roman" w:hAnsi="Times New Roman" w:eastAsia="宋体" w:cs="Times New Roman"/>
                      <w:color w:val="auto"/>
                      <w:spacing w:val="0"/>
                      <w:sz w:val="21"/>
                      <w:szCs w:val="21"/>
                      <w:lang w:val="en-US" w:eastAsia="zh-CN"/>
                    </w:rPr>
                    <w:t>DA001</w:t>
                  </w:r>
                </w:p>
              </w:tc>
              <w:tc>
                <w:tcPr>
                  <w:tcW w:w="177" w:type="pct"/>
                  <w:shd w:val="clear" w:color="auto" w:fill="auto"/>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颗粒物</w:t>
                  </w:r>
                </w:p>
              </w:tc>
              <w:tc>
                <w:tcPr>
                  <w:tcW w:w="286" w:type="pct"/>
                  <w:tcMar>
                    <w:top w:w="15" w:type="dxa"/>
                    <w:left w:w="15" w:type="dxa"/>
                    <w:bottom w:w="0" w:type="dxa"/>
                    <w:right w:w="15" w:type="dxa"/>
                  </w:tcMar>
                  <w:vAlign w:val="center"/>
                </w:tcPr>
                <w:p>
                  <w:pPr>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2640</w:t>
                  </w:r>
                </w:p>
              </w:tc>
              <w:tc>
                <w:tcPr>
                  <w:tcW w:w="352"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70000</w:t>
                  </w:r>
                </w:p>
              </w:tc>
              <w:tc>
                <w:tcPr>
                  <w:tcW w:w="411"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1318.8</w:t>
                  </w:r>
                </w:p>
              </w:tc>
              <w:tc>
                <w:tcPr>
                  <w:tcW w:w="534"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92.32</w:t>
                  </w:r>
                </w:p>
              </w:tc>
              <w:tc>
                <w:tcPr>
                  <w:tcW w:w="520"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243.72</w:t>
                  </w:r>
                </w:p>
              </w:tc>
              <w:tc>
                <w:tcPr>
                  <w:tcW w:w="503" w:type="pct"/>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rPr>
                  </w:pPr>
                  <w:r>
                    <w:rPr>
                      <w:rFonts w:hint="eastAsia" w:ascii="Times New Roman" w:hAnsi="Times New Roman" w:eastAsia="宋体" w:cs="Times New Roman"/>
                      <w:color w:val="auto"/>
                      <w:spacing w:val="0"/>
                      <w:sz w:val="21"/>
                      <w:szCs w:val="21"/>
                      <w:lang w:val="en-US" w:eastAsia="zh-CN"/>
                    </w:rPr>
                    <w:t>集气罩收集，布袋除尘器处理，</w:t>
                  </w:r>
                  <w:r>
                    <w:rPr>
                      <w:rFonts w:hint="eastAsia" w:ascii="Times New Roman" w:hAnsi="Times New Roman" w:eastAsia="宋体" w:cs="Times New Roman"/>
                      <w:color w:val="auto"/>
                      <w:spacing w:val="0"/>
                      <w:sz w:val="21"/>
                      <w:szCs w:val="21"/>
                    </w:rPr>
                    <w:t>除尘效率为</w:t>
                  </w:r>
                  <w:r>
                    <w:rPr>
                      <w:rFonts w:hint="eastAsia" w:ascii="Times New Roman" w:hAnsi="Times New Roman" w:eastAsia="宋体" w:cs="Times New Roman"/>
                      <w:color w:val="auto"/>
                      <w:spacing w:val="0"/>
                      <w:sz w:val="21"/>
                      <w:szCs w:val="21"/>
                      <w:lang w:val="en-US" w:eastAsia="zh-CN"/>
                    </w:rPr>
                    <w:t>98</w:t>
                  </w:r>
                  <w:r>
                    <w:rPr>
                      <w:rFonts w:hint="eastAsia" w:ascii="Times New Roman" w:hAnsi="Times New Roman" w:eastAsia="宋体" w:cs="Times New Roman"/>
                      <w:color w:val="auto"/>
                      <w:spacing w:val="0"/>
                      <w:sz w:val="21"/>
                      <w:szCs w:val="21"/>
                    </w:rPr>
                    <w:t>%</w:t>
                  </w:r>
                </w:p>
              </w:tc>
              <w:tc>
                <w:tcPr>
                  <w:tcW w:w="152" w:type="pct"/>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是</w:t>
                  </w:r>
                </w:p>
              </w:tc>
              <w:tc>
                <w:tcPr>
                  <w:tcW w:w="412"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26.4</w:t>
                  </w:r>
                </w:p>
              </w:tc>
              <w:tc>
                <w:tcPr>
                  <w:tcW w:w="534"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1.846</w:t>
                  </w:r>
                </w:p>
              </w:tc>
              <w:tc>
                <w:tcPr>
                  <w:tcW w:w="520"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4.874</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403" w:hRule="atLeast"/>
                <w:jc w:val="right"/>
              </w:trPr>
              <w:tc>
                <w:tcPr>
                  <w:tcW w:w="593" w:type="pct"/>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cs="Times New Roman" w:eastAsiaTheme="minorEastAsia"/>
                      <w:b w:val="0"/>
                      <w:bCs w:val="0"/>
                      <w:color w:val="auto"/>
                      <w:spacing w:val="0"/>
                      <w:sz w:val="21"/>
                      <w:szCs w:val="21"/>
                      <w:lang w:val="en-US" w:eastAsia="zh-CN"/>
                    </w:rPr>
                  </w:pPr>
                  <w:r>
                    <w:rPr>
                      <w:rFonts w:hint="eastAsia" w:ascii="Times New Roman" w:hAnsi="Times New Roman" w:cs="Times New Roman" w:eastAsiaTheme="minorEastAsia"/>
                      <w:b w:val="0"/>
                      <w:bCs w:val="0"/>
                      <w:color w:val="auto"/>
                      <w:spacing w:val="0"/>
                      <w:sz w:val="21"/>
                      <w:szCs w:val="21"/>
                      <w:lang w:val="en-US" w:eastAsia="zh-CN"/>
                    </w:rPr>
                    <w:t>颚破、</w:t>
                  </w:r>
                  <w:r>
                    <w:rPr>
                      <w:rFonts w:hint="eastAsia" w:ascii="Times New Roman" w:hAnsi="Times New Roman" w:cs="Times New Roman" w:eastAsiaTheme="minorEastAsia"/>
                      <w:bCs w:val="0"/>
                      <w:color w:val="auto"/>
                      <w:sz w:val="21"/>
                      <w:szCs w:val="21"/>
                      <w:lang w:eastAsia="zh-CN"/>
                    </w:rPr>
                    <w:t>渣土筛分、风选、</w:t>
                  </w:r>
                  <w:r>
                    <w:rPr>
                      <w:rFonts w:hint="eastAsia" w:ascii="Times New Roman" w:hAnsi="Times New Roman" w:cs="Times New Roman" w:eastAsiaTheme="minorEastAsia"/>
                      <w:bCs w:val="0"/>
                      <w:color w:val="auto"/>
                      <w:sz w:val="21"/>
                      <w:szCs w:val="21"/>
                      <w:lang w:val="en-US" w:eastAsia="zh-CN"/>
                    </w:rPr>
                    <w:t>反击破、成品筛分无组织废气</w:t>
                  </w:r>
                </w:p>
              </w:tc>
              <w:tc>
                <w:tcPr>
                  <w:tcW w:w="177" w:type="pct"/>
                  <w:shd w:val="clear" w:color="auto" w:fill="auto"/>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颗粒物</w:t>
                  </w:r>
                </w:p>
              </w:tc>
              <w:tc>
                <w:tcPr>
                  <w:tcW w:w="286" w:type="pct"/>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2640</w:t>
                  </w:r>
                </w:p>
              </w:tc>
              <w:tc>
                <w:tcPr>
                  <w:tcW w:w="352" w:type="pct"/>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w:t>
                  </w:r>
                </w:p>
              </w:tc>
              <w:tc>
                <w:tcPr>
                  <w:tcW w:w="411" w:type="pct"/>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w:t>
                  </w:r>
                </w:p>
              </w:tc>
              <w:tc>
                <w:tcPr>
                  <w:tcW w:w="534"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10.25</w:t>
                  </w:r>
                </w:p>
              </w:tc>
              <w:tc>
                <w:tcPr>
                  <w:tcW w:w="520"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27.08</w:t>
                  </w:r>
                </w:p>
              </w:tc>
              <w:tc>
                <w:tcPr>
                  <w:tcW w:w="503" w:type="pct"/>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lang w:val="en-US" w:eastAsia="zh-CN"/>
                    </w:rPr>
                  </w:pPr>
                  <w:r>
                    <w:rPr>
                      <w:rFonts w:hint="eastAsia" w:ascii="宋体" w:hAnsi="宋体" w:eastAsia="宋体" w:cs="宋体"/>
                      <w:b w:val="0"/>
                      <w:bCs/>
                      <w:i w:val="0"/>
                      <w:iCs w:val="0"/>
                      <w:color w:val="auto"/>
                      <w:kern w:val="0"/>
                      <w:sz w:val="21"/>
                      <w:szCs w:val="21"/>
                      <w:u w:val="none"/>
                      <w:lang w:val="en-US" w:eastAsia="zh-CN" w:bidi="ar"/>
                    </w:rPr>
                    <w:t>喷淋降尘、</w:t>
                  </w:r>
                  <w:r>
                    <w:rPr>
                      <w:rFonts w:hint="eastAsia" w:ascii="Times New Roman" w:hAnsi="Times New Roman" w:eastAsia="宋体" w:cs="Times New Roman"/>
                      <w:color w:val="auto"/>
                      <w:spacing w:val="0"/>
                      <w:sz w:val="21"/>
                      <w:szCs w:val="21"/>
                      <w:lang w:val="en-US" w:eastAsia="zh-CN"/>
                    </w:rPr>
                    <w:t>车间密闭</w:t>
                  </w:r>
                </w:p>
              </w:tc>
              <w:tc>
                <w:tcPr>
                  <w:tcW w:w="152" w:type="pct"/>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是</w:t>
                  </w:r>
                </w:p>
              </w:tc>
              <w:tc>
                <w:tcPr>
                  <w:tcW w:w="412" w:type="pct"/>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w:t>
                  </w:r>
                </w:p>
              </w:tc>
              <w:tc>
                <w:tcPr>
                  <w:tcW w:w="534"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4.103</w:t>
                  </w:r>
                </w:p>
              </w:tc>
              <w:tc>
                <w:tcPr>
                  <w:tcW w:w="520"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10.832</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jc w:val="right"/>
              </w:trPr>
              <w:tc>
                <w:tcPr>
                  <w:tcW w:w="593" w:type="pct"/>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rPr>
                  </w:pPr>
                  <w:r>
                    <w:rPr>
                      <w:rFonts w:hint="eastAsia" w:ascii="Times New Roman" w:hAnsi="Times New Roman" w:eastAsia="宋体" w:cs="Times New Roman"/>
                      <w:color w:val="auto"/>
                      <w:spacing w:val="0"/>
                      <w:sz w:val="21"/>
                      <w:szCs w:val="21"/>
                      <w:lang w:val="en-US" w:eastAsia="zh-CN"/>
                    </w:rPr>
                    <w:t>成品出料废气</w:t>
                  </w:r>
                </w:p>
              </w:tc>
              <w:tc>
                <w:tcPr>
                  <w:tcW w:w="177" w:type="pct"/>
                  <w:shd w:val="clear" w:color="auto" w:fill="auto"/>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颗粒物</w:t>
                  </w:r>
                </w:p>
              </w:tc>
              <w:tc>
                <w:tcPr>
                  <w:tcW w:w="286" w:type="pct"/>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2640</w:t>
                  </w:r>
                </w:p>
              </w:tc>
              <w:tc>
                <w:tcPr>
                  <w:tcW w:w="352"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w:t>
                  </w:r>
                </w:p>
              </w:tc>
              <w:tc>
                <w:tcPr>
                  <w:tcW w:w="411"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w:t>
                  </w:r>
                </w:p>
              </w:tc>
              <w:tc>
                <w:tcPr>
                  <w:tcW w:w="534"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0.015</w:t>
                  </w:r>
                </w:p>
              </w:tc>
              <w:tc>
                <w:tcPr>
                  <w:tcW w:w="520"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0.04</w:t>
                  </w:r>
                </w:p>
              </w:tc>
              <w:tc>
                <w:tcPr>
                  <w:tcW w:w="503" w:type="pct"/>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rPr>
                  </w:pPr>
                  <w:r>
                    <w:rPr>
                      <w:rFonts w:hint="eastAsia" w:ascii="宋体" w:hAnsi="宋体" w:eastAsia="宋体" w:cs="宋体"/>
                      <w:b w:val="0"/>
                      <w:bCs/>
                      <w:i w:val="0"/>
                      <w:iCs w:val="0"/>
                      <w:color w:val="auto"/>
                      <w:kern w:val="0"/>
                      <w:sz w:val="21"/>
                      <w:szCs w:val="21"/>
                      <w:u w:val="none"/>
                      <w:lang w:val="en-US" w:eastAsia="zh-CN" w:bidi="ar"/>
                    </w:rPr>
                    <w:t>喷淋降尘、</w:t>
                  </w:r>
                  <w:r>
                    <w:rPr>
                      <w:rFonts w:hint="eastAsia" w:ascii="Times New Roman" w:hAnsi="Times New Roman" w:eastAsia="宋体" w:cs="Times New Roman"/>
                      <w:color w:val="auto"/>
                      <w:spacing w:val="0"/>
                      <w:sz w:val="21"/>
                      <w:szCs w:val="21"/>
                      <w:lang w:val="en-US" w:eastAsia="zh-CN"/>
                    </w:rPr>
                    <w:t>车间密闭</w:t>
                  </w:r>
                </w:p>
              </w:tc>
              <w:tc>
                <w:tcPr>
                  <w:tcW w:w="152" w:type="pct"/>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rPr>
                  </w:pPr>
                  <w:r>
                    <w:rPr>
                      <w:rFonts w:hint="eastAsia" w:ascii="Times New Roman" w:hAnsi="Times New Roman" w:eastAsia="宋体" w:cs="Times New Roman"/>
                      <w:color w:val="auto"/>
                      <w:spacing w:val="0"/>
                      <w:sz w:val="21"/>
                      <w:szCs w:val="21"/>
                      <w:lang w:val="en-US" w:eastAsia="zh-CN"/>
                    </w:rPr>
                    <w:t>是</w:t>
                  </w:r>
                </w:p>
              </w:tc>
              <w:tc>
                <w:tcPr>
                  <w:tcW w:w="412"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w:t>
                  </w:r>
                </w:p>
              </w:tc>
              <w:tc>
                <w:tcPr>
                  <w:tcW w:w="534"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0.003</w:t>
                  </w:r>
                </w:p>
              </w:tc>
              <w:tc>
                <w:tcPr>
                  <w:tcW w:w="520"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0.008</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jc w:val="right"/>
              </w:trPr>
              <w:tc>
                <w:tcPr>
                  <w:tcW w:w="593" w:type="pct"/>
                  <w:tcMar>
                    <w:top w:w="15" w:type="dxa"/>
                    <w:left w:w="15" w:type="dxa"/>
                    <w:bottom w:w="0" w:type="dxa"/>
                    <w:right w:w="15" w:type="dxa"/>
                  </w:tcMar>
                  <w:vAlign w:val="center"/>
                </w:tcPr>
                <w:p>
                  <w:pPr>
                    <w:tabs>
                      <w:tab w:val="left" w:pos="566"/>
                    </w:tabs>
                    <w:spacing w:line="240" w:lineRule="auto"/>
                    <w:ind w:firstLine="0" w:firstLineChars="0"/>
                    <w:jc w:val="center"/>
                    <w:rPr>
                      <w:rFonts w:hint="eastAsia" w:ascii="Times New Roman" w:hAnsi="Times New Roman" w:eastAsia="宋体" w:cs="Times New Roman"/>
                      <w:color w:val="auto"/>
                      <w:spacing w:val="0"/>
                      <w:sz w:val="21"/>
                      <w:szCs w:val="21"/>
                      <w:lang w:eastAsia="zh-CN"/>
                    </w:rPr>
                  </w:pPr>
                  <w:r>
                    <w:rPr>
                      <w:rFonts w:hint="eastAsia" w:ascii="Times New Roman" w:hAnsi="Times New Roman" w:eastAsia="宋体" w:cs="Times New Roman"/>
                      <w:color w:val="auto"/>
                      <w:spacing w:val="0"/>
                      <w:sz w:val="21"/>
                      <w:szCs w:val="21"/>
                      <w:lang w:val="en-US" w:eastAsia="zh-CN"/>
                    </w:rPr>
                    <w:t>成品装车废气</w:t>
                  </w:r>
                </w:p>
              </w:tc>
              <w:tc>
                <w:tcPr>
                  <w:tcW w:w="177" w:type="pct"/>
                  <w:shd w:val="clear" w:color="auto" w:fill="auto"/>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颗粒物</w:t>
                  </w:r>
                </w:p>
              </w:tc>
              <w:tc>
                <w:tcPr>
                  <w:tcW w:w="286" w:type="pct"/>
                  <w:shd w:val="clear" w:color="auto" w:fill="auto"/>
                  <w:tcMar>
                    <w:top w:w="15" w:type="dxa"/>
                    <w:left w:w="15" w:type="dxa"/>
                    <w:bottom w:w="0" w:type="dxa"/>
                    <w:right w:w="15" w:type="dxa"/>
                  </w:tcMar>
                  <w:vAlign w:val="center"/>
                </w:tcPr>
                <w:p>
                  <w:pPr>
                    <w:spacing w:line="240" w:lineRule="auto"/>
                    <w:ind w:firstLine="0" w:firstLineChars="0"/>
                    <w:jc w:val="center"/>
                    <w:rPr>
                      <w:rFonts w:hint="default"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bidi="ar-SA"/>
                    </w:rPr>
                    <w:t>198</w:t>
                  </w:r>
                </w:p>
              </w:tc>
              <w:tc>
                <w:tcPr>
                  <w:tcW w:w="352"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w:t>
                  </w:r>
                </w:p>
              </w:tc>
              <w:tc>
                <w:tcPr>
                  <w:tcW w:w="411"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w:t>
                  </w:r>
                </w:p>
              </w:tc>
              <w:tc>
                <w:tcPr>
                  <w:tcW w:w="534"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1.768</w:t>
                  </w:r>
                </w:p>
              </w:tc>
              <w:tc>
                <w:tcPr>
                  <w:tcW w:w="520"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0.35</w:t>
                  </w:r>
                </w:p>
              </w:tc>
              <w:tc>
                <w:tcPr>
                  <w:tcW w:w="503"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lang w:val="en-US" w:eastAsia="zh-CN" w:bidi="ar-SA"/>
                    </w:rPr>
                  </w:pPr>
                  <w:r>
                    <w:rPr>
                      <w:rFonts w:hint="eastAsia" w:ascii="宋体" w:hAnsi="宋体" w:eastAsia="宋体" w:cs="宋体"/>
                      <w:b w:val="0"/>
                      <w:bCs/>
                      <w:i w:val="0"/>
                      <w:iCs w:val="0"/>
                      <w:color w:val="auto"/>
                      <w:kern w:val="0"/>
                      <w:sz w:val="21"/>
                      <w:szCs w:val="21"/>
                      <w:u w:val="none"/>
                      <w:lang w:val="en-US" w:eastAsia="zh-CN" w:bidi="ar"/>
                    </w:rPr>
                    <w:t>喷淋降尘、</w:t>
                  </w:r>
                  <w:r>
                    <w:rPr>
                      <w:rFonts w:hint="eastAsia" w:ascii="Times New Roman" w:hAnsi="Times New Roman" w:eastAsia="宋体" w:cs="Times New Roman"/>
                      <w:color w:val="auto"/>
                      <w:spacing w:val="0"/>
                      <w:sz w:val="21"/>
                      <w:szCs w:val="21"/>
                      <w:lang w:val="en-US" w:eastAsia="zh-CN"/>
                    </w:rPr>
                    <w:t>车间密闭</w:t>
                  </w:r>
                </w:p>
              </w:tc>
              <w:tc>
                <w:tcPr>
                  <w:tcW w:w="152" w:type="pct"/>
                  <w:shd w:val="clear" w:color="auto" w:fill="auto"/>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是</w:t>
                  </w:r>
                </w:p>
              </w:tc>
              <w:tc>
                <w:tcPr>
                  <w:tcW w:w="412"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w:t>
                  </w:r>
                </w:p>
              </w:tc>
              <w:tc>
                <w:tcPr>
                  <w:tcW w:w="534"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0.354</w:t>
                  </w:r>
                </w:p>
              </w:tc>
              <w:tc>
                <w:tcPr>
                  <w:tcW w:w="520"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0.07</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jc w:val="right"/>
              </w:trPr>
              <w:tc>
                <w:tcPr>
                  <w:tcW w:w="593" w:type="pct"/>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车辆运输扬尘</w:t>
                  </w:r>
                </w:p>
              </w:tc>
              <w:tc>
                <w:tcPr>
                  <w:tcW w:w="177" w:type="pct"/>
                  <w:shd w:val="clear" w:color="auto" w:fill="auto"/>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颗粒物</w:t>
                  </w:r>
                </w:p>
              </w:tc>
              <w:tc>
                <w:tcPr>
                  <w:tcW w:w="286" w:type="pct"/>
                  <w:tcMar>
                    <w:top w:w="15" w:type="dxa"/>
                    <w:left w:w="15" w:type="dxa"/>
                    <w:bottom w:w="0" w:type="dxa"/>
                    <w:right w:w="15" w:type="dxa"/>
                  </w:tcMar>
                  <w:vAlign w:val="center"/>
                </w:tcPr>
                <w:p>
                  <w:pPr>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2640</w:t>
                  </w:r>
                </w:p>
              </w:tc>
              <w:tc>
                <w:tcPr>
                  <w:tcW w:w="352"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w:t>
                  </w:r>
                </w:p>
              </w:tc>
              <w:tc>
                <w:tcPr>
                  <w:tcW w:w="411"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w:t>
                  </w:r>
                </w:p>
              </w:tc>
              <w:tc>
                <w:tcPr>
                  <w:tcW w:w="534"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0.361</w:t>
                  </w:r>
                </w:p>
              </w:tc>
              <w:tc>
                <w:tcPr>
                  <w:tcW w:w="520"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0.953</w:t>
                  </w:r>
                </w:p>
              </w:tc>
              <w:tc>
                <w:tcPr>
                  <w:tcW w:w="503" w:type="pct"/>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rPr>
                  </w:pPr>
                  <w:r>
                    <w:rPr>
                      <w:rFonts w:hint="eastAsia" w:ascii="Times New Roman" w:hAnsi="Times New Roman" w:eastAsia="宋体" w:cs="Times New Roman"/>
                      <w:color w:val="auto"/>
                      <w:spacing w:val="0"/>
                      <w:sz w:val="21"/>
                      <w:szCs w:val="21"/>
                      <w:lang w:val="en-US" w:eastAsia="zh-CN"/>
                    </w:rPr>
                    <w:t>厂区设置洗车平台，对路面定期清扫洒水</w:t>
                  </w:r>
                </w:p>
              </w:tc>
              <w:tc>
                <w:tcPr>
                  <w:tcW w:w="152" w:type="pct"/>
                  <w:shd w:val="clear" w:color="auto" w:fill="auto"/>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是</w:t>
                  </w:r>
                </w:p>
              </w:tc>
              <w:tc>
                <w:tcPr>
                  <w:tcW w:w="412"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w:t>
                  </w:r>
                </w:p>
              </w:tc>
              <w:tc>
                <w:tcPr>
                  <w:tcW w:w="534"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0.072</w:t>
                  </w:r>
                </w:p>
              </w:tc>
              <w:tc>
                <w:tcPr>
                  <w:tcW w:w="520"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0.191</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jc w:val="right"/>
              </w:trPr>
              <w:tc>
                <w:tcPr>
                  <w:tcW w:w="593" w:type="pct"/>
                  <w:shd w:val="clear" w:color="auto" w:fill="auto"/>
                  <w:tcMar>
                    <w:top w:w="15" w:type="dxa"/>
                    <w:left w:w="15" w:type="dxa"/>
                    <w:bottom w:w="0" w:type="dxa"/>
                    <w:right w:w="15" w:type="dxa"/>
                  </w:tcMar>
                  <w:vAlign w:val="center"/>
                </w:tcPr>
                <w:p>
                  <w:pPr>
                    <w:spacing w:line="240" w:lineRule="auto"/>
                    <w:ind w:firstLine="0" w:firstLineChars="0"/>
                    <w:jc w:val="center"/>
                    <w:rPr>
                      <w:rFonts w:hint="default" w:ascii="Times New Roman" w:hAnsi="Times New Roman" w:cs="Times New Roman" w:eastAsiaTheme="minorEastAsia"/>
                      <w:bCs w:val="0"/>
                      <w:color w:val="auto"/>
                      <w:sz w:val="21"/>
                      <w:szCs w:val="21"/>
                      <w:lang w:val="en-US" w:eastAsia="zh-CN"/>
                    </w:rPr>
                  </w:pPr>
                  <w:r>
                    <w:rPr>
                      <w:rFonts w:hint="eastAsia" w:ascii="Times New Roman" w:hAnsi="Times New Roman" w:cs="Times New Roman" w:eastAsiaTheme="minorEastAsia"/>
                      <w:bCs w:val="0"/>
                      <w:color w:val="auto"/>
                      <w:sz w:val="21"/>
                      <w:szCs w:val="21"/>
                      <w:lang w:val="en-US" w:eastAsia="zh-CN"/>
                    </w:rPr>
                    <w:t>危废贮存点废机油挥发</w:t>
                  </w:r>
                </w:p>
              </w:tc>
              <w:tc>
                <w:tcPr>
                  <w:tcW w:w="177" w:type="pct"/>
                  <w:shd w:val="clear" w:color="auto" w:fill="auto"/>
                  <w:tcMar>
                    <w:top w:w="15" w:type="dxa"/>
                    <w:left w:w="15" w:type="dxa"/>
                    <w:bottom w:w="0" w:type="dxa"/>
                    <w:right w:w="15" w:type="dxa"/>
                  </w:tcMar>
                  <w:vAlign w:val="center"/>
                </w:tcPr>
                <w:p>
                  <w:pPr>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非甲烷总烃</w:t>
                  </w:r>
                </w:p>
              </w:tc>
              <w:tc>
                <w:tcPr>
                  <w:tcW w:w="286" w:type="pct"/>
                  <w:tcMar>
                    <w:top w:w="15" w:type="dxa"/>
                    <w:left w:w="15" w:type="dxa"/>
                    <w:bottom w:w="0" w:type="dxa"/>
                    <w:right w:w="15" w:type="dxa"/>
                  </w:tcMar>
                  <w:vAlign w:val="center"/>
                </w:tcPr>
                <w:p>
                  <w:pPr>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2640</w:t>
                  </w:r>
                </w:p>
              </w:tc>
              <w:tc>
                <w:tcPr>
                  <w:tcW w:w="352"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w:t>
                  </w:r>
                </w:p>
              </w:tc>
              <w:tc>
                <w:tcPr>
                  <w:tcW w:w="411"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spacing w:val="0"/>
                      <w:sz w:val="21"/>
                      <w:szCs w:val="21"/>
                      <w:lang w:val="en-US" w:eastAsia="zh-CN"/>
                    </w:rPr>
                    <w:t>/</w:t>
                  </w:r>
                </w:p>
              </w:tc>
              <w:tc>
                <w:tcPr>
                  <w:tcW w:w="534" w:type="pct"/>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spacing w:val="0"/>
                      <w:sz w:val="21"/>
                      <w:szCs w:val="21"/>
                      <w:lang w:val="en-US" w:eastAsia="zh-CN"/>
                    </w:rPr>
                    <w:t>3.22×10</w:t>
                  </w:r>
                  <w:r>
                    <w:rPr>
                      <w:rFonts w:hint="default" w:ascii="Times New Roman" w:hAnsi="Times New Roman" w:eastAsia="宋体" w:cs="Times New Roman"/>
                      <w:color w:val="auto"/>
                      <w:spacing w:val="0"/>
                      <w:sz w:val="21"/>
                      <w:szCs w:val="21"/>
                      <w:vertAlign w:val="superscript"/>
                      <w:lang w:val="en-US" w:eastAsia="zh-CN"/>
                    </w:rPr>
                    <w:t>-5</w:t>
                  </w:r>
                </w:p>
              </w:tc>
              <w:tc>
                <w:tcPr>
                  <w:tcW w:w="520" w:type="pct"/>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sz w:val="21"/>
                      <w:szCs w:val="21"/>
                      <w:lang w:val="en-US" w:eastAsia="zh-CN"/>
                    </w:rPr>
                    <w:t>0.000085</w:t>
                  </w:r>
                </w:p>
              </w:tc>
              <w:tc>
                <w:tcPr>
                  <w:tcW w:w="503" w:type="pct"/>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宋体" w:hAnsi="宋体" w:eastAsia="宋体" w:cs="宋体"/>
                      <w:b w:val="0"/>
                      <w:bCs/>
                      <w:i w:val="0"/>
                      <w:iCs w:val="0"/>
                      <w:color w:val="auto"/>
                      <w:kern w:val="0"/>
                      <w:sz w:val="21"/>
                      <w:szCs w:val="21"/>
                      <w:u w:val="none"/>
                      <w:lang w:val="en-US" w:eastAsia="zh-CN" w:bidi="ar"/>
                    </w:rPr>
                  </w:pPr>
                  <w:r>
                    <w:rPr>
                      <w:rFonts w:hint="eastAsia" w:ascii="Times New Roman" w:hAnsi="Times New Roman" w:eastAsia="宋体" w:cs="Times New Roman"/>
                      <w:color w:val="auto"/>
                      <w:sz w:val="21"/>
                      <w:szCs w:val="21"/>
                      <w:lang w:val="en-US" w:eastAsia="zh-CN"/>
                    </w:rPr>
                    <w:t>危废贮存点</w:t>
                  </w:r>
                  <w:r>
                    <w:rPr>
                      <w:rFonts w:hint="default" w:ascii="Times New Roman" w:hAnsi="Times New Roman" w:eastAsia="宋体" w:cs="Times New Roman"/>
                      <w:color w:val="auto"/>
                      <w:sz w:val="21"/>
                      <w:szCs w:val="21"/>
                      <w:lang w:val="en-US" w:eastAsia="zh-CN"/>
                    </w:rPr>
                    <w:t>密闭，设置简易通风换气</w:t>
                  </w:r>
                </w:p>
              </w:tc>
              <w:tc>
                <w:tcPr>
                  <w:tcW w:w="152" w:type="pct"/>
                  <w:shd w:val="clear" w:color="auto" w:fill="auto"/>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是</w:t>
                  </w:r>
                </w:p>
              </w:tc>
              <w:tc>
                <w:tcPr>
                  <w:tcW w:w="412"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w:t>
                  </w:r>
                </w:p>
              </w:tc>
              <w:tc>
                <w:tcPr>
                  <w:tcW w:w="534"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spacing w:val="0"/>
                      <w:sz w:val="21"/>
                      <w:szCs w:val="21"/>
                      <w:lang w:val="en-US" w:eastAsia="zh-CN"/>
                    </w:rPr>
                    <w:t>3.22×10</w:t>
                  </w:r>
                  <w:r>
                    <w:rPr>
                      <w:rFonts w:hint="default" w:ascii="Times New Roman" w:hAnsi="Times New Roman" w:eastAsia="宋体" w:cs="Times New Roman"/>
                      <w:color w:val="auto"/>
                      <w:spacing w:val="0"/>
                      <w:sz w:val="21"/>
                      <w:szCs w:val="21"/>
                      <w:vertAlign w:val="superscript"/>
                      <w:lang w:val="en-US" w:eastAsia="zh-CN"/>
                    </w:rPr>
                    <w:t>-5</w:t>
                  </w:r>
                </w:p>
              </w:tc>
              <w:tc>
                <w:tcPr>
                  <w:tcW w:w="520"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sz w:val="21"/>
                      <w:szCs w:val="21"/>
                      <w:lang w:val="en-US" w:eastAsia="zh-CN"/>
                    </w:rPr>
                    <w:t>0.000085</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jc w:val="right"/>
              </w:trPr>
              <w:tc>
                <w:tcPr>
                  <w:tcW w:w="593" w:type="pct"/>
                  <w:shd w:val="clear" w:color="auto" w:fill="auto"/>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cs="Times New Roman" w:eastAsiaTheme="minorEastAsia"/>
                      <w:bCs w:val="0"/>
                      <w:color w:val="auto"/>
                      <w:sz w:val="21"/>
                      <w:szCs w:val="21"/>
                      <w:lang w:val="en-US" w:eastAsia="zh-CN"/>
                    </w:rPr>
                  </w:pPr>
                  <w:r>
                    <w:rPr>
                      <w:rFonts w:hint="default" w:ascii="Times New Roman" w:hAnsi="Times New Roman" w:eastAsia="宋体" w:cs="Times New Roman"/>
                      <w:color w:val="auto"/>
                      <w:sz w:val="21"/>
                      <w:szCs w:val="21"/>
                      <w:lang w:val="en-US" w:eastAsia="zh-CN"/>
                    </w:rPr>
                    <w:t>皮带转载无组织粉尘</w:t>
                  </w:r>
                </w:p>
              </w:tc>
              <w:tc>
                <w:tcPr>
                  <w:tcW w:w="177" w:type="pct"/>
                  <w:shd w:val="clear" w:color="auto" w:fill="auto"/>
                  <w:tcMar>
                    <w:top w:w="15" w:type="dxa"/>
                    <w:left w:w="15" w:type="dxa"/>
                    <w:bottom w:w="0" w:type="dxa"/>
                    <w:right w:w="15" w:type="dxa"/>
                  </w:tcMar>
                  <w:vAlign w:val="center"/>
                </w:tcPr>
                <w:p>
                  <w:pPr>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颗粒物</w:t>
                  </w:r>
                </w:p>
              </w:tc>
              <w:tc>
                <w:tcPr>
                  <w:tcW w:w="286" w:type="pct"/>
                  <w:tcMar>
                    <w:top w:w="15" w:type="dxa"/>
                    <w:left w:w="15" w:type="dxa"/>
                    <w:bottom w:w="0" w:type="dxa"/>
                    <w:right w:w="15"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2640</w:t>
                  </w:r>
                </w:p>
              </w:tc>
              <w:tc>
                <w:tcPr>
                  <w:tcW w:w="352"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w:t>
                  </w:r>
                </w:p>
              </w:tc>
              <w:tc>
                <w:tcPr>
                  <w:tcW w:w="411"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w:t>
                  </w:r>
                </w:p>
              </w:tc>
              <w:tc>
                <w:tcPr>
                  <w:tcW w:w="534" w:type="pct"/>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sz w:val="21"/>
                      <w:szCs w:val="21"/>
                      <w:lang w:val="en-US" w:eastAsia="zh-CN"/>
                    </w:rPr>
                    <w:t>0.023</w:t>
                  </w:r>
                </w:p>
              </w:tc>
              <w:tc>
                <w:tcPr>
                  <w:tcW w:w="520" w:type="pct"/>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z w:val="21"/>
                      <w:szCs w:val="21"/>
                      <w:lang w:val="en-US" w:eastAsia="zh-CN"/>
                    </w:rPr>
                    <w:t>0.06</w:t>
                  </w:r>
                </w:p>
              </w:tc>
              <w:tc>
                <w:tcPr>
                  <w:tcW w:w="503" w:type="pct"/>
                  <w:tcMar>
                    <w:top w:w="15" w:type="dxa"/>
                    <w:left w:w="15" w:type="dxa"/>
                    <w:bottom w:w="0" w:type="dxa"/>
                    <w:right w:w="15" w:type="dxa"/>
                  </w:tcMar>
                  <w:vAlign w:val="center"/>
                </w:tcPr>
                <w:p>
                  <w:pPr>
                    <w:widowControl/>
                    <w:spacing w:line="240" w:lineRule="auto"/>
                    <w:ind w:firstLine="0" w:firstLineChars="0"/>
                    <w:jc w:val="center"/>
                    <w:textAlignment w:val="center"/>
                    <w:rPr>
                      <w:rFonts w:hint="eastAsia" w:ascii="宋体" w:hAnsi="宋体" w:eastAsia="宋体" w:cs="宋体"/>
                      <w:b w:val="0"/>
                      <w:bCs/>
                      <w:i w:val="0"/>
                      <w:iCs w:val="0"/>
                      <w:color w:val="auto"/>
                      <w:kern w:val="0"/>
                      <w:sz w:val="21"/>
                      <w:szCs w:val="21"/>
                      <w:u w:val="none"/>
                      <w:lang w:val="en-US" w:eastAsia="zh-CN" w:bidi="ar"/>
                    </w:rPr>
                  </w:pPr>
                  <w:r>
                    <w:rPr>
                      <w:rFonts w:hint="default" w:ascii="Times New Roman" w:hAnsi="Times New Roman" w:eastAsia="宋体" w:cs="Times New Roman"/>
                      <w:color w:val="auto"/>
                      <w:sz w:val="21"/>
                      <w:szCs w:val="21"/>
                      <w:lang w:val="en-US" w:eastAsia="zh-CN"/>
                    </w:rPr>
                    <w:t>喷淋抑尘</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去除效率取8</w:t>
                  </w:r>
                  <w:r>
                    <w:rPr>
                      <w:rFonts w:hint="eastAsia" w:ascii="Times New Roman" w:hAnsi="Times New Roman" w:eastAsia="宋体" w:cs="Times New Roman"/>
                      <w:color w:val="auto"/>
                      <w:sz w:val="21"/>
                      <w:szCs w:val="21"/>
                      <w:lang w:val="en-US" w:eastAsia="zh-CN"/>
                    </w:rPr>
                    <w:t>0</w:t>
                  </w:r>
                  <w:r>
                    <w:rPr>
                      <w:rFonts w:hint="default" w:ascii="Times New Roman" w:hAnsi="Times New Roman" w:eastAsia="宋体" w:cs="Times New Roman"/>
                      <w:color w:val="auto"/>
                      <w:sz w:val="21"/>
                      <w:szCs w:val="21"/>
                      <w:lang w:val="en-US" w:eastAsia="zh-CN"/>
                    </w:rPr>
                    <w:t>%</w:t>
                  </w:r>
                </w:p>
              </w:tc>
              <w:tc>
                <w:tcPr>
                  <w:tcW w:w="152" w:type="pct"/>
                  <w:shd w:val="clear" w:color="auto" w:fill="auto"/>
                  <w:tcMar>
                    <w:top w:w="15" w:type="dxa"/>
                    <w:left w:w="15" w:type="dxa"/>
                    <w:bottom w:w="0" w:type="dxa"/>
                    <w:right w:w="15" w:type="dxa"/>
                  </w:tcMar>
                  <w:vAlign w:val="center"/>
                </w:tcPr>
                <w:p>
                  <w:pPr>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是</w:t>
                  </w:r>
                </w:p>
              </w:tc>
              <w:tc>
                <w:tcPr>
                  <w:tcW w:w="412"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w:t>
                  </w:r>
                </w:p>
              </w:tc>
              <w:tc>
                <w:tcPr>
                  <w:tcW w:w="534"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sz w:val="21"/>
                      <w:szCs w:val="21"/>
                      <w:lang w:val="en-US" w:eastAsia="zh-CN"/>
                    </w:rPr>
                    <w:t>0.00</w:t>
                  </w:r>
                  <w:r>
                    <w:rPr>
                      <w:rFonts w:hint="eastAsia" w:ascii="Times New Roman" w:hAnsi="Times New Roman" w:eastAsia="宋体" w:cs="Times New Roman"/>
                      <w:color w:val="auto"/>
                      <w:sz w:val="21"/>
                      <w:szCs w:val="21"/>
                      <w:lang w:val="en-US" w:eastAsia="zh-CN"/>
                    </w:rPr>
                    <w:t>46</w:t>
                  </w:r>
                </w:p>
              </w:tc>
              <w:tc>
                <w:tcPr>
                  <w:tcW w:w="520" w:type="pct"/>
                  <w:shd w:val="clear" w:color="auto" w:fill="auto"/>
                  <w:tcMar>
                    <w:top w:w="15" w:type="dxa"/>
                    <w:left w:w="15" w:type="dxa"/>
                    <w:bottom w:w="0" w:type="dxa"/>
                    <w:right w:w="15" w:type="dxa"/>
                  </w:tcMar>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z w:val="21"/>
                      <w:szCs w:val="21"/>
                      <w:lang w:val="en-US" w:eastAsia="zh-CN"/>
                    </w:rPr>
                    <w:t>0.012</w:t>
                  </w:r>
                </w:p>
              </w:tc>
            </w:tr>
          </w:tbl>
          <w:p>
            <w:pPr>
              <w:keepNext w:val="0"/>
              <w:keepLines w:val="0"/>
              <w:pageBreakBefore w:val="0"/>
              <w:widowControl w:val="0"/>
              <w:kinsoku/>
              <w:wordWrap/>
              <w:overflowPunct/>
              <w:topLinePunct w:val="0"/>
              <w:autoSpaceDE/>
              <w:autoSpaceDN/>
              <w:bidi w:val="0"/>
              <w:adjustRightInd/>
              <w:snapToGrid/>
              <w:ind w:firstLine="482"/>
              <w:textAlignment w:val="auto"/>
              <w:rPr>
                <w:rFonts w:ascii="Times New Roman" w:hAnsi="Times New Roman" w:eastAsia="宋体" w:cs="Times New Roman"/>
                <w:color w:val="auto"/>
                <w:spacing w:val="0"/>
                <w:sz w:val="24"/>
              </w:rPr>
            </w:pPr>
            <w:r>
              <w:rPr>
                <w:rFonts w:hint="eastAsia" w:ascii="Times New Roman" w:hAnsi="Times New Roman" w:eastAsia="宋体" w:cs="Times New Roman"/>
                <w:b/>
                <w:bCs/>
                <w:color w:val="auto"/>
                <w:spacing w:val="0"/>
                <w:sz w:val="24"/>
              </w:rPr>
              <w:t>1.2废气</w:t>
            </w:r>
            <w:r>
              <w:rPr>
                <w:rFonts w:hint="eastAsia" w:ascii="Times New Roman" w:hAnsi="Times New Roman" w:eastAsia="宋体" w:cs="Times New Roman"/>
                <w:b/>
                <w:bCs/>
                <w:color w:val="auto"/>
                <w:spacing w:val="0"/>
                <w:sz w:val="24"/>
                <w:lang w:val="en-US" w:eastAsia="zh-CN"/>
              </w:rPr>
              <w:t>防治</w:t>
            </w:r>
            <w:r>
              <w:rPr>
                <w:rFonts w:hint="eastAsia" w:ascii="Times New Roman" w:hAnsi="Times New Roman" w:eastAsia="宋体" w:cs="Times New Roman"/>
                <w:b/>
                <w:bCs/>
                <w:color w:val="auto"/>
                <w:spacing w:val="0"/>
                <w:sz w:val="24"/>
              </w:rPr>
              <w:t>措施可行性分析</w:t>
            </w:r>
          </w:p>
          <w:p>
            <w:pPr>
              <w:pStyle w:val="454"/>
              <w:keepNext w:val="0"/>
              <w:keepLines w:val="0"/>
              <w:pageBreakBefore w:val="0"/>
              <w:widowControl w:val="0"/>
              <w:kinsoku/>
              <w:wordWrap/>
              <w:overflowPunct/>
              <w:topLinePunct w:val="0"/>
              <w:autoSpaceDE/>
              <w:autoSpaceDN/>
              <w:bidi w:val="0"/>
              <w:adjustRightInd/>
              <w:snapToGrid/>
              <w:textAlignment w:val="auto"/>
              <w:rPr>
                <w:rFonts w:hint="eastAsia" w:cs="Times New Roman"/>
                <w:color w:val="auto"/>
                <w:highlight w:val="none"/>
                <w:lang w:val="en-US" w:eastAsia="zh-CN"/>
              </w:rPr>
            </w:pPr>
            <w:r>
              <w:rPr>
                <w:rFonts w:hint="eastAsia" w:cs="Times New Roman"/>
                <w:color w:val="auto"/>
                <w:highlight w:val="none"/>
                <w:lang w:val="en-US" w:eastAsia="zh-CN"/>
              </w:rPr>
              <w:t>（1）有组织废气</w:t>
            </w:r>
            <w:r>
              <w:rPr>
                <w:rFonts w:hint="eastAsia"/>
                <w:color w:val="auto"/>
                <w:highlight w:val="none"/>
                <w:lang w:val="en-US" w:eastAsia="zh-CN"/>
              </w:rPr>
              <w:t>污染防治措施</w:t>
            </w:r>
            <w:r>
              <w:rPr>
                <w:rFonts w:hint="eastAsia" w:cs="Times New Roman"/>
                <w:color w:val="auto"/>
                <w:highlight w:val="none"/>
                <w:lang w:val="en-US" w:eastAsia="zh-CN"/>
              </w:rPr>
              <w:t>可行性分析</w:t>
            </w:r>
          </w:p>
          <w:p>
            <w:pPr>
              <w:pStyle w:val="454"/>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eastAsia"/>
                <w:color w:val="auto"/>
                <w:highlight w:val="none"/>
                <w:lang w:val="en-US" w:eastAsia="zh-CN"/>
              </w:rPr>
              <w:t>①有组织废气集气收集可行性</w:t>
            </w:r>
          </w:p>
          <w:p>
            <w:pPr>
              <w:pStyle w:val="454"/>
              <w:keepNext w:val="0"/>
              <w:keepLines w:val="0"/>
              <w:pageBreakBefore w:val="0"/>
              <w:widowControl w:val="0"/>
              <w:kinsoku/>
              <w:wordWrap/>
              <w:overflowPunct/>
              <w:topLinePunct w:val="0"/>
              <w:autoSpaceDE/>
              <w:autoSpaceDN/>
              <w:bidi w:val="0"/>
              <w:adjustRightInd/>
              <w:snapToGrid/>
              <w:textAlignment w:val="auto"/>
              <w:rPr>
                <w:rFonts w:hint="eastAsia"/>
                <w:color w:val="auto"/>
                <w:highlight w:val="none"/>
                <w:lang w:val="en-US" w:eastAsia="zh-CN"/>
              </w:rPr>
            </w:pPr>
            <w:r>
              <w:rPr>
                <w:rFonts w:hint="eastAsia"/>
                <w:color w:val="auto"/>
                <w:highlight w:val="none"/>
                <w:lang w:val="en-US" w:eastAsia="zh-CN"/>
              </w:rPr>
              <w:t>针对各产污环节废气收集设施集气罩，参考GB/T 16758-2008《排风罩的分类及技术条件》，拟建项目所采用的集气罩类型包括密闭罩、外部罩（侧吸、顶吸）、接收罩等，根据《局部排风罩的捕集效率实验》，此设计参数下，集气罩捕集效率为98.4%，保守估计，本项目取90%。</w:t>
            </w:r>
          </w:p>
          <w:p>
            <w:pPr>
              <w:pStyle w:val="454"/>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eastAsia"/>
                <w:color w:val="auto"/>
                <w:highlight w:val="none"/>
                <w:lang w:val="en-US" w:eastAsia="zh-CN"/>
              </w:rPr>
              <w:t>由此可见，采用集气收集措施可行。</w:t>
            </w:r>
          </w:p>
          <w:p>
            <w:pPr>
              <w:pStyle w:val="454"/>
              <w:keepNext w:val="0"/>
              <w:keepLines w:val="0"/>
              <w:pageBreakBefore w:val="0"/>
              <w:widowControl w:val="0"/>
              <w:kinsoku/>
              <w:wordWrap/>
              <w:overflowPunct/>
              <w:topLinePunct w:val="0"/>
              <w:autoSpaceDE/>
              <w:autoSpaceDN/>
              <w:bidi w:val="0"/>
              <w:adjustRightInd/>
              <w:snapToGrid/>
              <w:textAlignment w:val="auto"/>
              <w:rPr>
                <w:rFonts w:hint="eastAsia"/>
                <w:color w:val="auto"/>
                <w:highlight w:val="none"/>
                <w:lang w:val="en-US" w:eastAsia="zh-CN"/>
              </w:rPr>
            </w:pPr>
            <w:r>
              <w:rPr>
                <w:rFonts w:hint="eastAsia"/>
                <w:color w:val="auto"/>
                <w:highlight w:val="none"/>
                <w:lang w:val="en-US" w:eastAsia="zh-CN"/>
              </w:rPr>
              <w:t>②布袋除尘技术属国内外应用较多的成熟技术，除尘效率高、适用范围广，可辅助去除吸附在颗粒物上的重金属。当烟气温度低于120°C时，可选用涤纶绒布和涤纶针刺毡；烟气温度为120~250℃时，可选用石墨化玻璃丝布，为进一步提高除尘效率，还可选用覆膜滤料。</w:t>
            </w:r>
          </w:p>
          <w:p>
            <w:pPr>
              <w:pStyle w:val="454"/>
              <w:keepNext w:val="0"/>
              <w:keepLines w:val="0"/>
              <w:pageBreakBefore w:val="0"/>
              <w:widowControl w:val="0"/>
              <w:kinsoku/>
              <w:wordWrap/>
              <w:overflowPunct/>
              <w:topLinePunct w:val="0"/>
              <w:autoSpaceDE/>
              <w:autoSpaceDN/>
              <w:bidi w:val="0"/>
              <w:adjustRightInd/>
              <w:snapToGrid/>
              <w:textAlignment w:val="auto"/>
              <w:rPr>
                <w:rFonts w:hint="eastAsia"/>
                <w:color w:val="auto"/>
                <w:highlight w:val="none"/>
                <w:lang w:val="en-US" w:eastAsia="zh-CN"/>
              </w:rPr>
            </w:pPr>
            <w:r>
              <w:rPr>
                <w:rFonts w:hint="eastAsia"/>
                <w:color w:val="auto"/>
                <w:highlight w:val="none"/>
                <w:lang w:val="en-US" w:eastAsia="zh-CN"/>
              </w:rPr>
              <w:t>布袋除尘器的特点是除尘效率高，一般可达99.9%以上，适应力强，布袋能处理不同类型的颗粒物，袋式除尘器对10um以下尤其1um以下的亚微粒颗粒物有较好的捕集效果，是捕集PM2.5的重要手段。参照环境保护部2014年12月5日发布的《水泥工业污染防治可行技术指南（试行）》（公告2014年第81号）“3.2.1.1袋式除尘技术该技术”布袋除尘效率为98%～99.99%，本环评保守按除尘效率98%计算。</w:t>
            </w:r>
          </w:p>
          <w:p>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eastAsia="宋体" w:cs="Times New Roman"/>
                <w:bCs/>
                <w:color w:val="auto"/>
                <w:spacing w:val="0"/>
                <w:sz w:val="24"/>
                <w:szCs w:val="24"/>
                <w:lang w:val="en-US" w:eastAsia="zh-CN"/>
              </w:rPr>
            </w:pPr>
            <w:r>
              <w:rPr>
                <w:rFonts w:hint="default" w:ascii="Times New Roman" w:hAnsi="Times New Roman" w:eastAsia="宋体" w:cs="Times New Roman"/>
                <w:b w:val="0"/>
                <w:bCs w:val="0"/>
                <w:color w:val="auto"/>
                <w:kern w:val="0"/>
                <w:sz w:val="24"/>
                <w:szCs w:val="24"/>
                <w:lang w:val="en-US" w:eastAsia="zh-CN" w:bidi="ar-SA"/>
              </w:rPr>
              <w:t>参照《排污许可证申请与核发技术规范 陶瓷砖瓦工业》（HJ954-2018）</w:t>
            </w:r>
            <w:r>
              <w:rPr>
                <w:rFonts w:hint="default" w:ascii="Times New Roman" w:hAnsi="Times New Roman" w:eastAsia="宋体" w:cs="Times New Roman"/>
                <w:b w:val="0"/>
                <w:bCs w:val="0"/>
                <w:color w:val="auto"/>
                <w:spacing w:val="0"/>
                <w:sz w:val="24"/>
              </w:rPr>
              <w:t>“表</w:t>
            </w:r>
            <w:r>
              <w:rPr>
                <w:rFonts w:hint="eastAsia" w:ascii="Times New Roman" w:hAnsi="Times New Roman" w:eastAsia="宋体" w:cs="Times New Roman"/>
                <w:b w:val="0"/>
                <w:bCs w:val="0"/>
                <w:color w:val="auto"/>
                <w:spacing w:val="0"/>
                <w:sz w:val="24"/>
                <w:lang w:val="en-US" w:eastAsia="zh-CN"/>
              </w:rPr>
              <w:t>33</w:t>
            </w:r>
            <w:r>
              <w:rPr>
                <w:rFonts w:hint="default" w:ascii="Times New Roman" w:hAnsi="Times New Roman" w:eastAsia="宋体" w:cs="Times New Roman"/>
                <w:b w:val="0"/>
                <w:bCs w:val="0"/>
                <w:color w:val="auto"/>
                <w:spacing w:val="0"/>
                <w:sz w:val="24"/>
              </w:rPr>
              <w:t xml:space="preserve"> </w:t>
            </w:r>
            <w:r>
              <w:rPr>
                <w:rFonts w:hint="eastAsia" w:ascii="Times New Roman" w:hAnsi="Times New Roman" w:eastAsia="宋体" w:cs="Times New Roman"/>
                <w:b w:val="0"/>
                <w:bCs w:val="0"/>
                <w:color w:val="auto"/>
                <w:spacing w:val="0"/>
                <w:sz w:val="24"/>
                <w:lang w:val="en-US" w:eastAsia="zh-CN"/>
              </w:rPr>
              <w:t>其他制品类</w:t>
            </w:r>
            <w:r>
              <w:rPr>
                <w:rFonts w:hint="default" w:ascii="Times New Roman" w:hAnsi="Times New Roman" w:eastAsia="宋体" w:cs="Times New Roman"/>
                <w:b w:val="0"/>
                <w:bCs w:val="0"/>
                <w:color w:val="auto"/>
                <w:spacing w:val="0"/>
                <w:sz w:val="24"/>
              </w:rPr>
              <w:t>工业排</w:t>
            </w:r>
            <w:r>
              <w:rPr>
                <w:rFonts w:hint="default" w:ascii="Times New Roman" w:hAnsi="Times New Roman" w:eastAsia="宋体" w:cs="Times New Roman"/>
                <w:b w:val="0"/>
                <w:bCs w:val="0"/>
                <w:color w:val="auto"/>
                <w:spacing w:val="-2"/>
                <w:sz w:val="24"/>
              </w:rPr>
              <w:t>污单位废气</w:t>
            </w:r>
            <w:r>
              <w:rPr>
                <w:rFonts w:hint="eastAsia" w:ascii="Times New Roman" w:hAnsi="Times New Roman" w:eastAsia="宋体" w:cs="Times New Roman"/>
                <w:b w:val="0"/>
                <w:bCs w:val="0"/>
                <w:color w:val="auto"/>
                <w:spacing w:val="-2"/>
                <w:sz w:val="24"/>
                <w:lang w:val="en-US" w:eastAsia="zh-CN"/>
              </w:rPr>
              <w:t>污染防治可行技术</w:t>
            </w:r>
            <w:r>
              <w:rPr>
                <w:rFonts w:hint="default" w:ascii="Times New Roman" w:hAnsi="Times New Roman" w:eastAsia="宋体" w:cs="Times New Roman"/>
                <w:b w:val="0"/>
                <w:bCs w:val="0"/>
                <w:color w:val="auto"/>
                <w:spacing w:val="-89"/>
                <w:sz w:val="24"/>
              </w:rPr>
              <w:t xml:space="preserve"> </w:t>
            </w:r>
            <w:r>
              <w:rPr>
                <w:rFonts w:hint="default" w:ascii="Times New Roman" w:hAnsi="Times New Roman" w:eastAsia="宋体" w:cs="Times New Roman"/>
                <w:b w:val="0"/>
                <w:bCs w:val="0"/>
                <w:color w:val="auto"/>
                <w:spacing w:val="-2"/>
                <w:sz w:val="24"/>
              </w:rPr>
              <w:t>”</w:t>
            </w:r>
            <w:r>
              <w:rPr>
                <w:rFonts w:hint="eastAsia" w:ascii="Times New Roman" w:hAnsi="Times New Roman" w:eastAsia="宋体" w:cs="Times New Roman"/>
                <w:b w:val="0"/>
                <w:bCs w:val="0"/>
                <w:color w:val="auto"/>
                <w:spacing w:val="-2"/>
                <w:sz w:val="24"/>
                <w:lang w:eastAsia="zh-CN"/>
              </w:rPr>
              <w:t>，</w:t>
            </w:r>
            <w:r>
              <w:rPr>
                <w:rFonts w:hint="default" w:ascii="Times New Roman" w:hAnsi="Times New Roman" w:eastAsia="宋体" w:cs="Times New Roman"/>
                <w:b w:val="0"/>
                <w:bCs w:val="0"/>
                <w:color w:val="auto"/>
                <w:kern w:val="0"/>
                <w:sz w:val="24"/>
                <w:szCs w:val="24"/>
                <w:lang w:val="en-US" w:eastAsia="zh-CN" w:bidi="ar-SA"/>
              </w:rPr>
              <w:t>颗粒物污染治理设施工艺包括湿法作业或采用袋式除尘等技术。</w:t>
            </w:r>
            <w:r>
              <w:rPr>
                <w:rFonts w:hint="eastAsia" w:ascii="Times New Roman" w:hAnsi="Times New Roman" w:eastAsia="宋体" w:cs="Times New Roman"/>
                <w:bCs/>
                <w:color w:val="auto"/>
                <w:spacing w:val="0"/>
                <w:sz w:val="24"/>
                <w:szCs w:val="24"/>
                <w:lang w:val="en-US" w:eastAsia="zh-CN"/>
              </w:rPr>
              <w:t>废气处理措施满足废气污染防治可行技术要求。</w:t>
            </w:r>
          </w:p>
          <w:p>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eastAsia="宋体" w:cs="Times New Roman"/>
                <w:bCs/>
                <w:color w:val="auto"/>
                <w:spacing w:val="0"/>
                <w:sz w:val="24"/>
                <w:szCs w:val="24"/>
              </w:rPr>
            </w:pPr>
            <w:r>
              <w:rPr>
                <w:rFonts w:hint="eastAsia" w:ascii="Times New Roman" w:hAnsi="Times New Roman" w:eastAsia="宋体" w:cs="Times New Roman"/>
                <w:bCs/>
                <w:color w:val="auto"/>
                <w:spacing w:val="0"/>
                <w:sz w:val="24"/>
                <w:szCs w:val="24"/>
                <w:lang w:val="en-US" w:eastAsia="zh-CN"/>
              </w:rPr>
              <w:t>因此，环评对破碎、风选、筛分等工序粉尘废气提出袋式除尘的环保措施可行。</w:t>
            </w:r>
          </w:p>
          <w:p>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eastAsia="宋体" w:cs="Times New Roman"/>
                <w:bCs/>
                <w:color w:val="auto"/>
                <w:spacing w:val="0"/>
                <w:sz w:val="24"/>
                <w:szCs w:val="24"/>
                <w:lang w:val="en-US" w:eastAsia="zh-CN"/>
              </w:rPr>
            </w:pPr>
            <w:r>
              <w:rPr>
                <w:rFonts w:hint="eastAsia" w:ascii="Times New Roman" w:hAnsi="Times New Roman" w:eastAsia="宋体" w:cs="Times New Roman"/>
                <w:bCs/>
                <w:color w:val="auto"/>
                <w:spacing w:val="0"/>
                <w:sz w:val="24"/>
                <w:szCs w:val="24"/>
                <w:lang w:val="en-US" w:eastAsia="zh-CN"/>
              </w:rPr>
              <w:t>（2）无组织废气污染防治措施可行性分析</w:t>
            </w:r>
          </w:p>
          <w:p>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eastAsia="宋体" w:cs="Times New Roman"/>
                <w:bCs/>
                <w:color w:val="auto"/>
                <w:spacing w:val="0"/>
                <w:sz w:val="24"/>
                <w:szCs w:val="24"/>
                <w:lang w:val="en-US" w:eastAsia="zh-CN"/>
              </w:rPr>
            </w:pPr>
            <w:r>
              <w:rPr>
                <w:rFonts w:hint="eastAsia" w:ascii="Times New Roman" w:hAnsi="Times New Roman" w:eastAsia="宋体" w:cs="Times New Roman"/>
                <w:bCs/>
                <w:color w:val="auto"/>
                <w:spacing w:val="0"/>
                <w:sz w:val="24"/>
                <w:szCs w:val="24"/>
                <w:lang w:val="en-US" w:eastAsia="zh-CN"/>
              </w:rPr>
              <w:t>①</w:t>
            </w:r>
            <w:r>
              <w:rPr>
                <w:rFonts w:hint="eastAsia" w:ascii="Times New Roman" w:hAnsi="Times New Roman" w:eastAsia="宋体" w:cs="Times New Roman"/>
                <w:bCs/>
                <w:color w:val="auto"/>
                <w:spacing w:val="0"/>
                <w:sz w:val="24"/>
                <w:szCs w:val="24"/>
              </w:rPr>
              <w:t>全密闭车间</w:t>
            </w:r>
          </w:p>
          <w:p>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eastAsia="宋体" w:cs="Times New Roman"/>
                <w:bCs/>
                <w:color w:val="auto"/>
                <w:spacing w:val="0"/>
                <w:sz w:val="24"/>
                <w:szCs w:val="24"/>
              </w:rPr>
            </w:pPr>
            <w:r>
              <w:rPr>
                <w:rFonts w:hint="eastAsia" w:ascii="Times New Roman" w:hAnsi="Times New Roman" w:eastAsia="宋体" w:cs="Times New Roman"/>
                <w:bCs/>
                <w:color w:val="auto"/>
                <w:spacing w:val="0"/>
                <w:sz w:val="24"/>
                <w:szCs w:val="24"/>
              </w:rPr>
              <w:t>项目原料</w:t>
            </w:r>
            <w:r>
              <w:rPr>
                <w:rFonts w:hint="eastAsia" w:ascii="Times New Roman" w:hAnsi="Times New Roman" w:eastAsia="宋体" w:cs="Times New Roman"/>
                <w:bCs/>
                <w:color w:val="auto"/>
                <w:spacing w:val="0"/>
                <w:sz w:val="24"/>
                <w:szCs w:val="24"/>
                <w:lang w:val="en-US" w:eastAsia="zh-CN"/>
              </w:rPr>
              <w:t>输送</w:t>
            </w:r>
            <w:r>
              <w:rPr>
                <w:rFonts w:hint="eastAsia" w:ascii="Times New Roman" w:hAnsi="Times New Roman" w:eastAsia="宋体" w:cs="Times New Roman"/>
                <w:bCs/>
                <w:color w:val="auto"/>
                <w:spacing w:val="0"/>
                <w:sz w:val="24"/>
                <w:szCs w:val="24"/>
              </w:rPr>
              <w:t>、</w:t>
            </w:r>
            <w:r>
              <w:rPr>
                <w:rFonts w:hint="eastAsia" w:ascii="Times New Roman" w:hAnsi="Times New Roman" w:eastAsia="宋体" w:cs="Times New Roman"/>
                <w:bCs/>
                <w:color w:val="auto"/>
                <w:spacing w:val="0"/>
                <w:sz w:val="24"/>
                <w:szCs w:val="24"/>
                <w:lang w:val="en-US" w:eastAsia="zh-CN"/>
              </w:rPr>
              <w:t>投料</w:t>
            </w:r>
            <w:r>
              <w:rPr>
                <w:rFonts w:hint="eastAsia" w:ascii="Times New Roman" w:hAnsi="Times New Roman" w:eastAsia="宋体" w:cs="Times New Roman"/>
                <w:bCs/>
                <w:color w:val="auto"/>
                <w:spacing w:val="0"/>
                <w:sz w:val="24"/>
                <w:szCs w:val="24"/>
              </w:rPr>
              <w:t>、</w:t>
            </w:r>
            <w:r>
              <w:rPr>
                <w:rFonts w:hint="eastAsia" w:ascii="Times New Roman" w:hAnsi="Times New Roman" w:eastAsia="宋体" w:cs="Times New Roman"/>
                <w:bCs/>
                <w:color w:val="auto"/>
                <w:spacing w:val="0"/>
                <w:sz w:val="24"/>
                <w:szCs w:val="24"/>
                <w:lang w:val="en-US" w:eastAsia="zh-CN"/>
              </w:rPr>
              <w:t>破碎、风选、筛分</w:t>
            </w:r>
            <w:r>
              <w:rPr>
                <w:rFonts w:hint="eastAsia" w:ascii="Times New Roman" w:hAnsi="Times New Roman" w:eastAsia="宋体" w:cs="Times New Roman"/>
                <w:bCs/>
                <w:color w:val="auto"/>
                <w:spacing w:val="0"/>
                <w:sz w:val="24"/>
                <w:szCs w:val="24"/>
              </w:rPr>
              <w:t>等生产过程均设置在全密闭厂房内，</w:t>
            </w:r>
            <w:r>
              <w:rPr>
                <w:rFonts w:hint="eastAsia" w:ascii="Times New Roman" w:hAnsi="Times New Roman" w:eastAsia="宋体" w:cs="Times New Roman"/>
                <w:bCs/>
                <w:color w:val="auto"/>
                <w:spacing w:val="0"/>
                <w:sz w:val="24"/>
                <w:szCs w:val="24"/>
                <w:lang w:val="en-US" w:eastAsia="zh-CN"/>
              </w:rPr>
              <w:t>且要求建设单位皮带输送工序尽量降低跌落高度，抑制皮带运输及衔接转载产生的粉尘。生产车间内经常进行清扫，经洒水措施后降低无组织粉尘排放。</w:t>
            </w:r>
          </w:p>
          <w:p>
            <w:pPr>
              <w:pStyle w:val="4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72" w:firstLineChars="200"/>
              <w:textAlignment w:val="auto"/>
              <w:rPr>
                <w:rFonts w:hint="default" w:ascii="Times New Roman" w:hAnsi="Times New Roman" w:eastAsia="宋体" w:cs="宋体"/>
                <w:color w:val="auto"/>
                <w:spacing w:val="-2"/>
                <w:sz w:val="24"/>
                <w:lang w:val="en-US" w:eastAsia="zh-CN"/>
              </w:rPr>
            </w:pPr>
            <w:r>
              <w:rPr>
                <w:rFonts w:hint="eastAsia" w:ascii="Times New Roman" w:hAnsi="Times New Roman" w:cs="宋体"/>
                <w:color w:val="auto"/>
                <w:spacing w:val="-2"/>
                <w:sz w:val="24"/>
                <w:lang w:val="en-US" w:eastAsia="zh-CN"/>
              </w:rPr>
              <w:t>②</w:t>
            </w:r>
            <w:r>
              <w:rPr>
                <w:rFonts w:ascii="宋体" w:hAnsi="宋体" w:eastAsia="宋体" w:cs="宋体"/>
                <w:color w:val="auto"/>
                <w:sz w:val="24"/>
                <w:szCs w:val="24"/>
              </w:rPr>
              <w:t>洒水喷雾</w:t>
            </w:r>
            <w:r>
              <w:rPr>
                <w:rFonts w:hint="eastAsia" w:ascii="Times New Roman" w:hAnsi="Times New Roman" w:eastAsia="宋体" w:cs="宋体"/>
                <w:color w:val="auto"/>
                <w:spacing w:val="-2"/>
                <w:sz w:val="24"/>
                <w:lang w:val="en-US" w:eastAsia="zh-CN"/>
              </w:rPr>
              <w:t>降尘</w:t>
            </w:r>
          </w:p>
          <w:p>
            <w:pPr>
              <w:pStyle w:val="454"/>
              <w:keepNext w:val="0"/>
              <w:keepLines w:val="0"/>
              <w:pageBreakBefore w:val="0"/>
              <w:widowControl w:val="0"/>
              <w:kinsoku/>
              <w:wordWrap/>
              <w:overflowPunct/>
              <w:topLinePunct w:val="0"/>
              <w:autoSpaceDE/>
              <w:autoSpaceDN/>
              <w:bidi w:val="0"/>
              <w:adjustRightInd/>
              <w:snapToGrid/>
              <w:textAlignment w:val="auto"/>
              <w:rPr>
                <w:rFonts w:ascii="宋体" w:hAnsi="宋体" w:eastAsia="宋体" w:cs="宋体"/>
                <w:color w:val="auto"/>
                <w:sz w:val="24"/>
                <w:szCs w:val="24"/>
              </w:rPr>
            </w:pPr>
            <w:r>
              <w:rPr>
                <w:rFonts w:ascii="宋体" w:hAnsi="宋体" w:eastAsia="宋体" w:cs="宋体"/>
                <w:color w:val="auto"/>
                <w:sz w:val="24"/>
                <w:szCs w:val="24"/>
              </w:rPr>
              <w:t>采用湿法作业去除空闲悬浮粉尘，降尘效率可达到</w:t>
            </w:r>
            <w:r>
              <w:rPr>
                <w:rFonts w:hint="default" w:ascii="Times New Roman" w:hAnsi="Times New Roman" w:eastAsia="宋体" w:cs="Times New Roman"/>
                <w:color w:val="auto"/>
                <w:sz w:val="24"/>
                <w:szCs w:val="24"/>
              </w:rPr>
              <w:t>80%</w:t>
            </w:r>
            <w:r>
              <w:rPr>
                <w:rFonts w:hint="eastAsia" w:ascii="宋体" w:hAnsi="宋体" w:cs="宋体"/>
                <w:color w:val="auto"/>
                <w:sz w:val="24"/>
                <w:szCs w:val="24"/>
                <w:lang w:eastAsia="zh-CN"/>
              </w:rPr>
              <w:t>，</w:t>
            </w:r>
            <w:r>
              <w:rPr>
                <w:rFonts w:ascii="宋体" w:hAnsi="宋体" w:eastAsia="宋体" w:cs="宋体"/>
                <w:color w:val="auto"/>
                <w:sz w:val="24"/>
                <w:szCs w:val="24"/>
              </w:rPr>
              <w:t>扬尘的产排量也将得到强有力</w:t>
            </w:r>
            <w:r>
              <w:rPr>
                <w:rFonts w:hint="eastAsia" w:ascii="宋体" w:hAnsi="宋体" w:cs="宋体"/>
                <w:color w:val="auto"/>
                <w:sz w:val="24"/>
                <w:szCs w:val="24"/>
                <w:lang w:eastAsia="zh-CN"/>
              </w:rPr>
              <w:t>的</w:t>
            </w:r>
            <w:r>
              <w:rPr>
                <w:rFonts w:ascii="宋体" w:hAnsi="宋体" w:eastAsia="宋体" w:cs="宋体"/>
                <w:color w:val="auto"/>
                <w:sz w:val="24"/>
                <w:szCs w:val="24"/>
              </w:rPr>
              <w:t>控制。</w:t>
            </w:r>
          </w:p>
          <w:p>
            <w:pPr>
              <w:pStyle w:val="4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4" w:firstLineChars="200"/>
              <w:textAlignment w:val="auto"/>
              <w:rPr>
                <w:rFonts w:hint="eastAsia" w:ascii="Times New Roman" w:hAnsi="Times New Roman" w:eastAsia="宋体" w:cs="宋体"/>
                <w:color w:val="auto"/>
                <w:spacing w:val="-2"/>
                <w:sz w:val="24"/>
                <w:lang w:val="en-US" w:eastAsia="zh-CN"/>
              </w:rPr>
            </w:pPr>
            <w:r>
              <w:rPr>
                <w:rFonts w:hint="eastAsia" w:ascii="宋体" w:hAnsi="宋体" w:cs="宋体"/>
                <w:color w:val="auto"/>
                <w:spacing w:val="1"/>
                <w:sz w:val="24"/>
                <w:szCs w:val="24"/>
                <w:lang w:val="en-US" w:eastAsia="zh-CN"/>
              </w:rPr>
              <w:t>根据</w:t>
            </w:r>
            <w:r>
              <w:rPr>
                <w:rFonts w:hint="default" w:ascii="宋体" w:hAnsi="宋体" w:eastAsia="宋体" w:cs="宋体"/>
                <w:color w:val="auto"/>
                <w:spacing w:val="1"/>
                <w:sz w:val="24"/>
                <w:szCs w:val="24"/>
                <w:lang w:val="en-US" w:eastAsia="zh-CN"/>
              </w:rPr>
              <w:t>《工业料堆场扬尘整治规范》（</w:t>
            </w:r>
            <w:r>
              <w:rPr>
                <w:rFonts w:hint="default" w:ascii="Times New Roman" w:hAnsi="Times New Roman" w:eastAsia="宋体" w:cs="Times New Roman"/>
                <w:color w:val="auto"/>
                <w:spacing w:val="1"/>
                <w:sz w:val="24"/>
                <w:szCs w:val="24"/>
                <w:lang w:val="en-US" w:eastAsia="zh-CN"/>
              </w:rPr>
              <w:t>DB65/T4061-2017</w:t>
            </w:r>
            <w:r>
              <w:rPr>
                <w:rFonts w:hint="default" w:ascii="宋体" w:hAnsi="宋体" w:eastAsia="宋体" w:cs="宋体"/>
                <w:color w:val="auto"/>
                <w:spacing w:val="1"/>
                <w:sz w:val="24"/>
                <w:szCs w:val="24"/>
                <w:lang w:val="en-US" w:eastAsia="zh-CN"/>
              </w:rPr>
              <w:t>）</w:t>
            </w:r>
            <w:r>
              <w:rPr>
                <w:rFonts w:hint="eastAsia" w:ascii="宋体" w:hAnsi="宋体" w:cs="宋体"/>
                <w:color w:val="auto"/>
                <w:spacing w:val="1"/>
                <w:sz w:val="24"/>
                <w:szCs w:val="24"/>
                <w:lang w:val="en-US" w:eastAsia="zh-CN"/>
              </w:rPr>
              <w:t>，本项目位于“一般控制区”，</w:t>
            </w:r>
            <w:r>
              <w:rPr>
                <w:rFonts w:hint="eastAsia" w:cs="宋体"/>
                <w:color w:val="auto"/>
                <w:sz w:val="24"/>
                <w:szCs w:val="24"/>
                <w:lang w:val="en-US" w:eastAsia="zh-CN"/>
              </w:rPr>
              <w:t>建筑垃圾</w:t>
            </w:r>
            <w:r>
              <w:rPr>
                <w:rFonts w:hint="eastAsia" w:ascii="宋体" w:hAnsi="宋体" w:eastAsia="宋体" w:cs="宋体"/>
                <w:color w:val="auto"/>
                <w:sz w:val="24"/>
                <w:szCs w:val="24"/>
                <w:lang w:val="en-US" w:eastAsia="zh-CN"/>
              </w:rPr>
              <w:t>原料堆场</w:t>
            </w:r>
            <w:r>
              <w:rPr>
                <w:rFonts w:hint="eastAsia" w:cs="宋体"/>
                <w:color w:val="auto"/>
                <w:sz w:val="24"/>
                <w:szCs w:val="24"/>
                <w:lang w:val="en-US" w:eastAsia="zh-CN"/>
              </w:rPr>
              <w:t>设置于密闭原料库内</w:t>
            </w:r>
            <w:r>
              <w:rPr>
                <w:rFonts w:hint="eastAsia" w:ascii="宋体" w:hAnsi="宋体" w:cs="宋体"/>
                <w:color w:val="auto"/>
                <w:sz w:val="24"/>
                <w:szCs w:val="24"/>
                <w:lang w:val="en-US" w:eastAsia="zh-CN"/>
              </w:rPr>
              <w:t>。</w:t>
            </w:r>
          </w:p>
          <w:p>
            <w:pPr>
              <w:pStyle w:val="4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72" w:firstLineChars="200"/>
              <w:textAlignment w:val="auto"/>
              <w:rPr>
                <w:rFonts w:hint="eastAsia" w:ascii="Times New Roman" w:hAnsi="Times New Roman" w:eastAsia="宋体" w:cs="宋体"/>
                <w:color w:val="auto"/>
                <w:spacing w:val="-2"/>
                <w:sz w:val="24"/>
                <w:lang w:val="en-US" w:eastAsia="zh-CN"/>
              </w:rPr>
            </w:pPr>
            <w:r>
              <w:rPr>
                <w:rFonts w:hint="eastAsia" w:ascii="Times New Roman" w:hAnsi="Times New Roman" w:eastAsia="宋体" w:cs="宋体"/>
                <w:color w:val="auto"/>
                <w:spacing w:val="-2"/>
                <w:sz w:val="24"/>
                <w:lang w:val="en-US" w:eastAsia="zh-CN"/>
              </w:rPr>
              <w:t>水喷淋除尘系统中，水通过高压水流或雾化喷嘴被喷洒至含有粉尘或颗粒物的空气中。这些被喷洒出的水雾颗粒通常尺寸微小（一般在10微米以下），且表面张力较大。当这些微小的水雾颗粒与空气中的粉尘颗粒接触时，由于物理吸附的作用，粉尘颗粒会被</w:t>
            </w:r>
            <w:r>
              <w:rPr>
                <w:rFonts w:hint="eastAsia" w:ascii="Times New Roman" w:hAnsi="Times New Roman" w:cs="宋体"/>
                <w:color w:val="auto"/>
                <w:spacing w:val="-2"/>
                <w:sz w:val="24"/>
                <w:lang w:val="en-US" w:eastAsia="zh-CN"/>
              </w:rPr>
              <w:t>黏附</w:t>
            </w:r>
            <w:r>
              <w:rPr>
                <w:rFonts w:hint="eastAsia" w:ascii="Times New Roman" w:hAnsi="Times New Roman" w:eastAsia="宋体" w:cs="宋体"/>
                <w:color w:val="auto"/>
                <w:spacing w:val="-2"/>
                <w:sz w:val="24"/>
                <w:lang w:val="en-US" w:eastAsia="zh-CN"/>
              </w:rPr>
              <w:t>在水滴上。这种吸附作用主要依赖于水滴与粉尘颗粒之间的相互作用力，包括范德华力、静电力等。被</w:t>
            </w:r>
            <w:r>
              <w:rPr>
                <w:rFonts w:hint="eastAsia" w:ascii="Times New Roman" w:hAnsi="Times New Roman" w:cs="宋体"/>
                <w:color w:val="auto"/>
                <w:spacing w:val="-2"/>
                <w:sz w:val="24"/>
                <w:lang w:val="en-US" w:eastAsia="zh-CN"/>
              </w:rPr>
              <w:t>黏附</w:t>
            </w:r>
            <w:r>
              <w:rPr>
                <w:rFonts w:hint="eastAsia" w:ascii="Times New Roman" w:hAnsi="Times New Roman" w:eastAsia="宋体" w:cs="宋体"/>
                <w:color w:val="auto"/>
                <w:spacing w:val="-2"/>
                <w:sz w:val="24"/>
                <w:lang w:val="en-US" w:eastAsia="zh-CN"/>
              </w:rPr>
              <w:t>了粉尘颗粒的水滴，随着时间的推移，在重力的作用下会逐渐下沉。这一过程中，水滴携带的粉尘颗粒也会随之下沉，最终落到地面或其他固定的收集设备中。重力沉降的速度取决于水滴的大小、密度以及空气中的粉尘浓度等因素。通常，水滴越小，沉降速度越慢，但</w:t>
            </w:r>
            <w:r>
              <w:rPr>
                <w:rFonts w:hint="eastAsia" w:ascii="Times New Roman" w:hAnsi="Times New Roman" w:cs="宋体"/>
                <w:color w:val="auto"/>
                <w:spacing w:val="-2"/>
                <w:sz w:val="24"/>
                <w:lang w:val="en-US" w:eastAsia="zh-CN"/>
              </w:rPr>
              <w:t>黏附</w:t>
            </w:r>
            <w:r>
              <w:rPr>
                <w:rFonts w:hint="eastAsia" w:ascii="Times New Roman" w:hAnsi="Times New Roman" w:eastAsia="宋体" w:cs="宋体"/>
                <w:color w:val="auto"/>
                <w:spacing w:val="-2"/>
                <w:sz w:val="24"/>
                <w:lang w:val="en-US" w:eastAsia="zh-CN"/>
              </w:rPr>
              <w:t>的粉尘颗粒数量可能更多；而水滴越大，沉降速度越快，但可能无法有效</w:t>
            </w:r>
            <w:r>
              <w:rPr>
                <w:rFonts w:hint="eastAsia" w:ascii="Times New Roman" w:hAnsi="Times New Roman" w:cs="宋体"/>
                <w:color w:val="auto"/>
                <w:spacing w:val="-2"/>
                <w:sz w:val="24"/>
                <w:lang w:val="en-US" w:eastAsia="zh-CN"/>
              </w:rPr>
              <w:t>黏附</w:t>
            </w:r>
            <w:r>
              <w:rPr>
                <w:rFonts w:hint="eastAsia" w:ascii="Times New Roman" w:hAnsi="Times New Roman" w:eastAsia="宋体" w:cs="宋体"/>
                <w:color w:val="auto"/>
                <w:spacing w:val="-2"/>
                <w:sz w:val="24"/>
                <w:lang w:val="en-US" w:eastAsia="zh-CN"/>
              </w:rPr>
              <w:t>所有细小的粉尘颗粒。</w:t>
            </w:r>
            <w:r>
              <w:rPr>
                <w:rFonts w:hint="eastAsia" w:ascii="Times New Roman" w:hAnsi="Times New Roman" w:cs="宋体"/>
                <w:color w:val="auto"/>
                <w:spacing w:val="-2"/>
                <w:sz w:val="24"/>
                <w:lang w:val="en-US" w:eastAsia="zh-CN"/>
              </w:rPr>
              <w:t>根据</w:t>
            </w:r>
            <w:r>
              <w:rPr>
                <w:rFonts w:hint="eastAsia" w:ascii="Times New Roman" w:hAnsi="Times New Roman" w:eastAsia="宋体" w:cs="Times New Roman"/>
                <w:color w:val="auto"/>
                <w:sz w:val="24"/>
                <w:lang w:val="en-US" w:eastAsia="zh-CN"/>
              </w:rPr>
              <w:t>《选矿厂推行清洁工厂粉尘治理全过程》（赵金刚，闫向东），矿石的湿度由1.2%加湿到1.4%的情况下，工业区的粉尘浓度就有显著的下降，在中破碎处降低了</w:t>
            </w:r>
            <w:r>
              <w:rPr>
                <w:rFonts w:hint="eastAsia" w:ascii="Times New Roman" w:hAnsi="Times New Roman" w:cs="Times New Roman"/>
                <w:color w:val="auto"/>
                <w:sz w:val="24"/>
                <w:lang w:val="en-US" w:eastAsia="zh-CN"/>
              </w:rPr>
              <w:t>20%～60%</w:t>
            </w:r>
            <w:r>
              <w:rPr>
                <w:rFonts w:hint="eastAsia" w:ascii="Times New Roman" w:hAnsi="Times New Roman" w:eastAsia="宋体" w:cs="Times New Roman"/>
                <w:color w:val="auto"/>
                <w:sz w:val="24"/>
                <w:lang w:val="en-US" w:eastAsia="zh-CN"/>
              </w:rPr>
              <w:t>，振动筛处降低了</w:t>
            </w:r>
            <w:r>
              <w:rPr>
                <w:rFonts w:hint="eastAsia" w:ascii="Times New Roman" w:hAnsi="Times New Roman" w:cs="Times New Roman"/>
                <w:color w:val="auto"/>
                <w:sz w:val="24"/>
                <w:lang w:val="en-US" w:eastAsia="zh-CN"/>
              </w:rPr>
              <w:t>50%～60%</w:t>
            </w:r>
            <w:r>
              <w:rPr>
                <w:rFonts w:hint="eastAsia" w:ascii="Times New Roman" w:hAnsi="Times New Roman" w:eastAsia="宋体" w:cs="Times New Roman"/>
                <w:color w:val="auto"/>
                <w:sz w:val="24"/>
                <w:lang w:val="en-US" w:eastAsia="zh-CN"/>
              </w:rPr>
              <w:t>，</w:t>
            </w:r>
            <w:r>
              <w:rPr>
                <w:rFonts w:hint="eastAsia" w:ascii="Times New Roman" w:hAnsi="Times New Roman" w:cs="Times New Roman"/>
                <w:color w:val="auto"/>
                <w:sz w:val="24"/>
                <w:lang w:val="en-US" w:eastAsia="zh-CN"/>
              </w:rPr>
              <w:t>本项目取最低值，破碎、筛分、风选工序粉尘降低按20%计算</w:t>
            </w:r>
            <w:r>
              <w:rPr>
                <w:rFonts w:hint="eastAsia" w:ascii="Times New Roman" w:hAnsi="Times New Roman" w:eastAsia="宋体" w:cs="Times New Roman"/>
                <w:color w:val="auto"/>
                <w:sz w:val="24"/>
                <w:szCs w:val="24"/>
                <w:highlight w:val="none"/>
                <w:lang w:val="en-US" w:eastAsia="zh-CN" w:bidi="ar"/>
              </w:rPr>
              <w:t>。</w:t>
            </w:r>
          </w:p>
          <w:p>
            <w:pPr>
              <w:pStyle w:val="4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宋体"/>
                <w:color w:val="auto"/>
                <w:spacing w:val="-2"/>
                <w:sz w:val="24"/>
                <w:lang w:val="en-US" w:eastAsia="zh-CN"/>
              </w:rPr>
            </w:pPr>
            <w:r>
              <w:rPr>
                <w:rFonts w:hint="eastAsia" w:ascii="Times New Roman" w:hAnsi="Times New Roman" w:eastAsia="宋体" w:cs="Times New Roman"/>
                <w:b w:val="0"/>
                <w:bCs w:val="0"/>
                <w:color w:val="auto"/>
                <w:sz w:val="24"/>
                <w:szCs w:val="24"/>
                <w:lang w:val="en-US" w:eastAsia="zh-CN"/>
              </w:rPr>
              <w:t>本</w:t>
            </w:r>
            <w:r>
              <w:rPr>
                <w:rFonts w:hint="eastAsia" w:ascii="Times New Roman" w:hAnsi="Times New Roman" w:eastAsia="宋体" w:cs="宋体"/>
                <w:color w:val="auto"/>
                <w:spacing w:val="-2"/>
                <w:sz w:val="24"/>
                <w:lang w:val="en-US" w:eastAsia="zh-CN"/>
              </w:rPr>
              <w:t>项目卸料扬尘、</w:t>
            </w:r>
            <w:r>
              <w:rPr>
                <w:rFonts w:hint="eastAsia" w:ascii="Times New Roman" w:hAnsi="Times New Roman" w:cs="宋体"/>
                <w:color w:val="auto"/>
                <w:spacing w:val="-2"/>
                <w:sz w:val="24"/>
                <w:lang w:val="en-US" w:eastAsia="zh-CN"/>
              </w:rPr>
              <w:t>原料堆场</w:t>
            </w:r>
            <w:r>
              <w:rPr>
                <w:rFonts w:hint="eastAsia" w:ascii="Times New Roman" w:hAnsi="Times New Roman" w:eastAsia="宋体" w:cs="宋体"/>
                <w:color w:val="auto"/>
                <w:spacing w:val="-2"/>
                <w:sz w:val="24"/>
                <w:lang w:val="en-US" w:eastAsia="zh-CN"/>
              </w:rPr>
              <w:t>扬尘、</w:t>
            </w:r>
            <w:r>
              <w:rPr>
                <w:rFonts w:hint="eastAsia" w:ascii="Times New Roman" w:hAnsi="Times New Roman" w:cs="宋体"/>
                <w:color w:val="auto"/>
                <w:spacing w:val="-2"/>
                <w:sz w:val="24"/>
                <w:lang w:val="en-US" w:eastAsia="zh-CN"/>
              </w:rPr>
              <w:t>投料废气</w:t>
            </w:r>
            <w:r>
              <w:rPr>
                <w:rFonts w:hint="eastAsia" w:ascii="Times New Roman" w:hAnsi="Times New Roman" w:eastAsia="宋体" w:cs="宋体"/>
                <w:color w:val="auto"/>
                <w:spacing w:val="-2"/>
                <w:sz w:val="24"/>
                <w:lang w:val="en-US" w:eastAsia="zh-CN"/>
              </w:rPr>
              <w:t>设置水喷淋装置喷淋降尘；</w:t>
            </w:r>
            <w:r>
              <w:rPr>
                <w:rFonts w:hint="eastAsia" w:ascii="Times New Roman" w:hAnsi="Times New Roman" w:cs="宋体"/>
                <w:color w:val="auto"/>
                <w:spacing w:val="-2"/>
                <w:sz w:val="24"/>
                <w:lang w:val="en-US" w:eastAsia="zh-CN"/>
              </w:rPr>
              <w:t>颚破废气</w:t>
            </w:r>
            <w:r>
              <w:rPr>
                <w:rFonts w:hint="eastAsia" w:ascii="Times New Roman" w:hAnsi="Times New Roman" w:cs="Times New Roman"/>
                <w:b w:val="0"/>
                <w:bCs w:val="0"/>
                <w:color w:val="auto"/>
                <w:sz w:val="24"/>
                <w:szCs w:val="24"/>
                <w:lang w:val="en-US" w:eastAsia="zh-CN"/>
              </w:rPr>
              <w:t>、渣土筛分废气、风选废气、反击破废气</w:t>
            </w:r>
            <w:r>
              <w:rPr>
                <w:rFonts w:hint="eastAsia" w:ascii="Times New Roman" w:hAnsi="Times New Roman" w:cs="宋体"/>
                <w:color w:val="auto"/>
                <w:spacing w:val="-2"/>
                <w:sz w:val="24"/>
                <w:lang w:val="en-US" w:eastAsia="zh-CN"/>
              </w:rPr>
              <w:t>、成品筛分废气采用布袋除尘器；并在各工序适当位置设置喷雾点喷雾</w:t>
            </w:r>
            <w:r>
              <w:rPr>
                <w:rFonts w:hint="eastAsia" w:ascii="Times New Roman" w:hAnsi="Times New Roman" w:eastAsia="宋体" w:cs="宋体"/>
                <w:color w:val="auto"/>
                <w:spacing w:val="-2"/>
                <w:sz w:val="24"/>
                <w:lang w:val="en-US" w:eastAsia="zh-CN"/>
              </w:rPr>
              <w:t>降尘</w:t>
            </w:r>
            <w:r>
              <w:rPr>
                <w:rFonts w:hint="eastAsia" w:ascii="Times New Roman" w:hAnsi="Times New Roman" w:cs="宋体"/>
                <w:color w:val="auto"/>
                <w:spacing w:val="-2"/>
                <w:sz w:val="24"/>
                <w:lang w:val="en-US" w:eastAsia="zh-CN"/>
              </w:rPr>
              <w:t>以减少粉尘的产生</w:t>
            </w:r>
            <w:r>
              <w:rPr>
                <w:rFonts w:hint="eastAsia" w:ascii="Times New Roman" w:hAnsi="Times New Roman" w:eastAsia="宋体" w:cs="宋体"/>
                <w:color w:val="auto"/>
                <w:spacing w:val="-2"/>
                <w:sz w:val="24"/>
                <w:lang w:val="en-US" w:eastAsia="zh-CN"/>
              </w:rPr>
              <w:t>，与</w:t>
            </w:r>
            <w:r>
              <w:rPr>
                <w:rFonts w:hint="default" w:ascii="Times New Roman" w:hAnsi="Times New Roman" w:eastAsia="宋体" w:cs="宋体"/>
                <w:color w:val="auto"/>
                <w:spacing w:val="-2"/>
                <w:sz w:val="24"/>
                <w:lang w:val="en-US" w:eastAsia="zh-CN"/>
              </w:rPr>
              <w:t>《排</w:t>
            </w:r>
            <w:r>
              <w:rPr>
                <w:rFonts w:hint="default" w:ascii="Times New Roman" w:hAnsi="Times New Roman" w:eastAsia="宋体" w:cs="Times New Roman"/>
                <w:b w:val="0"/>
                <w:bCs w:val="0"/>
                <w:color w:val="auto"/>
                <w:kern w:val="0"/>
                <w:sz w:val="24"/>
                <w:szCs w:val="24"/>
                <w:lang w:val="en-US" w:eastAsia="zh-CN" w:bidi="ar-SA"/>
              </w:rPr>
              <w:t>污许可证申请与核发技术规范 陶瓷砖瓦工业》（HJ954-2018）</w:t>
            </w:r>
            <w:r>
              <w:rPr>
                <w:rFonts w:hint="eastAsia" w:ascii="Times New Roman" w:hAnsi="Times New Roman" w:eastAsia="宋体"/>
                <w:b w:val="0"/>
                <w:bCs w:val="0"/>
                <w:color w:val="auto"/>
                <w:spacing w:val="0"/>
                <w:sz w:val="24"/>
                <w:lang w:val="en-US" w:eastAsia="zh-CN"/>
              </w:rPr>
              <w:t>中</w:t>
            </w:r>
            <w:r>
              <w:rPr>
                <w:rFonts w:hint="default" w:ascii="Times New Roman" w:hAnsi="Times New Roman" w:eastAsia="宋体"/>
                <w:b w:val="0"/>
                <w:bCs w:val="0"/>
                <w:color w:val="auto"/>
                <w:spacing w:val="0"/>
                <w:sz w:val="24"/>
              </w:rPr>
              <w:t>表</w:t>
            </w:r>
            <w:r>
              <w:rPr>
                <w:rFonts w:hint="eastAsia" w:ascii="Times New Roman" w:hAnsi="Times New Roman" w:eastAsia="宋体"/>
                <w:b w:val="0"/>
                <w:bCs w:val="0"/>
                <w:color w:val="auto"/>
                <w:spacing w:val="0"/>
                <w:sz w:val="24"/>
                <w:lang w:val="en-US" w:eastAsia="zh-CN"/>
              </w:rPr>
              <w:t>33</w:t>
            </w:r>
            <w:r>
              <w:rPr>
                <w:rFonts w:hint="eastAsia" w:ascii="Times New Roman" w:hAnsi="Times New Roman" w:eastAsia="宋体" w:cs="Times New Roman"/>
                <w:b w:val="0"/>
                <w:bCs w:val="0"/>
                <w:color w:val="auto"/>
                <w:spacing w:val="0"/>
                <w:sz w:val="24"/>
                <w:lang w:val="en-US" w:eastAsia="zh-CN"/>
              </w:rPr>
              <w:t>其他</w:t>
            </w:r>
            <w:r>
              <w:rPr>
                <w:rFonts w:hint="eastAsia" w:ascii="Times New Roman" w:hAnsi="Times New Roman" w:eastAsia="宋体"/>
                <w:b w:val="0"/>
                <w:bCs w:val="0"/>
                <w:color w:val="auto"/>
                <w:spacing w:val="0"/>
                <w:sz w:val="24"/>
                <w:lang w:val="en-US" w:eastAsia="zh-CN"/>
              </w:rPr>
              <w:t>制品类</w:t>
            </w:r>
            <w:r>
              <w:rPr>
                <w:rFonts w:hint="default" w:ascii="Times New Roman" w:hAnsi="Times New Roman" w:eastAsia="宋体"/>
                <w:b w:val="0"/>
                <w:bCs w:val="0"/>
                <w:color w:val="auto"/>
                <w:spacing w:val="0"/>
                <w:sz w:val="24"/>
              </w:rPr>
              <w:t>工业排</w:t>
            </w:r>
            <w:r>
              <w:rPr>
                <w:rFonts w:hint="default" w:ascii="Times New Roman" w:hAnsi="Times New Roman" w:eastAsia="宋体"/>
                <w:b w:val="0"/>
                <w:bCs w:val="0"/>
                <w:color w:val="auto"/>
                <w:spacing w:val="-2"/>
                <w:sz w:val="24"/>
              </w:rPr>
              <w:t>污单位废气</w:t>
            </w:r>
            <w:r>
              <w:rPr>
                <w:rFonts w:hint="eastAsia" w:ascii="Times New Roman" w:hAnsi="Times New Roman" w:eastAsia="宋体"/>
                <w:b w:val="0"/>
                <w:bCs w:val="0"/>
                <w:color w:val="auto"/>
                <w:spacing w:val="-2"/>
                <w:sz w:val="24"/>
                <w:lang w:val="en-US" w:eastAsia="zh-CN"/>
              </w:rPr>
              <w:t>污染防治可行技术</w:t>
            </w:r>
            <w:r>
              <w:rPr>
                <w:rFonts w:hint="default" w:ascii="Times New Roman" w:hAnsi="Times New Roman" w:eastAsia="宋体"/>
                <w:b w:val="0"/>
                <w:bCs w:val="0"/>
                <w:color w:val="auto"/>
                <w:spacing w:val="-89"/>
                <w:sz w:val="24"/>
              </w:rPr>
              <w:t xml:space="preserve"> </w:t>
            </w:r>
            <w:r>
              <w:rPr>
                <w:rFonts w:hint="eastAsia" w:ascii="Times New Roman" w:hAnsi="Times New Roman" w:eastAsia="宋体" w:cs="Times New Roman"/>
                <w:b w:val="0"/>
                <w:bCs w:val="0"/>
                <w:color w:val="auto"/>
                <w:kern w:val="0"/>
                <w:sz w:val="24"/>
                <w:szCs w:val="24"/>
                <w:lang w:val="en-US" w:eastAsia="zh-CN" w:bidi="ar-SA"/>
              </w:rPr>
              <w:t>要</w:t>
            </w:r>
            <w:r>
              <w:rPr>
                <w:rFonts w:hint="eastAsia" w:ascii="Times New Roman" w:hAnsi="Times New Roman" w:eastAsia="宋体" w:cs="Times New Roman"/>
                <w:color w:val="auto"/>
                <w:spacing w:val="-1"/>
                <w:sz w:val="24"/>
                <w:lang w:val="en-US" w:eastAsia="zh-CN"/>
              </w:rPr>
              <w:t>求的“</w:t>
            </w:r>
            <w:r>
              <w:rPr>
                <w:rFonts w:hint="default" w:ascii="Times New Roman" w:hAnsi="Times New Roman" w:eastAsia="宋体" w:cs="Times New Roman"/>
                <w:b w:val="0"/>
                <w:bCs w:val="0"/>
                <w:color w:val="auto"/>
                <w:kern w:val="0"/>
                <w:sz w:val="24"/>
                <w:szCs w:val="24"/>
                <w:lang w:val="en-US" w:eastAsia="zh-CN" w:bidi="ar-SA"/>
              </w:rPr>
              <w:t>湿法作业或采用袋式除尘等技术</w:t>
            </w:r>
            <w:r>
              <w:rPr>
                <w:rFonts w:hint="eastAsia" w:ascii="Times New Roman" w:hAnsi="Times New Roman" w:eastAsia="宋体" w:cs="Times New Roman"/>
                <w:color w:val="auto"/>
                <w:spacing w:val="-1"/>
                <w:sz w:val="24"/>
                <w:lang w:val="en-US" w:eastAsia="zh-CN"/>
              </w:rPr>
              <w:t>”相符</w:t>
            </w:r>
            <w:r>
              <w:rPr>
                <w:rFonts w:hint="eastAsia" w:ascii="Times New Roman" w:hAnsi="Times New Roman" w:eastAsia="宋体" w:cs="Times New Roman"/>
                <w:color w:val="auto"/>
                <w:sz w:val="24"/>
                <w:szCs w:val="24"/>
                <w:lang w:val="en-US" w:eastAsia="zh-CN"/>
              </w:rPr>
              <w:t>，属于</w:t>
            </w:r>
            <w:r>
              <w:rPr>
                <w:rFonts w:hint="eastAsia" w:ascii="Times New Roman" w:hAnsi="Times New Roman" w:eastAsia="宋体" w:cs="宋体"/>
                <w:color w:val="auto"/>
                <w:spacing w:val="-2"/>
                <w:sz w:val="24"/>
                <w:lang w:val="en-US" w:eastAsia="zh-CN"/>
              </w:rPr>
              <w:t>可行技术。</w:t>
            </w:r>
          </w:p>
          <w:p>
            <w:pPr>
              <w:pStyle w:val="4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72" w:firstLineChars="200"/>
              <w:textAlignment w:val="auto"/>
              <w:rPr>
                <w:rFonts w:hint="default" w:ascii="Times New Roman" w:hAnsi="Times New Roman" w:eastAsia="宋体" w:cs="宋体"/>
                <w:color w:val="auto"/>
                <w:spacing w:val="-2"/>
                <w:sz w:val="24"/>
                <w:lang w:val="en-US" w:eastAsia="zh-CN"/>
              </w:rPr>
            </w:pPr>
            <w:r>
              <w:rPr>
                <w:rFonts w:hint="eastAsia" w:ascii="Times New Roman" w:hAnsi="Times New Roman" w:eastAsia="宋体" w:cs="宋体"/>
                <w:color w:val="auto"/>
                <w:spacing w:val="-2"/>
                <w:sz w:val="24"/>
                <w:lang w:val="en-US" w:eastAsia="zh-CN"/>
              </w:rPr>
              <w:t>（</w:t>
            </w:r>
            <w:r>
              <w:rPr>
                <w:rFonts w:hint="eastAsia" w:ascii="Times New Roman" w:hAnsi="Times New Roman" w:cs="宋体"/>
                <w:color w:val="auto"/>
                <w:spacing w:val="-2"/>
                <w:sz w:val="24"/>
                <w:lang w:val="en-US" w:eastAsia="zh-CN"/>
              </w:rPr>
              <w:t>3</w:t>
            </w:r>
            <w:r>
              <w:rPr>
                <w:rFonts w:hint="eastAsia" w:ascii="Times New Roman" w:hAnsi="Times New Roman" w:eastAsia="宋体" w:cs="宋体"/>
                <w:color w:val="auto"/>
                <w:spacing w:val="-2"/>
                <w:sz w:val="24"/>
                <w:lang w:val="en-US" w:eastAsia="zh-CN"/>
              </w:rPr>
              <w:t>）</w:t>
            </w:r>
            <w:r>
              <w:rPr>
                <w:rFonts w:hint="default" w:ascii="Times New Roman" w:hAnsi="Times New Roman" w:eastAsia="宋体" w:cs="宋体"/>
                <w:color w:val="auto"/>
                <w:spacing w:val="-2"/>
                <w:sz w:val="24"/>
                <w:lang w:val="en-US" w:eastAsia="zh-CN"/>
              </w:rPr>
              <w:t>无组织废气污染物防治措施</w:t>
            </w:r>
          </w:p>
          <w:p>
            <w:pPr>
              <w:pStyle w:val="4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72" w:firstLineChars="200"/>
              <w:textAlignment w:val="auto"/>
              <w:rPr>
                <w:rFonts w:hint="eastAsia" w:ascii="Times New Roman" w:hAnsi="Times New Roman" w:eastAsia="宋体" w:cs="宋体"/>
                <w:color w:val="auto"/>
                <w:spacing w:val="-2"/>
                <w:sz w:val="24"/>
                <w:lang w:val="en-US" w:eastAsia="zh-CN"/>
              </w:rPr>
            </w:pPr>
            <w:r>
              <w:rPr>
                <w:rFonts w:hint="default" w:ascii="Times New Roman" w:hAnsi="Times New Roman" w:eastAsia="宋体" w:cs="宋体"/>
                <w:color w:val="auto"/>
                <w:spacing w:val="-2"/>
                <w:sz w:val="24"/>
                <w:lang w:val="en-US" w:eastAsia="zh-CN"/>
              </w:rPr>
              <w:t>项目涉及无组织废气环节较多，如运输过程中可能产生</w:t>
            </w:r>
            <w:r>
              <w:rPr>
                <w:rFonts w:hint="eastAsia" w:ascii="Times New Roman" w:hAnsi="Times New Roman" w:eastAsia="宋体" w:cs="宋体"/>
                <w:color w:val="auto"/>
                <w:spacing w:val="-2"/>
                <w:sz w:val="24"/>
                <w:lang w:val="en-US" w:eastAsia="zh-CN"/>
              </w:rPr>
              <w:t>“</w:t>
            </w:r>
            <w:r>
              <w:rPr>
                <w:rFonts w:hint="default" w:ascii="Times New Roman" w:hAnsi="Times New Roman" w:eastAsia="宋体" w:cs="宋体"/>
                <w:color w:val="auto"/>
                <w:spacing w:val="-2"/>
                <w:sz w:val="24"/>
                <w:lang w:val="en-US" w:eastAsia="zh-CN"/>
              </w:rPr>
              <w:t>跑冒滴漏</w:t>
            </w:r>
            <w:r>
              <w:rPr>
                <w:rFonts w:hint="eastAsia" w:ascii="Times New Roman" w:hAnsi="Times New Roman" w:eastAsia="宋体" w:cs="宋体"/>
                <w:color w:val="auto"/>
                <w:spacing w:val="-2"/>
                <w:sz w:val="24"/>
                <w:lang w:val="en-US" w:eastAsia="zh-CN"/>
              </w:rPr>
              <w:t>”</w:t>
            </w:r>
            <w:r>
              <w:rPr>
                <w:rFonts w:hint="default" w:ascii="Times New Roman" w:hAnsi="Times New Roman" w:eastAsia="宋体" w:cs="宋体"/>
                <w:color w:val="auto"/>
                <w:spacing w:val="-2"/>
                <w:sz w:val="24"/>
                <w:lang w:val="en-US" w:eastAsia="zh-CN"/>
              </w:rPr>
              <w:t>、车辆携带灰尘、破碎</w:t>
            </w:r>
            <w:r>
              <w:rPr>
                <w:rFonts w:hint="eastAsia" w:ascii="Times New Roman" w:hAnsi="Times New Roman" w:eastAsia="宋体" w:cs="宋体"/>
                <w:color w:val="auto"/>
                <w:spacing w:val="-2"/>
                <w:sz w:val="24"/>
                <w:lang w:val="en-US" w:eastAsia="zh-CN"/>
              </w:rPr>
              <w:t>筛分</w:t>
            </w:r>
            <w:r>
              <w:rPr>
                <w:rFonts w:hint="default" w:ascii="Times New Roman" w:hAnsi="Times New Roman" w:eastAsia="宋体" w:cs="宋体"/>
                <w:color w:val="auto"/>
                <w:spacing w:val="-2"/>
                <w:sz w:val="24"/>
                <w:lang w:val="en-US" w:eastAsia="zh-CN"/>
              </w:rPr>
              <w:t>和皮带转运产生粉尘等，因此建设单位需做好如下防治措施</w:t>
            </w:r>
            <w:r>
              <w:rPr>
                <w:rFonts w:hint="eastAsia" w:ascii="Times New Roman" w:hAnsi="Times New Roman" w:eastAsia="宋体" w:cs="宋体"/>
                <w:color w:val="auto"/>
                <w:spacing w:val="-2"/>
                <w:sz w:val="24"/>
                <w:lang w:val="en-US" w:eastAsia="zh-CN"/>
              </w:rPr>
              <w:t>：</w:t>
            </w:r>
          </w:p>
          <w:p>
            <w:pPr>
              <w:pStyle w:val="4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72" w:firstLineChars="200"/>
              <w:textAlignment w:val="auto"/>
              <w:rPr>
                <w:rFonts w:hint="default" w:ascii="Times New Roman" w:hAnsi="Times New Roman" w:eastAsia="宋体" w:cs="宋体"/>
                <w:color w:val="auto"/>
                <w:spacing w:val="-2"/>
                <w:sz w:val="24"/>
                <w:lang w:val="en-US" w:eastAsia="zh-CN"/>
              </w:rPr>
            </w:pPr>
            <w:r>
              <w:rPr>
                <w:rFonts w:hint="default" w:ascii="Times New Roman" w:hAnsi="Times New Roman" w:eastAsia="宋体" w:cs="宋体"/>
                <w:color w:val="auto"/>
                <w:spacing w:val="-2"/>
                <w:sz w:val="24"/>
                <w:lang w:val="en-US" w:eastAsia="zh-CN"/>
              </w:rPr>
              <w:t>①储存要求</w:t>
            </w:r>
            <w:r>
              <w:rPr>
                <w:rFonts w:hint="eastAsia" w:ascii="Times New Roman" w:hAnsi="Times New Roman" w:eastAsia="宋体" w:cs="宋体"/>
                <w:color w:val="auto"/>
                <w:spacing w:val="-2"/>
                <w:sz w:val="24"/>
                <w:lang w:val="en-US" w:eastAsia="zh-CN"/>
              </w:rPr>
              <w:t>：原料储存在</w:t>
            </w:r>
            <w:r>
              <w:rPr>
                <w:rFonts w:hint="eastAsia" w:ascii="Times New Roman" w:hAnsi="Times New Roman" w:cs="宋体"/>
                <w:color w:val="auto"/>
                <w:spacing w:val="-2"/>
                <w:sz w:val="24"/>
                <w:lang w:val="en-US" w:eastAsia="zh-CN"/>
              </w:rPr>
              <w:t>密闭原料库内</w:t>
            </w:r>
            <w:r>
              <w:rPr>
                <w:rFonts w:hint="default" w:ascii="Times New Roman" w:hAnsi="Times New Roman" w:eastAsia="宋体" w:cs="宋体"/>
                <w:color w:val="auto"/>
                <w:spacing w:val="-2"/>
                <w:sz w:val="24"/>
                <w:lang w:val="en-US" w:eastAsia="zh-CN"/>
              </w:rPr>
              <w:t>，且</w:t>
            </w:r>
            <w:r>
              <w:rPr>
                <w:rFonts w:hint="eastAsia" w:ascii="Times New Roman" w:hAnsi="Times New Roman" w:cs="宋体"/>
                <w:color w:val="auto"/>
                <w:spacing w:val="-2"/>
                <w:sz w:val="24"/>
                <w:lang w:val="en-US" w:eastAsia="zh-CN"/>
              </w:rPr>
              <w:t>原料堆场进出口及卸料点</w:t>
            </w:r>
            <w:r>
              <w:rPr>
                <w:rFonts w:hint="default" w:ascii="Times New Roman" w:hAnsi="Times New Roman" w:eastAsia="宋体" w:cs="宋体"/>
                <w:color w:val="auto"/>
                <w:spacing w:val="-2"/>
                <w:sz w:val="24"/>
                <w:lang w:val="en-US" w:eastAsia="zh-CN"/>
              </w:rPr>
              <w:t>必须设置</w:t>
            </w:r>
            <w:r>
              <w:rPr>
                <w:rFonts w:hint="eastAsia" w:ascii="Times New Roman" w:hAnsi="Times New Roman" w:eastAsia="宋体" w:cs="宋体"/>
                <w:color w:val="auto"/>
                <w:spacing w:val="-2"/>
                <w:sz w:val="24"/>
                <w:lang w:val="en-US" w:eastAsia="zh-CN"/>
              </w:rPr>
              <w:t>水喷淋装置</w:t>
            </w:r>
            <w:r>
              <w:rPr>
                <w:rFonts w:hint="eastAsia" w:ascii="Times New Roman" w:hAnsi="Times New Roman" w:cs="Times New Roman"/>
                <w:b w:val="0"/>
                <w:bCs w:val="0"/>
                <w:color w:val="auto"/>
                <w:sz w:val="24"/>
                <w:szCs w:val="24"/>
                <w:lang w:val="en-US" w:eastAsia="zh-CN"/>
              </w:rPr>
              <w:t>喷淋</w:t>
            </w:r>
            <w:r>
              <w:rPr>
                <w:rFonts w:hint="default" w:ascii="Times New Roman" w:hAnsi="Times New Roman" w:eastAsia="宋体" w:cs="宋体"/>
                <w:color w:val="auto"/>
                <w:spacing w:val="-2"/>
                <w:sz w:val="24"/>
                <w:lang w:val="en-US" w:eastAsia="zh-CN"/>
              </w:rPr>
              <w:t>降尘。</w:t>
            </w:r>
          </w:p>
          <w:p>
            <w:pPr>
              <w:pStyle w:val="4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72" w:firstLineChars="200"/>
              <w:textAlignment w:val="auto"/>
              <w:rPr>
                <w:rFonts w:hint="default" w:ascii="Times New Roman" w:hAnsi="Times New Roman" w:eastAsia="宋体" w:cs="宋体"/>
                <w:color w:val="auto"/>
                <w:spacing w:val="-2"/>
                <w:sz w:val="24"/>
                <w:lang w:val="en-US" w:eastAsia="zh-CN"/>
              </w:rPr>
            </w:pPr>
            <w:r>
              <w:rPr>
                <w:rFonts w:hint="default" w:ascii="Times New Roman" w:hAnsi="Times New Roman" w:eastAsia="宋体" w:cs="宋体"/>
                <w:color w:val="auto"/>
                <w:spacing w:val="-2"/>
                <w:sz w:val="24"/>
                <w:lang w:val="en-US" w:eastAsia="zh-CN"/>
              </w:rPr>
              <w:t>②转移和输送要求</w:t>
            </w:r>
            <w:r>
              <w:rPr>
                <w:rFonts w:hint="eastAsia" w:ascii="Times New Roman" w:hAnsi="Times New Roman" w:eastAsia="宋体" w:cs="宋体"/>
                <w:color w:val="auto"/>
                <w:spacing w:val="-2"/>
                <w:sz w:val="24"/>
                <w:lang w:val="en-US" w:eastAsia="zh-CN"/>
              </w:rPr>
              <w:t>：在</w:t>
            </w:r>
            <w:r>
              <w:rPr>
                <w:rFonts w:hint="eastAsia" w:ascii="Times New Roman" w:hAnsi="Times New Roman" w:cs="宋体"/>
                <w:color w:val="auto"/>
                <w:spacing w:val="-2"/>
                <w:sz w:val="24"/>
                <w:lang w:val="en-US" w:eastAsia="zh-CN"/>
              </w:rPr>
              <w:t>不宜</w:t>
            </w:r>
            <w:r>
              <w:rPr>
                <w:rFonts w:hint="eastAsia" w:ascii="Times New Roman" w:hAnsi="Times New Roman" w:eastAsia="宋体" w:cs="宋体"/>
                <w:color w:val="auto"/>
                <w:spacing w:val="-2"/>
                <w:sz w:val="24"/>
                <w:lang w:val="en-US" w:eastAsia="zh-CN"/>
              </w:rPr>
              <w:t>采用除尘器的场合，如上料口、出料等位置</w:t>
            </w:r>
            <w:r>
              <w:rPr>
                <w:rFonts w:hint="eastAsia" w:ascii="Times New Roman" w:hAnsi="Times New Roman" w:cs="宋体"/>
                <w:color w:val="auto"/>
                <w:spacing w:val="-2"/>
                <w:sz w:val="24"/>
                <w:lang w:val="en-US" w:eastAsia="zh-CN"/>
              </w:rPr>
              <w:t>设置水喷淋，</w:t>
            </w:r>
            <w:r>
              <w:rPr>
                <w:rFonts w:hint="eastAsia" w:ascii="Times New Roman" w:hAnsi="Times New Roman" w:eastAsia="宋体" w:cs="宋体"/>
                <w:color w:val="auto"/>
                <w:spacing w:val="-2"/>
                <w:sz w:val="24"/>
                <w:lang w:val="en-US" w:eastAsia="zh-CN"/>
              </w:rPr>
              <w:t>皮带</w:t>
            </w:r>
            <w:r>
              <w:rPr>
                <w:rFonts w:hint="default" w:ascii="Times New Roman" w:hAnsi="Times New Roman" w:eastAsia="宋体" w:cs="宋体"/>
                <w:color w:val="auto"/>
                <w:spacing w:val="-2"/>
                <w:sz w:val="24"/>
                <w:lang w:val="en-US" w:eastAsia="zh-CN"/>
              </w:rPr>
              <w:t>输送</w:t>
            </w:r>
            <w:r>
              <w:rPr>
                <w:rFonts w:hint="eastAsia" w:ascii="Times New Roman" w:hAnsi="Times New Roman" w:eastAsia="宋体" w:cs="宋体"/>
                <w:color w:val="auto"/>
                <w:spacing w:val="-2"/>
                <w:sz w:val="24"/>
                <w:lang w:val="en-US" w:eastAsia="zh-CN"/>
              </w:rPr>
              <w:t>机</w:t>
            </w:r>
            <w:r>
              <w:rPr>
                <w:rFonts w:hint="default" w:ascii="Times New Roman" w:hAnsi="Times New Roman" w:eastAsia="宋体" w:cs="宋体"/>
                <w:color w:val="auto"/>
                <w:spacing w:val="-2"/>
                <w:sz w:val="24"/>
                <w:lang w:val="en-US" w:eastAsia="zh-CN"/>
              </w:rPr>
              <w:t>密闭</w:t>
            </w:r>
            <w:r>
              <w:rPr>
                <w:rFonts w:hint="eastAsia" w:ascii="Times New Roman" w:hAnsi="Times New Roman" w:eastAsia="宋体" w:cs="宋体"/>
                <w:color w:val="auto"/>
                <w:spacing w:val="-2"/>
                <w:sz w:val="24"/>
                <w:lang w:val="en-US" w:eastAsia="zh-CN"/>
              </w:rPr>
              <w:t>，</w:t>
            </w:r>
            <w:r>
              <w:rPr>
                <w:rFonts w:hint="default" w:ascii="Times New Roman" w:hAnsi="Times New Roman" w:eastAsia="宋体" w:cs="宋体"/>
                <w:color w:val="auto"/>
                <w:spacing w:val="-2"/>
                <w:sz w:val="24"/>
                <w:lang w:val="en-US" w:eastAsia="zh-CN"/>
              </w:rPr>
              <w:t>加强装卸料、输运设备的密封或密闭。</w:t>
            </w:r>
          </w:p>
          <w:p>
            <w:pPr>
              <w:pStyle w:val="4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72" w:firstLineChars="200"/>
              <w:textAlignment w:val="auto"/>
              <w:rPr>
                <w:rFonts w:hint="default" w:ascii="Times New Roman" w:hAnsi="Times New Roman" w:eastAsia="宋体" w:cs="宋体"/>
                <w:color w:val="auto"/>
                <w:spacing w:val="-2"/>
                <w:sz w:val="24"/>
                <w:lang w:val="en-US" w:eastAsia="zh-CN"/>
              </w:rPr>
            </w:pPr>
            <w:r>
              <w:rPr>
                <w:rFonts w:hint="default" w:ascii="Times New Roman" w:hAnsi="Times New Roman" w:eastAsia="宋体" w:cs="宋体"/>
                <w:color w:val="auto"/>
                <w:spacing w:val="-2"/>
                <w:sz w:val="24"/>
                <w:lang w:val="en-US" w:eastAsia="zh-CN"/>
              </w:rPr>
              <w:t>③除尘系统</w:t>
            </w:r>
            <w:r>
              <w:rPr>
                <w:rFonts w:hint="eastAsia" w:ascii="Times New Roman" w:hAnsi="Times New Roman" w:eastAsia="宋体" w:cs="宋体"/>
                <w:color w:val="auto"/>
                <w:spacing w:val="-2"/>
                <w:sz w:val="24"/>
                <w:lang w:val="en-US" w:eastAsia="zh-CN"/>
              </w:rPr>
              <w:t>：</w:t>
            </w:r>
            <w:r>
              <w:rPr>
                <w:rFonts w:hint="default" w:ascii="Times New Roman" w:hAnsi="Times New Roman" w:eastAsia="宋体" w:cs="宋体"/>
                <w:color w:val="auto"/>
                <w:spacing w:val="-2"/>
                <w:sz w:val="24"/>
                <w:lang w:val="en-US" w:eastAsia="zh-CN"/>
              </w:rPr>
              <w:t>项目原料</w:t>
            </w:r>
            <w:r>
              <w:rPr>
                <w:rFonts w:hint="eastAsia" w:ascii="Times New Roman" w:hAnsi="Times New Roman" w:eastAsia="宋体" w:cs="宋体"/>
                <w:color w:val="auto"/>
                <w:spacing w:val="-2"/>
                <w:sz w:val="24"/>
                <w:lang w:val="en-US" w:eastAsia="zh-CN"/>
              </w:rPr>
              <w:t>投料进入</w:t>
            </w:r>
            <w:r>
              <w:rPr>
                <w:rFonts w:hint="eastAsia" w:ascii="Times New Roman" w:hAnsi="Times New Roman" w:cs="宋体"/>
                <w:color w:val="auto"/>
                <w:spacing w:val="-2"/>
                <w:sz w:val="24"/>
                <w:lang w:val="en-US" w:eastAsia="zh-CN"/>
              </w:rPr>
              <w:t>投料</w:t>
            </w:r>
            <w:r>
              <w:rPr>
                <w:rFonts w:hint="eastAsia" w:ascii="Times New Roman" w:hAnsi="Times New Roman" w:eastAsia="宋体" w:cs="宋体"/>
                <w:color w:val="auto"/>
                <w:spacing w:val="-2"/>
                <w:sz w:val="24"/>
                <w:lang w:val="en-US" w:eastAsia="zh-CN"/>
              </w:rPr>
              <w:t>机时</w:t>
            </w:r>
            <w:r>
              <w:rPr>
                <w:rFonts w:hint="default" w:ascii="Times New Roman" w:hAnsi="Times New Roman" w:eastAsia="宋体" w:cs="宋体"/>
                <w:color w:val="auto"/>
                <w:spacing w:val="-2"/>
                <w:sz w:val="24"/>
                <w:lang w:val="en-US" w:eastAsia="zh-CN"/>
              </w:rPr>
              <w:t>，</w:t>
            </w:r>
            <w:r>
              <w:rPr>
                <w:rFonts w:hint="eastAsia" w:ascii="Times New Roman" w:hAnsi="Times New Roman" w:cs="宋体"/>
                <w:color w:val="auto"/>
                <w:spacing w:val="-2"/>
                <w:sz w:val="24"/>
                <w:lang w:val="en-US" w:eastAsia="zh-CN"/>
              </w:rPr>
              <w:t>投料口处设置水喷淋装置喷淋</w:t>
            </w:r>
            <w:r>
              <w:rPr>
                <w:rFonts w:hint="default" w:ascii="Times New Roman" w:hAnsi="Times New Roman" w:eastAsia="宋体" w:cs="宋体"/>
                <w:color w:val="auto"/>
                <w:spacing w:val="-2"/>
                <w:sz w:val="24"/>
                <w:lang w:val="en-US" w:eastAsia="zh-CN"/>
              </w:rPr>
              <w:t>降尘</w:t>
            </w:r>
            <w:r>
              <w:rPr>
                <w:rFonts w:hint="eastAsia" w:ascii="Times New Roman" w:hAnsi="Times New Roman" w:eastAsia="宋体" w:cs="宋体"/>
                <w:color w:val="auto"/>
                <w:spacing w:val="-2"/>
                <w:sz w:val="24"/>
                <w:lang w:val="en-US" w:eastAsia="zh-CN"/>
              </w:rPr>
              <w:t>；</w:t>
            </w:r>
            <w:r>
              <w:rPr>
                <w:rFonts w:hint="eastAsia" w:ascii="Times New Roman" w:hAnsi="Times New Roman" w:cs="宋体"/>
                <w:color w:val="auto"/>
                <w:spacing w:val="-2"/>
                <w:sz w:val="24"/>
                <w:lang w:val="en-US" w:eastAsia="zh-CN"/>
              </w:rPr>
              <w:t>颚式破碎机</w:t>
            </w:r>
            <w:r>
              <w:rPr>
                <w:rFonts w:hint="eastAsia" w:ascii="Times New Roman" w:hAnsi="Times New Roman" w:eastAsia="宋体" w:cs="宋体"/>
                <w:color w:val="auto"/>
                <w:spacing w:val="-2"/>
                <w:sz w:val="24"/>
                <w:lang w:val="en-US" w:eastAsia="zh-CN"/>
              </w:rPr>
              <w:t>、</w:t>
            </w:r>
            <w:r>
              <w:rPr>
                <w:rFonts w:hint="eastAsia" w:ascii="Times New Roman" w:hAnsi="Times New Roman" w:cs="宋体"/>
                <w:color w:val="auto"/>
                <w:spacing w:val="-2"/>
                <w:sz w:val="24"/>
                <w:lang w:val="en-US" w:eastAsia="zh-CN"/>
              </w:rPr>
              <w:t>张弛</w:t>
            </w:r>
            <w:r>
              <w:rPr>
                <w:rFonts w:hint="eastAsia" w:ascii="Times New Roman" w:hAnsi="Times New Roman" w:eastAsia="宋体" w:cs="宋体"/>
                <w:color w:val="auto"/>
                <w:spacing w:val="-2"/>
                <w:sz w:val="24"/>
                <w:lang w:val="en-US" w:eastAsia="zh-CN"/>
              </w:rPr>
              <w:t>筛</w:t>
            </w:r>
            <w:r>
              <w:rPr>
                <w:rFonts w:hint="eastAsia" w:ascii="Times New Roman" w:hAnsi="Times New Roman" w:cs="宋体"/>
                <w:color w:val="auto"/>
                <w:spacing w:val="-2"/>
                <w:sz w:val="24"/>
                <w:lang w:val="en-US" w:eastAsia="zh-CN"/>
              </w:rPr>
              <w:t>、风选机、反击式破碎机、</w:t>
            </w:r>
            <w:r>
              <w:rPr>
                <w:rFonts w:hint="eastAsia" w:ascii="Times New Roman" w:hAnsi="Times New Roman" w:eastAsia="宋体" w:cs="宋体"/>
                <w:color w:val="auto"/>
                <w:spacing w:val="-2"/>
                <w:sz w:val="24"/>
                <w:lang w:val="en-US" w:eastAsia="zh-CN"/>
              </w:rPr>
              <w:t>圆振筛</w:t>
            </w:r>
            <w:r>
              <w:rPr>
                <w:rFonts w:hint="default" w:ascii="Times New Roman" w:hAnsi="Times New Roman" w:eastAsia="宋体" w:cs="宋体"/>
                <w:color w:val="auto"/>
                <w:spacing w:val="-2"/>
                <w:sz w:val="24"/>
                <w:lang w:val="en-US" w:eastAsia="zh-CN"/>
              </w:rPr>
              <w:t>设置</w:t>
            </w:r>
            <w:r>
              <w:rPr>
                <w:rFonts w:hint="eastAsia" w:ascii="Times New Roman" w:hAnsi="Times New Roman" w:cs="宋体"/>
                <w:color w:val="auto"/>
                <w:spacing w:val="-2"/>
                <w:sz w:val="24"/>
                <w:lang w:val="en-US" w:eastAsia="zh-CN"/>
              </w:rPr>
              <w:t>密闭集气罩</w:t>
            </w:r>
            <w:r>
              <w:rPr>
                <w:rFonts w:hint="default" w:ascii="Times New Roman" w:hAnsi="Times New Roman" w:eastAsia="宋体" w:cs="宋体"/>
                <w:color w:val="auto"/>
                <w:spacing w:val="-2"/>
                <w:sz w:val="24"/>
                <w:lang w:val="en-US" w:eastAsia="zh-CN"/>
              </w:rPr>
              <w:t>收集粉尘</w:t>
            </w:r>
            <w:r>
              <w:rPr>
                <w:rFonts w:hint="eastAsia" w:ascii="Times New Roman" w:hAnsi="Times New Roman" w:eastAsia="宋体" w:cs="宋体"/>
                <w:color w:val="auto"/>
                <w:spacing w:val="-2"/>
                <w:sz w:val="24"/>
                <w:lang w:val="en-US" w:eastAsia="zh-CN"/>
              </w:rPr>
              <w:t>，</w:t>
            </w:r>
            <w:r>
              <w:rPr>
                <w:rFonts w:hint="default" w:ascii="Times New Roman" w:hAnsi="Times New Roman" w:eastAsia="宋体" w:cs="宋体"/>
                <w:color w:val="auto"/>
                <w:spacing w:val="-2"/>
                <w:sz w:val="24"/>
                <w:lang w:val="en-US" w:eastAsia="zh-CN"/>
              </w:rPr>
              <w:t>按照</w:t>
            </w:r>
            <w:r>
              <w:rPr>
                <w:rFonts w:hint="eastAsia" w:ascii="Times New Roman" w:hAnsi="Times New Roman" w:eastAsia="宋体" w:cs="宋体"/>
                <w:color w:val="auto"/>
                <w:spacing w:val="-2"/>
                <w:sz w:val="24"/>
                <w:lang w:val="en-US" w:eastAsia="zh-CN"/>
              </w:rPr>
              <w:t>“</w:t>
            </w:r>
            <w:r>
              <w:rPr>
                <w:rFonts w:hint="default" w:ascii="Times New Roman" w:hAnsi="Times New Roman" w:eastAsia="宋体" w:cs="宋体"/>
                <w:color w:val="auto"/>
                <w:spacing w:val="-2"/>
                <w:sz w:val="24"/>
                <w:lang w:val="en-US" w:eastAsia="zh-CN"/>
              </w:rPr>
              <w:t>应收尽收</w:t>
            </w:r>
            <w:r>
              <w:rPr>
                <w:rFonts w:hint="eastAsia" w:ascii="Times New Roman" w:hAnsi="Times New Roman" w:eastAsia="宋体" w:cs="宋体"/>
                <w:color w:val="auto"/>
                <w:spacing w:val="-2"/>
                <w:sz w:val="24"/>
                <w:lang w:val="en-US" w:eastAsia="zh-CN"/>
              </w:rPr>
              <w:t>”</w:t>
            </w:r>
            <w:r>
              <w:rPr>
                <w:rFonts w:hint="default" w:ascii="Times New Roman" w:hAnsi="Times New Roman" w:eastAsia="宋体" w:cs="宋体"/>
                <w:color w:val="auto"/>
                <w:spacing w:val="-2"/>
                <w:sz w:val="24"/>
                <w:lang w:val="en-US" w:eastAsia="zh-CN"/>
              </w:rPr>
              <w:t>的原则提高废气收集率，减少污染物的无组织排放。</w:t>
            </w:r>
          </w:p>
          <w:p>
            <w:pPr>
              <w:pStyle w:val="4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72" w:firstLineChars="200"/>
              <w:textAlignment w:val="auto"/>
              <w:rPr>
                <w:rFonts w:hint="default" w:ascii="Times New Roman" w:hAnsi="Times New Roman" w:eastAsia="宋体" w:cs="宋体"/>
                <w:color w:val="auto"/>
                <w:spacing w:val="-2"/>
                <w:sz w:val="24"/>
                <w:lang w:val="en-US" w:eastAsia="zh-CN"/>
              </w:rPr>
            </w:pPr>
            <w:r>
              <w:rPr>
                <w:rFonts w:hint="default" w:ascii="Times New Roman" w:hAnsi="Times New Roman" w:eastAsia="宋体" w:cs="宋体"/>
                <w:color w:val="auto"/>
                <w:spacing w:val="-2"/>
                <w:sz w:val="24"/>
                <w:lang w:val="en-US" w:eastAsia="zh-CN"/>
              </w:rPr>
              <w:t>④厂房的墙体、屋顶和地面应采用密封性能良好的建筑材料，如使用密封胶对墙体缝隙、门窗周边进行密封处理，减少粉尘从这些部位泄漏到车间外。门窗应选用气密型产品，关闭后能有效阻隔粉尘。</w:t>
            </w:r>
          </w:p>
          <w:p>
            <w:pPr>
              <w:pStyle w:val="4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72" w:firstLineChars="200"/>
              <w:textAlignment w:val="auto"/>
              <w:rPr>
                <w:rFonts w:hint="default" w:ascii="Times New Roman" w:hAnsi="Times New Roman" w:eastAsia="宋体" w:cs="宋体"/>
                <w:color w:val="auto"/>
                <w:spacing w:val="-2"/>
                <w:sz w:val="24"/>
                <w:lang w:val="en-US" w:eastAsia="zh-CN"/>
              </w:rPr>
            </w:pPr>
            <w:r>
              <w:rPr>
                <w:rFonts w:hint="default" w:ascii="Times New Roman" w:hAnsi="Times New Roman" w:eastAsia="宋体" w:cs="宋体"/>
                <w:color w:val="auto"/>
                <w:spacing w:val="-2"/>
                <w:sz w:val="24"/>
                <w:lang w:val="en-US" w:eastAsia="zh-CN"/>
              </w:rPr>
              <w:t>⑤</w:t>
            </w:r>
            <w:r>
              <w:rPr>
                <w:rFonts w:hint="eastAsia" w:ascii="Times New Roman" w:hAnsi="Times New Roman" w:cs="宋体"/>
                <w:color w:val="auto"/>
                <w:spacing w:val="-2"/>
                <w:sz w:val="24"/>
                <w:lang w:val="en-US" w:eastAsia="zh-CN"/>
              </w:rPr>
              <w:t>运输车辆从东北角货物出入口进出</w:t>
            </w:r>
            <w:r>
              <w:rPr>
                <w:rFonts w:hint="default" w:ascii="Times New Roman" w:hAnsi="Times New Roman" w:eastAsia="宋体" w:cs="宋体"/>
                <w:color w:val="auto"/>
                <w:spacing w:val="-2"/>
                <w:sz w:val="24"/>
                <w:lang w:val="en-US" w:eastAsia="zh-CN"/>
              </w:rPr>
              <w:t>应经</w:t>
            </w:r>
            <w:r>
              <w:rPr>
                <w:rFonts w:hint="eastAsia" w:ascii="Times New Roman" w:hAnsi="Times New Roman" w:cs="宋体"/>
                <w:color w:val="auto"/>
                <w:spacing w:val="-2"/>
                <w:sz w:val="24"/>
                <w:lang w:val="en-US" w:eastAsia="zh-CN"/>
              </w:rPr>
              <w:t>过洗车平台</w:t>
            </w:r>
            <w:r>
              <w:rPr>
                <w:rFonts w:hint="default" w:ascii="Times New Roman" w:hAnsi="Times New Roman" w:eastAsia="宋体" w:cs="宋体"/>
                <w:color w:val="auto"/>
                <w:spacing w:val="-2"/>
                <w:sz w:val="24"/>
                <w:lang w:val="en-US" w:eastAsia="zh-CN"/>
              </w:rPr>
              <w:t>清洗</w:t>
            </w:r>
            <w:r>
              <w:rPr>
                <w:rFonts w:hint="eastAsia" w:ascii="Times New Roman" w:hAnsi="Times New Roman" w:eastAsia="宋体" w:cs="宋体"/>
                <w:color w:val="auto"/>
                <w:spacing w:val="-2"/>
                <w:sz w:val="24"/>
                <w:lang w:val="en-US" w:eastAsia="zh-CN"/>
              </w:rPr>
              <w:t>；成品骨料装车时</w:t>
            </w:r>
            <w:r>
              <w:rPr>
                <w:rFonts w:hint="default" w:ascii="Times New Roman" w:hAnsi="Times New Roman" w:eastAsia="宋体" w:cs="宋体"/>
                <w:color w:val="auto"/>
                <w:spacing w:val="-2"/>
                <w:sz w:val="24"/>
                <w:lang w:val="en-US" w:eastAsia="zh-CN"/>
              </w:rPr>
              <w:t>，</w:t>
            </w:r>
            <w:r>
              <w:rPr>
                <w:rFonts w:hint="eastAsia" w:ascii="Times New Roman" w:hAnsi="Times New Roman" w:eastAsia="宋体" w:cs="宋体"/>
                <w:color w:val="auto"/>
                <w:spacing w:val="-2"/>
                <w:sz w:val="24"/>
                <w:lang w:val="en-US" w:eastAsia="zh-CN"/>
              </w:rPr>
              <w:t>应给</w:t>
            </w:r>
            <w:r>
              <w:rPr>
                <w:rFonts w:hint="eastAsia" w:ascii="Times New Roman" w:hAnsi="Times New Roman" w:eastAsia="宋体" w:cs="宋体"/>
                <w:color w:val="auto"/>
                <w:kern w:val="2"/>
                <w:sz w:val="24"/>
                <w:szCs w:val="24"/>
                <w:lang w:val="en-US" w:eastAsia="zh-CN" w:bidi="ar-SA"/>
              </w:rPr>
              <w:t>运输车辆加盖围挡帘</w:t>
            </w:r>
            <w:r>
              <w:rPr>
                <w:rFonts w:hint="default" w:ascii="Times New Roman" w:hAnsi="Times New Roman" w:eastAsia="宋体" w:cs="宋体"/>
                <w:color w:val="auto"/>
                <w:spacing w:val="-2"/>
                <w:sz w:val="24"/>
                <w:lang w:val="en-US" w:eastAsia="zh-CN"/>
              </w:rPr>
              <w:t>。</w:t>
            </w:r>
          </w:p>
          <w:p>
            <w:pPr>
              <w:pStyle w:val="4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72" w:firstLineChars="200"/>
              <w:textAlignment w:val="auto"/>
              <w:rPr>
                <w:rFonts w:hint="default" w:ascii="Times New Roman" w:hAnsi="Times New Roman" w:eastAsia="宋体" w:cs="宋体"/>
                <w:color w:val="auto"/>
                <w:spacing w:val="-2"/>
                <w:sz w:val="24"/>
                <w:lang w:val="en-US" w:eastAsia="zh-CN"/>
              </w:rPr>
            </w:pPr>
            <w:r>
              <w:rPr>
                <w:rFonts w:hint="default" w:ascii="Times New Roman" w:hAnsi="Times New Roman" w:eastAsia="宋体" w:cs="宋体"/>
                <w:color w:val="auto"/>
                <w:spacing w:val="-2"/>
                <w:sz w:val="24"/>
                <w:lang w:val="en-US" w:eastAsia="zh-CN"/>
              </w:rPr>
              <w:t>⑥应安排专人做好道路、车间</w:t>
            </w:r>
            <w:r>
              <w:rPr>
                <w:rFonts w:hint="eastAsia" w:ascii="Times New Roman" w:hAnsi="Times New Roman" w:eastAsia="宋体" w:cs="宋体"/>
                <w:color w:val="auto"/>
                <w:spacing w:val="-2"/>
                <w:sz w:val="24"/>
                <w:lang w:val="en-US" w:eastAsia="zh-CN"/>
              </w:rPr>
              <w:t>地面</w:t>
            </w:r>
            <w:r>
              <w:rPr>
                <w:rFonts w:hint="default" w:ascii="Times New Roman" w:hAnsi="Times New Roman" w:eastAsia="宋体" w:cs="宋体"/>
                <w:color w:val="auto"/>
                <w:spacing w:val="-2"/>
                <w:sz w:val="24"/>
                <w:lang w:val="en-US" w:eastAsia="zh-CN"/>
              </w:rPr>
              <w:t>的粉尘清扫，保持干净整洁</w:t>
            </w:r>
            <w:r>
              <w:rPr>
                <w:rFonts w:hint="eastAsia" w:ascii="Times New Roman" w:hAnsi="Times New Roman" w:cs="宋体"/>
                <w:color w:val="auto"/>
                <w:spacing w:val="-2"/>
                <w:sz w:val="24"/>
                <w:lang w:val="en-US" w:eastAsia="zh-CN"/>
              </w:rPr>
              <w:t>，定期对道路洒水降尘</w:t>
            </w:r>
            <w:r>
              <w:rPr>
                <w:rFonts w:hint="default" w:ascii="Times New Roman" w:hAnsi="Times New Roman" w:eastAsia="宋体" w:cs="宋体"/>
                <w:color w:val="auto"/>
                <w:spacing w:val="-2"/>
                <w:sz w:val="24"/>
                <w:lang w:val="en-US" w:eastAsia="zh-CN"/>
              </w:rPr>
              <w:t>。</w:t>
            </w:r>
          </w:p>
          <w:p>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eastAsia="宋体" w:cs="Times New Roman"/>
                <w:bCs/>
                <w:color w:val="auto"/>
                <w:spacing w:val="0"/>
                <w:sz w:val="24"/>
                <w:szCs w:val="24"/>
              </w:rPr>
            </w:pPr>
            <w:r>
              <w:rPr>
                <w:rFonts w:hint="default" w:ascii="Times New Roman" w:hAnsi="Times New Roman" w:eastAsia="宋体" w:cs="宋体"/>
                <w:color w:val="auto"/>
                <w:spacing w:val="-2"/>
                <w:sz w:val="24"/>
                <w:lang w:val="en-US" w:eastAsia="zh-CN"/>
              </w:rPr>
              <w:t>⑦除尘器卸料粉尘收集，应做好放料软管或帆布卸料口，防止卸料产生二次粉尘污染。</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（5）</w:t>
            </w:r>
            <w:r>
              <w:rPr>
                <w:rFonts w:hint="eastAsia" w:ascii="Times New Roman" w:hAnsi="Times New Roman" w:eastAsia="宋体" w:cs="Times New Roman"/>
                <w:color w:val="auto"/>
                <w:sz w:val="24"/>
                <w:szCs w:val="24"/>
                <w:lang w:eastAsia="zh-CN"/>
              </w:rPr>
              <w:t>危废贮存点</w:t>
            </w:r>
            <w:r>
              <w:rPr>
                <w:rFonts w:hint="default" w:ascii="Times New Roman" w:hAnsi="Times New Roman" w:eastAsia="宋体" w:cs="Times New Roman"/>
                <w:color w:val="auto"/>
                <w:sz w:val="24"/>
                <w:szCs w:val="24"/>
              </w:rPr>
              <w:t>VOCs管控</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eastAsia="zh-CN"/>
              </w:rPr>
              <w:t>危废贮存点</w:t>
            </w:r>
            <w:r>
              <w:rPr>
                <w:rFonts w:hint="default" w:ascii="Times New Roman" w:hAnsi="Times New Roman" w:eastAsia="宋体" w:cs="Times New Roman"/>
                <w:color w:val="auto"/>
                <w:sz w:val="24"/>
                <w:szCs w:val="24"/>
              </w:rPr>
              <w:t>废机油挥发VOCs管控：</w:t>
            </w:r>
            <w:r>
              <w:rPr>
                <w:rFonts w:hint="eastAsia" w:ascii="Times New Roman" w:hAnsi="Times New Roman" w:eastAsia="宋体" w:cs="Times New Roman"/>
                <w:color w:val="auto"/>
                <w:sz w:val="24"/>
                <w:szCs w:val="24"/>
                <w:lang w:eastAsia="zh-CN"/>
              </w:rPr>
              <w:t>危废贮存点</w:t>
            </w:r>
            <w:r>
              <w:rPr>
                <w:rFonts w:hint="default" w:ascii="Times New Roman" w:hAnsi="Times New Roman" w:eastAsia="宋体" w:cs="Times New Roman"/>
                <w:color w:val="auto"/>
                <w:sz w:val="24"/>
                <w:szCs w:val="24"/>
              </w:rPr>
              <w:t>废机油全部采用密闭金属桶封装存放，桶盖保持密封，仅在转桶、取油作业短时开启；</w:t>
            </w:r>
            <w:r>
              <w:rPr>
                <w:rFonts w:hint="eastAsia" w:ascii="Times New Roman" w:hAnsi="Times New Roman" w:eastAsia="宋体" w:cs="Times New Roman"/>
                <w:color w:val="auto"/>
                <w:sz w:val="24"/>
                <w:szCs w:val="24"/>
                <w:lang w:eastAsia="zh-CN"/>
              </w:rPr>
              <w:t>危废贮存点</w:t>
            </w:r>
            <w:r>
              <w:rPr>
                <w:rFonts w:hint="default" w:ascii="Times New Roman" w:hAnsi="Times New Roman" w:eastAsia="宋体" w:cs="Times New Roman"/>
                <w:color w:val="auto"/>
                <w:sz w:val="24"/>
                <w:szCs w:val="24"/>
              </w:rPr>
              <w:t>设置强制通风换气装置，加强空气流通；</w:t>
            </w:r>
            <w:r>
              <w:rPr>
                <w:rFonts w:hint="eastAsia" w:ascii="Times New Roman" w:hAnsi="Times New Roman" w:eastAsia="宋体" w:cs="Times New Roman"/>
                <w:color w:val="auto"/>
                <w:sz w:val="24"/>
                <w:szCs w:val="24"/>
                <w:lang w:eastAsia="zh-CN"/>
              </w:rPr>
              <w:t>危废贮存点</w:t>
            </w:r>
            <w:r>
              <w:rPr>
                <w:rFonts w:hint="default" w:ascii="Times New Roman" w:hAnsi="Times New Roman" w:eastAsia="宋体" w:cs="Times New Roman"/>
                <w:color w:val="auto"/>
                <w:sz w:val="24"/>
                <w:szCs w:val="24"/>
              </w:rPr>
              <w:t>地面、围堰防渗完好，废机油桶无跑冒滴漏，最大限度削减废机油挥发VOCs无组织排放。厂界非甲烷总烃满足《大气污染物综合排放标准》（GB16297</w:t>
            </w:r>
            <w:r>
              <w:rPr>
                <w:rFonts w:hint="default" w:ascii="Times New Roman" w:hAnsi="Times New Roman" w:eastAsia="宋体" w:cs="Times New Roman"/>
                <w:color w:val="auto"/>
                <w:sz w:val="24"/>
                <w:szCs w:val="24"/>
              </w:rPr>
              <w:noBreakHyphen/>
            </w:r>
            <w:r>
              <w:rPr>
                <w:rFonts w:hint="default" w:ascii="Times New Roman" w:hAnsi="Times New Roman" w:eastAsia="宋体" w:cs="Times New Roman"/>
                <w:color w:val="auto"/>
                <w:sz w:val="24"/>
                <w:szCs w:val="24"/>
              </w:rPr>
              <w:t>1996）无组织监控限值。</w:t>
            </w:r>
          </w:p>
          <w:p>
            <w:pPr>
              <w:pStyle w:val="454"/>
              <w:keepNext w:val="0"/>
              <w:keepLines w:val="0"/>
              <w:pageBreakBefore w:val="0"/>
              <w:widowControl w:val="0"/>
              <w:kinsoku/>
              <w:wordWrap/>
              <w:overflowPunct/>
              <w:topLinePunct w:val="0"/>
              <w:autoSpaceDE/>
              <w:autoSpaceDN/>
              <w:bidi w:val="0"/>
              <w:adjustRightInd/>
              <w:snapToGrid/>
              <w:textAlignment w:val="auto"/>
              <w:rPr>
                <w:rFonts w:hint="eastAsia"/>
                <w:color w:val="auto"/>
                <w:highlight w:val="none"/>
                <w:lang w:val="en-US" w:eastAsia="zh-CN"/>
              </w:rPr>
            </w:pPr>
            <w:r>
              <w:rPr>
                <w:rFonts w:hint="eastAsia"/>
                <w:color w:val="auto"/>
                <w:highlight w:val="none"/>
                <w:lang w:val="en-US" w:eastAsia="zh-CN"/>
              </w:rPr>
              <w:t>综上所述，本项目采用上述控制措施可以有效减少无组织粉尘污染物对周围环境的影响，无组织粉尘污染防治措施是可行的。</w:t>
            </w:r>
          </w:p>
          <w:p>
            <w:pPr>
              <w:keepNext w:val="0"/>
              <w:keepLines w:val="0"/>
              <w:pageBreakBefore w:val="0"/>
              <w:widowControl w:val="0"/>
              <w:kinsoku/>
              <w:wordWrap/>
              <w:overflowPunct/>
              <w:topLinePunct w:val="0"/>
              <w:autoSpaceDE/>
              <w:autoSpaceDN/>
              <w:bidi w:val="0"/>
              <w:adjustRightInd/>
              <w:snapToGrid/>
              <w:ind w:firstLine="482"/>
              <w:contextualSpacing/>
              <w:textAlignment w:val="auto"/>
              <w:rPr>
                <w:rFonts w:ascii="Times New Roman" w:hAnsi="Times New Roman" w:eastAsia="宋体" w:cs="Times New Roman"/>
                <w:b/>
                <w:color w:val="auto"/>
                <w:spacing w:val="0"/>
                <w:sz w:val="24"/>
              </w:rPr>
            </w:pPr>
            <w:r>
              <w:rPr>
                <w:rFonts w:ascii="Times New Roman" w:hAnsi="Times New Roman" w:eastAsia="宋体" w:cs="Times New Roman"/>
                <w:b/>
                <w:color w:val="auto"/>
                <w:spacing w:val="0"/>
                <w:sz w:val="24"/>
              </w:rPr>
              <w:t>1.</w:t>
            </w:r>
            <w:r>
              <w:rPr>
                <w:rFonts w:hint="eastAsia" w:ascii="Times New Roman" w:hAnsi="Times New Roman" w:eastAsia="宋体" w:cs="Times New Roman"/>
                <w:b/>
                <w:color w:val="auto"/>
                <w:spacing w:val="0"/>
                <w:sz w:val="24"/>
              </w:rPr>
              <w:t>3</w:t>
            </w:r>
            <w:r>
              <w:rPr>
                <w:rFonts w:ascii="Times New Roman" w:hAnsi="Times New Roman" w:eastAsia="宋体" w:cs="Times New Roman"/>
                <w:b/>
                <w:color w:val="auto"/>
                <w:spacing w:val="0"/>
                <w:sz w:val="24"/>
              </w:rPr>
              <w:t>废气排放口基本情况及</w:t>
            </w:r>
            <w:r>
              <w:rPr>
                <w:rFonts w:hint="eastAsia" w:ascii="Times New Roman" w:hAnsi="Times New Roman" w:eastAsia="宋体" w:cs="Times New Roman"/>
                <w:b/>
                <w:color w:val="auto"/>
                <w:spacing w:val="0"/>
                <w:sz w:val="24"/>
              </w:rPr>
              <w:t>执行标准</w:t>
            </w:r>
          </w:p>
          <w:p>
            <w:pPr>
              <w:keepNext w:val="0"/>
              <w:keepLines w:val="0"/>
              <w:pageBreakBefore w:val="0"/>
              <w:widowControl w:val="0"/>
              <w:kinsoku/>
              <w:wordWrap/>
              <w:overflowPunct/>
              <w:topLinePunct w:val="0"/>
              <w:autoSpaceDE/>
              <w:autoSpaceDN/>
              <w:bidi w:val="0"/>
              <w:adjustRightInd/>
              <w:snapToGrid/>
              <w:ind w:firstLine="480"/>
              <w:jc w:val="left"/>
              <w:textAlignment w:val="auto"/>
              <w:rPr>
                <w:rFonts w:ascii="Times New Roman" w:hAnsi="Times New Roman" w:eastAsia="宋体" w:cs="Times New Roman"/>
                <w:color w:val="auto"/>
                <w:spacing w:val="0"/>
                <w:sz w:val="24"/>
              </w:rPr>
            </w:pPr>
            <w:r>
              <w:rPr>
                <w:rFonts w:hint="eastAsia" w:ascii="Times New Roman" w:hAnsi="Times New Roman" w:eastAsia="宋体" w:cs="Times New Roman"/>
                <w:color w:val="auto"/>
                <w:spacing w:val="0"/>
                <w:sz w:val="24"/>
              </w:rPr>
              <w:t>排放口基本情况见表4-</w:t>
            </w:r>
            <w:r>
              <w:rPr>
                <w:rFonts w:hint="eastAsia" w:ascii="Times New Roman" w:hAnsi="Times New Roman" w:eastAsia="宋体" w:cs="Times New Roman"/>
                <w:color w:val="auto"/>
                <w:spacing w:val="0"/>
                <w:sz w:val="24"/>
                <w:lang w:val="en-US" w:eastAsia="zh-CN"/>
              </w:rPr>
              <w:t>2</w:t>
            </w:r>
            <w:r>
              <w:rPr>
                <w:rFonts w:hint="eastAsia" w:ascii="Times New Roman" w:hAnsi="Times New Roman" w:eastAsia="宋体" w:cs="Times New Roman"/>
                <w:color w:val="auto"/>
                <w:spacing w:val="0"/>
                <w:sz w:val="24"/>
              </w:rPr>
              <w:t>。</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b/>
                <w:bCs/>
                <w:color w:val="auto"/>
                <w:spacing w:val="0"/>
                <w:highlight w:val="yellow"/>
              </w:rPr>
            </w:pPr>
            <w:r>
              <w:rPr>
                <w:rFonts w:ascii="Times New Roman" w:hAnsi="Times New Roman" w:eastAsia="宋体" w:cs="Times New Roman"/>
                <w:b/>
                <w:bCs/>
                <w:color w:val="auto"/>
                <w:spacing w:val="0"/>
                <w:sz w:val="21"/>
                <w:highlight w:val="none"/>
              </w:rPr>
              <w:t>表</w:t>
            </w:r>
            <w:r>
              <w:rPr>
                <w:rFonts w:hint="eastAsia" w:ascii="Times New Roman" w:hAnsi="Times New Roman" w:eastAsia="宋体" w:cs="Times New Roman"/>
                <w:b/>
                <w:bCs/>
                <w:color w:val="auto"/>
                <w:spacing w:val="0"/>
                <w:sz w:val="21"/>
                <w:highlight w:val="none"/>
              </w:rPr>
              <w:t>4-</w:t>
            </w:r>
            <w:r>
              <w:rPr>
                <w:rFonts w:hint="eastAsia" w:ascii="Times New Roman" w:hAnsi="Times New Roman" w:eastAsia="宋体" w:cs="Times New Roman"/>
                <w:b/>
                <w:bCs/>
                <w:color w:val="auto"/>
                <w:spacing w:val="0"/>
                <w:sz w:val="21"/>
                <w:highlight w:val="none"/>
                <w:lang w:val="en-US" w:eastAsia="zh-CN"/>
              </w:rPr>
              <w:t>2</w:t>
            </w:r>
            <w:r>
              <w:rPr>
                <w:rFonts w:ascii="Times New Roman" w:hAnsi="Times New Roman" w:eastAsia="宋体" w:cs="Times New Roman"/>
                <w:b/>
                <w:bCs/>
                <w:color w:val="auto"/>
                <w:spacing w:val="0"/>
                <w:sz w:val="21"/>
                <w:highlight w:val="none"/>
              </w:rPr>
              <w:t xml:space="preserve"> 排放口基本情况一览表</w:t>
            </w:r>
          </w:p>
          <w:tbl>
            <w:tblPr>
              <w:tblStyle w:val="55"/>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23"/>
              <w:gridCol w:w="1214"/>
              <w:gridCol w:w="1110"/>
              <w:gridCol w:w="655"/>
              <w:gridCol w:w="599"/>
              <w:gridCol w:w="827"/>
              <w:gridCol w:w="563"/>
              <w:gridCol w:w="200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0" w:hRule="atLeast"/>
              </w:trPr>
              <w:tc>
                <w:tcPr>
                  <w:tcW w:w="584" w:type="pct"/>
                  <w:vMerge w:val="restar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排放名称及编号</w:t>
                  </w:r>
                </w:p>
              </w:tc>
              <w:tc>
                <w:tcPr>
                  <w:tcW w:w="1470" w:type="pct"/>
                  <w:gridSpan w:val="2"/>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地理坐标</w:t>
                  </w:r>
                </w:p>
              </w:tc>
              <w:tc>
                <w:tcPr>
                  <w:tcW w:w="414" w:type="pct"/>
                  <w:vMerge w:val="restar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类型</w:t>
                  </w:r>
                </w:p>
              </w:tc>
              <w:tc>
                <w:tcPr>
                  <w:tcW w:w="379" w:type="pct"/>
                  <w:vMerge w:val="restar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排气筒内径/m</w:t>
                  </w:r>
                </w:p>
              </w:tc>
              <w:tc>
                <w:tcPr>
                  <w:tcW w:w="523" w:type="pct"/>
                  <w:vMerge w:val="restar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排气筒温度/℃</w:t>
                  </w:r>
                </w:p>
              </w:tc>
              <w:tc>
                <w:tcPr>
                  <w:tcW w:w="356" w:type="pct"/>
                  <w:vMerge w:val="restar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排气筒高度/m</w:t>
                  </w:r>
                </w:p>
              </w:tc>
              <w:tc>
                <w:tcPr>
                  <w:tcW w:w="1270" w:type="pct"/>
                  <w:vMerge w:val="restart"/>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执行标准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84" w:type="pct"/>
                  <w:vMerge w:val="continue"/>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768"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E</w:t>
                  </w:r>
                </w:p>
              </w:tc>
              <w:tc>
                <w:tcPr>
                  <w:tcW w:w="701"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N</w:t>
                  </w:r>
                </w:p>
              </w:tc>
              <w:tc>
                <w:tcPr>
                  <w:tcW w:w="414" w:type="pct"/>
                  <w:vMerge w:val="continue"/>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379" w:type="pct"/>
                  <w:vMerge w:val="continue"/>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523" w:type="pct"/>
                  <w:vMerge w:val="continue"/>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356" w:type="pct"/>
                  <w:vMerge w:val="continue"/>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1270" w:type="pct"/>
                  <w:vMerge w:val="continue"/>
                  <w:vAlign w:val="center"/>
                </w:tcPr>
                <w:p>
                  <w:pPr>
                    <w:spacing w:line="240" w:lineRule="auto"/>
                    <w:ind w:firstLine="0" w:firstLineChars="0"/>
                    <w:jc w:val="center"/>
                    <w:rPr>
                      <w:rFonts w:ascii="Times New Roman" w:hAnsi="Times New Roman" w:eastAsia="宋体" w:cs="Times New Roman"/>
                      <w:color w:val="auto"/>
                      <w:spacing w:val="0"/>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0" w:hRule="atLeast"/>
              </w:trPr>
              <w:tc>
                <w:tcPr>
                  <w:tcW w:w="584"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DA001</w:t>
                  </w:r>
                </w:p>
              </w:tc>
              <w:tc>
                <w:tcPr>
                  <w:tcW w:w="768" w:type="pct"/>
                  <w:vAlign w:val="center"/>
                </w:tcPr>
                <w:p>
                  <w:pPr>
                    <w:spacing w:line="240" w:lineRule="auto"/>
                    <w:ind w:firstLine="0" w:firstLineChars="0"/>
                    <w:jc w:val="center"/>
                    <w:rPr>
                      <w:rFonts w:hint="default" w:ascii="Times New Roman" w:hAnsi="Times New Roman" w:eastAsia="宋体" w:cs="Times New Roman"/>
                      <w:color w:val="auto"/>
                      <w:spacing w:val="0"/>
                      <w:sz w:val="21"/>
                      <w:highlight w:val="none"/>
                      <w:lang w:val="en-US" w:eastAsia="zh-CN"/>
                    </w:rPr>
                  </w:pPr>
                </w:p>
              </w:tc>
              <w:tc>
                <w:tcPr>
                  <w:tcW w:w="701" w:type="pct"/>
                  <w:vAlign w:val="center"/>
                </w:tcPr>
                <w:p>
                  <w:pPr>
                    <w:spacing w:line="240" w:lineRule="auto"/>
                    <w:ind w:firstLine="0" w:firstLineChars="0"/>
                    <w:jc w:val="center"/>
                    <w:rPr>
                      <w:rFonts w:hint="default" w:ascii="Times New Roman" w:hAnsi="Times New Roman" w:eastAsia="宋体" w:cs="Times New Roman"/>
                      <w:color w:val="auto"/>
                      <w:spacing w:val="0"/>
                      <w:sz w:val="21"/>
                      <w:highlight w:val="none"/>
                      <w:lang w:val="en-US" w:eastAsia="zh-CN"/>
                    </w:rPr>
                  </w:pPr>
                </w:p>
              </w:tc>
              <w:tc>
                <w:tcPr>
                  <w:tcW w:w="414"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一般排放口</w:t>
                  </w:r>
                </w:p>
              </w:tc>
              <w:tc>
                <w:tcPr>
                  <w:tcW w:w="379" w:type="pct"/>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1.3</w:t>
                  </w:r>
                </w:p>
              </w:tc>
              <w:tc>
                <w:tcPr>
                  <w:tcW w:w="523"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25</w:t>
                  </w:r>
                </w:p>
              </w:tc>
              <w:tc>
                <w:tcPr>
                  <w:tcW w:w="356" w:type="pct"/>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20</w:t>
                  </w:r>
                </w:p>
              </w:tc>
              <w:tc>
                <w:tcPr>
                  <w:tcW w:w="1270"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lang w:val="en-US"/>
                    </w:rPr>
                  </w:pPr>
                  <w:r>
                    <w:rPr>
                      <w:rFonts w:hint="eastAsia" w:ascii="Times New Roman" w:hAnsi="Times New Roman" w:cs="Times New Roman" w:eastAsiaTheme="minorEastAsia"/>
                      <w:color w:val="auto"/>
                      <w:spacing w:val="0"/>
                      <w:sz w:val="21"/>
                      <w:lang w:val="en-US" w:eastAsia="zh-CN"/>
                    </w:rPr>
                    <w:t>《大气污染物综合排放标准》（GB16297-1996）</w:t>
                  </w:r>
                  <w:r>
                    <w:rPr>
                      <w:rFonts w:hint="eastAsia" w:ascii="Times New Roman" w:hAnsi="Times New Roman" w:cs="Times New Roman" w:eastAsiaTheme="minorEastAsia"/>
                      <w:color w:val="auto"/>
                      <w:spacing w:val="0"/>
                      <w:sz w:val="21"/>
                    </w:rPr>
                    <w:t>表2中相关限值要求</w:t>
                  </w:r>
                </w:p>
              </w:tc>
            </w:tr>
          </w:tbl>
          <w:p>
            <w:pPr>
              <w:keepNext w:val="0"/>
              <w:keepLines w:val="0"/>
              <w:pageBreakBefore w:val="0"/>
              <w:widowControl w:val="0"/>
              <w:kinsoku/>
              <w:wordWrap/>
              <w:overflowPunct/>
              <w:topLinePunct w:val="0"/>
              <w:autoSpaceDE/>
              <w:autoSpaceDN/>
              <w:bidi w:val="0"/>
              <w:adjustRightInd/>
              <w:snapToGrid/>
              <w:ind w:firstLine="482"/>
              <w:contextualSpacing/>
              <w:textAlignment w:val="auto"/>
              <w:rPr>
                <w:rFonts w:ascii="Times New Roman" w:hAnsi="Times New Roman" w:eastAsia="宋体" w:cs="Times New Roman"/>
                <w:b/>
                <w:color w:val="auto"/>
                <w:spacing w:val="0"/>
                <w:sz w:val="24"/>
              </w:rPr>
            </w:pPr>
            <w:r>
              <w:rPr>
                <w:rFonts w:ascii="Times New Roman" w:hAnsi="Times New Roman" w:eastAsia="宋体" w:cs="Times New Roman"/>
                <w:b/>
                <w:color w:val="auto"/>
                <w:spacing w:val="0"/>
                <w:sz w:val="24"/>
              </w:rPr>
              <w:t>1.</w:t>
            </w:r>
            <w:r>
              <w:rPr>
                <w:rFonts w:hint="eastAsia" w:ascii="Times New Roman" w:hAnsi="Times New Roman" w:eastAsia="宋体" w:cs="Times New Roman"/>
                <w:b/>
                <w:color w:val="auto"/>
                <w:spacing w:val="0"/>
                <w:sz w:val="24"/>
                <w:lang w:val="en-US" w:eastAsia="zh-CN"/>
              </w:rPr>
              <w:t xml:space="preserve">4 </w:t>
            </w:r>
            <w:r>
              <w:rPr>
                <w:rFonts w:hint="eastAsia" w:ascii="Times New Roman" w:hAnsi="Times New Roman" w:eastAsia="宋体" w:cs="Times New Roman"/>
                <w:b/>
                <w:color w:val="auto"/>
                <w:spacing w:val="0"/>
                <w:sz w:val="24"/>
              </w:rPr>
              <w:t>年排放量</w:t>
            </w:r>
          </w:p>
          <w:p>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imes New Roman" w:hAnsi="Times New Roman" w:eastAsia="宋体" w:cs="Times New Roman"/>
                <w:color w:val="auto"/>
                <w:spacing w:val="0"/>
                <w:sz w:val="24"/>
              </w:rPr>
            </w:pPr>
            <w:r>
              <w:rPr>
                <w:rFonts w:hint="eastAsia" w:ascii="Times New Roman" w:hAnsi="Times New Roman" w:eastAsia="宋体" w:cs="Times New Roman"/>
                <w:color w:val="auto"/>
                <w:spacing w:val="0"/>
                <w:sz w:val="24"/>
              </w:rPr>
              <w:t>根据工程分析，</w:t>
            </w:r>
            <w:r>
              <w:rPr>
                <w:rFonts w:hint="eastAsia" w:ascii="Times New Roman" w:hAnsi="Times New Roman" w:eastAsia="宋体" w:cs="Times New Roman"/>
                <w:color w:val="auto"/>
                <w:spacing w:val="0"/>
                <w:sz w:val="24"/>
                <w:lang w:eastAsia="zh-CN"/>
              </w:rPr>
              <w:t>本项目</w:t>
            </w:r>
            <w:r>
              <w:rPr>
                <w:rFonts w:hint="eastAsia" w:ascii="Times New Roman" w:hAnsi="Times New Roman" w:eastAsia="宋体" w:cs="Times New Roman"/>
                <w:color w:val="auto"/>
                <w:spacing w:val="0"/>
                <w:sz w:val="24"/>
              </w:rPr>
              <w:t>大气污染物排放量见表</w:t>
            </w:r>
            <w:r>
              <w:rPr>
                <w:rFonts w:hint="eastAsia" w:ascii="Times New Roman" w:hAnsi="Times New Roman" w:eastAsia="宋体" w:cs="Times New Roman"/>
                <w:color w:val="auto"/>
                <w:spacing w:val="0"/>
                <w:sz w:val="24"/>
                <w:lang w:val="en-US" w:eastAsia="zh-CN"/>
              </w:rPr>
              <w:t>4-3</w:t>
            </w:r>
            <w:r>
              <w:rPr>
                <w:rFonts w:hint="eastAsia" w:ascii="Times New Roman" w:hAnsi="Times New Roman" w:eastAsia="宋体" w:cs="Times New Roman"/>
                <w:color w:val="auto"/>
                <w:spacing w:val="0"/>
                <w:sz w:val="24"/>
              </w:rPr>
              <w:t>。</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cs="Times New Roman"/>
                <w:b/>
                <w:bCs/>
                <w:color w:val="auto"/>
                <w:spacing w:val="0"/>
                <w:sz w:val="21"/>
                <w:highlight w:val="none"/>
              </w:rPr>
            </w:pPr>
            <w:r>
              <w:rPr>
                <w:rFonts w:hint="eastAsia" w:ascii="Times New Roman" w:hAnsi="Times New Roman" w:eastAsia="宋体" w:cs="Times New Roman"/>
                <w:b/>
                <w:bCs/>
                <w:color w:val="auto"/>
                <w:spacing w:val="0"/>
                <w:sz w:val="21"/>
                <w:highlight w:val="none"/>
              </w:rPr>
              <w:t>表</w:t>
            </w:r>
            <w:r>
              <w:rPr>
                <w:rFonts w:hint="eastAsia" w:ascii="Times New Roman" w:hAnsi="Times New Roman" w:eastAsia="宋体" w:cs="Times New Roman"/>
                <w:b/>
                <w:bCs/>
                <w:color w:val="auto"/>
                <w:spacing w:val="0"/>
                <w:sz w:val="21"/>
                <w:highlight w:val="none"/>
                <w:lang w:val="en-US" w:eastAsia="zh-CN"/>
              </w:rPr>
              <w:t>4-3</w:t>
            </w:r>
            <w:r>
              <w:rPr>
                <w:rFonts w:hint="eastAsia" w:ascii="Times New Roman" w:hAnsi="Times New Roman" w:eastAsia="宋体" w:cs="Times New Roman"/>
                <w:b/>
                <w:bCs/>
                <w:color w:val="auto"/>
                <w:spacing w:val="0"/>
                <w:sz w:val="21"/>
                <w:highlight w:val="none"/>
                <w:lang w:eastAsia="zh-CN"/>
              </w:rPr>
              <w:t xml:space="preserve">            </w:t>
            </w:r>
            <w:r>
              <w:rPr>
                <w:rFonts w:hint="eastAsia" w:ascii="Times New Roman" w:hAnsi="Times New Roman" w:eastAsia="宋体" w:cs="Times New Roman"/>
                <w:b/>
                <w:bCs/>
                <w:color w:val="auto"/>
                <w:spacing w:val="0"/>
                <w:sz w:val="21"/>
                <w:highlight w:val="none"/>
                <w:lang w:val="en-US" w:eastAsia="zh-CN"/>
              </w:rPr>
              <w:t xml:space="preserve">   </w:t>
            </w:r>
            <w:r>
              <w:rPr>
                <w:rFonts w:hint="eastAsia" w:ascii="Times New Roman" w:hAnsi="Times New Roman" w:eastAsia="宋体" w:cs="Times New Roman"/>
                <w:b/>
                <w:bCs/>
                <w:color w:val="auto"/>
                <w:spacing w:val="0"/>
                <w:sz w:val="21"/>
                <w:highlight w:val="none"/>
                <w:lang w:eastAsia="zh-CN"/>
              </w:rPr>
              <w:t xml:space="preserve">  </w:t>
            </w:r>
            <w:r>
              <w:rPr>
                <w:rFonts w:hint="eastAsia" w:ascii="Times New Roman" w:hAnsi="Times New Roman" w:eastAsia="宋体" w:cs="Times New Roman"/>
                <w:b/>
                <w:bCs/>
                <w:color w:val="auto"/>
                <w:spacing w:val="0"/>
                <w:sz w:val="21"/>
                <w:highlight w:val="none"/>
              </w:rPr>
              <w:t>大气污染物年排放量表</w:t>
            </w:r>
          </w:p>
          <w:tbl>
            <w:tblPr>
              <w:tblStyle w:val="55"/>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2355"/>
              <w:gridCol w:w="1969"/>
              <w:gridCol w:w="1702"/>
              <w:gridCol w:w="187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69" w:hRule="atLeast"/>
                <w:jc w:val="center"/>
              </w:trPr>
              <w:tc>
                <w:tcPr>
                  <w:tcW w:w="1490" w:type="pct"/>
                  <w:noWrap w:val="0"/>
                  <w:vAlign w:val="center"/>
                </w:tcPr>
                <w:p>
                  <w:pPr>
                    <w:spacing w:line="240" w:lineRule="auto"/>
                    <w:ind w:firstLine="0" w:firstLineChars="0"/>
                    <w:jc w:val="center"/>
                    <w:rPr>
                      <w:rFonts w:hint="eastAsia"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污染物</w:t>
                  </w:r>
                </w:p>
              </w:tc>
              <w:tc>
                <w:tcPr>
                  <w:tcW w:w="1246" w:type="pct"/>
                  <w:noWrap w:val="0"/>
                  <w:vAlign w:val="center"/>
                </w:tcPr>
                <w:p>
                  <w:pPr>
                    <w:spacing w:line="240" w:lineRule="auto"/>
                    <w:ind w:firstLine="0" w:firstLineChars="0"/>
                    <w:jc w:val="center"/>
                    <w:rPr>
                      <w:rFonts w:hint="eastAsia"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lang w:eastAsia="zh-CN"/>
                    </w:rPr>
                    <w:t>NOx</w:t>
                  </w:r>
                </w:p>
              </w:tc>
              <w:tc>
                <w:tcPr>
                  <w:tcW w:w="1077" w:type="pct"/>
                  <w:noWrap w:val="0"/>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VOCs</w:t>
                  </w:r>
                </w:p>
              </w:tc>
              <w:tc>
                <w:tcPr>
                  <w:tcW w:w="1185" w:type="pct"/>
                  <w:noWrap w:val="0"/>
                  <w:vAlign w:val="center"/>
                </w:tcPr>
                <w:p>
                  <w:pPr>
                    <w:spacing w:line="240" w:lineRule="auto"/>
                    <w:ind w:firstLine="0" w:firstLineChars="0"/>
                    <w:jc w:val="center"/>
                    <w:rPr>
                      <w:rFonts w:hint="eastAsia"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lang w:val="en-US" w:eastAsia="zh-CN"/>
                    </w:rPr>
                    <w:t>颗粒物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1490" w:type="pct"/>
                  <w:noWrap w:val="0"/>
                  <w:vAlign w:val="center"/>
                </w:tcPr>
                <w:p>
                  <w:pPr>
                    <w:spacing w:line="240" w:lineRule="auto"/>
                    <w:ind w:firstLine="0" w:firstLineChars="0"/>
                    <w:jc w:val="center"/>
                    <w:rPr>
                      <w:rFonts w:hint="eastAsia"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年排放量/(t/a)</w:t>
                  </w:r>
                </w:p>
              </w:tc>
              <w:tc>
                <w:tcPr>
                  <w:tcW w:w="1246" w:type="pct"/>
                  <w:noWrap w:val="0"/>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0</w:t>
                  </w:r>
                </w:p>
              </w:tc>
              <w:tc>
                <w:tcPr>
                  <w:tcW w:w="1077" w:type="pct"/>
                  <w:noWrap w:val="0"/>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default" w:ascii="Times New Roman" w:hAnsi="Times New Roman" w:eastAsia="宋体" w:cs="Times New Roman"/>
                      <w:color w:val="auto"/>
                      <w:sz w:val="21"/>
                      <w:szCs w:val="21"/>
                      <w:lang w:val="en-US" w:eastAsia="zh-CN"/>
                    </w:rPr>
                    <w:t>0.000085</w:t>
                  </w:r>
                </w:p>
              </w:tc>
              <w:tc>
                <w:tcPr>
                  <w:tcW w:w="1185" w:type="pct"/>
                  <w:noWrap w:val="0"/>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17.014</w:t>
                  </w:r>
                </w:p>
              </w:tc>
            </w:tr>
          </w:tbl>
          <w:p>
            <w:pPr>
              <w:keepNext w:val="0"/>
              <w:keepLines w:val="0"/>
              <w:pageBreakBefore w:val="0"/>
              <w:widowControl w:val="0"/>
              <w:kinsoku/>
              <w:wordWrap/>
              <w:overflowPunct/>
              <w:topLinePunct w:val="0"/>
              <w:autoSpaceDE/>
              <w:autoSpaceDN/>
              <w:bidi w:val="0"/>
              <w:adjustRightInd/>
              <w:snapToGrid/>
              <w:ind w:firstLine="482"/>
              <w:textAlignment w:val="auto"/>
              <w:rPr>
                <w:rFonts w:ascii="Times New Roman" w:hAnsi="Times New Roman" w:eastAsia="宋体" w:cs="Times New Roman"/>
                <w:color w:val="auto"/>
                <w:spacing w:val="0"/>
                <w:sz w:val="24"/>
                <w:szCs w:val="24"/>
              </w:rPr>
            </w:pPr>
            <w:r>
              <w:rPr>
                <w:rFonts w:hint="eastAsia" w:ascii="Times New Roman" w:hAnsi="Times New Roman" w:eastAsia="宋体" w:cs="Times New Roman"/>
                <w:b/>
                <w:bCs/>
                <w:color w:val="auto"/>
                <w:spacing w:val="0"/>
                <w:sz w:val="24"/>
                <w:szCs w:val="24"/>
              </w:rPr>
              <w:t>1.</w:t>
            </w:r>
            <w:r>
              <w:rPr>
                <w:rFonts w:hint="eastAsia" w:ascii="Times New Roman" w:hAnsi="Times New Roman" w:eastAsia="宋体" w:cs="Times New Roman"/>
                <w:b/>
                <w:bCs/>
                <w:color w:val="auto"/>
                <w:spacing w:val="0"/>
                <w:sz w:val="24"/>
                <w:szCs w:val="24"/>
                <w:lang w:val="en-US" w:eastAsia="zh-CN"/>
              </w:rPr>
              <w:t>5</w:t>
            </w:r>
            <w:r>
              <w:rPr>
                <w:rFonts w:ascii="Times New Roman" w:hAnsi="Times New Roman" w:eastAsia="宋体" w:cs="Times New Roman"/>
                <w:b/>
                <w:bCs/>
                <w:color w:val="auto"/>
                <w:spacing w:val="0"/>
                <w:sz w:val="24"/>
                <w:szCs w:val="24"/>
              </w:rPr>
              <w:t>废气污染源监测计划</w:t>
            </w:r>
          </w:p>
          <w:p>
            <w:pPr>
              <w:pStyle w:val="23"/>
              <w:keepNext w:val="0"/>
              <w:keepLines w:val="0"/>
              <w:pageBreakBefore w:val="0"/>
              <w:widowControl w:val="0"/>
              <w:kinsoku/>
              <w:wordWrap/>
              <w:overflowPunct/>
              <w:topLinePunct w:val="0"/>
              <w:autoSpaceDE/>
              <w:autoSpaceDN/>
              <w:bidi w:val="0"/>
              <w:adjustRightInd/>
              <w:snapToGrid/>
              <w:ind w:firstLine="480"/>
              <w:textAlignment w:val="auto"/>
              <w:rPr>
                <w:rFonts w:ascii="Times New Roman" w:hAnsi="Times New Roman" w:cs="Times New Roman" w:eastAsiaTheme="minorEastAsia"/>
                <w:color w:val="auto"/>
                <w:spacing w:val="0"/>
                <w:sz w:val="24"/>
                <w:szCs w:val="24"/>
              </w:rPr>
            </w:pPr>
            <w:r>
              <w:rPr>
                <w:rFonts w:hint="eastAsia" w:ascii="Times New Roman" w:hAnsi="Times New Roman" w:eastAsia="宋体" w:cs="Times New Roman"/>
                <w:color w:val="auto"/>
                <w:kern w:val="0"/>
                <w:sz w:val="24"/>
                <w:lang w:val="en-US" w:eastAsia="zh-CN"/>
              </w:rPr>
              <w:t>参照</w:t>
            </w:r>
            <w:r>
              <w:rPr>
                <w:rFonts w:hint="eastAsia" w:ascii="Times New Roman" w:hAnsi="Times New Roman" w:eastAsia="宋体" w:cs="Times New Roman"/>
                <w:color w:val="auto"/>
                <w:kern w:val="0"/>
                <w:sz w:val="24"/>
              </w:rPr>
              <w:t>《排污单位自行监测技术指南 总则》</w:t>
            </w:r>
            <w:r>
              <w:rPr>
                <w:rFonts w:hint="eastAsia" w:ascii="Times New Roman" w:hAnsi="Times New Roman" w:eastAsia="宋体" w:cs="Times New Roman"/>
                <w:b w:val="0"/>
                <w:bCs w:val="0"/>
                <w:color w:val="auto"/>
                <w:sz w:val="24"/>
                <w:szCs w:val="24"/>
                <w:lang w:eastAsia="zh-CN"/>
              </w:rPr>
              <w:t>（</w:t>
            </w:r>
            <w:r>
              <w:rPr>
                <w:rFonts w:hint="default" w:ascii="Times New Roman" w:hAnsi="Times New Roman" w:eastAsia="宋体" w:cs="Times New Roman"/>
                <w:b w:val="0"/>
                <w:bCs w:val="0"/>
                <w:color w:val="auto"/>
                <w:sz w:val="24"/>
                <w:szCs w:val="24"/>
                <w:lang w:eastAsia="zh-CN"/>
              </w:rPr>
              <w:t>HJ</w:t>
            </w:r>
            <w:r>
              <w:rPr>
                <w:rFonts w:hint="default" w:ascii="Times New Roman" w:hAnsi="Times New Roman" w:eastAsia="宋体" w:cs="Times New Roman"/>
                <w:b w:val="0"/>
                <w:bCs w:val="0"/>
                <w:color w:val="auto"/>
                <w:sz w:val="24"/>
                <w:szCs w:val="24"/>
                <w:lang w:val="en-US" w:eastAsia="zh-CN"/>
              </w:rPr>
              <w:t>8</w:t>
            </w:r>
            <w:r>
              <w:rPr>
                <w:rFonts w:hint="eastAsia" w:ascii="Times New Roman" w:hAnsi="Times New Roman" w:eastAsia="宋体" w:cs="Times New Roman"/>
                <w:color w:val="auto"/>
                <w:kern w:val="0"/>
                <w:sz w:val="24"/>
              </w:rPr>
              <w:t>19</w:t>
            </w:r>
            <w:r>
              <w:rPr>
                <w:rFonts w:hint="default" w:ascii="Times New Roman" w:hAnsi="Times New Roman" w:eastAsia="宋体" w:cs="Times New Roman"/>
                <w:b w:val="0"/>
                <w:bCs w:val="0"/>
                <w:color w:val="auto"/>
                <w:sz w:val="24"/>
                <w:szCs w:val="24"/>
                <w:lang w:eastAsia="zh-CN"/>
              </w:rPr>
              <w:t>-201</w:t>
            </w:r>
            <w:r>
              <w:rPr>
                <w:rFonts w:hint="default" w:ascii="Times New Roman" w:hAnsi="Times New Roman" w:eastAsia="宋体" w:cs="Times New Roman"/>
                <w:b w:val="0"/>
                <w:bCs w:val="0"/>
                <w:color w:val="auto"/>
                <w:sz w:val="24"/>
                <w:szCs w:val="24"/>
                <w:lang w:val="en-US" w:eastAsia="zh-CN"/>
              </w:rPr>
              <w:t>7</w:t>
            </w:r>
            <w:r>
              <w:rPr>
                <w:rFonts w:hint="eastAsia" w:ascii="Times New Roman" w:hAnsi="Times New Roman" w:eastAsia="宋体" w:cs="Times New Roman"/>
                <w:b w:val="0"/>
                <w:bCs w:val="0"/>
                <w:color w:val="auto"/>
                <w:sz w:val="24"/>
                <w:szCs w:val="24"/>
                <w:lang w:eastAsia="zh-CN"/>
              </w:rPr>
              <w:t>）、</w:t>
            </w:r>
            <w:r>
              <w:rPr>
                <w:rFonts w:hint="default" w:ascii="Times New Roman" w:hAnsi="Times New Roman" w:eastAsia="宋体" w:cs="Times New Roman"/>
                <w:b w:val="0"/>
                <w:bCs w:val="0"/>
                <w:color w:val="auto"/>
                <w:kern w:val="0"/>
                <w:sz w:val="24"/>
                <w:szCs w:val="24"/>
                <w:lang w:val="en-US" w:eastAsia="zh-CN" w:bidi="ar-SA"/>
              </w:rPr>
              <w:t>《排污许可证申请与核发技术规范 陶瓷砖瓦工业》（HJ954-2018）</w:t>
            </w:r>
            <w:r>
              <w:rPr>
                <w:rFonts w:hint="eastAsia" w:ascii="Times New Roman" w:hAnsi="Times New Roman" w:eastAsia="宋体" w:cs="Times New Roman"/>
                <w:b w:val="0"/>
                <w:bCs w:val="0"/>
                <w:color w:val="auto"/>
                <w:sz w:val="24"/>
                <w:szCs w:val="24"/>
                <w:lang w:eastAsia="zh-CN"/>
              </w:rPr>
              <w:t>，</w:t>
            </w:r>
            <w:r>
              <w:rPr>
                <w:rFonts w:hint="eastAsia" w:ascii="Times New Roman" w:hAnsi="Times New Roman" w:eastAsia="宋体" w:cs="Times New Roman"/>
                <w:color w:val="auto"/>
                <w:sz w:val="24"/>
                <w:lang w:val="en-US" w:eastAsia="zh-CN"/>
              </w:rPr>
              <w:t>项目废气监测计划如下</w:t>
            </w:r>
            <w:r>
              <w:rPr>
                <w:rFonts w:ascii="Times New Roman" w:hAnsi="Times New Roman" w:cs="Times New Roman" w:eastAsiaTheme="minorEastAsia"/>
                <w:color w:val="auto"/>
                <w:spacing w:val="0"/>
                <w:sz w:val="24"/>
                <w:szCs w:val="24"/>
              </w:rPr>
              <w:t>。</w:t>
            </w:r>
          </w:p>
          <w:p>
            <w:pPr>
              <w:adjustRightInd/>
              <w:snapToGrid/>
              <w:ind w:firstLine="0" w:firstLineChars="0"/>
              <w:jc w:val="center"/>
              <w:rPr>
                <w:rFonts w:ascii="Times New Roman" w:hAnsi="Times New Roman" w:eastAsia="宋体" w:cs="Times New Roman"/>
                <w:b/>
                <w:bCs/>
                <w:color w:val="auto"/>
                <w:spacing w:val="0"/>
                <w:sz w:val="21"/>
              </w:rPr>
            </w:pPr>
            <w:r>
              <w:rPr>
                <w:rFonts w:ascii="Times New Roman" w:hAnsi="Times New Roman" w:eastAsia="宋体" w:cs="Times New Roman"/>
                <w:b/>
                <w:bCs/>
                <w:color w:val="auto"/>
                <w:spacing w:val="0"/>
                <w:sz w:val="21"/>
              </w:rPr>
              <w:t>表4-</w:t>
            </w:r>
            <w:r>
              <w:rPr>
                <w:rFonts w:hint="eastAsia" w:ascii="Times New Roman" w:hAnsi="Times New Roman" w:eastAsia="宋体" w:cs="Times New Roman"/>
                <w:b/>
                <w:bCs/>
                <w:color w:val="auto"/>
                <w:spacing w:val="0"/>
                <w:sz w:val="21"/>
                <w:lang w:val="en-US" w:eastAsia="zh-CN"/>
              </w:rPr>
              <w:t>4</w:t>
            </w:r>
            <w:r>
              <w:rPr>
                <w:rFonts w:ascii="Times New Roman" w:hAnsi="Times New Roman" w:eastAsia="宋体" w:cs="Times New Roman"/>
                <w:b/>
                <w:bCs/>
                <w:color w:val="auto"/>
                <w:spacing w:val="0"/>
                <w:sz w:val="21"/>
              </w:rPr>
              <w:t xml:space="preserve"> 监测要求一览表</w:t>
            </w:r>
          </w:p>
          <w:tbl>
            <w:tblPr>
              <w:tblStyle w:val="5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1"/>
              <w:gridCol w:w="1193"/>
              <w:gridCol w:w="1144"/>
              <w:gridCol w:w="2645"/>
              <w:gridCol w:w="1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656" w:type="pct"/>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default" w:ascii="Times New Roman" w:hAnsi="Times New Roman" w:eastAsia="宋体" w:cs="Times New Roman"/>
                      <w:color w:val="auto"/>
                      <w:spacing w:val="0"/>
                      <w:sz w:val="21"/>
                    </w:rPr>
                    <w:t>监测点位</w:t>
                  </w:r>
                </w:p>
              </w:tc>
              <w:tc>
                <w:tcPr>
                  <w:tcW w:w="790" w:type="pct"/>
                  <w:tcBorders>
                    <w:tl2br w:val="nil"/>
                    <w:tr2bl w:val="nil"/>
                  </w:tcBorders>
                  <w:noWrap w:val="0"/>
                  <w:vAlign w:val="center"/>
                </w:tcPr>
                <w:p>
                  <w:pPr>
                    <w:spacing w:line="240" w:lineRule="auto"/>
                    <w:ind w:firstLine="0" w:firstLineChars="0"/>
                    <w:jc w:val="center"/>
                    <w:rPr>
                      <w:rFonts w:hint="eastAsia" w:ascii="Times New Roman" w:hAnsi="Times New Roman" w:eastAsia="宋体" w:cs="Times New Roman"/>
                      <w:color w:val="auto"/>
                      <w:spacing w:val="0"/>
                      <w:sz w:val="21"/>
                      <w:lang w:eastAsia="zh-CN"/>
                    </w:rPr>
                  </w:pPr>
                  <w:r>
                    <w:rPr>
                      <w:rFonts w:hint="default" w:ascii="Times New Roman" w:hAnsi="Times New Roman" w:eastAsia="宋体" w:cs="Times New Roman"/>
                      <w:color w:val="auto"/>
                      <w:spacing w:val="0"/>
                      <w:sz w:val="21"/>
                    </w:rPr>
                    <w:t>监测</w:t>
                  </w:r>
                  <w:r>
                    <w:rPr>
                      <w:rFonts w:hint="eastAsia" w:ascii="Times New Roman" w:hAnsi="Times New Roman" w:eastAsia="宋体" w:cs="Times New Roman"/>
                      <w:color w:val="auto"/>
                      <w:spacing w:val="0"/>
                      <w:sz w:val="21"/>
                      <w:lang w:val="en-US" w:eastAsia="zh-CN"/>
                    </w:rPr>
                    <w:t>指标</w:t>
                  </w:r>
                </w:p>
              </w:tc>
              <w:tc>
                <w:tcPr>
                  <w:tcW w:w="759" w:type="pct"/>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color w:val="auto"/>
                      <w:spacing w:val="0"/>
                      <w:sz w:val="21"/>
                    </w:rPr>
                  </w:pPr>
                  <w:r>
                    <w:rPr>
                      <w:rFonts w:hint="default" w:ascii="Times New Roman" w:hAnsi="Times New Roman" w:eastAsia="宋体" w:cs="Times New Roman"/>
                      <w:color w:val="auto"/>
                      <w:spacing w:val="0"/>
                      <w:sz w:val="21"/>
                    </w:rPr>
                    <w:t>监测频次</w:t>
                  </w:r>
                </w:p>
              </w:tc>
              <w:tc>
                <w:tcPr>
                  <w:tcW w:w="1707" w:type="pct"/>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监测方法</w:t>
                  </w:r>
                </w:p>
              </w:tc>
              <w:tc>
                <w:tcPr>
                  <w:tcW w:w="1085" w:type="pct"/>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default" w:ascii="Times New Roman" w:hAnsi="Times New Roman" w:eastAsia="宋体" w:cs="Times New Roman"/>
                      <w:color w:val="auto"/>
                      <w:spacing w:val="0"/>
                      <w:sz w:val="21"/>
                    </w:rPr>
                    <w:t>执行排放标准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56" w:type="pct"/>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DA001</w:t>
                  </w:r>
                </w:p>
              </w:tc>
              <w:tc>
                <w:tcPr>
                  <w:tcW w:w="790" w:type="pct"/>
                  <w:tcBorders>
                    <w:tl2br w:val="nil"/>
                    <w:tr2bl w:val="nil"/>
                  </w:tcBorders>
                  <w:noWrap w:val="0"/>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颗粒物</w:t>
                  </w:r>
                </w:p>
              </w:tc>
              <w:tc>
                <w:tcPr>
                  <w:tcW w:w="759" w:type="pct"/>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default" w:ascii="Times New Roman" w:hAnsi="Times New Roman" w:eastAsia="宋体" w:cs="Times New Roman"/>
                      <w:color w:val="auto"/>
                      <w:spacing w:val="0"/>
                      <w:sz w:val="21"/>
                      <w:lang w:val="en-US" w:eastAsia="zh-CN"/>
                    </w:rPr>
                    <w:t>1次/</w:t>
                  </w:r>
                  <w:r>
                    <w:rPr>
                      <w:rFonts w:hint="eastAsia" w:ascii="Times New Roman" w:hAnsi="Times New Roman" w:eastAsia="宋体" w:cs="Times New Roman"/>
                      <w:color w:val="auto"/>
                      <w:spacing w:val="0"/>
                      <w:sz w:val="21"/>
                      <w:lang w:val="en-US" w:eastAsia="zh-CN"/>
                    </w:rPr>
                    <w:t>年</w:t>
                  </w:r>
                </w:p>
              </w:tc>
              <w:tc>
                <w:tcPr>
                  <w:tcW w:w="1707" w:type="pct"/>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w:t>
                  </w:r>
                  <w:r>
                    <w:rPr>
                      <w:rFonts w:hint="default" w:ascii="Times New Roman" w:hAnsi="Times New Roman" w:eastAsia="宋体" w:cs="Times New Roman"/>
                      <w:color w:val="auto"/>
                      <w:spacing w:val="0"/>
                      <w:sz w:val="21"/>
                      <w:lang w:val="en-US" w:eastAsia="zh-CN"/>
                    </w:rPr>
                    <w:t>固定污染源排气中颗粒物测定与气态污染物采样方法</w:t>
                  </w:r>
                  <w:r>
                    <w:rPr>
                      <w:rFonts w:hint="eastAsia" w:ascii="Times New Roman" w:hAnsi="Times New Roman" w:eastAsia="宋体" w:cs="Times New Roman"/>
                      <w:color w:val="auto"/>
                      <w:spacing w:val="0"/>
                      <w:sz w:val="21"/>
                      <w:lang w:val="en-US" w:eastAsia="zh-CN"/>
                    </w:rPr>
                    <w:t>》（</w:t>
                  </w:r>
                  <w:r>
                    <w:rPr>
                      <w:rFonts w:hint="default" w:ascii="Times New Roman" w:hAnsi="Times New Roman" w:eastAsia="宋体" w:cs="Times New Roman"/>
                      <w:color w:val="auto"/>
                      <w:spacing w:val="0"/>
                      <w:sz w:val="21"/>
                      <w:lang w:val="en-US" w:eastAsia="zh-CN"/>
                    </w:rPr>
                    <w:t>GB/T16157-1996</w:t>
                  </w:r>
                  <w:r>
                    <w:rPr>
                      <w:rFonts w:hint="eastAsia" w:ascii="Times New Roman" w:hAnsi="Times New Roman" w:eastAsia="宋体" w:cs="Times New Roman"/>
                      <w:color w:val="auto"/>
                      <w:spacing w:val="0"/>
                      <w:sz w:val="21"/>
                      <w:lang w:val="en-US" w:eastAsia="zh-CN"/>
                    </w:rPr>
                    <w:t>）</w:t>
                  </w:r>
                  <w:r>
                    <w:rPr>
                      <w:rFonts w:hint="default" w:ascii="Times New Roman" w:hAnsi="Times New Roman" w:eastAsia="宋体" w:cs="Times New Roman"/>
                      <w:color w:val="auto"/>
                      <w:spacing w:val="0"/>
                      <w:sz w:val="21"/>
                      <w:lang w:val="en-US" w:eastAsia="zh-CN"/>
                    </w:rPr>
                    <w:t>及修改单</w:t>
                  </w:r>
                </w:p>
              </w:tc>
              <w:tc>
                <w:tcPr>
                  <w:tcW w:w="1085" w:type="pct"/>
                  <w:vMerge w:val="restart"/>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b w:val="0"/>
                      <w:snapToGrid w:val="0"/>
                      <w:color w:val="auto"/>
                      <w:kern w:val="0"/>
                      <w:sz w:val="21"/>
                      <w:lang w:val="en-US" w:eastAsia="zh-CN"/>
                    </w:rPr>
                  </w:pPr>
                  <w:r>
                    <w:rPr>
                      <w:rFonts w:hint="default" w:ascii="Times New Roman" w:hAnsi="Times New Roman" w:eastAsia="宋体" w:cs="Times New Roman"/>
                      <w:color w:val="auto"/>
                      <w:spacing w:val="0"/>
                      <w:sz w:val="21"/>
                      <w:lang w:val="en-US" w:eastAsia="zh-CN"/>
                    </w:rPr>
                    <w:t>《大气污染物综合排放标准》（GB16297-1996）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56" w:type="pct"/>
                  <w:vMerge w:val="restart"/>
                  <w:tcBorders>
                    <w:tl2br w:val="nil"/>
                    <w:tr2bl w:val="nil"/>
                  </w:tcBorders>
                  <w:noWrap w:val="0"/>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厂界四周</w:t>
                  </w:r>
                </w:p>
              </w:tc>
              <w:tc>
                <w:tcPr>
                  <w:tcW w:w="790" w:type="pct"/>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颗粒物</w:t>
                  </w:r>
                </w:p>
              </w:tc>
              <w:tc>
                <w:tcPr>
                  <w:tcW w:w="759" w:type="pct"/>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default" w:ascii="Times New Roman" w:hAnsi="Times New Roman" w:eastAsia="宋体" w:cs="Times New Roman"/>
                      <w:color w:val="auto"/>
                      <w:spacing w:val="0"/>
                      <w:sz w:val="21"/>
                      <w:lang w:val="en-US" w:eastAsia="zh-CN"/>
                    </w:rPr>
                    <w:t>1次/</w:t>
                  </w:r>
                  <w:r>
                    <w:rPr>
                      <w:rFonts w:hint="eastAsia" w:ascii="Times New Roman" w:hAnsi="Times New Roman" w:eastAsia="宋体" w:cs="Times New Roman"/>
                      <w:color w:val="auto"/>
                      <w:spacing w:val="0"/>
                      <w:sz w:val="21"/>
                      <w:lang w:val="en-US" w:eastAsia="zh-CN"/>
                    </w:rPr>
                    <w:t>年</w:t>
                  </w:r>
                </w:p>
              </w:tc>
              <w:tc>
                <w:tcPr>
                  <w:tcW w:w="1707" w:type="pct"/>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w:t>
                  </w:r>
                  <w:r>
                    <w:rPr>
                      <w:rFonts w:hint="default" w:ascii="Times New Roman" w:hAnsi="Times New Roman" w:eastAsia="宋体" w:cs="Times New Roman"/>
                      <w:color w:val="auto"/>
                      <w:spacing w:val="0"/>
                      <w:sz w:val="21"/>
                      <w:lang w:val="en-US" w:eastAsia="zh-CN"/>
                    </w:rPr>
                    <w:t>环境空气 总悬浮颗粒物的测定 重量法</w:t>
                  </w:r>
                  <w:r>
                    <w:rPr>
                      <w:rFonts w:hint="eastAsia" w:ascii="Times New Roman" w:hAnsi="Times New Roman" w:eastAsia="宋体" w:cs="Times New Roman"/>
                      <w:color w:val="auto"/>
                      <w:spacing w:val="0"/>
                      <w:sz w:val="21"/>
                      <w:lang w:val="en-US" w:eastAsia="zh-CN"/>
                    </w:rPr>
                    <w:t>》（</w:t>
                  </w:r>
                  <w:r>
                    <w:rPr>
                      <w:rFonts w:hint="default" w:ascii="Times New Roman" w:hAnsi="Times New Roman" w:eastAsia="宋体" w:cs="Times New Roman"/>
                      <w:color w:val="auto"/>
                      <w:spacing w:val="0"/>
                      <w:sz w:val="21"/>
                      <w:lang w:val="en-US" w:eastAsia="zh-CN"/>
                    </w:rPr>
                    <w:t>GB/T 15432-1995</w:t>
                  </w:r>
                  <w:r>
                    <w:rPr>
                      <w:rFonts w:hint="eastAsia" w:ascii="Times New Roman" w:hAnsi="Times New Roman" w:eastAsia="宋体" w:cs="Times New Roman"/>
                      <w:color w:val="auto"/>
                      <w:spacing w:val="0"/>
                      <w:sz w:val="21"/>
                      <w:lang w:val="en-US" w:eastAsia="zh-CN"/>
                    </w:rPr>
                    <w:t>）</w:t>
                  </w:r>
                  <w:r>
                    <w:rPr>
                      <w:rFonts w:hint="default" w:ascii="Times New Roman" w:hAnsi="Times New Roman" w:eastAsia="宋体" w:cs="Times New Roman"/>
                      <w:color w:val="auto"/>
                      <w:spacing w:val="0"/>
                      <w:sz w:val="21"/>
                      <w:lang w:val="en-US" w:eastAsia="zh-CN"/>
                    </w:rPr>
                    <w:t>及修改单</w:t>
                  </w:r>
                </w:p>
              </w:tc>
              <w:tc>
                <w:tcPr>
                  <w:tcW w:w="1085" w:type="pct"/>
                  <w:vMerge w:val="continue"/>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color w:val="auto"/>
                      <w:kern w:val="2"/>
                      <w:sz w:val="21"/>
                      <w:szCs w:val="1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56" w:type="pct"/>
                  <w:vMerge w:val="continue"/>
                  <w:tcBorders>
                    <w:tl2br w:val="nil"/>
                    <w:tr2bl w:val="nil"/>
                  </w:tcBorders>
                  <w:noWrap w:val="0"/>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p>
              </w:tc>
              <w:tc>
                <w:tcPr>
                  <w:tcW w:w="790" w:type="pct"/>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非甲烷总烃</w:t>
                  </w:r>
                </w:p>
              </w:tc>
              <w:tc>
                <w:tcPr>
                  <w:tcW w:w="759" w:type="pct"/>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default" w:ascii="Times New Roman" w:hAnsi="Times New Roman" w:eastAsia="宋体" w:cs="Times New Roman"/>
                      <w:color w:val="auto"/>
                      <w:spacing w:val="0"/>
                      <w:sz w:val="21"/>
                      <w:lang w:val="en-US" w:eastAsia="zh-CN"/>
                    </w:rPr>
                    <w:t>1次/</w:t>
                  </w:r>
                  <w:r>
                    <w:rPr>
                      <w:rFonts w:hint="eastAsia" w:ascii="Times New Roman" w:hAnsi="Times New Roman" w:eastAsia="宋体" w:cs="Times New Roman"/>
                      <w:color w:val="auto"/>
                      <w:spacing w:val="0"/>
                      <w:sz w:val="21"/>
                      <w:lang w:val="en-US" w:eastAsia="zh-CN"/>
                    </w:rPr>
                    <w:t>年</w:t>
                  </w:r>
                </w:p>
              </w:tc>
              <w:tc>
                <w:tcPr>
                  <w:tcW w:w="1707" w:type="pct"/>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default" w:ascii="Times New Roman" w:hAnsi="Times New Roman" w:eastAsia="宋体" w:cs="Times New Roman"/>
                      <w:color w:val="auto"/>
                      <w:spacing w:val="0"/>
                      <w:sz w:val="21"/>
                      <w:lang w:val="en-US" w:eastAsia="zh-CN"/>
                    </w:rPr>
                    <w:t>《环境空气 总烃、甲烷和非甲烷总烃的测定 直接进样</w:t>
                  </w:r>
                  <w:r>
                    <w:rPr>
                      <w:rFonts w:hint="default" w:ascii="Times New Roman" w:hAnsi="Times New Roman" w:eastAsia="宋体" w:cs="Times New Roman"/>
                      <w:color w:val="auto"/>
                      <w:spacing w:val="0"/>
                      <w:sz w:val="21"/>
                      <w:lang w:val="en-US" w:eastAsia="zh-CN"/>
                    </w:rPr>
                    <w:noBreakHyphen/>
                  </w:r>
                  <w:r>
                    <w:rPr>
                      <w:rFonts w:hint="default" w:ascii="Times New Roman" w:hAnsi="Times New Roman" w:eastAsia="宋体" w:cs="Times New Roman"/>
                      <w:color w:val="auto"/>
                      <w:spacing w:val="0"/>
                      <w:sz w:val="21"/>
                      <w:lang w:val="en-US" w:eastAsia="zh-CN"/>
                    </w:rPr>
                    <w:t>气相色谱法》</w:t>
                  </w:r>
                  <w:r>
                    <w:rPr>
                      <w:rFonts w:hint="eastAsia" w:ascii="Times New Roman" w:hAnsi="Times New Roman" w:eastAsia="宋体" w:cs="Times New Roman"/>
                      <w:color w:val="auto"/>
                      <w:spacing w:val="0"/>
                      <w:sz w:val="21"/>
                      <w:lang w:val="en-US" w:eastAsia="zh-CN"/>
                    </w:rPr>
                    <w:t>（</w:t>
                  </w:r>
                  <w:r>
                    <w:rPr>
                      <w:rFonts w:hint="default" w:ascii="Times New Roman" w:hAnsi="Times New Roman" w:eastAsia="宋体" w:cs="Times New Roman"/>
                      <w:color w:val="auto"/>
                      <w:spacing w:val="0"/>
                      <w:sz w:val="21"/>
                      <w:lang w:val="en-US" w:eastAsia="zh-CN"/>
                    </w:rPr>
                    <w:t>HJ 604</w:t>
                  </w:r>
                  <w:r>
                    <w:rPr>
                      <w:rFonts w:hint="default" w:ascii="Times New Roman" w:hAnsi="Times New Roman" w:eastAsia="宋体" w:cs="Times New Roman"/>
                      <w:color w:val="auto"/>
                      <w:spacing w:val="0"/>
                      <w:sz w:val="21"/>
                      <w:lang w:val="en-US" w:eastAsia="zh-CN"/>
                    </w:rPr>
                    <w:noBreakHyphen/>
                  </w:r>
                  <w:r>
                    <w:rPr>
                      <w:rFonts w:hint="default" w:ascii="Times New Roman" w:hAnsi="Times New Roman" w:eastAsia="宋体" w:cs="Times New Roman"/>
                      <w:color w:val="auto"/>
                      <w:spacing w:val="0"/>
                      <w:sz w:val="21"/>
                      <w:lang w:val="en-US" w:eastAsia="zh-CN"/>
                    </w:rPr>
                    <w:t>2017</w:t>
                  </w:r>
                  <w:r>
                    <w:rPr>
                      <w:rFonts w:hint="eastAsia" w:ascii="Times New Roman" w:hAnsi="Times New Roman" w:eastAsia="宋体" w:cs="Times New Roman"/>
                      <w:color w:val="auto"/>
                      <w:spacing w:val="0"/>
                      <w:sz w:val="21"/>
                      <w:lang w:val="en-US" w:eastAsia="zh-CN"/>
                    </w:rPr>
                    <w:t>）</w:t>
                  </w:r>
                </w:p>
              </w:tc>
              <w:tc>
                <w:tcPr>
                  <w:tcW w:w="1085" w:type="pct"/>
                  <w:vMerge w:val="continue"/>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color w:val="auto"/>
                      <w:kern w:val="2"/>
                      <w:sz w:val="21"/>
                      <w:szCs w:val="18"/>
                      <w:lang w:val="en-US" w:eastAsia="zh-CN" w:bidi="ar-SA"/>
                    </w:rPr>
                  </w:pPr>
                </w:p>
              </w:tc>
            </w:tr>
          </w:tbl>
          <w:p>
            <w:pPr>
              <w:pStyle w:val="54"/>
              <w:keepNext w:val="0"/>
              <w:keepLines w:val="0"/>
              <w:pageBreakBefore w:val="0"/>
              <w:widowControl w:val="0"/>
              <w:tabs>
                <w:tab w:val="left" w:pos="4500"/>
              </w:tabs>
              <w:kinsoku/>
              <w:wordWrap/>
              <w:overflowPunct/>
              <w:topLinePunct w:val="0"/>
              <w:autoSpaceDE/>
              <w:autoSpaceDN/>
              <w:bidi w:val="0"/>
              <w:adjustRightInd/>
              <w:snapToGrid/>
              <w:spacing w:after="0" w:line="360" w:lineRule="auto"/>
              <w:ind w:left="0" w:leftChars="0" w:firstLine="482"/>
              <w:textAlignment w:val="auto"/>
              <w:rPr>
                <w:rFonts w:ascii="Times New Roman" w:hAnsi="Times New Roman" w:eastAsia="宋体" w:cs="Times New Roman"/>
                <w:b w:val="0"/>
                <w:color w:val="auto"/>
                <w:spacing w:val="0"/>
                <w:sz w:val="24"/>
                <w:szCs w:val="24"/>
              </w:rPr>
            </w:pPr>
            <w:r>
              <w:rPr>
                <w:rFonts w:hint="eastAsia" w:ascii="Times New Roman" w:hAnsi="Times New Roman" w:eastAsia="宋体" w:cs="Times New Roman"/>
                <w:bCs/>
                <w:color w:val="auto"/>
                <w:spacing w:val="0"/>
                <w:sz w:val="24"/>
                <w:szCs w:val="24"/>
                <w:lang w:val="en-US" w:eastAsia="zh-CN"/>
              </w:rPr>
              <w:t>1.6</w:t>
            </w:r>
            <w:r>
              <w:rPr>
                <w:rFonts w:ascii="Times New Roman" w:hAnsi="Times New Roman" w:eastAsia="宋体" w:cs="Times New Roman"/>
                <w:bCs/>
                <w:color w:val="auto"/>
                <w:spacing w:val="0"/>
                <w:sz w:val="24"/>
                <w:szCs w:val="24"/>
              </w:rPr>
              <w:t>非正常工况</w:t>
            </w:r>
            <w:r>
              <w:rPr>
                <w:rFonts w:hint="eastAsia" w:ascii="Times New Roman" w:hAnsi="Times New Roman" w:eastAsia="宋体" w:cs="Times New Roman"/>
                <w:bCs/>
                <w:color w:val="auto"/>
                <w:spacing w:val="0"/>
                <w:sz w:val="24"/>
                <w:szCs w:val="24"/>
              </w:rPr>
              <w:t>分析</w:t>
            </w:r>
          </w:p>
          <w:p>
            <w:pPr>
              <w:pStyle w:val="23"/>
              <w:keepNext w:val="0"/>
              <w:keepLines w:val="0"/>
              <w:pageBreakBefore w:val="0"/>
              <w:widowControl w:val="0"/>
              <w:kinsoku/>
              <w:wordWrap/>
              <w:overflowPunct/>
              <w:topLinePunct w:val="0"/>
              <w:autoSpaceDE/>
              <w:autoSpaceDN/>
              <w:bidi w:val="0"/>
              <w:adjustRightInd/>
              <w:snapToGrid/>
              <w:ind w:firstLine="480"/>
              <w:textAlignment w:val="auto"/>
              <w:rPr>
                <w:rFonts w:ascii="Times New Roman" w:hAnsi="Times New Roman" w:cs="Times New Roman" w:eastAsiaTheme="minorEastAsia"/>
                <w:color w:val="auto"/>
                <w:spacing w:val="0"/>
                <w:sz w:val="24"/>
                <w:szCs w:val="24"/>
              </w:rPr>
            </w:pPr>
            <w:r>
              <w:rPr>
                <w:rFonts w:ascii="Times New Roman" w:hAnsi="Times New Roman" w:eastAsia="宋体" w:cs="Times New Roman"/>
                <w:color w:val="auto"/>
                <w:spacing w:val="0"/>
                <w:sz w:val="24"/>
                <w:szCs w:val="24"/>
              </w:rPr>
              <w:t>非正常排放情况是指</w:t>
            </w:r>
            <w:r>
              <w:rPr>
                <w:rFonts w:hint="eastAsia" w:ascii="Times New Roman" w:hAnsi="Times New Roman" w:eastAsia="宋体" w:cs="Times New Roman"/>
                <w:color w:val="auto"/>
                <w:spacing w:val="0"/>
                <w:sz w:val="24"/>
                <w:szCs w:val="24"/>
              </w:rPr>
              <w:t>开停车及</w:t>
            </w:r>
            <w:r>
              <w:rPr>
                <w:rFonts w:ascii="Times New Roman" w:hAnsi="Times New Roman" w:eastAsia="宋体" w:cs="Times New Roman"/>
                <w:color w:val="auto"/>
                <w:spacing w:val="0"/>
                <w:sz w:val="24"/>
                <w:szCs w:val="24"/>
              </w:rPr>
              <w:t>废气治理设施运行出现事故，</w:t>
            </w:r>
            <w:r>
              <w:rPr>
                <w:rFonts w:hint="eastAsia" w:ascii="Times New Roman" w:hAnsi="Times New Roman" w:eastAsia="宋体" w:cs="Times New Roman"/>
                <w:color w:val="auto"/>
                <w:spacing w:val="0"/>
                <w:sz w:val="24"/>
                <w:szCs w:val="24"/>
              </w:rPr>
              <w:t>导致废气治理设施达不到应有的治理效率</w:t>
            </w:r>
            <w:r>
              <w:rPr>
                <w:rFonts w:ascii="Times New Roman" w:hAnsi="Times New Roman" w:eastAsia="宋体" w:cs="Times New Roman"/>
                <w:color w:val="auto"/>
                <w:spacing w:val="0"/>
                <w:sz w:val="24"/>
                <w:szCs w:val="24"/>
              </w:rPr>
              <w:t>。引起非正常排放因素主要有设备因素和人为因素，根据项目生产工艺特征和污染物产生情况，</w:t>
            </w:r>
            <w:r>
              <w:rPr>
                <w:rFonts w:hint="eastAsia" w:ascii="Times New Roman" w:hAnsi="Times New Roman" w:eastAsia="宋体" w:cs="Times New Roman"/>
                <w:color w:val="auto"/>
                <w:spacing w:val="0"/>
                <w:sz w:val="24"/>
                <w:szCs w:val="24"/>
              </w:rPr>
              <w:t>分析</w:t>
            </w:r>
            <w:r>
              <w:rPr>
                <w:rFonts w:ascii="Times New Roman" w:hAnsi="Times New Roman" w:eastAsia="宋体" w:cs="Times New Roman"/>
                <w:color w:val="auto"/>
                <w:spacing w:val="0"/>
                <w:sz w:val="24"/>
                <w:szCs w:val="24"/>
              </w:rPr>
              <w:t>项目非正常工况为</w:t>
            </w:r>
            <w:r>
              <w:rPr>
                <w:rFonts w:hint="eastAsia" w:ascii="Times New Roman" w:hAnsi="Times New Roman" w:eastAsia="宋体" w:cs="Times New Roman"/>
                <w:color w:val="auto"/>
                <w:spacing w:val="0"/>
                <w:sz w:val="24"/>
                <w:szCs w:val="24"/>
                <w:lang w:val="en-US" w:eastAsia="zh-CN"/>
              </w:rPr>
              <w:t>废气治理设施</w:t>
            </w:r>
            <w:r>
              <w:rPr>
                <w:rFonts w:hint="eastAsia" w:ascii="Times New Roman" w:hAnsi="Times New Roman" w:eastAsia="宋体" w:cs="Times New Roman"/>
                <w:color w:val="auto"/>
                <w:spacing w:val="0"/>
                <w:sz w:val="24"/>
                <w:szCs w:val="24"/>
              </w:rPr>
              <w:t>故障导致处理效率降低至0，排放情况见下表</w:t>
            </w:r>
            <w:r>
              <w:rPr>
                <w:rFonts w:ascii="Times New Roman" w:hAnsi="Times New Roman" w:eastAsia="宋体" w:cs="Times New Roman"/>
                <w:color w:val="auto"/>
                <w:spacing w:val="0"/>
                <w:sz w:val="24"/>
                <w:szCs w:val="24"/>
              </w:rPr>
              <w:t>。</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宋体" w:cs="Times New Roman"/>
                <w:b/>
                <w:bCs/>
                <w:color w:val="auto"/>
                <w:spacing w:val="0"/>
                <w:sz w:val="21"/>
              </w:rPr>
            </w:pPr>
            <w:r>
              <w:rPr>
                <w:rFonts w:ascii="Times New Roman" w:hAnsi="Times New Roman" w:eastAsia="宋体" w:cs="Times New Roman"/>
                <w:b/>
                <w:bCs/>
                <w:color w:val="auto"/>
                <w:spacing w:val="0"/>
                <w:sz w:val="21"/>
              </w:rPr>
              <w:t>表4-</w:t>
            </w:r>
            <w:r>
              <w:rPr>
                <w:rFonts w:hint="eastAsia" w:ascii="Times New Roman" w:hAnsi="Times New Roman" w:eastAsia="宋体" w:cs="Times New Roman"/>
                <w:b/>
                <w:bCs/>
                <w:color w:val="auto"/>
                <w:spacing w:val="0"/>
                <w:sz w:val="21"/>
                <w:lang w:val="en-US" w:eastAsia="zh-CN"/>
              </w:rPr>
              <w:t>5</w:t>
            </w:r>
            <w:r>
              <w:rPr>
                <w:rFonts w:hint="eastAsia" w:ascii="Times New Roman" w:hAnsi="Times New Roman" w:eastAsia="宋体" w:cs="Times New Roman"/>
                <w:b/>
                <w:bCs/>
                <w:color w:val="auto"/>
                <w:spacing w:val="0"/>
                <w:sz w:val="21"/>
              </w:rPr>
              <w:t xml:space="preserve"> </w:t>
            </w:r>
            <w:r>
              <w:rPr>
                <w:rFonts w:ascii="Times New Roman" w:hAnsi="Times New Roman" w:eastAsia="宋体" w:cs="Times New Roman"/>
                <w:b/>
                <w:bCs/>
                <w:color w:val="auto"/>
                <w:spacing w:val="0"/>
                <w:sz w:val="21"/>
              </w:rPr>
              <w:t>非正常情况下污染物排放情况一览表</w:t>
            </w:r>
          </w:p>
          <w:tbl>
            <w:tblPr>
              <w:tblStyle w:val="5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823"/>
              <w:gridCol w:w="943"/>
              <w:gridCol w:w="670"/>
              <w:gridCol w:w="1070"/>
              <w:gridCol w:w="689"/>
              <w:gridCol w:w="663"/>
              <w:gridCol w:w="902"/>
              <w:gridCol w:w="1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540" w:type="pct"/>
                  <w:vAlign w:val="center"/>
                </w:tcPr>
                <w:p>
                  <w:pPr>
                    <w:widowControl/>
                    <w:spacing w:line="240" w:lineRule="auto"/>
                    <w:ind w:firstLine="0" w:firstLineChars="0"/>
                    <w:jc w:val="center"/>
                    <w:rPr>
                      <w:rFonts w:ascii="Times New Roman" w:hAnsi="Times New Roman" w:eastAsia="宋体" w:cs="Times New Roman"/>
                      <w:bCs/>
                      <w:color w:val="auto"/>
                      <w:spacing w:val="0"/>
                      <w:sz w:val="21"/>
                      <w:lang w:bidi="ar"/>
                    </w:rPr>
                  </w:pPr>
                  <w:r>
                    <w:rPr>
                      <w:rFonts w:ascii="Times New Roman" w:hAnsi="Times New Roman" w:eastAsia="宋体" w:cs="Times New Roman"/>
                      <w:bCs/>
                      <w:color w:val="auto"/>
                      <w:spacing w:val="0"/>
                      <w:sz w:val="21"/>
                      <w:lang w:bidi="ar"/>
                    </w:rPr>
                    <w:t>产排污</w:t>
                  </w:r>
                </w:p>
                <w:p>
                  <w:pPr>
                    <w:widowControl/>
                    <w:spacing w:line="240" w:lineRule="auto"/>
                    <w:ind w:firstLine="0" w:firstLineChars="0"/>
                    <w:jc w:val="center"/>
                    <w:rPr>
                      <w:rFonts w:ascii="Times New Roman" w:hAnsi="Times New Roman" w:eastAsia="宋体" w:cs="Times New Roman"/>
                      <w:bCs/>
                      <w:color w:val="auto"/>
                      <w:spacing w:val="0"/>
                      <w:sz w:val="21"/>
                      <w:lang w:bidi="ar"/>
                    </w:rPr>
                  </w:pPr>
                  <w:r>
                    <w:rPr>
                      <w:rFonts w:ascii="Times New Roman" w:hAnsi="Times New Roman" w:eastAsia="宋体" w:cs="Times New Roman"/>
                      <w:bCs/>
                      <w:color w:val="auto"/>
                      <w:spacing w:val="0"/>
                      <w:sz w:val="21"/>
                      <w:lang w:bidi="ar"/>
                    </w:rPr>
                    <w:t>环节</w:t>
                  </w:r>
                </w:p>
              </w:tc>
              <w:tc>
                <w:tcPr>
                  <w:tcW w:w="520" w:type="pct"/>
                  <w:vAlign w:val="center"/>
                </w:tcPr>
                <w:p>
                  <w:pPr>
                    <w:widowControl/>
                    <w:spacing w:line="240" w:lineRule="auto"/>
                    <w:ind w:firstLine="0" w:firstLineChars="0"/>
                    <w:jc w:val="center"/>
                    <w:rPr>
                      <w:rFonts w:ascii="Times New Roman" w:hAnsi="Times New Roman" w:eastAsia="宋体" w:cs="Times New Roman"/>
                      <w:bCs/>
                      <w:color w:val="auto"/>
                      <w:spacing w:val="0"/>
                      <w:sz w:val="21"/>
                      <w:lang w:bidi="ar"/>
                    </w:rPr>
                  </w:pPr>
                  <w:r>
                    <w:rPr>
                      <w:rFonts w:ascii="Times New Roman" w:hAnsi="Times New Roman" w:eastAsia="宋体" w:cs="Times New Roman"/>
                      <w:bCs/>
                      <w:color w:val="auto"/>
                      <w:spacing w:val="0"/>
                      <w:sz w:val="21"/>
                      <w:lang w:bidi="ar"/>
                    </w:rPr>
                    <w:t>污染物</w:t>
                  </w:r>
                </w:p>
              </w:tc>
              <w:tc>
                <w:tcPr>
                  <w:tcW w:w="596" w:type="pct"/>
                  <w:vAlign w:val="center"/>
                </w:tcPr>
                <w:p>
                  <w:pPr>
                    <w:widowControl/>
                    <w:spacing w:line="240" w:lineRule="auto"/>
                    <w:ind w:firstLine="0" w:firstLineChars="0"/>
                    <w:jc w:val="center"/>
                    <w:rPr>
                      <w:rFonts w:ascii="Times New Roman" w:hAnsi="Times New Roman" w:eastAsia="宋体" w:cs="Times New Roman"/>
                      <w:bCs/>
                      <w:color w:val="auto"/>
                      <w:spacing w:val="0"/>
                      <w:sz w:val="21"/>
                      <w:lang w:bidi="ar"/>
                    </w:rPr>
                  </w:pPr>
                  <w:r>
                    <w:rPr>
                      <w:rFonts w:ascii="Times New Roman" w:hAnsi="Times New Roman" w:eastAsia="宋体" w:cs="Times New Roman"/>
                      <w:bCs/>
                      <w:color w:val="auto"/>
                      <w:spacing w:val="0"/>
                      <w:sz w:val="21"/>
                      <w:lang w:bidi="ar"/>
                    </w:rPr>
                    <w:t>非正常工况</w:t>
                  </w:r>
                </w:p>
              </w:tc>
              <w:tc>
                <w:tcPr>
                  <w:tcW w:w="423" w:type="pct"/>
                  <w:vAlign w:val="center"/>
                </w:tcPr>
                <w:p>
                  <w:pPr>
                    <w:widowControl/>
                    <w:spacing w:line="240" w:lineRule="auto"/>
                    <w:ind w:firstLine="0" w:firstLineChars="0"/>
                    <w:jc w:val="center"/>
                    <w:rPr>
                      <w:rFonts w:ascii="Times New Roman" w:hAnsi="Times New Roman" w:eastAsia="宋体" w:cs="Times New Roman"/>
                      <w:bCs/>
                      <w:color w:val="auto"/>
                      <w:spacing w:val="0"/>
                      <w:sz w:val="21"/>
                      <w:lang w:bidi="ar"/>
                    </w:rPr>
                  </w:pPr>
                  <w:r>
                    <w:rPr>
                      <w:rFonts w:ascii="Times New Roman" w:hAnsi="Times New Roman" w:eastAsia="宋体" w:cs="Times New Roman"/>
                      <w:bCs/>
                      <w:color w:val="auto"/>
                      <w:spacing w:val="0"/>
                      <w:sz w:val="21"/>
                      <w:lang w:bidi="ar"/>
                    </w:rPr>
                    <w:t>频次</w:t>
                  </w:r>
                </w:p>
              </w:tc>
              <w:tc>
                <w:tcPr>
                  <w:tcW w:w="676" w:type="pct"/>
                  <w:vAlign w:val="center"/>
                </w:tcPr>
                <w:p>
                  <w:pPr>
                    <w:widowControl/>
                    <w:spacing w:line="240" w:lineRule="auto"/>
                    <w:ind w:firstLine="0" w:firstLineChars="0"/>
                    <w:jc w:val="center"/>
                    <w:rPr>
                      <w:rFonts w:ascii="Times New Roman" w:hAnsi="Times New Roman" w:eastAsia="宋体" w:cs="Times New Roman"/>
                      <w:bCs/>
                      <w:color w:val="auto"/>
                      <w:spacing w:val="0"/>
                      <w:sz w:val="21"/>
                      <w:lang w:bidi="ar"/>
                    </w:rPr>
                  </w:pPr>
                  <w:r>
                    <w:rPr>
                      <w:rFonts w:ascii="Times New Roman" w:hAnsi="Times New Roman" w:eastAsia="宋体" w:cs="Times New Roman"/>
                      <w:bCs/>
                      <w:color w:val="auto"/>
                      <w:spacing w:val="0"/>
                      <w:sz w:val="21"/>
                      <w:lang w:bidi="ar"/>
                    </w:rPr>
                    <w:t>排放浓度mg/m</w:t>
                  </w:r>
                  <w:r>
                    <w:rPr>
                      <w:rFonts w:ascii="Times New Roman" w:hAnsi="Times New Roman" w:eastAsia="宋体" w:cs="Times New Roman"/>
                      <w:bCs/>
                      <w:color w:val="auto"/>
                      <w:spacing w:val="0"/>
                      <w:sz w:val="21"/>
                      <w:vertAlign w:val="superscript"/>
                      <w:lang w:bidi="ar"/>
                    </w:rPr>
                    <w:t>3</w:t>
                  </w:r>
                </w:p>
              </w:tc>
              <w:tc>
                <w:tcPr>
                  <w:tcW w:w="435" w:type="pct"/>
                  <w:vAlign w:val="center"/>
                </w:tcPr>
                <w:p>
                  <w:pPr>
                    <w:widowControl/>
                    <w:spacing w:line="240" w:lineRule="auto"/>
                    <w:ind w:firstLine="0" w:firstLineChars="0"/>
                    <w:jc w:val="center"/>
                    <w:rPr>
                      <w:rFonts w:ascii="Times New Roman" w:hAnsi="Times New Roman" w:eastAsia="宋体" w:cs="Times New Roman"/>
                      <w:bCs/>
                      <w:color w:val="auto"/>
                      <w:spacing w:val="0"/>
                      <w:sz w:val="21"/>
                      <w:lang w:bidi="ar"/>
                    </w:rPr>
                  </w:pPr>
                  <w:r>
                    <w:rPr>
                      <w:rFonts w:hint="eastAsia" w:ascii="Times New Roman" w:hAnsi="Times New Roman" w:eastAsia="宋体" w:cs="Times New Roman"/>
                      <w:color w:val="auto"/>
                      <w:spacing w:val="0"/>
                      <w:sz w:val="21"/>
                    </w:rPr>
                    <w:t>排放速率kg/h</w:t>
                  </w:r>
                </w:p>
              </w:tc>
              <w:tc>
                <w:tcPr>
                  <w:tcW w:w="419" w:type="pct"/>
                  <w:vAlign w:val="center"/>
                </w:tcPr>
                <w:p>
                  <w:pPr>
                    <w:widowControl/>
                    <w:spacing w:line="240" w:lineRule="auto"/>
                    <w:ind w:firstLine="0" w:firstLineChars="0"/>
                    <w:jc w:val="center"/>
                    <w:rPr>
                      <w:rFonts w:ascii="Times New Roman" w:hAnsi="Times New Roman" w:eastAsia="宋体" w:cs="Times New Roman"/>
                      <w:bCs/>
                      <w:color w:val="auto"/>
                      <w:spacing w:val="0"/>
                      <w:sz w:val="21"/>
                      <w:lang w:bidi="ar"/>
                    </w:rPr>
                  </w:pPr>
                  <w:r>
                    <w:rPr>
                      <w:rFonts w:ascii="Times New Roman" w:hAnsi="Times New Roman" w:eastAsia="宋体" w:cs="Times New Roman"/>
                      <w:bCs/>
                      <w:color w:val="auto"/>
                      <w:spacing w:val="0"/>
                      <w:sz w:val="21"/>
                      <w:lang w:bidi="ar"/>
                    </w:rPr>
                    <w:t>持续时间</w:t>
                  </w:r>
                </w:p>
              </w:tc>
              <w:tc>
                <w:tcPr>
                  <w:tcW w:w="570" w:type="pct"/>
                  <w:vAlign w:val="center"/>
                </w:tcPr>
                <w:p>
                  <w:pPr>
                    <w:widowControl/>
                    <w:spacing w:line="240" w:lineRule="auto"/>
                    <w:ind w:firstLine="0" w:firstLineChars="0"/>
                    <w:jc w:val="center"/>
                    <w:rPr>
                      <w:rFonts w:ascii="Times New Roman" w:hAnsi="Times New Roman" w:eastAsia="宋体" w:cs="Times New Roman"/>
                      <w:bCs/>
                      <w:color w:val="auto"/>
                      <w:spacing w:val="0"/>
                      <w:sz w:val="21"/>
                      <w:lang w:bidi="ar"/>
                    </w:rPr>
                  </w:pPr>
                  <w:r>
                    <w:rPr>
                      <w:rFonts w:ascii="Times New Roman" w:hAnsi="Times New Roman" w:eastAsia="宋体" w:cs="Times New Roman"/>
                      <w:bCs/>
                      <w:color w:val="auto"/>
                      <w:spacing w:val="0"/>
                      <w:sz w:val="21"/>
                      <w:lang w:bidi="ar"/>
                    </w:rPr>
                    <w:t>排放量kg</w:t>
                  </w:r>
                </w:p>
              </w:tc>
              <w:tc>
                <w:tcPr>
                  <w:tcW w:w="816" w:type="pct"/>
                  <w:vAlign w:val="center"/>
                </w:tcPr>
                <w:p>
                  <w:pPr>
                    <w:widowControl/>
                    <w:spacing w:line="240" w:lineRule="auto"/>
                    <w:ind w:firstLine="0" w:firstLineChars="0"/>
                    <w:jc w:val="center"/>
                    <w:rPr>
                      <w:rFonts w:ascii="Times New Roman" w:hAnsi="Times New Roman" w:eastAsia="宋体" w:cs="Times New Roman"/>
                      <w:bCs/>
                      <w:color w:val="auto"/>
                      <w:spacing w:val="0"/>
                      <w:sz w:val="21"/>
                      <w:lang w:bidi="ar"/>
                    </w:rPr>
                  </w:pPr>
                  <w:r>
                    <w:rPr>
                      <w:rFonts w:ascii="Times New Roman" w:hAnsi="Times New Roman" w:eastAsia="宋体" w:cs="Times New Roman"/>
                      <w:bCs/>
                      <w:color w:val="auto"/>
                      <w:spacing w:val="0"/>
                      <w:sz w:val="21"/>
                      <w:lang w:bidi="ar"/>
                    </w:rPr>
                    <w:t>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0" w:type="pct"/>
                  <w:vAlign w:val="center"/>
                </w:tcPr>
                <w:p>
                  <w:pPr>
                    <w:spacing w:line="240" w:lineRule="auto"/>
                    <w:ind w:firstLine="0" w:firstLineChars="0"/>
                    <w:jc w:val="center"/>
                    <w:rPr>
                      <w:rFonts w:hint="default" w:ascii="Times New Roman" w:hAnsi="Times New Roman" w:eastAsia="宋体" w:cs="Times New Roman"/>
                      <w:bCs/>
                      <w:color w:val="auto"/>
                      <w:spacing w:val="0"/>
                      <w:sz w:val="21"/>
                      <w:lang w:val="en-US" w:bidi="ar"/>
                    </w:rPr>
                  </w:pPr>
                  <w:r>
                    <w:rPr>
                      <w:rFonts w:hint="eastAsia" w:ascii="Times New Roman" w:eastAsia="宋体" w:cs="Times New Roman"/>
                      <w:color w:val="auto"/>
                      <w:spacing w:val="0"/>
                      <w:sz w:val="21"/>
                      <w:szCs w:val="21"/>
                      <w:lang w:val="en-US" w:eastAsia="zh-CN"/>
                    </w:rPr>
                    <w:t>DA001</w:t>
                  </w:r>
                </w:p>
              </w:tc>
              <w:tc>
                <w:tcPr>
                  <w:tcW w:w="520" w:type="pct"/>
                  <w:vAlign w:val="center"/>
                </w:tcPr>
                <w:p>
                  <w:pPr>
                    <w:widowControl/>
                    <w:spacing w:line="240" w:lineRule="auto"/>
                    <w:ind w:firstLine="0" w:firstLineChars="0"/>
                    <w:jc w:val="center"/>
                    <w:textAlignment w:val="center"/>
                    <w:rPr>
                      <w:rFonts w:ascii="Times New Roman" w:hAnsi="Times New Roman" w:eastAsia="宋体" w:cs="Times New Roman"/>
                      <w:bCs/>
                      <w:color w:val="auto"/>
                      <w:spacing w:val="0"/>
                      <w:sz w:val="21"/>
                      <w:lang w:bidi="ar"/>
                    </w:rPr>
                  </w:pPr>
                  <w:r>
                    <w:rPr>
                      <w:rFonts w:hint="eastAsia" w:ascii="Times New Roman" w:hAnsi="Times New Roman" w:eastAsia="宋体" w:cs="Times New Roman"/>
                      <w:color w:val="auto"/>
                      <w:spacing w:val="0"/>
                      <w:sz w:val="21"/>
                    </w:rPr>
                    <w:t>颗粒物</w:t>
                  </w:r>
                </w:p>
              </w:tc>
              <w:tc>
                <w:tcPr>
                  <w:tcW w:w="596" w:type="pct"/>
                  <w:vAlign w:val="center"/>
                </w:tcPr>
                <w:p>
                  <w:pPr>
                    <w:widowControl/>
                    <w:spacing w:line="240" w:lineRule="auto"/>
                    <w:ind w:firstLine="0" w:firstLineChars="0"/>
                    <w:jc w:val="center"/>
                    <w:rPr>
                      <w:rFonts w:ascii="Times New Roman" w:hAnsi="Times New Roman" w:eastAsia="宋体" w:cs="Times New Roman"/>
                      <w:bCs/>
                      <w:color w:val="auto"/>
                      <w:spacing w:val="0"/>
                      <w:sz w:val="21"/>
                      <w:lang w:bidi="ar"/>
                    </w:rPr>
                  </w:pPr>
                  <w:r>
                    <w:rPr>
                      <w:rFonts w:hint="default" w:ascii="Times New Roman" w:hAnsi="Times New Roman" w:eastAsia="宋体" w:cs="Times New Roman"/>
                      <w:bCs/>
                      <w:color w:val="auto"/>
                      <w:spacing w:val="0"/>
                      <w:sz w:val="21"/>
                      <w:lang w:val="en-US" w:eastAsia="zh-CN" w:bidi="ar"/>
                    </w:rPr>
                    <w:t>停电、废气处理设施失效</w:t>
                  </w:r>
                </w:p>
              </w:tc>
              <w:tc>
                <w:tcPr>
                  <w:tcW w:w="423" w:type="pct"/>
                  <w:vAlign w:val="center"/>
                </w:tcPr>
                <w:p>
                  <w:pPr>
                    <w:widowControl/>
                    <w:spacing w:line="240" w:lineRule="auto"/>
                    <w:ind w:firstLine="0" w:firstLineChars="0"/>
                    <w:jc w:val="center"/>
                    <w:rPr>
                      <w:rFonts w:ascii="Times New Roman" w:hAnsi="Times New Roman" w:eastAsia="宋体" w:cs="Times New Roman"/>
                      <w:bCs/>
                      <w:color w:val="auto"/>
                      <w:spacing w:val="0"/>
                      <w:sz w:val="21"/>
                      <w:lang w:bidi="ar"/>
                    </w:rPr>
                  </w:pPr>
                  <w:r>
                    <w:rPr>
                      <w:rFonts w:hint="eastAsia" w:ascii="Times New Roman" w:hAnsi="Times New Roman" w:eastAsia="宋体" w:cs="Times New Roman"/>
                      <w:bCs/>
                      <w:color w:val="auto"/>
                      <w:spacing w:val="0"/>
                      <w:sz w:val="21"/>
                      <w:lang w:val="en-US" w:eastAsia="zh-CN" w:bidi="ar"/>
                    </w:rPr>
                    <w:t>1</w:t>
                  </w:r>
                  <w:r>
                    <w:rPr>
                      <w:rFonts w:ascii="Times New Roman" w:hAnsi="Times New Roman" w:eastAsia="宋体" w:cs="Times New Roman"/>
                      <w:bCs/>
                      <w:color w:val="auto"/>
                      <w:spacing w:val="0"/>
                      <w:sz w:val="21"/>
                      <w:lang w:bidi="ar"/>
                    </w:rPr>
                    <w:t>次/a</w:t>
                  </w:r>
                </w:p>
              </w:tc>
              <w:tc>
                <w:tcPr>
                  <w:tcW w:w="676"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1318.8</w:t>
                  </w:r>
                </w:p>
              </w:tc>
              <w:tc>
                <w:tcPr>
                  <w:tcW w:w="435"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rPr>
                    <w:t>92.32</w:t>
                  </w:r>
                </w:p>
              </w:tc>
              <w:tc>
                <w:tcPr>
                  <w:tcW w:w="419" w:type="pct"/>
                  <w:vAlign w:val="center"/>
                </w:tcPr>
                <w:p>
                  <w:pPr>
                    <w:widowControl/>
                    <w:spacing w:line="240" w:lineRule="auto"/>
                    <w:ind w:firstLine="0" w:firstLineChars="0"/>
                    <w:jc w:val="center"/>
                    <w:rPr>
                      <w:rFonts w:ascii="Times New Roman" w:hAnsi="Times New Roman" w:eastAsia="宋体" w:cs="Times New Roman"/>
                      <w:bCs/>
                      <w:color w:val="auto"/>
                      <w:spacing w:val="0"/>
                      <w:sz w:val="21"/>
                      <w:lang w:bidi="ar"/>
                    </w:rPr>
                  </w:pPr>
                  <w:r>
                    <w:rPr>
                      <w:rFonts w:ascii="Times New Roman" w:hAnsi="Times New Roman" w:eastAsia="宋体" w:cs="Times New Roman"/>
                      <w:bCs/>
                      <w:color w:val="auto"/>
                      <w:spacing w:val="0"/>
                      <w:sz w:val="21"/>
                      <w:lang w:bidi="ar"/>
                    </w:rPr>
                    <w:t>1h/次</w:t>
                  </w:r>
                </w:p>
              </w:tc>
              <w:tc>
                <w:tcPr>
                  <w:tcW w:w="570" w:type="pct"/>
                  <w:vAlign w:val="center"/>
                </w:tcPr>
                <w:p>
                  <w:pPr>
                    <w:widowControl/>
                    <w:spacing w:line="240" w:lineRule="auto"/>
                    <w:ind w:firstLine="0" w:firstLineChars="0"/>
                    <w:jc w:val="center"/>
                    <w:rPr>
                      <w:rFonts w:hint="default" w:ascii="Times New Roman" w:hAnsi="Times New Roman" w:eastAsia="宋体" w:cs="Times New Roman"/>
                      <w:bCs/>
                      <w:color w:val="auto"/>
                      <w:spacing w:val="0"/>
                      <w:sz w:val="21"/>
                      <w:lang w:val="en-US" w:bidi="ar"/>
                    </w:rPr>
                  </w:pPr>
                  <w:r>
                    <w:rPr>
                      <w:rFonts w:hint="eastAsia" w:ascii="Times New Roman" w:hAnsi="Times New Roman" w:eastAsia="宋体" w:cs="Times New Roman"/>
                      <w:color w:val="auto"/>
                      <w:spacing w:val="0"/>
                      <w:sz w:val="21"/>
                      <w:szCs w:val="21"/>
                      <w:lang w:val="en-US" w:eastAsia="zh-CN"/>
                    </w:rPr>
                    <w:t>92.32</w:t>
                  </w:r>
                </w:p>
              </w:tc>
              <w:tc>
                <w:tcPr>
                  <w:tcW w:w="816" w:type="pct"/>
                  <w:vAlign w:val="center"/>
                </w:tcPr>
                <w:p>
                  <w:pPr>
                    <w:widowControl/>
                    <w:spacing w:line="240" w:lineRule="auto"/>
                    <w:ind w:firstLine="0" w:firstLineChars="0"/>
                    <w:jc w:val="center"/>
                    <w:rPr>
                      <w:rFonts w:ascii="Times New Roman" w:hAnsi="Times New Roman" w:eastAsia="宋体" w:cs="Times New Roman"/>
                      <w:bCs/>
                      <w:color w:val="auto"/>
                      <w:spacing w:val="0"/>
                      <w:sz w:val="21"/>
                      <w:lang w:bidi="ar"/>
                    </w:rPr>
                  </w:pPr>
                  <w:r>
                    <w:rPr>
                      <w:rFonts w:hint="default" w:ascii="Times New Roman" w:hAnsi="Times New Roman" w:eastAsia="宋体" w:cs="Times New Roman"/>
                      <w:bCs/>
                      <w:color w:val="auto"/>
                      <w:spacing w:val="0"/>
                      <w:sz w:val="21"/>
                      <w:lang w:val="en-US" w:eastAsia="zh-CN" w:bidi="ar"/>
                    </w:rPr>
                    <w:t>及时关停相应废气产生工艺，定期检修</w:t>
                  </w:r>
                </w:p>
              </w:tc>
            </w:tr>
          </w:tbl>
          <w:p>
            <w:pPr>
              <w:keepNext w:val="0"/>
              <w:keepLines w:val="0"/>
              <w:pageBreakBefore w:val="0"/>
              <w:widowControl/>
              <w:kinsoku/>
              <w:wordWrap/>
              <w:overflowPunct/>
              <w:topLinePunct w:val="0"/>
              <w:autoSpaceDE/>
              <w:autoSpaceDN/>
              <w:bidi w:val="0"/>
              <w:adjustRightInd/>
              <w:snapToGrid/>
              <w:ind w:firstLine="480"/>
              <w:jc w:val="both"/>
              <w:rPr>
                <w:rFonts w:ascii="Times New Roman" w:hAnsi="Times New Roman" w:eastAsia="宋体" w:cs="Times New Roman"/>
                <w:bCs/>
                <w:color w:val="auto"/>
                <w:spacing w:val="0"/>
                <w:sz w:val="24"/>
                <w:szCs w:val="24"/>
                <w:lang w:bidi="ar"/>
              </w:rPr>
            </w:pPr>
            <w:r>
              <w:rPr>
                <w:rFonts w:ascii="Times New Roman" w:hAnsi="Times New Roman" w:eastAsia="宋体" w:cs="Times New Roman"/>
                <w:bCs/>
                <w:color w:val="auto"/>
                <w:spacing w:val="0"/>
                <w:sz w:val="24"/>
                <w:szCs w:val="24"/>
                <w:lang w:bidi="ar"/>
              </w:rPr>
              <w:t>建设单位应严格控制废气非正常排放，并采取以下措施：</w:t>
            </w:r>
          </w:p>
          <w:p>
            <w:pPr>
              <w:keepNext w:val="0"/>
              <w:keepLines w:val="0"/>
              <w:pageBreakBefore w:val="0"/>
              <w:kinsoku/>
              <w:wordWrap/>
              <w:overflowPunct/>
              <w:topLinePunct w:val="0"/>
              <w:autoSpaceDE/>
              <w:autoSpaceDN/>
              <w:bidi w:val="0"/>
              <w:adjustRightInd/>
              <w:snapToGrid/>
              <w:ind w:firstLine="480"/>
              <w:jc w:val="both"/>
              <w:rPr>
                <w:rFonts w:ascii="Times New Roman" w:hAnsi="Times New Roman" w:eastAsia="宋体" w:cs="Times New Roman"/>
                <w:color w:val="auto"/>
                <w:spacing w:val="0"/>
                <w:sz w:val="24"/>
              </w:rPr>
            </w:pPr>
            <w:r>
              <w:rPr>
                <w:rFonts w:hint="eastAsia" w:ascii="Times New Roman" w:hAnsi="Times New Roman" w:eastAsia="宋体" w:cs="Times New Roman"/>
                <w:color w:val="auto"/>
                <w:spacing w:val="0"/>
                <w:sz w:val="24"/>
                <w:lang w:val="en-US" w:eastAsia="zh-CN"/>
              </w:rPr>
              <w:t>①</w:t>
            </w:r>
            <w:r>
              <w:rPr>
                <w:rFonts w:ascii="Times New Roman" w:hAnsi="Times New Roman" w:eastAsia="宋体" w:cs="Times New Roman"/>
                <w:bCs/>
                <w:color w:val="auto"/>
                <w:spacing w:val="0"/>
                <w:sz w:val="24"/>
                <w:szCs w:val="24"/>
                <w:lang w:bidi="ar"/>
              </w:rPr>
              <w:t>制定环保设备例行检查制度，加强定期维护保养，发现风机、处理设施故障、损坏或排风管道破损时，应立即停止生产活动，对设备或管道进行维修，待恢复正常</w:t>
            </w:r>
            <w:r>
              <w:rPr>
                <w:rFonts w:hint="eastAsia" w:ascii="Times New Roman" w:hAnsi="Times New Roman" w:eastAsia="宋体" w:cs="Times New Roman"/>
                <w:bCs/>
                <w:color w:val="auto"/>
                <w:spacing w:val="0"/>
                <w:sz w:val="24"/>
                <w:szCs w:val="24"/>
                <w:lang w:eastAsia="zh-CN" w:bidi="ar"/>
              </w:rPr>
              <w:t>后</w:t>
            </w:r>
            <w:r>
              <w:rPr>
                <w:rFonts w:ascii="Times New Roman" w:hAnsi="Times New Roman" w:eastAsia="宋体" w:cs="Times New Roman"/>
                <w:bCs/>
                <w:color w:val="auto"/>
                <w:spacing w:val="0"/>
                <w:sz w:val="24"/>
                <w:szCs w:val="24"/>
                <w:lang w:bidi="ar"/>
              </w:rPr>
              <w:t>正常运行。</w:t>
            </w:r>
          </w:p>
          <w:p>
            <w:pPr>
              <w:keepNext w:val="0"/>
              <w:keepLines w:val="0"/>
              <w:pageBreakBefore w:val="0"/>
              <w:widowControl/>
              <w:kinsoku/>
              <w:wordWrap/>
              <w:overflowPunct/>
              <w:topLinePunct w:val="0"/>
              <w:autoSpaceDE/>
              <w:autoSpaceDN/>
              <w:bidi w:val="0"/>
              <w:adjustRightInd/>
              <w:snapToGrid/>
              <w:ind w:firstLine="480"/>
              <w:jc w:val="both"/>
              <w:rPr>
                <w:rFonts w:ascii="Times New Roman" w:hAnsi="Times New Roman" w:eastAsia="宋体" w:cs="Times New Roman"/>
                <w:bCs/>
                <w:color w:val="auto"/>
                <w:spacing w:val="0"/>
                <w:sz w:val="24"/>
                <w:szCs w:val="24"/>
                <w:lang w:bidi="ar"/>
              </w:rPr>
            </w:pPr>
            <w:r>
              <w:rPr>
                <w:rFonts w:hint="eastAsia" w:ascii="Times New Roman" w:hAnsi="Times New Roman" w:eastAsia="宋体" w:cs="Times New Roman"/>
                <w:bCs/>
                <w:color w:val="auto"/>
                <w:spacing w:val="0"/>
                <w:sz w:val="24"/>
                <w:szCs w:val="24"/>
                <w:lang w:val="en-US" w:eastAsia="zh-CN" w:bidi="ar"/>
              </w:rPr>
              <w:t>②</w:t>
            </w:r>
            <w:r>
              <w:rPr>
                <w:rFonts w:ascii="Times New Roman" w:hAnsi="Times New Roman" w:eastAsia="宋体" w:cs="Times New Roman"/>
                <w:bCs/>
                <w:color w:val="auto"/>
                <w:spacing w:val="0"/>
                <w:sz w:val="24"/>
                <w:szCs w:val="24"/>
                <w:lang w:bidi="ar"/>
              </w:rPr>
              <w:t>定期检修废气处理装置及排气筒，确保净化效率符合要求；检修时应停止生产活动运行，</w:t>
            </w:r>
            <w:r>
              <w:rPr>
                <w:rFonts w:hint="eastAsia" w:ascii="Times New Roman" w:hAnsi="Times New Roman" w:eastAsia="宋体" w:cs="Times New Roman"/>
                <w:bCs/>
                <w:color w:val="auto"/>
                <w:spacing w:val="0"/>
                <w:sz w:val="24"/>
                <w:szCs w:val="24"/>
                <w:lang w:eastAsia="zh-CN" w:bidi="ar"/>
              </w:rPr>
              <w:t>防止</w:t>
            </w:r>
            <w:r>
              <w:rPr>
                <w:rFonts w:ascii="Times New Roman" w:hAnsi="Times New Roman" w:eastAsia="宋体" w:cs="Times New Roman"/>
                <w:bCs/>
                <w:color w:val="auto"/>
                <w:spacing w:val="0"/>
                <w:sz w:val="24"/>
                <w:szCs w:val="24"/>
                <w:lang w:bidi="ar"/>
              </w:rPr>
              <w:t>废气未经处理直接排放。</w:t>
            </w:r>
          </w:p>
          <w:p>
            <w:pPr>
              <w:keepNext w:val="0"/>
              <w:keepLines w:val="0"/>
              <w:pageBreakBefore w:val="0"/>
              <w:widowControl/>
              <w:kinsoku/>
              <w:wordWrap/>
              <w:overflowPunct/>
              <w:topLinePunct w:val="0"/>
              <w:autoSpaceDE/>
              <w:autoSpaceDN/>
              <w:bidi w:val="0"/>
              <w:adjustRightInd/>
              <w:snapToGrid/>
              <w:ind w:firstLine="480"/>
              <w:jc w:val="both"/>
              <w:rPr>
                <w:rFonts w:ascii="Times New Roman" w:hAnsi="Times New Roman" w:eastAsia="宋体" w:cs="Times New Roman"/>
                <w:bCs/>
                <w:color w:val="auto"/>
                <w:spacing w:val="0"/>
                <w:sz w:val="24"/>
                <w:szCs w:val="24"/>
                <w:lang w:bidi="ar"/>
              </w:rPr>
            </w:pPr>
            <w:r>
              <w:rPr>
                <w:rFonts w:hint="eastAsia" w:ascii="Times New Roman" w:hAnsi="Times New Roman" w:eastAsia="宋体" w:cs="Times New Roman"/>
                <w:bCs/>
                <w:color w:val="auto"/>
                <w:spacing w:val="0"/>
                <w:sz w:val="24"/>
                <w:szCs w:val="24"/>
                <w:lang w:val="en-US" w:eastAsia="zh-CN" w:bidi="ar"/>
              </w:rPr>
              <w:t>③</w:t>
            </w:r>
            <w:r>
              <w:rPr>
                <w:rFonts w:hint="eastAsia" w:ascii="Times New Roman" w:hAnsi="Times New Roman" w:eastAsia="宋体" w:cs="Times New Roman"/>
                <w:bCs/>
                <w:color w:val="auto"/>
                <w:spacing w:val="0"/>
                <w:sz w:val="24"/>
                <w:szCs w:val="24"/>
                <w:lang w:eastAsia="zh-CN" w:bidi="ar"/>
              </w:rPr>
              <w:t>设立</w:t>
            </w:r>
            <w:r>
              <w:rPr>
                <w:rFonts w:ascii="Times New Roman" w:hAnsi="Times New Roman" w:eastAsia="宋体" w:cs="Times New Roman"/>
                <w:bCs/>
                <w:color w:val="auto"/>
                <w:spacing w:val="0"/>
                <w:sz w:val="24"/>
                <w:szCs w:val="24"/>
                <w:lang w:bidi="ar"/>
              </w:rPr>
              <w:t>环保管理专员，对环保管理人员及技术人员进行岗位培训，委托具有专业资质的</w:t>
            </w:r>
            <w:r>
              <w:rPr>
                <w:rFonts w:hint="eastAsia" w:ascii="Times New Roman" w:hAnsi="Times New Roman" w:eastAsia="宋体" w:cs="Times New Roman"/>
                <w:bCs/>
                <w:color w:val="auto"/>
                <w:spacing w:val="0"/>
                <w:sz w:val="24"/>
                <w:szCs w:val="24"/>
                <w:lang w:eastAsia="zh-CN" w:bidi="ar"/>
              </w:rPr>
              <w:t>环境监测</w:t>
            </w:r>
            <w:r>
              <w:rPr>
                <w:rFonts w:ascii="Times New Roman" w:hAnsi="Times New Roman" w:eastAsia="宋体" w:cs="Times New Roman"/>
                <w:bCs/>
                <w:color w:val="auto"/>
                <w:spacing w:val="0"/>
                <w:sz w:val="24"/>
                <w:szCs w:val="24"/>
                <w:lang w:bidi="ar"/>
              </w:rPr>
              <w:t>单位对项目排放的各类废气污染物进行定期监测。</w:t>
            </w:r>
          </w:p>
          <w:p>
            <w:pPr>
              <w:pStyle w:val="54"/>
              <w:keepNext w:val="0"/>
              <w:keepLines w:val="0"/>
              <w:pageBreakBefore w:val="0"/>
              <w:widowControl w:val="0"/>
              <w:tabs>
                <w:tab w:val="left" w:pos="4500"/>
              </w:tabs>
              <w:kinsoku/>
              <w:wordWrap/>
              <w:overflowPunct/>
              <w:topLinePunct w:val="0"/>
              <w:autoSpaceDE/>
              <w:autoSpaceDN/>
              <w:bidi w:val="0"/>
              <w:adjustRightInd/>
              <w:snapToGrid/>
              <w:spacing w:after="0" w:line="360" w:lineRule="auto"/>
              <w:ind w:left="0" w:leftChars="0" w:firstLine="482"/>
              <w:textAlignment w:val="auto"/>
              <w:rPr>
                <w:rFonts w:hint="eastAsia" w:ascii="Times New Roman" w:hAnsi="Times New Roman" w:eastAsia="宋体" w:cs="Times New Roman"/>
                <w:bCs/>
                <w:color w:val="auto"/>
                <w:spacing w:val="0"/>
                <w:sz w:val="24"/>
                <w:szCs w:val="24"/>
                <w:lang w:val="en-US" w:eastAsia="zh-CN"/>
              </w:rPr>
            </w:pPr>
            <w:r>
              <w:rPr>
                <w:rFonts w:hint="eastAsia" w:ascii="Times New Roman" w:hAnsi="Times New Roman" w:eastAsia="宋体" w:cs="Times New Roman"/>
                <w:bCs/>
                <w:color w:val="auto"/>
                <w:spacing w:val="0"/>
                <w:sz w:val="24"/>
                <w:szCs w:val="24"/>
              </w:rPr>
              <w:t>1.</w:t>
            </w:r>
            <w:r>
              <w:rPr>
                <w:rFonts w:hint="eastAsia" w:ascii="Times New Roman" w:hAnsi="Times New Roman" w:eastAsia="宋体" w:cs="Times New Roman"/>
                <w:bCs/>
                <w:color w:val="auto"/>
                <w:spacing w:val="0"/>
                <w:sz w:val="24"/>
                <w:szCs w:val="24"/>
                <w:lang w:val="en-US" w:eastAsia="zh-CN"/>
              </w:rPr>
              <w:t>7废气环境影响分析</w:t>
            </w:r>
          </w:p>
          <w:p>
            <w:pPr>
              <w:pStyle w:val="54"/>
              <w:keepNext w:val="0"/>
              <w:keepLines w:val="0"/>
              <w:pageBreakBefore w:val="0"/>
              <w:widowControl w:val="0"/>
              <w:tabs>
                <w:tab w:val="left" w:pos="4500"/>
              </w:tabs>
              <w:kinsoku/>
              <w:wordWrap/>
              <w:overflowPunct/>
              <w:topLinePunct w:val="0"/>
              <w:autoSpaceDE/>
              <w:autoSpaceDN/>
              <w:bidi w:val="0"/>
              <w:adjustRightInd/>
              <w:snapToGrid/>
              <w:spacing w:after="0" w:line="360" w:lineRule="auto"/>
              <w:ind w:left="0" w:leftChars="0" w:firstLine="482"/>
              <w:textAlignment w:val="auto"/>
              <w:rPr>
                <w:rFonts w:hint="eastAsia" w:ascii="Times New Roman" w:hAnsi="Times New Roman" w:eastAsia="宋体" w:cs="Times New Roman"/>
                <w:b w:val="0"/>
                <w:bCs w:val="0"/>
                <w:color w:val="auto"/>
                <w:spacing w:val="0"/>
                <w:sz w:val="24"/>
                <w:szCs w:val="24"/>
                <w:lang w:val="en-US" w:eastAsia="zh-CN"/>
              </w:rPr>
            </w:pPr>
            <w:r>
              <w:rPr>
                <w:rFonts w:hint="eastAsia" w:ascii="Times New Roman" w:hAnsi="Times New Roman" w:eastAsia="宋体" w:cs="Times New Roman"/>
                <w:b w:val="0"/>
                <w:bCs w:val="0"/>
                <w:color w:val="auto"/>
                <w:spacing w:val="0"/>
                <w:sz w:val="24"/>
                <w:szCs w:val="24"/>
                <w:lang w:val="en-US" w:eastAsia="zh-CN"/>
              </w:rPr>
              <w:t>根据表4-1，项目正常排放情况下在投料、颚破、渣土筛分、风选、反击破、成品筛分工序适当位置设置喷雾装置，颚破废气、渣土筛分废气、风选废气、反击破废气、成品筛分废气由密闭集气罩收集经布袋除尘器处理后通过20m高排气筒（DA001）有组织排放，无组织粉尘在密闭车间内自然沉降。原料库密闭，在其中产生的卸料扬尘、原料堆场堆存扬尘经水喷淋装置降尘后无组织排放；车间生产工序中由输送皮带密闭运输，在其中产生的成品出料废气、骨料暂存区扬尘无组织排放；运输车辆加盖围挡帘减少成品装车废气排放；车辆运输扬尘设置洗车平台并对道路定期洒水处理，处理后的粉尘排放浓度可以满足</w:t>
            </w:r>
            <w:r>
              <w:rPr>
                <w:rFonts w:hint="eastAsia" w:ascii="Times New Roman" w:hAnsi="Times New Roman" w:eastAsia="宋体" w:cs="Times New Roman"/>
                <w:b w:val="0"/>
                <w:bCs w:val="0"/>
                <w:color w:val="auto"/>
                <w:spacing w:val="0"/>
                <w:sz w:val="24"/>
                <w:szCs w:val="24"/>
              </w:rPr>
              <w:t>《大气污染物综合排放标准》（GB16297-1996）表2中相关限值要求</w:t>
            </w:r>
            <w:r>
              <w:rPr>
                <w:rFonts w:hint="eastAsia" w:ascii="Times New Roman" w:hAnsi="Times New Roman" w:eastAsia="宋体" w:cs="Times New Roman"/>
                <w:b w:val="0"/>
                <w:bCs w:val="0"/>
                <w:color w:val="auto"/>
                <w:spacing w:val="0"/>
                <w:sz w:val="24"/>
                <w:szCs w:val="24"/>
                <w:lang w:val="en-US" w:eastAsia="zh-CN"/>
              </w:rPr>
              <w:t>。</w:t>
            </w:r>
          </w:p>
          <w:p>
            <w:pPr>
              <w:pStyle w:val="54"/>
              <w:keepNext w:val="0"/>
              <w:keepLines w:val="0"/>
              <w:pageBreakBefore w:val="0"/>
              <w:widowControl w:val="0"/>
              <w:tabs>
                <w:tab w:val="left" w:pos="4500"/>
              </w:tabs>
              <w:kinsoku/>
              <w:wordWrap/>
              <w:overflowPunct/>
              <w:topLinePunct w:val="0"/>
              <w:autoSpaceDE/>
              <w:autoSpaceDN/>
              <w:bidi w:val="0"/>
              <w:adjustRightInd/>
              <w:snapToGrid/>
              <w:spacing w:after="0" w:line="360" w:lineRule="auto"/>
              <w:ind w:left="0" w:leftChars="0" w:firstLine="482"/>
              <w:textAlignment w:val="auto"/>
              <w:rPr>
                <w:rFonts w:hint="eastAsia" w:ascii="Times New Roman" w:hAnsi="Times New Roman" w:eastAsia="宋体" w:cs="Times New Roman"/>
                <w:b w:val="0"/>
                <w:bCs w:val="0"/>
                <w:color w:val="auto"/>
                <w:spacing w:val="0"/>
                <w:sz w:val="24"/>
                <w:szCs w:val="24"/>
              </w:rPr>
            </w:pPr>
            <w:r>
              <w:rPr>
                <w:rFonts w:hint="eastAsia" w:ascii="Times New Roman" w:hAnsi="Times New Roman" w:eastAsia="宋体" w:cs="Times New Roman"/>
                <w:b w:val="0"/>
                <w:bCs w:val="0"/>
                <w:color w:val="auto"/>
                <w:spacing w:val="0"/>
                <w:sz w:val="24"/>
                <w:szCs w:val="24"/>
              </w:rPr>
              <w:t>由表4-</w:t>
            </w:r>
            <w:r>
              <w:rPr>
                <w:rFonts w:hint="eastAsia" w:ascii="Times New Roman" w:hAnsi="Times New Roman" w:eastAsia="宋体" w:cs="Times New Roman"/>
                <w:b w:val="0"/>
                <w:bCs w:val="0"/>
                <w:color w:val="auto"/>
                <w:spacing w:val="0"/>
                <w:sz w:val="24"/>
                <w:szCs w:val="24"/>
                <w:lang w:val="en-US" w:eastAsia="zh-CN"/>
              </w:rPr>
              <w:t>5</w:t>
            </w:r>
            <w:r>
              <w:rPr>
                <w:rFonts w:hint="eastAsia" w:ascii="Times New Roman" w:hAnsi="Times New Roman" w:eastAsia="宋体" w:cs="Times New Roman"/>
                <w:b w:val="0"/>
                <w:bCs w:val="0"/>
                <w:color w:val="auto"/>
                <w:spacing w:val="0"/>
                <w:sz w:val="24"/>
                <w:szCs w:val="24"/>
              </w:rPr>
              <w:t>可知，在非正常情况下，废气排气筒有组织排放浓度和速率显著增加。废气颗粒物中的微小颗粒容易被人体吸入</w:t>
            </w:r>
            <w:r>
              <w:rPr>
                <w:rFonts w:hint="eastAsia" w:ascii="Times New Roman" w:hAnsi="Times New Roman" w:eastAsia="宋体" w:cs="Times New Roman"/>
                <w:b w:val="0"/>
                <w:bCs w:val="0"/>
                <w:color w:val="auto"/>
                <w:spacing w:val="0"/>
                <w:sz w:val="24"/>
                <w:szCs w:val="24"/>
                <w:lang w:eastAsia="zh-CN"/>
              </w:rPr>
              <w:t>，</w:t>
            </w:r>
            <w:r>
              <w:rPr>
                <w:rFonts w:hint="eastAsia" w:ascii="Times New Roman" w:hAnsi="Times New Roman" w:eastAsia="宋体" w:cs="Times New Roman"/>
                <w:b w:val="0"/>
                <w:bCs w:val="0"/>
                <w:color w:val="auto"/>
                <w:spacing w:val="0"/>
                <w:sz w:val="24"/>
                <w:szCs w:val="24"/>
              </w:rPr>
              <w:t>进入呼吸道，引发呼吸系统炎症</w:t>
            </w:r>
            <w:r>
              <w:rPr>
                <w:rFonts w:hint="eastAsia" w:ascii="Times New Roman" w:hAnsi="Times New Roman" w:eastAsia="宋体" w:cs="Times New Roman"/>
                <w:b w:val="0"/>
                <w:bCs w:val="0"/>
                <w:color w:val="auto"/>
                <w:spacing w:val="0"/>
                <w:sz w:val="24"/>
                <w:szCs w:val="24"/>
                <w:lang w:eastAsia="zh-CN"/>
              </w:rPr>
              <w:t>，</w:t>
            </w:r>
            <w:r>
              <w:rPr>
                <w:rFonts w:hint="eastAsia" w:ascii="Times New Roman" w:hAnsi="Times New Roman" w:eastAsia="宋体" w:cs="Times New Roman"/>
                <w:b w:val="0"/>
                <w:bCs w:val="0"/>
                <w:color w:val="auto"/>
                <w:spacing w:val="0"/>
                <w:sz w:val="24"/>
                <w:szCs w:val="24"/>
              </w:rPr>
              <w:t>长期暴露在高浓度颗粒物环境中，还会增加患肺癌的风险</w:t>
            </w:r>
            <w:r>
              <w:rPr>
                <w:rFonts w:hint="eastAsia" w:ascii="Times New Roman" w:hAnsi="Times New Roman" w:eastAsia="宋体" w:cs="Times New Roman"/>
                <w:b w:val="0"/>
                <w:bCs w:val="0"/>
                <w:color w:val="auto"/>
                <w:spacing w:val="0"/>
                <w:sz w:val="24"/>
                <w:szCs w:val="24"/>
                <w:lang w:eastAsia="zh-CN"/>
              </w:rPr>
              <w:t>，</w:t>
            </w:r>
            <w:r>
              <w:rPr>
                <w:rFonts w:hint="eastAsia" w:ascii="Times New Roman" w:hAnsi="Times New Roman" w:eastAsia="宋体" w:cs="Times New Roman"/>
                <w:b w:val="0"/>
                <w:bCs w:val="0"/>
                <w:color w:val="auto"/>
                <w:spacing w:val="0"/>
                <w:sz w:val="24"/>
                <w:szCs w:val="24"/>
                <w:lang w:val="en-US" w:eastAsia="zh-CN"/>
              </w:rPr>
              <w:t>对车间员工身体健康造成影响</w:t>
            </w:r>
            <w:r>
              <w:rPr>
                <w:rFonts w:hint="eastAsia" w:ascii="Times New Roman" w:hAnsi="Times New Roman" w:eastAsia="宋体" w:cs="Times New Roman"/>
                <w:b w:val="0"/>
                <w:bCs w:val="0"/>
                <w:color w:val="auto"/>
                <w:spacing w:val="0"/>
                <w:sz w:val="24"/>
                <w:szCs w:val="24"/>
              </w:rPr>
              <w:t>。为防止废气事故排放，企业应在生产过程中加强管理，一旦废气治理系统故障，立即停产检修，防止事故废气排放。同时，企业应加强生产管理，根据设备性质和要求做相应的点检和检修，预防</w:t>
            </w:r>
            <w:r>
              <w:rPr>
                <w:rFonts w:hint="eastAsia" w:ascii="Times New Roman" w:hAnsi="Times New Roman" w:eastAsia="宋体" w:cs="Times New Roman"/>
                <w:b w:val="0"/>
                <w:bCs w:val="0"/>
                <w:color w:val="auto"/>
                <w:spacing w:val="0"/>
                <w:sz w:val="24"/>
                <w:szCs w:val="24"/>
                <w:lang w:eastAsia="zh-CN"/>
              </w:rPr>
              <w:t>事故的发生</w:t>
            </w:r>
            <w:r>
              <w:rPr>
                <w:rFonts w:hint="eastAsia" w:ascii="Times New Roman" w:hAnsi="Times New Roman" w:eastAsia="宋体" w:cs="Times New Roman"/>
                <w:b w:val="0"/>
                <w:bCs w:val="0"/>
                <w:color w:val="auto"/>
                <w:spacing w:val="0"/>
                <w:sz w:val="24"/>
                <w:szCs w:val="24"/>
              </w:rPr>
              <w:t>。</w:t>
            </w:r>
          </w:p>
          <w:p>
            <w:pPr>
              <w:pStyle w:val="54"/>
              <w:keepNext w:val="0"/>
              <w:keepLines w:val="0"/>
              <w:pageBreakBefore w:val="0"/>
              <w:widowControl w:val="0"/>
              <w:tabs>
                <w:tab w:val="left" w:pos="4500"/>
              </w:tabs>
              <w:kinsoku/>
              <w:wordWrap/>
              <w:overflowPunct/>
              <w:topLinePunct w:val="0"/>
              <w:autoSpaceDE/>
              <w:autoSpaceDN/>
              <w:bidi w:val="0"/>
              <w:adjustRightInd/>
              <w:snapToGrid/>
              <w:spacing w:after="0" w:line="360" w:lineRule="auto"/>
              <w:ind w:left="0" w:leftChars="0" w:firstLine="482"/>
              <w:textAlignment w:val="auto"/>
              <w:rPr>
                <w:rFonts w:hint="eastAsia" w:ascii="Times New Roman" w:hAnsi="Times New Roman" w:eastAsia="宋体" w:cs="Times New Roman"/>
                <w:b w:val="0"/>
                <w:bCs w:val="0"/>
                <w:color w:val="auto"/>
                <w:spacing w:val="0"/>
                <w:sz w:val="24"/>
                <w:szCs w:val="24"/>
                <w:lang w:val="en-US" w:eastAsia="zh-CN"/>
              </w:rPr>
            </w:pPr>
            <w:r>
              <w:rPr>
                <w:rFonts w:hint="eastAsia" w:ascii="Times New Roman" w:hAnsi="Times New Roman" w:eastAsia="宋体" w:cs="Times New Roman"/>
                <w:b w:val="0"/>
                <w:bCs w:val="0"/>
                <w:color w:val="auto"/>
                <w:spacing w:val="0"/>
                <w:sz w:val="24"/>
                <w:szCs w:val="24"/>
                <w:lang w:val="en-US" w:eastAsia="zh-CN"/>
              </w:rPr>
              <w:t>综上所述，在企业妥善管理的前提下，本项目外排废气经过处理后可达标排放。</w:t>
            </w:r>
          </w:p>
          <w:p>
            <w:pPr>
              <w:pStyle w:val="54"/>
              <w:keepNext w:val="0"/>
              <w:keepLines w:val="0"/>
              <w:pageBreakBefore w:val="0"/>
              <w:kinsoku/>
              <w:wordWrap/>
              <w:overflowPunct/>
              <w:topLinePunct w:val="0"/>
              <w:autoSpaceDE/>
              <w:autoSpaceDN/>
              <w:bidi w:val="0"/>
              <w:adjustRightInd/>
              <w:snapToGrid/>
              <w:spacing w:after="0" w:line="360" w:lineRule="auto"/>
              <w:ind w:left="0" w:leftChars="0" w:firstLine="482"/>
              <w:contextualSpacing/>
              <w:jc w:val="both"/>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rPr>
              <w:t>2、水环境影响和保护措施</w:t>
            </w:r>
          </w:p>
          <w:p>
            <w:pPr>
              <w:pStyle w:val="54"/>
              <w:keepNext w:val="0"/>
              <w:keepLines w:val="0"/>
              <w:pageBreakBefore w:val="0"/>
              <w:kinsoku/>
              <w:wordWrap/>
              <w:overflowPunct/>
              <w:topLinePunct w:val="0"/>
              <w:autoSpaceDE/>
              <w:autoSpaceDN/>
              <w:bidi w:val="0"/>
              <w:adjustRightInd/>
              <w:snapToGrid/>
              <w:spacing w:after="0" w:line="360" w:lineRule="auto"/>
              <w:ind w:left="0" w:leftChars="0" w:firstLine="482"/>
              <w:contextualSpacing/>
              <w:jc w:val="both"/>
              <w:rPr>
                <w:rFonts w:hint="eastAsia" w:ascii="Times New Roman" w:hAnsi="Times New Roman" w:eastAsia="宋体" w:cs="Times New Roman"/>
                <w:b w:val="0"/>
                <w:color w:val="auto"/>
                <w:spacing w:val="0"/>
                <w:sz w:val="24"/>
                <w:szCs w:val="24"/>
                <w:lang w:val="en-US" w:eastAsia="zh-CN" w:bidi="ar-SA"/>
              </w:rPr>
            </w:pPr>
            <w:r>
              <w:rPr>
                <w:rFonts w:hint="eastAsia" w:ascii="Times New Roman" w:hAnsi="Times New Roman" w:eastAsia="宋体" w:cs="Times New Roman"/>
                <w:b w:val="0"/>
                <w:color w:val="auto"/>
                <w:spacing w:val="0"/>
                <w:sz w:val="24"/>
                <w:szCs w:val="24"/>
                <w:lang w:val="en-US" w:eastAsia="zh-CN" w:bidi="ar-SA"/>
              </w:rPr>
              <w:t>2.1源强分析</w:t>
            </w:r>
          </w:p>
          <w:p>
            <w:pPr>
              <w:pStyle w:val="54"/>
              <w:keepNext w:val="0"/>
              <w:keepLines w:val="0"/>
              <w:pageBreakBefore w:val="0"/>
              <w:kinsoku/>
              <w:wordWrap/>
              <w:overflowPunct/>
              <w:topLinePunct w:val="0"/>
              <w:autoSpaceDE/>
              <w:autoSpaceDN/>
              <w:bidi w:val="0"/>
              <w:adjustRightInd/>
              <w:snapToGrid/>
              <w:spacing w:after="0" w:line="360" w:lineRule="auto"/>
              <w:ind w:left="0" w:leftChars="0" w:firstLine="482"/>
              <w:contextualSpacing/>
              <w:jc w:val="both"/>
              <w:rPr>
                <w:rFonts w:hint="eastAsia" w:ascii="Times New Roman" w:hAnsi="Times New Roman" w:eastAsia="宋体" w:cs="Times New Roman"/>
                <w:b w:val="0"/>
                <w:color w:val="auto"/>
                <w:spacing w:val="0"/>
                <w:sz w:val="24"/>
                <w:szCs w:val="24"/>
                <w:lang w:val="en-US" w:eastAsia="zh-CN" w:bidi="ar-SA"/>
              </w:rPr>
            </w:pPr>
            <w:r>
              <w:rPr>
                <w:rFonts w:hint="eastAsia" w:ascii="Times New Roman" w:hAnsi="Times New Roman" w:eastAsia="宋体" w:cs="Times New Roman"/>
                <w:b w:val="0"/>
                <w:color w:val="auto"/>
                <w:spacing w:val="0"/>
                <w:sz w:val="24"/>
                <w:szCs w:val="24"/>
                <w:lang w:val="en-US" w:eastAsia="zh-CN" w:bidi="ar-SA"/>
              </w:rPr>
              <w:t>根据工艺分析，喷淋用水和雾炮降尘用水自然蒸发，洗车废水经沉淀池沉淀后回用抑尘，无生产废水外排。故本项目产生的废水主要为生活污水。</w:t>
            </w:r>
          </w:p>
          <w:p>
            <w:pPr>
              <w:pStyle w:val="54"/>
              <w:keepNext w:val="0"/>
              <w:keepLines w:val="0"/>
              <w:pageBreakBefore w:val="0"/>
              <w:kinsoku/>
              <w:wordWrap/>
              <w:overflowPunct/>
              <w:topLinePunct w:val="0"/>
              <w:autoSpaceDE/>
              <w:autoSpaceDN/>
              <w:bidi w:val="0"/>
              <w:adjustRightInd/>
              <w:snapToGrid/>
              <w:spacing w:after="0" w:line="360" w:lineRule="auto"/>
              <w:ind w:left="0" w:leftChars="0" w:firstLine="482"/>
              <w:contextualSpacing/>
              <w:jc w:val="both"/>
              <w:rPr>
                <w:rFonts w:hint="eastAsia" w:ascii="Times New Roman" w:hAnsi="Times New Roman" w:eastAsia="宋体" w:cs="Times New Roman"/>
                <w:b w:val="0"/>
                <w:color w:val="auto"/>
                <w:spacing w:val="0"/>
                <w:sz w:val="24"/>
                <w:szCs w:val="24"/>
                <w:lang w:val="en-US" w:eastAsia="zh-CN" w:bidi="ar-SA"/>
              </w:rPr>
            </w:pPr>
            <w:r>
              <w:rPr>
                <w:rFonts w:hint="eastAsia" w:ascii="Times New Roman" w:hAnsi="Times New Roman" w:eastAsia="宋体" w:cs="Times New Roman"/>
                <w:b w:val="0"/>
                <w:color w:val="auto"/>
                <w:spacing w:val="0"/>
                <w:sz w:val="24"/>
                <w:szCs w:val="24"/>
                <w:lang w:val="en-US" w:eastAsia="zh-CN" w:bidi="ar-SA"/>
              </w:rPr>
              <w:t>本项目劳动定员为6人，参照《新疆维吾尔自治区生活用水定额》生活用水量按50L/d・人计算，则生活用水量为0.3m</w:t>
            </w:r>
            <w:r>
              <w:rPr>
                <w:rFonts w:hint="eastAsia" w:ascii="Times New Roman" w:hAnsi="Times New Roman" w:eastAsia="宋体" w:cs="Times New Roman"/>
                <w:b w:val="0"/>
                <w:color w:val="auto"/>
                <w:spacing w:val="0"/>
                <w:sz w:val="24"/>
                <w:szCs w:val="24"/>
                <w:vertAlign w:val="superscript"/>
                <w:lang w:val="en-US" w:eastAsia="zh-CN" w:bidi="ar-SA"/>
              </w:rPr>
              <w:t>3</w:t>
            </w:r>
            <w:r>
              <w:rPr>
                <w:rFonts w:hint="eastAsia" w:ascii="Times New Roman" w:hAnsi="Times New Roman" w:eastAsia="宋体" w:cs="Times New Roman"/>
                <w:b w:val="0"/>
                <w:color w:val="auto"/>
                <w:spacing w:val="0"/>
                <w:sz w:val="24"/>
                <w:szCs w:val="24"/>
                <w:lang w:val="en-US" w:eastAsia="zh-CN" w:bidi="ar-SA"/>
              </w:rPr>
              <w:t>/d，年用水量99m</w:t>
            </w:r>
            <w:r>
              <w:rPr>
                <w:rFonts w:hint="eastAsia" w:ascii="Times New Roman" w:hAnsi="Times New Roman" w:eastAsia="宋体" w:cs="Times New Roman"/>
                <w:b w:val="0"/>
                <w:color w:val="auto"/>
                <w:spacing w:val="0"/>
                <w:sz w:val="24"/>
                <w:szCs w:val="24"/>
                <w:vertAlign w:val="superscript"/>
                <w:lang w:val="en-US" w:eastAsia="zh-CN" w:bidi="ar-SA"/>
              </w:rPr>
              <w:t>3</w:t>
            </w:r>
            <w:r>
              <w:rPr>
                <w:rFonts w:hint="eastAsia" w:ascii="Times New Roman" w:hAnsi="Times New Roman" w:eastAsia="宋体" w:cs="Times New Roman"/>
                <w:b w:val="0"/>
                <w:color w:val="auto"/>
                <w:spacing w:val="0"/>
                <w:sz w:val="24"/>
                <w:szCs w:val="24"/>
                <w:lang w:val="en-US" w:eastAsia="zh-CN" w:bidi="ar-SA"/>
              </w:rPr>
              <w:t>/a。排水量按照生活用水量的80%统计，日排污量0.24m</w:t>
            </w:r>
            <w:r>
              <w:rPr>
                <w:rFonts w:hint="eastAsia" w:ascii="Times New Roman" w:hAnsi="Times New Roman" w:eastAsia="宋体" w:cs="Times New Roman"/>
                <w:b w:val="0"/>
                <w:color w:val="auto"/>
                <w:spacing w:val="0"/>
                <w:sz w:val="24"/>
                <w:szCs w:val="24"/>
                <w:vertAlign w:val="superscript"/>
                <w:lang w:val="en-US" w:eastAsia="zh-CN" w:bidi="ar-SA"/>
              </w:rPr>
              <w:t>3</w:t>
            </w:r>
            <w:r>
              <w:rPr>
                <w:rFonts w:hint="eastAsia" w:ascii="Times New Roman" w:hAnsi="Times New Roman" w:eastAsia="宋体" w:cs="Times New Roman"/>
                <w:b w:val="0"/>
                <w:color w:val="auto"/>
                <w:spacing w:val="0"/>
                <w:sz w:val="24"/>
                <w:szCs w:val="24"/>
                <w:lang w:val="en-US" w:eastAsia="zh-CN" w:bidi="ar-SA"/>
              </w:rPr>
              <w:t>/d，年排污量79.2m</w:t>
            </w:r>
            <w:r>
              <w:rPr>
                <w:rFonts w:hint="eastAsia" w:ascii="Times New Roman" w:hAnsi="Times New Roman" w:eastAsia="宋体" w:cs="Times New Roman"/>
                <w:b w:val="0"/>
                <w:color w:val="auto"/>
                <w:spacing w:val="0"/>
                <w:sz w:val="24"/>
                <w:szCs w:val="24"/>
                <w:vertAlign w:val="superscript"/>
                <w:lang w:val="en-US" w:eastAsia="zh-CN" w:bidi="ar-SA"/>
              </w:rPr>
              <w:t>3</w:t>
            </w:r>
            <w:r>
              <w:rPr>
                <w:rFonts w:hint="eastAsia" w:ascii="Times New Roman" w:hAnsi="Times New Roman" w:eastAsia="宋体" w:cs="Times New Roman"/>
                <w:b w:val="0"/>
                <w:color w:val="auto"/>
                <w:spacing w:val="0"/>
                <w:sz w:val="24"/>
                <w:szCs w:val="24"/>
                <w:lang w:val="en-US" w:eastAsia="zh-CN" w:bidi="ar-SA"/>
              </w:rPr>
              <w:t>/a。本项目生活污水全部进入10m</w:t>
            </w:r>
            <w:r>
              <w:rPr>
                <w:rFonts w:hint="eastAsia" w:ascii="Times New Roman" w:hAnsi="Times New Roman" w:eastAsia="宋体" w:cs="Times New Roman"/>
                <w:b w:val="0"/>
                <w:color w:val="auto"/>
                <w:spacing w:val="0"/>
                <w:sz w:val="24"/>
                <w:szCs w:val="24"/>
                <w:vertAlign w:val="superscript"/>
                <w:lang w:val="en-US" w:eastAsia="zh-CN" w:bidi="ar-SA"/>
              </w:rPr>
              <w:t>3</w:t>
            </w:r>
            <w:r>
              <w:rPr>
                <w:rFonts w:hint="eastAsia" w:ascii="Times New Roman" w:hAnsi="Times New Roman" w:eastAsia="宋体" w:cs="Times New Roman"/>
                <w:b w:val="0"/>
                <w:color w:val="auto"/>
                <w:spacing w:val="0"/>
                <w:sz w:val="24"/>
                <w:szCs w:val="24"/>
                <w:lang w:val="en-US" w:eastAsia="zh-CN" w:bidi="ar-SA"/>
              </w:rPr>
              <w:t>防渗化粪池预处理，污水全部由密闭罐车定期清运至博湖县城镇污水处理厂进一步处理。生活污水各污染物产排情况详见表4-6。</w:t>
            </w:r>
          </w:p>
          <w:p>
            <w:pPr>
              <w:adjustRightInd/>
              <w:snapToGrid/>
              <w:ind w:firstLine="0" w:firstLineChars="0"/>
              <w:jc w:val="center"/>
              <w:rPr>
                <w:rFonts w:hint="eastAsia" w:ascii="Times New Roman" w:hAnsi="Times New Roman" w:eastAsia="宋体" w:cs="Times New Roman"/>
                <w:b w:val="0"/>
                <w:color w:val="auto"/>
                <w:spacing w:val="0"/>
                <w:sz w:val="24"/>
                <w:szCs w:val="24"/>
                <w:lang w:val="en-US" w:eastAsia="zh-CN" w:bidi="ar-SA"/>
              </w:rPr>
            </w:pPr>
            <w:r>
              <w:rPr>
                <w:rFonts w:hint="eastAsia" w:ascii="Times New Roman" w:hAnsi="Times New Roman" w:eastAsia="宋体" w:cs="Times New Roman"/>
                <w:b/>
                <w:bCs/>
                <w:color w:val="auto"/>
                <w:spacing w:val="0"/>
                <w:sz w:val="21"/>
                <w:lang w:val="en-US" w:eastAsia="zh-CN"/>
              </w:rPr>
              <w:t>表4-6  生活污水各污染物产排情况表</w:t>
            </w:r>
          </w:p>
          <w:tbl>
            <w:tblPr>
              <w:tblStyle w:val="55"/>
              <w:tblW w:w="4997"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0"/>
              <w:gridCol w:w="1580"/>
              <w:gridCol w:w="1582"/>
              <w:gridCol w:w="1582"/>
              <w:gridCol w:w="15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564" w:type="dxa"/>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生活污水</w:t>
                  </w:r>
                </w:p>
              </w:tc>
              <w:tc>
                <w:tcPr>
                  <w:tcW w:w="1564" w:type="dxa"/>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COD</w:t>
                  </w:r>
                </w:p>
              </w:tc>
              <w:tc>
                <w:tcPr>
                  <w:tcW w:w="1566" w:type="dxa"/>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BOD</w:t>
                  </w:r>
                  <w:r>
                    <w:rPr>
                      <w:rFonts w:hint="eastAsia" w:ascii="Times New Roman" w:eastAsia="宋体" w:cs="Times New Roman"/>
                      <w:color w:val="auto"/>
                      <w:spacing w:val="0"/>
                      <w:sz w:val="21"/>
                      <w:szCs w:val="21"/>
                      <w:vertAlign w:val="subscript"/>
                      <w:lang w:val="en-US" w:eastAsia="zh-CN"/>
                    </w:rPr>
                    <w:t>5</w:t>
                  </w:r>
                </w:p>
              </w:tc>
              <w:tc>
                <w:tcPr>
                  <w:tcW w:w="1566" w:type="dxa"/>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SS</w:t>
                  </w:r>
                </w:p>
              </w:tc>
              <w:tc>
                <w:tcPr>
                  <w:tcW w:w="1567" w:type="dxa"/>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氨氮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64" w:type="dxa"/>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产生浓度（mg/L）</w:t>
                  </w:r>
                </w:p>
              </w:tc>
              <w:tc>
                <w:tcPr>
                  <w:tcW w:w="1564" w:type="dxa"/>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350</w:t>
                  </w:r>
                </w:p>
              </w:tc>
              <w:tc>
                <w:tcPr>
                  <w:tcW w:w="1566" w:type="dxa"/>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200</w:t>
                  </w:r>
                </w:p>
              </w:tc>
              <w:tc>
                <w:tcPr>
                  <w:tcW w:w="1566" w:type="dxa"/>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220</w:t>
                  </w:r>
                </w:p>
              </w:tc>
              <w:tc>
                <w:tcPr>
                  <w:tcW w:w="1567" w:type="dxa"/>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564" w:type="dxa"/>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产生量（t/a）</w:t>
                  </w:r>
                </w:p>
              </w:tc>
              <w:tc>
                <w:tcPr>
                  <w:tcW w:w="1564" w:type="dxa"/>
                  <w:noWrap w:val="0"/>
                  <w:vAlign w:val="center"/>
                </w:tcPr>
                <w:p>
                  <w:pPr>
                    <w:spacing w:line="240" w:lineRule="auto"/>
                    <w:ind w:firstLine="0" w:firstLineChars="0"/>
                    <w:jc w:val="center"/>
                    <w:rPr>
                      <w:rFonts w:hint="default"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0.028</w:t>
                  </w:r>
                </w:p>
              </w:tc>
              <w:tc>
                <w:tcPr>
                  <w:tcW w:w="1566" w:type="dxa"/>
                  <w:noWrap w:val="0"/>
                  <w:vAlign w:val="center"/>
                </w:tcPr>
                <w:p>
                  <w:pPr>
                    <w:spacing w:line="240" w:lineRule="auto"/>
                    <w:ind w:firstLine="0" w:firstLineChars="0"/>
                    <w:jc w:val="center"/>
                    <w:rPr>
                      <w:rFonts w:hint="default"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0.016</w:t>
                  </w:r>
                </w:p>
              </w:tc>
              <w:tc>
                <w:tcPr>
                  <w:tcW w:w="1566" w:type="dxa"/>
                  <w:noWrap w:val="0"/>
                  <w:vAlign w:val="center"/>
                </w:tcPr>
                <w:p>
                  <w:pPr>
                    <w:spacing w:line="240" w:lineRule="auto"/>
                    <w:ind w:firstLine="0" w:firstLineChars="0"/>
                    <w:jc w:val="center"/>
                    <w:rPr>
                      <w:rFonts w:hint="default"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0.017</w:t>
                  </w:r>
                </w:p>
              </w:tc>
              <w:tc>
                <w:tcPr>
                  <w:tcW w:w="1567" w:type="dxa"/>
                  <w:noWrap w:val="0"/>
                  <w:vAlign w:val="center"/>
                </w:tcPr>
                <w:p>
                  <w:pPr>
                    <w:spacing w:line="240" w:lineRule="auto"/>
                    <w:ind w:firstLine="0" w:firstLineChars="0"/>
                    <w:jc w:val="center"/>
                    <w:rPr>
                      <w:rFonts w:hint="default"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0.002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564" w:type="dxa"/>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排放浓度（mg/L）</w:t>
                  </w:r>
                </w:p>
              </w:tc>
              <w:tc>
                <w:tcPr>
                  <w:tcW w:w="1564" w:type="dxa"/>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284</w:t>
                  </w:r>
                </w:p>
              </w:tc>
              <w:tc>
                <w:tcPr>
                  <w:tcW w:w="1566" w:type="dxa"/>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182</w:t>
                  </w:r>
                </w:p>
              </w:tc>
              <w:tc>
                <w:tcPr>
                  <w:tcW w:w="1566" w:type="dxa"/>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154</w:t>
                  </w:r>
                </w:p>
              </w:tc>
              <w:tc>
                <w:tcPr>
                  <w:tcW w:w="1567" w:type="dxa"/>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64" w:type="dxa"/>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排放量（t/a）</w:t>
                  </w:r>
                </w:p>
              </w:tc>
              <w:tc>
                <w:tcPr>
                  <w:tcW w:w="1564" w:type="dxa"/>
                  <w:noWrap w:val="0"/>
                  <w:vAlign w:val="center"/>
                </w:tcPr>
                <w:p>
                  <w:pPr>
                    <w:spacing w:line="240" w:lineRule="auto"/>
                    <w:ind w:firstLine="0" w:firstLineChars="0"/>
                    <w:jc w:val="center"/>
                    <w:rPr>
                      <w:rFonts w:hint="default"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0.022</w:t>
                  </w:r>
                </w:p>
              </w:tc>
              <w:tc>
                <w:tcPr>
                  <w:tcW w:w="1566" w:type="dxa"/>
                  <w:noWrap w:val="0"/>
                  <w:vAlign w:val="center"/>
                </w:tcPr>
                <w:p>
                  <w:pPr>
                    <w:spacing w:line="240" w:lineRule="auto"/>
                    <w:ind w:firstLine="0" w:firstLineChars="0"/>
                    <w:jc w:val="center"/>
                    <w:rPr>
                      <w:rFonts w:hint="default"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0.014</w:t>
                  </w:r>
                </w:p>
              </w:tc>
              <w:tc>
                <w:tcPr>
                  <w:tcW w:w="1566" w:type="dxa"/>
                  <w:noWrap w:val="0"/>
                  <w:vAlign w:val="center"/>
                </w:tcPr>
                <w:p>
                  <w:pPr>
                    <w:spacing w:line="240" w:lineRule="auto"/>
                    <w:ind w:firstLine="0" w:firstLineChars="0"/>
                    <w:jc w:val="center"/>
                    <w:rPr>
                      <w:rFonts w:hint="default"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0.012</w:t>
                  </w:r>
                </w:p>
              </w:tc>
              <w:tc>
                <w:tcPr>
                  <w:tcW w:w="1567" w:type="dxa"/>
                  <w:noWrap w:val="0"/>
                  <w:vAlign w:val="center"/>
                </w:tcPr>
                <w:p>
                  <w:pPr>
                    <w:spacing w:line="240" w:lineRule="auto"/>
                    <w:ind w:firstLine="0" w:firstLineChars="0"/>
                    <w:jc w:val="center"/>
                    <w:rPr>
                      <w:rFonts w:hint="default"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0.002</w:t>
                  </w:r>
                </w:p>
              </w:tc>
            </w:tr>
          </w:tbl>
          <w:p>
            <w:pPr>
              <w:pStyle w:val="54"/>
              <w:keepNext w:val="0"/>
              <w:keepLines w:val="0"/>
              <w:pageBreakBefore w:val="0"/>
              <w:widowControl w:val="0"/>
              <w:kinsoku/>
              <w:wordWrap/>
              <w:overflowPunct/>
              <w:topLinePunct w:val="0"/>
              <w:autoSpaceDE/>
              <w:autoSpaceDN/>
              <w:bidi w:val="0"/>
              <w:adjustRightInd/>
              <w:snapToGrid/>
              <w:spacing w:after="0" w:line="360" w:lineRule="auto"/>
              <w:ind w:left="0" w:leftChars="0" w:firstLine="482"/>
              <w:contextualSpacing/>
              <w:textAlignment w:val="baseline"/>
              <w:rPr>
                <w:rFonts w:hint="eastAsia" w:ascii="Times New Roman" w:hAnsi="Times New Roman" w:eastAsia="宋体" w:cs="Times New Roman"/>
                <w:b w:val="0"/>
                <w:color w:val="auto"/>
                <w:spacing w:val="0"/>
                <w:sz w:val="24"/>
                <w:szCs w:val="24"/>
                <w:lang w:val="en-US" w:eastAsia="zh-CN" w:bidi="ar-SA"/>
              </w:rPr>
            </w:pPr>
            <w:r>
              <w:rPr>
                <w:rFonts w:hint="eastAsia" w:ascii="Times New Roman" w:hAnsi="Times New Roman" w:eastAsia="宋体" w:cs="Times New Roman"/>
                <w:b w:val="0"/>
                <w:color w:val="auto"/>
                <w:spacing w:val="0"/>
                <w:sz w:val="24"/>
                <w:szCs w:val="24"/>
                <w:lang w:val="en-US" w:eastAsia="zh-CN" w:bidi="ar-SA"/>
              </w:rPr>
              <w:t>生活污水经防渗化粪池处理后，水质达到《污水综合排放标准》（GB 8978-1996）中三级标准后，定期清运至博湖县城镇污水处理厂进一步处理。</w:t>
            </w:r>
          </w:p>
          <w:p>
            <w:pPr>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2.2营运期水环境影响</w:t>
            </w:r>
          </w:p>
          <w:p>
            <w:pPr>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本项目建筑垃圾全部存放于密闭生产车间内部，不存在露天堆放，彻底消除降雨冲刷建筑垃圾产生高 SS 淋溶渗滤液风险；生产废水主要为车辆冲洗废水，经沉淀池沉淀后全部循环回用，不外排。</w:t>
            </w:r>
          </w:p>
          <w:p>
            <w:pPr>
              <w:pStyle w:val="54"/>
              <w:keepNext w:val="0"/>
              <w:keepLines w:val="0"/>
              <w:pageBreakBefore w:val="0"/>
              <w:widowControl w:val="0"/>
              <w:kinsoku/>
              <w:wordWrap/>
              <w:overflowPunct/>
              <w:topLinePunct w:val="0"/>
              <w:autoSpaceDE/>
              <w:autoSpaceDN/>
              <w:bidi w:val="0"/>
              <w:adjustRightInd/>
              <w:snapToGrid/>
              <w:spacing w:after="0" w:line="360" w:lineRule="auto"/>
              <w:ind w:left="0" w:leftChars="0" w:firstLine="482"/>
              <w:contextualSpacing/>
              <w:textAlignment w:val="baseline"/>
              <w:rPr>
                <w:rFonts w:hint="eastAsia" w:ascii="Times New Roman" w:hAnsi="Times New Roman" w:eastAsia="宋体" w:cs="Times New Roman"/>
                <w:b w:val="0"/>
                <w:color w:val="auto"/>
                <w:spacing w:val="0"/>
                <w:sz w:val="24"/>
                <w:szCs w:val="24"/>
                <w:lang w:val="en-US" w:eastAsia="zh-CN" w:bidi="ar-SA"/>
              </w:rPr>
            </w:pPr>
            <w:r>
              <w:rPr>
                <w:rFonts w:hint="eastAsia" w:ascii="Times New Roman" w:hAnsi="Times New Roman" w:eastAsia="宋体" w:cs="Times New Roman"/>
                <w:b w:val="0"/>
                <w:color w:val="auto"/>
                <w:spacing w:val="0"/>
                <w:sz w:val="24"/>
                <w:szCs w:val="24"/>
                <w:lang w:val="en-US" w:eastAsia="zh-CN" w:bidi="ar-SA"/>
              </w:rPr>
              <w:t>2.3营运期地表水环境保护措施</w:t>
            </w:r>
          </w:p>
          <w:p>
            <w:pPr>
              <w:pStyle w:val="54"/>
              <w:keepNext w:val="0"/>
              <w:keepLines w:val="0"/>
              <w:pageBreakBefore w:val="0"/>
              <w:widowControl w:val="0"/>
              <w:kinsoku/>
              <w:wordWrap/>
              <w:overflowPunct/>
              <w:topLinePunct w:val="0"/>
              <w:autoSpaceDE/>
              <w:autoSpaceDN/>
              <w:bidi w:val="0"/>
              <w:adjustRightInd/>
              <w:snapToGrid/>
              <w:spacing w:after="0" w:line="360" w:lineRule="auto"/>
              <w:ind w:left="0" w:leftChars="0" w:firstLine="482"/>
              <w:contextualSpacing/>
              <w:textAlignment w:val="baseline"/>
              <w:rPr>
                <w:rFonts w:hint="eastAsia" w:ascii="Times New Roman" w:hAnsi="Times New Roman" w:eastAsia="宋体" w:cs="Times New Roman"/>
                <w:b w:val="0"/>
                <w:color w:val="auto"/>
                <w:spacing w:val="0"/>
                <w:sz w:val="24"/>
                <w:szCs w:val="24"/>
                <w:lang w:val="en-US" w:eastAsia="zh-CN" w:bidi="ar-SA"/>
              </w:rPr>
            </w:pPr>
            <w:r>
              <w:rPr>
                <w:rFonts w:hint="eastAsia" w:ascii="Times New Roman" w:hAnsi="Times New Roman" w:eastAsia="宋体" w:cs="Times New Roman"/>
                <w:b w:val="0"/>
                <w:color w:val="auto"/>
                <w:spacing w:val="0"/>
                <w:sz w:val="24"/>
                <w:szCs w:val="24"/>
                <w:lang w:val="en-US" w:eastAsia="zh-CN" w:bidi="ar-SA"/>
              </w:rPr>
              <w:t xml:space="preserve">本项目位于查干诺尔乡东南农业水污染重点管控区，临近开都河，区域管控核心为严防各类废水、渗滤液入河湖；本项目取消露天建筑垃圾堆场，从源头消除建筑垃圾雨水淋溶风险，在此基础上落实如下水污染防控措施： </w:t>
            </w:r>
          </w:p>
          <w:p>
            <w:pPr>
              <w:pStyle w:val="54"/>
              <w:keepNext w:val="0"/>
              <w:keepLines w:val="0"/>
              <w:pageBreakBefore w:val="0"/>
              <w:widowControl w:val="0"/>
              <w:kinsoku/>
              <w:wordWrap/>
              <w:overflowPunct/>
              <w:topLinePunct w:val="0"/>
              <w:autoSpaceDE/>
              <w:autoSpaceDN/>
              <w:bidi w:val="0"/>
              <w:adjustRightInd/>
              <w:snapToGrid/>
              <w:spacing w:after="0" w:line="360" w:lineRule="auto"/>
              <w:ind w:left="0" w:leftChars="0" w:firstLine="482"/>
              <w:contextualSpacing/>
              <w:textAlignment w:val="baseline"/>
              <w:rPr>
                <w:rFonts w:hint="eastAsia" w:ascii="Times New Roman" w:hAnsi="Times New Roman" w:eastAsia="宋体" w:cs="Times New Roman"/>
                <w:b w:val="0"/>
                <w:color w:val="auto"/>
                <w:spacing w:val="0"/>
                <w:sz w:val="24"/>
                <w:szCs w:val="24"/>
                <w:lang w:val="en-US" w:eastAsia="zh-CN" w:bidi="ar-SA"/>
              </w:rPr>
            </w:pPr>
            <w:r>
              <w:rPr>
                <w:rFonts w:hint="eastAsia" w:ascii="Times New Roman" w:hAnsi="Times New Roman" w:eastAsia="宋体" w:cs="Times New Roman"/>
                <w:b w:val="0"/>
                <w:color w:val="auto"/>
                <w:spacing w:val="0"/>
                <w:sz w:val="24"/>
                <w:szCs w:val="24"/>
                <w:lang w:val="en-US" w:eastAsia="zh-CN" w:bidi="ar-SA"/>
              </w:rPr>
              <w:t>①生产废水闭环管理：本项目喷淋用水和雾炮降尘用水自然蒸发；洗车废水经沉淀池沉淀后回用抑尘，无生产废水外排，减少新鲜水取用量的同时不排入开都河河道。</w:t>
            </w:r>
          </w:p>
          <w:p>
            <w:pPr>
              <w:pStyle w:val="54"/>
              <w:keepNext w:val="0"/>
              <w:keepLines w:val="0"/>
              <w:pageBreakBefore w:val="0"/>
              <w:widowControl w:val="0"/>
              <w:kinsoku/>
              <w:wordWrap/>
              <w:overflowPunct/>
              <w:topLinePunct w:val="0"/>
              <w:autoSpaceDE/>
              <w:autoSpaceDN/>
              <w:bidi w:val="0"/>
              <w:adjustRightInd/>
              <w:snapToGrid/>
              <w:spacing w:after="0" w:line="360" w:lineRule="auto"/>
              <w:ind w:left="0" w:leftChars="0" w:firstLine="482"/>
              <w:contextualSpacing/>
              <w:textAlignment w:val="baseline"/>
              <w:rPr>
                <w:rFonts w:hint="eastAsia" w:ascii="Times New Roman" w:hAnsi="Times New Roman" w:eastAsia="宋体" w:cs="Times New Roman"/>
                <w:b w:val="0"/>
                <w:color w:val="auto"/>
                <w:spacing w:val="0"/>
                <w:sz w:val="24"/>
                <w:szCs w:val="24"/>
                <w:lang w:val="en-US" w:eastAsia="zh-CN" w:bidi="ar-SA"/>
              </w:rPr>
            </w:pPr>
            <w:r>
              <w:rPr>
                <w:rFonts w:hint="eastAsia" w:ascii="Times New Roman" w:hAnsi="Times New Roman" w:eastAsia="宋体" w:cs="Times New Roman"/>
                <w:b w:val="0"/>
                <w:color w:val="auto"/>
                <w:spacing w:val="0"/>
                <w:sz w:val="24"/>
                <w:szCs w:val="24"/>
                <w:lang w:val="en-US" w:eastAsia="zh-CN" w:bidi="ar-SA"/>
              </w:rPr>
              <w:t>②生活污水达标排放：生活污水经防渗化粪池处理达标后定期清运至博湖县城镇污水处理厂，不排入开都河河道。</w:t>
            </w:r>
          </w:p>
          <w:p>
            <w:pPr>
              <w:pStyle w:val="54"/>
              <w:keepNext w:val="0"/>
              <w:keepLines w:val="0"/>
              <w:pageBreakBefore w:val="0"/>
              <w:widowControl w:val="0"/>
              <w:kinsoku/>
              <w:wordWrap/>
              <w:overflowPunct/>
              <w:topLinePunct w:val="0"/>
              <w:autoSpaceDE/>
              <w:autoSpaceDN/>
              <w:bidi w:val="0"/>
              <w:adjustRightInd/>
              <w:snapToGrid/>
              <w:spacing w:after="0" w:line="360" w:lineRule="auto"/>
              <w:ind w:left="0" w:leftChars="0" w:firstLine="482"/>
              <w:contextualSpacing/>
              <w:textAlignment w:val="baseline"/>
              <w:rPr>
                <w:rFonts w:hint="eastAsia" w:ascii="Times New Roman" w:hAnsi="Times New Roman" w:eastAsia="宋体" w:cs="Times New Roman"/>
                <w:b w:val="0"/>
                <w:color w:val="auto"/>
                <w:spacing w:val="0"/>
                <w:sz w:val="24"/>
                <w:szCs w:val="24"/>
                <w:lang w:val="en-US" w:eastAsia="zh-CN" w:bidi="ar-SA"/>
              </w:rPr>
            </w:pPr>
            <w:r>
              <w:rPr>
                <w:rFonts w:hint="eastAsia" w:ascii="Times New Roman" w:hAnsi="Times New Roman" w:eastAsia="宋体" w:cs="Times New Roman"/>
                <w:b w:val="0"/>
                <w:color w:val="auto"/>
                <w:spacing w:val="0"/>
                <w:sz w:val="24"/>
                <w:szCs w:val="24"/>
                <w:lang w:val="en-US" w:eastAsia="zh-CN" w:bidi="ar-SA"/>
              </w:rPr>
              <w:t>③危险废物规范处置：分类存储：废机油、废油桶等危险废物收集后暂存于危废贮存点，设置明显警示标识。委托处置：与有资质的单位签订处置协议，定期转运并留存联单，严禁倾倒至开都河河道或滩涂。</w:t>
            </w:r>
          </w:p>
          <w:p>
            <w:pPr>
              <w:pStyle w:val="54"/>
              <w:keepNext w:val="0"/>
              <w:keepLines w:val="0"/>
              <w:pageBreakBefore w:val="0"/>
              <w:widowControl w:val="0"/>
              <w:kinsoku/>
              <w:wordWrap/>
              <w:overflowPunct/>
              <w:topLinePunct w:val="0"/>
              <w:autoSpaceDE/>
              <w:autoSpaceDN/>
              <w:bidi w:val="0"/>
              <w:adjustRightInd/>
              <w:snapToGrid/>
              <w:spacing w:after="0" w:line="360" w:lineRule="auto"/>
              <w:ind w:left="0" w:leftChars="0" w:firstLine="482"/>
              <w:contextualSpacing/>
              <w:textAlignment w:val="baseline"/>
              <w:rPr>
                <w:rFonts w:hint="eastAsia" w:ascii="Times New Roman" w:hAnsi="Times New Roman" w:eastAsia="宋体" w:cs="Times New Roman"/>
                <w:b w:val="0"/>
                <w:color w:val="auto"/>
                <w:spacing w:val="0"/>
                <w:sz w:val="24"/>
                <w:szCs w:val="24"/>
                <w:lang w:val="en-US" w:eastAsia="zh-CN" w:bidi="ar-SA"/>
              </w:rPr>
            </w:pPr>
            <w:r>
              <w:rPr>
                <w:rFonts w:hint="eastAsia" w:ascii="Times New Roman" w:hAnsi="Times New Roman" w:eastAsia="宋体" w:cs="Times New Roman"/>
                <w:b w:val="0"/>
                <w:color w:val="auto"/>
                <w:spacing w:val="0"/>
                <w:sz w:val="24"/>
                <w:szCs w:val="24"/>
                <w:lang w:val="en-US" w:eastAsia="zh-CN" w:bidi="ar-SA"/>
              </w:rPr>
              <w:t>④泄漏应急防控：防渗措施：原料库、沉淀池、危废贮存点按照分区防渗要求设置防渗措施，防止污染物下渗。应急物资：配备吸油毡、防汛沙袋等物资，定期演练泄漏应急处置流程（如用沙袋拦截泄漏物，用吸油毡吸附油污）。</w:t>
            </w:r>
          </w:p>
          <w:p>
            <w:pPr>
              <w:pStyle w:val="54"/>
              <w:keepNext w:val="0"/>
              <w:keepLines w:val="0"/>
              <w:pageBreakBefore w:val="0"/>
              <w:widowControl w:val="0"/>
              <w:kinsoku/>
              <w:wordWrap/>
              <w:overflowPunct/>
              <w:topLinePunct w:val="0"/>
              <w:autoSpaceDE/>
              <w:autoSpaceDN/>
              <w:bidi w:val="0"/>
              <w:adjustRightInd/>
              <w:snapToGrid/>
              <w:spacing w:after="0" w:line="360" w:lineRule="auto"/>
              <w:ind w:left="0" w:leftChars="0" w:firstLine="482"/>
              <w:contextualSpacing/>
              <w:textAlignment w:val="baseline"/>
              <w:rPr>
                <w:rFonts w:hint="eastAsia" w:ascii="Times New Roman" w:hAnsi="Times New Roman" w:eastAsia="宋体" w:cs="Times New Roman"/>
                <w:b w:val="0"/>
                <w:color w:val="auto"/>
                <w:spacing w:val="0"/>
                <w:sz w:val="24"/>
                <w:szCs w:val="24"/>
                <w:lang w:val="en-US" w:eastAsia="zh-CN" w:bidi="ar-SA"/>
              </w:rPr>
            </w:pPr>
            <w:r>
              <w:rPr>
                <w:rFonts w:hint="eastAsia" w:ascii="Times New Roman" w:hAnsi="Times New Roman" w:eastAsia="宋体" w:cs="Times New Roman"/>
                <w:b w:val="0"/>
                <w:color w:val="auto"/>
                <w:spacing w:val="0"/>
                <w:sz w:val="24"/>
                <w:szCs w:val="24"/>
                <w:lang w:val="en-US" w:eastAsia="zh-CN" w:bidi="ar-SA"/>
              </w:rPr>
              <w:t>⑤配合生态环境部门“双随机、一公开”检查，确保措施落实到位。</w:t>
            </w:r>
          </w:p>
          <w:p>
            <w:pPr>
              <w:pStyle w:val="54"/>
              <w:keepNext w:val="0"/>
              <w:keepLines w:val="0"/>
              <w:pageBreakBefore w:val="0"/>
              <w:widowControl w:val="0"/>
              <w:kinsoku/>
              <w:wordWrap/>
              <w:overflowPunct/>
              <w:topLinePunct w:val="0"/>
              <w:autoSpaceDE/>
              <w:autoSpaceDN/>
              <w:bidi w:val="0"/>
              <w:adjustRightInd/>
              <w:snapToGrid/>
              <w:spacing w:after="0" w:line="360" w:lineRule="auto"/>
              <w:ind w:left="0" w:leftChars="0" w:firstLine="482"/>
              <w:contextualSpacing/>
              <w:textAlignment w:val="baseline"/>
              <w:rPr>
                <w:rFonts w:hint="eastAsia" w:ascii="Times New Roman" w:hAnsi="Times New Roman" w:eastAsia="宋体" w:cs="Times New Roman"/>
                <w:b w:val="0"/>
                <w:color w:val="auto"/>
                <w:spacing w:val="0"/>
                <w:sz w:val="24"/>
                <w:szCs w:val="24"/>
                <w:lang w:val="en-US" w:eastAsia="zh-CN" w:bidi="ar-SA"/>
              </w:rPr>
            </w:pPr>
            <w:r>
              <w:rPr>
                <w:rFonts w:hint="eastAsia" w:ascii="Times New Roman" w:hAnsi="Times New Roman" w:eastAsia="宋体" w:cs="Times New Roman"/>
                <w:b w:val="0"/>
                <w:color w:val="auto"/>
                <w:spacing w:val="0"/>
                <w:sz w:val="24"/>
                <w:szCs w:val="24"/>
                <w:lang w:val="en-US" w:eastAsia="zh-CN" w:bidi="ar-SA"/>
              </w:rPr>
              <w:t>2.4地表水环境影响评价</w:t>
            </w:r>
          </w:p>
          <w:p>
            <w:pPr>
              <w:pStyle w:val="54"/>
              <w:keepNext w:val="0"/>
              <w:keepLines w:val="0"/>
              <w:pageBreakBefore w:val="0"/>
              <w:widowControl w:val="0"/>
              <w:kinsoku/>
              <w:wordWrap/>
              <w:overflowPunct/>
              <w:topLinePunct w:val="0"/>
              <w:autoSpaceDE/>
              <w:autoSpaceDN/>
              <w:bidi w:val="0"/>
              <w:adjustRightInd/>
              <w:snapToGrid/>
              <w:spacing w:after="0" w:line="360" w:lineRule="auto"/>
              <w:ind w:left="0" w:leftChars="0" w:firstLine="482"/>
              <w:contextualSpacing/>
              <w:textAlignment w:val="baseline"/>
              <w:rPr>
                <w:rFonts w:hint="eastAsia" w:ascii="Times New Roman" w:hAnsi="Times New Roman" w:eastAsia="宋体" w:cs="Times New Roman"/>
                <w:b w:val="0"/>
                <w:color w:val="auto"/>
                <w:spacing w:val="0"/>
                <w:sz w:val="24"/>
                <w:szCs w:val="24"/>
                <w:lang w:val="en-US" w:eastAsia="zh-CN" w:bidi="ar-SA"/>
              </w:rPr>
            </w:pPr>
            <w:r>
              <w:rPr>
                <w:rFonts w:hint="eastAsia" w:ascii="Times New Roman" w:hAnsi="Times New Roman" w:eastAsia="宋体" w:cs="Times New Roman"/>
                <w:b w:val="0"/>
                <w:color w:val="auto"/>
                <w:spacing w:val="0"/>
                <w:sz w:val="24"/>
                <w:szCs w:val="24"/>
                <w:lang w:val="en-US" w:eastAsia="zh-CN" w:bidi="ar-SA"/>
              </w:rPr>
              <w:t>（1）环境影响减缓措施有效性分析</w:t>
            </w:r>
          </w:p>
          <w:p>
            <w:pPr>
              <w:pStyle w:val="54"/>
              <w:keepNext w:val="0"/>
              <w:keepLines w:val="0"/>
              <w:pageBreakBefore w:val="0"/>
              <w:widowControl w:val="0"/>
              <w:kinsoku/>
              <w:wordWrap/>
              <w:overflowPunct/>
              <w:topLinePunct w:val="0"/>
              <w:autoSpaceDE/>
              <w:autoSpaceDN/>
              <w:bidi w:val="0"/>
              <w:adjustRightInd/>
              <w:snapToGrid/>
              <w:spacing w:after="0" w:line="360" w:lineRule="auto"/>
              <w:ind w:left="0" w:leftChars="0" w:firstLine="482"/>
              <w:contextualSpacing/>
              <w:textAlignment w:val="baseline"/>
              <w:rPr>
                <w:rFonts w:hint="eastAsia" w:ascii="Times New Roman" w:hAnsi="Times New Roman" w:eastAsia="宋体" w:cs="Times New Roman"/>
                <w:b w:val="0"/>
                <w:color w:val="auto"/>
                <w:spacing w:val="0"/>
                <w:sz w:val="24"/>
                <w:szCs w:val="24"/>
                <w:lang w:val="en-US" w:eastAsia="zh-CN" w:bidi="ar-SA"/>
              </w:rPr>
            </w:pPr>
            <w:r>
              <w:rPr>
                <w:rFonts w:hint="eastAsia" w:ascii="Times New Roman" w:hAnsi="Times New Roman" w:eastAsia="宋体" w:cs="Times New Roman"/>
                <w:b w:val="0"/>
                <w:color w:val="auto"/>
                <w:spacing w:val="0"/>
                <w:sz w:val="24"/>
                <w:szCs w:val="24"/>
                <w:lang w:val="en-US" w:eastAsia="zh-CN" w:bidi="ar-SA"/>
              </w:rPr>
              <w:t>本项目生活污水主要为职工产生的生活污水，主要污染物CODcr、BOD</w:t>
            </w:r>
            <w:r>
              <w:rPr>
                <w:rFonts w:hint="eastAsia" w:ascii="Times New Roman" w:hAnsi="Times New Roman" w:eastAsia="宋体" w:cs="Times New Roman"/>
                <w:b w:val="0"/>
                <w:color w:val="auto"/>
                <w:spacing w:val="0"/>
                <w:sz w:val="24"/>
                <w:szCs w:val="24"/>
                <w:vertAlign w:val="subscript"/>
                <w:lang w:val="en-US" w:eastAsia="zh-CN" w:bidi="ar-SA"/>
              </w:rPr>
              <w:t>5</w:t>
            </w:r>
            <w:r>
              <w:rPr>
                <w:rFonts w:hint="eastAsia" w:ascii="Times New Roman" w:hAnsi="Times New Roman" w:eastAsia="宋体" w:cs="Times New Roman"/>
                <w:b w:val="0"/>
                <w:color w:val="auto"/>
                <w:spacing w:val="0"/>
                <w:sz w:val="24"/>
                <w:szCs w:val="24"/>
                <w:lang w:val="en-US" w:eastAsia="zh-CN" w:bidi="ar-SA"/>
              </w:rPr>
              <w:t>、SS、氨氮等。污水收集到化粪池（1座、容积10m³）处理后，定期清运至博湖县城镇污水处理厂进一步处理。各项污染物排放浓度均可达到《污水综合排放标准》（GB8978-1996）三级标准，可以满足城市污水处理厂纳管条件。综上不会对区域水环境产生明显影响。</w:t>
            </w:r>
          </w:p>
          <w:p>
            <w:pPr>
              <w:pStyle w:val="54"/>
              <w:keepNext w:val="0"/>
              <w:keepLines w:val="0"/>
              <w:pageBreakBefore w:val="0"/>
              <w:widowControl w:val="0"/>
              <w:kinsoku/>
              <w:wordWrap/>
              <w:overflowPunct/>
              <w:topLinePunct w:val="0"/>
              <w:autoSpaceDE/>
              <w:autoSpaceDN/>
              <w:bidi w:val="0"/>
              <w:adjustRightInd/>
              <w:snapToGrid/>
              <w:spacing w:after="0" w:line="360" w:lineRule="auto"/>
              <w:ind w:left="0" w:leftChars="0" w:firstLine="482"/>
              <w:contextualSpacing/>
              <w:textAlignment w:val="baseline"/>
              <w:rPr>
                <w:rFonts w:hint="eastAsia" w:ascii="Times New Roman" w:hAnsi="Times New Roman" w:eastAsia="宋体" w:cs="Times New Roman"/>
                <w:b w:val="0"/>
                <w:color w:val="auto"/>
                <w:spacing w:val="0"/>
                <w:sz w:val="24"/>
                <w:szCs w:val="24"/>
                <w:lang w:val="en-US" w:eastAsia="zh-CN" w:bidi="ar-SA"/>
              </w:rPr>
            </w:pPr>
            <w:r>
              <w:rPr>
                <w:rFonts w:hint="eastAsia" w:ascii="Times New Roman" w:hAnsi="Times New Roman" w:eastAsia="宋体" w:cs="Times New Roman"/>
                <w:b w:val="0"/>
                <w:color w:val="auto"/>
                <w:spacing w:val="0"/>
                <w:sz w:val="24"/>
                <w:szCs w:val="24"/>
                <w:lang w:val="en-US" w:eastAsia="zh-CN" w:bidi="ar-SA"/>
              </w:rPr>
              <w:t>（2）依托污水处理设施的环境可行性分析</w:t>
            </w:r>
          </w:p>
          <w:p>
            <w:pPr>
              <w:pStyle w:val="54"/>
              <w:keepNext w:val="0"/>
              <w:keepLines w:val="0"/>
              <w:pageBreakBefore w:val="0"/>
              <w:widowControl w:val="0"/>
              <w:kinsoku/>
              <w:wordWrap/>
              <w:overflowPunct/>
              <w:topLinePunct w:val="0"/>
              <w:autoSpaceDE/>
              <w:autoSpaceDN/>
              <w:bidi w:val="0"/>
              <w:adjustRightInd/>
              <w:snapToGrid/>
              <w:spacing w:after="0" w:line="360" w:lineRule="auto"/>
              <w:ind w:left="0" w:leftChars="0" w:firstLine="482"/>
              <w:contextualSpacing/>
              <w:textAlignment w:val="baseline"/>
              <w:rPr>
                <w:rFonts w:hint="eastAsia" w:ascii="Times New Roman" w:hAnsi="Times New Roman" w:eastAsia="宋体" w:cs="Times New Roman"/>
                <w:b w:val="0"/>
                <w:color w:val="auto"/>
                <w:spacing w:val="0"/>
                <w:sz w:val="24"/>
                <w:szCs w:val="24"/>
                <w:lang w:val="en-US" w:eastAsia="zh-CN" w:bidi="ar-SA"/>
              </w:rPr>
            </w:pPr>
            <w:r>
              <w:rPr>
                <w:rFonts w:hint="eastAsia" w:ascii="Times New Roman" w:hAnsi="Times New Roman" w:eastAsia="宋体" w:cs="Times New Roman"/>
                <w:b w:val="0"/>
                <w:color w:val="auto"/>
                <w:spacing w:val="0"/>
                <w:sz w:val="24"/>
                <w:szCs w:val="24"/>
                <w:lang w:val="en-US" w:eastAsia="zh-CN" w:bidi="ar-SA"/>
              </w:rPr>
              <w:t>博湖县正通供排水有限公司是位于博湖县的生活污水处理厂，目前正常运行中，设计处理能力为0.35万m</w:t>
            </w:r>
            <w:r>
              <w:rPr>
                <w:rFonts w:hint="eastAsia" w:ascii="Times New Roman" w:hAnsi="Times New Roman" w:eastAsia="宋体" w:cs="Times New Roman"/>
                <w:b w:val="0"/>
                <w:color w:val="auto"/>
                <w:spacing w:val="0"/>
                <w:sz w:val="24"/>
                <w:szCs w:val="24"/>
                <w:vertAlign w:val="superscript"/>
                <w:lang w:val="en-US" w:eastAsia="zh-CN" w:bidi="ar-SA"/>
              </w:rPr>
              <w:t>3</w:t>
            </w:r>
            <w:r>
              <w:rPr>
                <w:rFonts w:hint="eastAsia" w:ascii="Times New Roman" w:hAnsi="Times New Roman" w:eastAsia="宋体" w:cs="Times New Roman"/>
                <w:b w:val="0"/>
                <w:color w:val="auto"/>
                <w:spacing w:val="0"/>
                <w:sz w:val="24"/>
                <w:szCs w:val="24"/>
                <w:lang w:val="en-US" w:eastAsia="zh-CN" w:bidi="ar-SA"/>
              </w:rPr>
              <w:t>/d，实际处理水量约3000m</w:t>
            </w:r>
            <w:r>
              <w:rPr>
                <w:rFonts w:hint="eastAsia" w:ascii="Times New Roman" w:hAnsi="Times New Roman" w:eastAsia="宋体" w:cs="Times New Roman"/>
                <w:b w:val="0"/>
                <w:color w:val="auto"/>
                <w:spacing w:val="0"/>
                <w:sz w:val="24"/>
                <w:szCs w:val="24"/>
                <w:vertAlign w:val="superscript"/>
                <w:lang w:val="en-US" w:eastAsia="zh-CN" w:bidi="ar-SA"/>
              </w:rPr>
              <w:t>3</w:t>
            </w:r>
            <w:r>
              <w:rPr>
                <w:rFonts w:hint="eastAsia" w:ascii="Times New Roman" w:hAnsi="Times New Roman" w:eastAsia="宋体" w:cs="Times New Roman"/>
                <w:b w:val="0"/>
                <w:color w:val="auto"/>
                <w:spacing w:val="0"/>
                <w:sz w:val="24"/>
                <w:szCs w:val="24"/>
                <w:lang w:val="en-US" w:eastAsia="zh-CN" w:bidi="ar-SA"/>
              </w:rPr>
              <w:t>/d，处理工艺为“调节池+沉砂池+厌氧池+缺氧池+好氧池+曝气生物滤池+接触消毒池”，出水标准为《城镇污水处理厂污染物排放标准》（GB18918-2002））中一级A标准，其水质能满足《污水再生利用工程设计规范》（GB50335-2002）中“城镇杂用水水质控制指标”城市绿化标准和“景观环境用水的再生水水质控制指标”观赏性景观环境用水标准要求，经过处理的污水用于城镇景观绿化及灌溉生态林木。本项目距离博湖县正通供排水有限公司较近，本项目污水水质简单，排放量小0.24m</w:t>
            </w:r>
            <w:r>
              <w:rPr>
                <w:rFonts w:hint="eastAsia" w:ascii="Times New Roman" w:hAnsi="Times New Roman" w:eastAsia="宋体" w:cs="Times New Roman"/>
                <w:b w:val="0"/>
                <w:color w:val="auto"/>
                <w:spacing w:val="0"/>
                <w:sz w:val="24"/>
                <w:szCs w:val="24"/>
                <w:vertAlign w:val="superscript"/>
                <w:lang w:val="en-US" w:eastAsia="zh-CN" w:bidi="ar-SA"/>
              </w:rPr>
              <w:t>3</w:t>
            </w:r>
            <w:r>
              <w:rPr>
                <w:rFonts w:hint="eastAsia" w:ascii="Times New Roman" w:hAnsi="Times New Roman" w:eastAsia="宋体" w:cs="Times New Roman"/>
                <w:b w:val="0"/>
                <w:color w:val="auto"/>
                <w:spacing w:val="0"/>
                <w:sz w:val="24"/>
                <w:szCs w:val="24"/>
                <w:lang w:val="en-US" w:eastAsia="zh-CN" w:bidi="ar-SA"/>
              </w:rPr>
              <w:t>/d、仅占博湖县生活污水处理厂处理能力的0.007%，且博湖县生活污水处理厂尚有500m</w:t>
            </w:r>
            <w:r>
              <w:rPr>
                <w:rFonts w:hint="eastAsia" w:ascii="Times New Roman" w:hAnsi="Times New Roman" w:eastAsia="宋体" w:cs="Times New Roman"/>
                <w:b w:val="0"/>
                <w:color w:val="auto"/>
                <w:spacing w:val="0"/>
                <w:sz w:val="24"/>
                <w:szCs w:val="24"/>
                <w:vertAlign w:val="superscript"/>
                <w:lang w:val="en-US" w:eastAsia="zh-CN" w:bidi="ar-SA"/>
              </w:rPr>
              <w:t>3</w:t>
            </w:r>
            <w:r>
              <w:rPr>
                <w:rFonts w:hint="eastAsia" w:ascii="Times New Roman" w:hAnsi="Times New Roman" w:eastAsia="宋体" w:cs="Times New Roman"/>
                <w:b w:val="0"/>
                <w:color w:val="auto"/>
                <w:spacing w:val="0"/>
                <w:sz w:val="24"/>
                <w:szCs w:val="24"/>
                <w:lang w:val="en-US" w:eastAsia="zh-CN" w:bidi="ar-SA"/>
              </w:rPr>
              <w:t>/d剩余纳污容量，排入博湖县正通供排水有限公司是可行的。</w:t>
            </w:r>
          </w:p>
          <w:p>
            <w:pPr>
              <w:pStyle w:val="54"/>
              <w:keepNext w:val="0"/>
              <w:keepLines w:val="0"/>
              <w:pageBreakBefore w:val="0"/>
              <w:widowControl w:val="0"/>
              <w:kinsoku/>
              <w:wordWrap/>
              <w:overflowPunct/>
              <w:topLinePunct w:val="0"/>
              <w:autoSpaceDE/>
              <w:autoSpaceDN/>
              <w:bidi w:val="0"/>
              <w:adjustRightInd/>
              <w:snapToGrid/>
              <w:spacing w:after="0" w:line="360" w:lineRule="auto"/>
              <w:ind w:left="0" w:leftChars="0" w:firstLine="482"/>
              <w:contextualSpacing/>
              <w:textAlignment w:val="baseline"/>
              <w:rPr>
                <w:rFonts w:hint="eastAsia" w:ascii="Times New Roman" w:hAnsi="Times New Roman" w:eastAsia="宋体" w:cs="Times New Roman"/>
                <w:b w:val="0"/>
                <w:color w:val="auto"/>
                <w:spacing w:val="0"/>
                <w:sz w:val="24"/>
                <w:szCs w:val="24"/>
                <w:lang w:val="en-US" w:eastAsia="zh-CN" w:bidi="ar-SA"/>
              </w:rPr>
            </w:pPr>
            <w:r>
              <w:rPr>
                <w:rFonts w:hint="eastAsia" w:ascii="Times New Roman" w:hAnsi="Times New Roman" w:eastAsia="宋体" w:cs="Times New Roman"/>
                <w:b w:val="0"/>
                <w:color w:val="auto"/>
                <w:spacing w:val="0"/>
                <w:sz w:val="24"/>
                <w:szCs w:val="24"/>
                <w:lang w:val="en-US" w:eastAsia="zh-CN" w:bidi="ar-SA"/>
              </w:rPr>
              <w:t>2.5废水排放情况汇总表</w:t>
            </w:r>
          </w:p>
          <w:p>
            <w:pPr>
              <w:pStyle w:val="54"/>
              <w:keepNext w:val="0"/>
              <w:keepLines w:val="0"/>
              <w:pageBreakBefore w:val="0"/>
              <w:widowControl w:val="0"/>
              <w:kinsoku/>
              <w:wordWrap/>
              <w:overflowPunct/>
              <w:topLinePunct w:val="0"/>
              <w:autoSpaceDE/>
              <w:autoSpaceDN/>
              <w:bidi w:val="0"/>
              <w:adjustRightInd/>
              <w:snapToGrid/>
              <w:spacing w:after="0" w:line="360" w:lineRule="auto"/>
              <w:ind w:left="0" w:leftChars="0" w:firstLine="482"/>
              <w:contextualSpacing/>
              <w:textAlignment w:val="baseline"/>
              <w:rPr>
                <w:rFonts w:hint="eastAsia" w:ascii="Times New Roman" w:hAnsi="Times New Roman" w:eastAsia="宋体" w:cs="Times New Roman"/>
                <w:b w:val="0"/>
                <w:color w:val="auto"/>
                <w:spacing w:val="0"/>
                <w:sz w:val="24"/>
                <w:szCs w:val="24"/>
                <w:lang w:val="en-US" w:eastAsia="zh-CN" w:bidi="ar-SA"/>
              </w:rPr>
            </w:pPr>
            <w:r>
              <w:rPr>
                <w:rFonts w:hint="eastAsia" w:ascii="Times New Roman" w:hAnsi="Times New Roman" w:eastAsia="宋体" w:cs="Times New Roman"/>
                <w:b w:val="0"/>
                <w:color w:val="auto"/>
                <w:spacing w:val="0"/>
                <w:sz w:val="24"/>
                <w:szCs w:val="24"/>
                <w:lang w:val="en-US" w:eastAsia="zh-CN" w:bidi="ar-SA"/>
              </w:rPr>
              <w:t>本项目废水类别、污染物及污染治理措施信息见下表。</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cs="Times New Roman"/>
                <w:b w:val="0"/>
                <w:color w:val="auto"/>
                <w:spacing w:val="0"/>
                <w:sz w:val="24"/>
                <w:szCs w:val="24"/>
                <w:lang w:val="en-US" w:eastAsia="zh-CN" w:bidi="ar-SA"/>
              </w:rPr>
            </w:pPr>
            <w:r>
              <w:rPr>
                <w:rFonts w:hint="eastAsia" w:ascii="Times New Roman" w:hAnsi="Times New Roman" w:eastAsia="宋体" w:cs="Times New Roman"/>
                <w:b/>
                <w:bCs/>
                <w:color w:val="auto"/>
                <w:spacing w:val="0"/>
                <w:sz w:val="21"/>
                <w:lang w:val="en-US" w:eastAsia="zh-CN"/>
              </w:rPr>
              <w:t>表4-7  废水类别、污染物及污染治理措施信息表</w:t>
            </w:r>
          </w:p>
          <w:tbl>
            <w:tblPr>
              <w:tblStyle w:val="427"/>
              <w:tblW w:w="783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74"/>
              <w:gridCol w:w="816"/>
              <w:gridCol w:w="1001"/>
              <w:gridCol w:w="1057"/>
              <w:gridCol w:w="1130"/>
              <w:gridCol w:w="805"/>
              <w:gridCol w:w="764"/>
              <w:gridCol w:w="850"/>
              <w:gridCol w:w="83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66" w:type="pct"/>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序号</w:t>
                  </w:r>
                </w:p>
              </w:tc>
              <w:tc>
                <w:tcPr>
                  <w:tcW w:w="520" w:type="pct"/>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废水类别</w:t>
                  </w:r>
                </w:p>
              </w:tc>
              <w:tc>
                <w:tcPr>
                  <w:tcW w:w="638" w:type="pct"/>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污染物种类</w:t>
                  </w:r>
                </w:p>
              </w:tc>
              <w:tc>
                <w:tcPr>
                  <w:tcW w:w="674" w:type="pct"/>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排放去向</w:t>
                  </w:r>
                </w:p>
              </w:tc>
              <w:tc>
                <w:tcPr>
                  <w:tcW w:w="720" w:type="pct"/>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排放规律</w:t>
                  </w:r>
                </w:p>
              </w:tc>
              <w:tc>
                <w:tcPr>
                  <w:tcW w:w="513" w:type="pct"/>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污染治理设施</w:t>
                  </w:r>
                </w:p>
              </w:tc>
              <w:tc>
                <w:tcPr>
                  <w:tcW w:w="487" w:type="pct"/>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排放口编号</w:t>
                  </w:r>
                </w:p>
              </w:tc>
              <w:tc>
                <w:tcPr>
                  <w:tcW w:w="542" w:type="pct"/>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排放口设置是否符合要求</w:t>
                  </w:r>
                </w:p>
              </w:tc>
              <w:tc>
                <w:tcPr>
                  <w:tcW w:w="534" w:type="pct"/>
                  <w:tcBorders>
                    <w:right w:val="single" w:color="000000" w:sz="6" w:space="0"/>
                  </w:tcBorders>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排放口类型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66" w:type="pct"/>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1</w:t>
                  </w:r>
                </w:p>
              </w:tc>
              <w:tc>
                <w:tcPr>
                  <w:tcW w:w="520" w:type="pct"/>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生活污水</w:t>
                  </w:r>
                </w:p>
              </w:tc>
              <w:tc>
                <w:tcPr>
                  <w:tcW w:w="638" w:type="pct"/>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COD、BOD5、SS、NH3-N</w:t>
                  </w:r>
                </w:p>
              </w:tc>
              <w:tc>
                <w:tcPr>
                  <w:tcW w:w="674" w:type="pct"/>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定期清运，进入博湖县城镇污水处理厂</w:t>
                  </w:r>
                </w:p>
              </w:tc>
              <w:tc>
                <w:tcPr>
                  <w:tcW w:w="720" w:type="pct"/>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间断排放，排放期间流量稳定且规律，不属于冲击性排放</w:t>
                  </w:r>
                </w:p>
              </w:tc>
              <w:tc>
                <w:tcPr>
                  <w:tcW w:w="513" w:type="pct"/>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防渗化粪池</w:t>
                  </w:r>
                </w:p>
              </w:tc>
              <w:tc>
                <w:tcPr>
                  <w:tcW w:w="487" w:type="pct"/>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DW001</w:t>
                  </w:r>
                </w:p>
              </w:tc>
              <w:tc>
                <w:tcPr>
                  <w:tcW w:w="542" w:type="pct"/>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是</w:t>
                  </w:r>
                </w:p>
              </w:tc>
              <w:tc>
                <w:tcPr>
                  <w:tcW w:w="534" w:type="pct"/>
                  <w:tcBorders>
                    <w:right w:val="single" w:color="000000" w:sz="6" w:space="0"/>
                  </w:tcBorders>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一般排放口</w:t>
                  </w:r>
                </w:p>
              </w:tc>
            </w:tr>
          </w:tbl>
          <w:p>
            <w:pPr>
              <w:pStyle w:val="54"/>
              <w:adjustRightInd/>
              <w:snapToGrid/>
              <w:spacing w:after="0" w:line="360" w:lineRule="auto"/>
              <w:ind w:left="0" w:leftChars="0" w:firstLine="482"/>
              <w:contextualSpacing/>
              <w:rPr>
                <w:rFonts w:hint="eastAsia" w:ascii="Times New Roman" w:hAnsi="Times New Roman" w:eastAsia="宋体" w:cs="Times New Roman"/>
                <w:b w:val="0"/>
                <w:color w:val="auto"/>
                <w:spacing w:val="0"/>
                <w:sz w:val="24"/>
                <w:szCs w:val="24"/>
                <w:lang w:val="en-US" w:eastAsia="zh-CN" w:bidi="ar-SA"/>
              </w:rPr>
            </w:pPr>
            <w:r>
              <w:rPr>
                <w:rFonts w:hint="eastAsia" w:ascii="Times New Roman" w:hAnsi="Times New Roman" w:eastAsia="宋体" w:cs="Times New Roman"/>
                <w:b w:val="0"/>
                <w:color w:val="auto"/>
                <w:spacing w:val="0"/>
                <w:sz w:val="24"/>
                <w:szCs w:val="24"/>
                <w:lang w:val="en-US" w:eastAsia="zh-CN" w:bidi="ar-SA"/>
              </w:rPr>
              <w:t>（2）废水排放口基本信息</w:t>
            </w:r>
          </w:p>
          <w:p>
            <w:pPr>
              <w:adjustRightInd/>
              <w:snapToGrid/>
              <w:ind w:firstLine="0" w:firstLineChars="0"/>
              <w:jc w:val="center"/>
              <w:rPr>
                <w:rFonts w:hint="eastAsia" w:ascii="Times New Roman" w:hAnsi="Times New Roman" w:eastAsia="宋体" w:cs="Times New Roman"/>
                <w:b w:val="0"/>
                <w:color w:val="auto"/>
                <w:spacing w:val="0"/>
                <w:sz w:val="24"/>
                <w:szCs w:val="24"/>
                <w:lang w:val="en-US" w:eastAsia="zh-CN" w:bidi="ar-SA"/>
              </w:rPr>
            </w:pPr>
            <w:r>
              <w:rPr>
                <w:rFonts w:hint="eastAsia" w:ascii="Times New Roman" w:hAnsi="Times New Roman" w:eastAsia="宋体" w:cs="Times New Roman"/>
                <w:b/>
                <w:bCs/>
                <w:color w:val="auto"/>
                <w:spacing w:val="0"/>
                <w:sz w:val="21"/>
                <w:lang w:val="en-US" w:eastAsia="zh-CN"/>
              </w:rPr>
              <w:t>表4-8  废水排放口基本信息表</w:t>
            </w:r>
          </w:p>
          <w:tbl>
            <w:tblPr>
              <w:tblStyle w:val="427"/>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18"/>
              <w:gridCol w:w="930"/>
              <w:gridCol w:w="1247"/>
              <w:gridCol w:w="1242"/>
              <w:gridCol w:w="1098"/>
              <w:gridCol w:w="1237"/>
              <w:gridCol w:w="124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 w:hRule="atLeast"/>
                <w:jc w:val="center"/>
              </w:trPr>
              <w:tc>
                <w:tcPr>
                  <w:tcW w:w="908" w:type="dxa"/>
                  <w:vMerge w:val="restart"/>
                  <w:tcBorders>
                    <w:bottom w:val="nil"/>
                  </w:tcBorders>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排放口编号</w:t>
                  </w:r>
                </w:p>
              </w:tc>
              <w:tc>
                <w:tcPr>
                  <w:tcW w:w="920" w:type="dxa"/>
                  <w:vMerge w:val="restart"/>
                  <w:tcBorders>
                    <w:bottom w:val="nil"/>
                  </w:tcBorders>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排放口名称</w:t>
                  </w:r>
                </w:p>
              </w:tc>
              <w:tc>
                <w:tcPr>
                  <w:tcW w:w="2463" w:type="dxa"/>
                  <w:gridSpan w:val="2"/>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排放口地理坐标</w:t>
                  </w:r>
                </w:p>
              </w:tc>
              <w:tc>
                <w:tcPr>
                  <w:tcW w:w="1086" w:type="dxa"/>
                  <w:vMerge w:val="restart"/>
                  <w:tcBorders>
                    <w:bottom w:val="nil"/>
                  </w:tcBorders>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废水排放量（m</w:t>
                  </w:r>
                  <w:r>
                    <w:rPr>
                      <w:rFonts w:hint="eastAsia" w:ascii="Times New Roman" w:eastAsia="宋体" w:cs="Times New Roman"/>
                      <w:color w:val="auto"/>
                      <w:spacing w:val="0"/>
                      <w:sz w:val="21"/>
                      <w:szCs w:val="21"/>
                      <w:vertAlign w:val="superscript"/>
                      <w:lang w:val="en-US" w:eastAsia="zh-CN"/>
                    </w:rPr>
                    <w:t>3</w:t>
                  </w:r>
                  <w:r>
                    <w:rPr>
                      <w:rFonts w:hint="eastAsia" w:ascii="Times New Roman" w:eastAsia="宋体" w:cs="Times New Roman"/>
                      <w:color w:val="auto"/>
                      <w:spacing w:val="0"/>
                      <w:sz w:val="21"/>
                      <w:szCs w:val="21"/>
                      <w:lang w:val="en-US" w:eastAsia="zh-CN"/>
                    </w:rPr>
                    <w:t>/a）</w:t>
                  </w:r>
                </w:p>
              </w:tc>
              <w:tc>
                <w:tcPr>
                  <w:tcW w:w="1224" w:type="dxa"/>
                  <w:vMerge w:val="restart"/>
                  <w:tcBorders>
                    <w:bottom w:val="nil"/>
                  </w:tcBorders>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排放去向</w:t>
                  </w:r>
                </w:p>
              </w:tc>
              <w:tc>
                <w:tcPr>
                  <w:tcW w:w="1233" w:type="dxa"/>
                  <w:vMerge w:val="restart"/>
                  <w:tcBorders>
                    <w:bottom w:val="nil"/>
                    <w:right w:val="single" w:color="000000" w:sz="6" w:space="0"/>
                  </w:tcBorders>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排放规律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jc w:val="center"/>
              </w:trPr>
              <w:tc>
                <w:tcPr>
                  <w:tcW w:w="908" w:type="dxa"/>
                  <w:vMerge w:val="continue"/>
                  <w:tcBorders>
                    <w:top w:val="nil"/>
                  </w:tcBorders>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p>
              </w:tc>
              <w:tc>
                <w:tcPr>
                  <w:tcW w:w="920" w:type="dxa"/>
                  <w:vMerge w:val="continue"/>
                  <w:tcBorders>
                    <w:top w:val="nil"/>
                  </w:tcBorders>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p>
              </w:tc>
              <w:tc>
                <w:tcPr>
                  <w:tcW w:w="1234" w:type="dxa"/>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经度</w:t>
                  </w:r>
                </w:p>
              </w:tc>
              <w:tc>
                <w:tcPr>
                  <w:tcW w:w="1229" w:type="dxa"/>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纬度</w:t>
                  </w:r>
                </w:p>
              </w:tc>
              <w:tc>
                <w:tcPr>
                  <w:tcW w:w="1086" w:type="dxa"/>
                  <w:vMerge w:val="continue"/>
                  <w:tcBorders>
                    <w:top w:val="nil"/>
                  </w:tcBorders>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p>
              </w:tc>
              <w:tc>
                <w:tcPr>
                  <w:tcW w:w="1224" w:type="dxa"/>
                  <w:vMerge w:val="continue"/>
                  <w:tcBorders>
                    <w:top w:val="nil"/>
                  </w:tcBorders>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p>
              </w:tc>
              <w:tc>
                <w:tcPr>
                  <w:tcW w:w="1233" w:type="dxa"/>
                  <w:vMerge w:val="continue"/>
                  <w:tcBorders>
                    <w:top w:val="nil"/>
                    <w:right w:val="single" w:color="000000" w:sz="6" w:space="0"/>
                  </w:tcBorders>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83" w:hRule="atLeast"/>
                <w:jc w:val="center"/>
              </w:trPr>
              <w:tc>
                <w:tcPr>
                  <w:tcW w:w="908" w:type="dxa"/>
                  <w:tcBorders>
                    <w:bottom w:val="single" w:color="000000" w:sz="6" w:space="0"/>
                  </w:tcBorders>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DW001</w:t>
                  </w:r>
                </w:p>
              </w:tc>
              <w:tc>
                <w:tcPr>
                  <w:tcW w:w="920" w:type="dxa"/>
                  <w:tcBorders>
                    <w:bottom w:val="single" w:color="000000" w:sz="6" w:space="0"/>
                  </w:tcBorders>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废水排放口</w:t>
                  </w:r>
                </w:p>
              </w:tc>
              <w:tc>
                <w:tcPr>
                  <w:tcW w:w="1234" w:type="dxa"/>
                  <w:tcBorders>
                    <w:bottom w:val="single" w:color="000000" w:sz="6" w:space="0"/>
                  </w:tcBorders>
                  <w:noWrap w:val="0"/>
                  <w:vAlign w:val="center"/>
                </w:tcPr>
                <w:p>
                  <w:pPr>
                    <w:spacing w:line="240" w:lineRule="auto"/>
                    <w:ind w:firstLine="0" w:firstLineChars="0"/>
                    <w:jc w:val="center"/>
                    <w:rPr>
                      <w:rFonts w:hint="default" w:ascii="Times New Roman" w:eastAsia="宋体" w:cs="Times New Roman"/>
                      <w:color w:val="auto"/>
                      <w:spacing w:val="0"/>
                      <w:sz w:val="21"/>
                      <w:szCs w:val="21"/>
                      <w:lang w:val="en-US" w:eastAsia="zh-CN"/>
                    </w:rPr>
                  </w:pPr>
                </w:p>
              </w:tc>
              <w:tc>
                <w:tcPr>
                  <w:tcW w:w="1229" w:type="dxa"/>
                  <w:tcBorders>
                    <w:bottom w:val="single" w:color="000000" w:sz="6" w:space="0"/>
                  </w:tcBorders>
                  <w:noWrap w:val="0"/>
                  <w:vAlign w:val="center"/>
                </w:tcPr>
                <w:p>
                  <w:pPr>
                    <w:spacing w:line="240" w:lineRule="auto"/>
                    <w:ind w:firstLine="0" w:firstLineChars="0"/>
                    <w:jc w:val="center"/>
                    <w:rPr>
                      <w:rFonts w:hint="default" w:ascii="Times New Roman" w:eastAsia="宋体" w:cs="Times New Roman"/>
                      <w:color w:val="auto"/>
                      <w:spacing w:val="0"/>
                      <w:sz w:val="21"/>
                      <w:szCs w:val="21"/>
                      <w:lang w:val="en-US" w:eastAsia="zh-CN"/>
                    </w:rPr>
                  </w:pPr>
                </w:p>
              </w:tc>
              <w:tc>
                <w:tcPr>
                  <w:tcW w:w="1086" w:type="dxa"/>
                  <w:tcBorders>
                    <w:bottom w:val="single" w:color="000000" w:sz="6" w:space="0"/>
                  </w:tcBorders>
                  <w:noWrap w:val="0"/>
                  <w:vAlign w:val="center"/>
                </w:tcPr>
                <w:p>
                  <w:pPr>
                    <w:spacing w:line="240" w:lineRule="auto"/>
                    <w:ind w:firstLine="0" w:firstLineChars="0"/>
                    <w:jc w:val="center"/>
                    <w:rPr>
                      <w:rFonts w:hint="default"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79.2</w:t>
                  </w:r>
                </w:p>
              </w:tc>
              <w:tc>
                <w:tcPr>
                  <w:tcW w:w="1224" w:type="dxa"/>
                  <w:tcBorders>
                    <w:bottom w:val="single" w:color="000000" w:sz="6" w:space="0"/>
                  </w:tcBorders>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定期清运，进入博湖县城镇污水处理厂</w:t>
                  </w:r>
                </w:p>
              </w:tc>
              <w:tc>
                <w:tcPr>
                  <w:tcW w:w="1233" w:type="dxa"/>
                  <w:tcBorders>
                    <w:bottom w:val="single" w:color="000000" w:sz="6" w:space="0"/>
                    <w:right w:val="single" w:color="000000" w:sz="6" w:space="0"/>
                  </w:tcBorders>
                  <w:noWrap w:val="0"/>
                  <w:vAlign w:val="center"/>
                </w:tcPr>
                <w:p>
                  <w:pPr>
                    <w:spacing w:line="240" w:lineRule="auto"/>
                    <w:ind w:firstLine="0" w:firstLineChars="0"/>
                    <w:jc w:val="center"/>
                    <w:rPr>
                      <w:rFonts w:hint="eastAsia" w:ascii="Times New Roman" w:eastAsia="宋体" w:cs="Times New Roman"/>
                      <w:color w:val="auto"/>
                      <w:spacing w:val="0"/>
                      <w:sz w:val="21"/>
                      <w:szCs w:val="21"/>
                      <w:lang w:val="en-US" w:eastAsia="zh-CN"/>
                    </w:rPr>
                  </w:pPr>
                  <w:r>
                    <w:rPr>
                      <w:rFonts w:hint="eastAsia" w:ascii="Times New Roman" w:eastAsia="宋体" w:cs="Times New Roman"/>
                      <w:color w:val="auto"/>
                      <w:spacing w:val="0"/>
                      <w:sz w:val="21"/>
                      <w:szCs w:val="21"/>
                      <w:lang w:val="en-US" w:eastAsia="zh-CN"/>
                    </w:rPr>
                    <w:t>间断排放，排放期间流量稳定且规律</w:t>
                  </w:r>
                </w:p>
              </w:tc>
            </w:tr>
          </w:tbl>
          <w:p>
            <w:pPr>
              <w:adjustRightInd/>
              <w:snapToGrid/>
              <w:ind w:firstLine="482"/>
              <w:rPr>
                <w:color w:val="auto"/>
                <w:spacing w:val="0"/>
              </w:rPr>
            </w:pPr>
          </w:p>
        </w:tc>
      </w:tr>
    </w:tbl>
    <w:p>
      <w:pPr>
        <w:ind w:firstLine="0" w:firstLineChars="0"/>
        <w:rPr>
          <w:color w:val="auto"/>
          <w:spacing w:val="0"/>
        </w:rPr>
        <w:sectPr>
          <w:pgSz w:w="11906" w:h="16838"/>
          <w:pgMar w:top="1440" w:right="1797" w:bottom="1440" w:left="1797" w:header="851" w:footer="992" w:gutter="0"/>
          <w:pgBorders>
            <w:top w:val="none" w:sz="0" w:space="0"/>
            <w:left w:val="none" w:sz="0" w:space="0"/>
            <w:bottom w:val="none" w:sz="0" w:space="0"/>
            <w:right w:val="none" w:sz="0" w:space="0"/>
          </w:pgBorders>
          <w:pgNumType w:fmt="decimal"/>
          <w:cols w:space="720" w:num="1"/>
          <w:docGrid w:type="lines" w:linePitch="312" w:charSpace="0"/>
        </w:sectPr>
      </w:pPr>
      <w:bookmarkStart w:id="2" w:name="_Hlk54167917"/>
    </w:p>
    <w:tbl>
      <w:tblPr>
        <w:tblStyle w:val="55"/>
        <w:tblW w:w="5012"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31"/>
        <w:gridCol w:w="1359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8" w:type="pct"/>
            <w:tcMar>
              <w:left w:w="28" w:type="dxa"/>
              <w:right w:w="28" w:type="dxa"/>
            </w:tcMar>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运</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营</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期</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环</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境</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影</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响</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和</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保</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护</w:t>
            </w:r>
          </w:p>
          <w:p>
            <w:pPr>
              <w:spacing w:line="240" w:lineRule="auto"/>
              <w:ind w:firstLine="0" w:firstLineChars="0"/>
              <w:jc w:val="center"/>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rPr>
              <w:t>措</w:t>
            </w:r>
          </w:p>
          <w:p>
            <w:pPr>
              <w:spacing w:line="240" w:lineRule="auto"/>
              <w:ind w:firstLine="0" w:firstLineChars="0"/>
              <w:jc w:val="center"/>
              <w:rPr>
                <w:rFonts w:ascii="Times New Roman" w:hAnsi="Times New Roman"/>
                <w:bCs/>
                <w:color w:val="auto"/>
                <w:spacing w:val="0"/>
                <w:sz w:val="24"/>
              </w:rPr>
            </w:pPr>
            <w:r>
              <w:rPr>
                <w:rFonts w:hint="eastAsia" w:ascii="Times New Roman" w:hAnsi="Times New Roman" w:eastAsia="宋体" w:cs="Times New Roman"/>
                <w:color w:val="auto"/>
                <w:spacing w:val="0"/>
                <w:sz w:val="24"/>
                <w:szCs w:val="24"/>
              </w:rPr>
              <w:t>施</w:t>
            </w:r>
          </w:p>
        </w:tc>
        <w:tc>
          <w:tcPr>
            <w:tcW w:w="4811" w:type="pct"/>
            <w:vAlign w:val="center"/>
          </w:tcPr>
          <w:p>
            <w:pPr>
              <w:keepNext w:val="0"/>
              <w:keepLines w:val="0"/>
              <w:pageBreakBefore w:val="0"/>
              <w:widowControl w:val="0"/>
              <w:kinsoku/>
              <w:wordWrap/>
              <w:overflowPunct/>
              <w:topLinePunct w:val="0"/>
              <w:autoSpaceDE/>
              <w:autoSpaceDN/>
              <w:bidi w:val="0"/>
              <w:adjustRightInd/>
              <w:snapToGrid/>
              <w:ind w:firstLine="482"/>
              <w:textAlignment w:val="auto"/>
              <w:rPr>
                <w:rFonts w:ascii="Times New Roman" w:hAnsi="Times New Roman" w:eastAsia="宋体" w:cs="Times New Roman"/>
                <w:b/>
                <w:bCs/>
                <w:color w:val="auto"/>
                <w:spacing w:val="0"/>
                <w:sz w:val="24"/>
              </w:rPr>
            </w:pPr>
            <w:r>
              <w:rPr>
                <w:rFonts w:hint="eastAsia" w:ascii="Times New Roman" w:hAnsi="Times New Roman" w:eastAsia="宋体" w:cs="Times New Roman"/>
                <w:b/>
                <w:bCs/>
                <w:color w:val="auto"/>
                <w:spacing w:val="0"/>
                <w:sz w:val="24"/>
              </w:rPr>
              <w:t>3</w:t>
            </w:r>
            <w:r>
              <w:rPr>
                <w:rFonts w:ascii="Times New Roman" w:hAnsi="Times New Roman" w:eastAsia="宋体" w:cs="Times New Roman"/>
                <w:b/>
                <w:bCs/>
                <w:color w:val="auto"/>
                <w:spacing w:val="0"/>
                <w:sz w:val="24"/>
              </w:rPr>
              <w:t>、噪声</w:t>
            </w:r>
            <w:r>
              <w:rPr>
                <w:rFonts w:hint="eastAsia" w:ascii="Times New Roman" w:hAnsi="Times New Roman" w:eastAsia="宋体" w:cs="Times New Roman"/>
                <w:b/>
                <w:bCs/>
                <w:color w:val="auto"/>
                <w:spacing w:val="0"/>
                <w:sz w:val="24"/>
              </w:rPr>
              <w:t>影响分析</w:t>
            </w:r>
          </w:p>
          <w:p>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eastAsia="宋体" w:cs="Times New Roman"/>
                <w:color w:val="auto"/>
                <w:spacing w:val="0"/>
                <w:w w:val="100"/>
                <w:position w:val="0"/>
                <w:sz w:val="24"/>
                <w:szCs w:val="24"/>
              </w:rPr>
            </w:pPr>
            <w:r>
              <w:rPr>
                <w:rFonts w:hint="eastAsia" w:ascii="Times New Roman" w:hAnsi="Times New Roman" w:eastAsia="宋体" w:cs="Times New Roman"/>
                <w:b/>
                <w:bCs/>
                <w:color w:val="auto"/>
                <w:spacing w:val="0"/>
                <w:sz w:val="24"/>
              </w:rPr>
              <w:t>3.1噪声源强分析</w:t>
            </w:r>
          </w:p>
          <w:p>
            <w:pPr>
              <w:keepNext w:val="0"/>
              <w:keepLines w:val="0"/>
              <w:pageBreakBefore w:val="0"/>
              <w:widowControl w:val="0"/>
              <w:kinsoku/>
              <w:wordWrap/>
              <w:overflowPunct/>
              <w:topLinePunct w:val="0"/>
              <w:autoSpaceDE/>
              <w:autoSpaceDN/>
              <w:bidi w:val="0"/>
              <w:adjustRightInd/>
              <w:snapToGrid/>
              <w:ind w:firstLine="480"/>
              <w:textAlignment w:val="auto"/>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w w:val="100"/>
                <w:position w:val="0"/>
                <w:sz w:val="24"/>
                <w:szCs w:val="24"/>
              </w:rPr>
              <w:t>本项目运营期主要噪声源为</w:t>
            </w:r>
            <w:r>
              <w:rPr>
                <w:rFonts w:hint="eastAsia" w:ascii="Times New Roman" w:hAnsi="Times New Roman" w:eastAsia="宋体" w:cs="Times New Roman"/>
                <w:color w:val="auto"/>
                <w:spacing w:val="0"/>
                <w:w w:val="100"/>
                <w:position w:val="0"/>
                <w:sz w:val="24"/>
                <w:szCs w:val="24"/>
                <w:lang w:val="en-US" w:eastAsia="zh-CN"/>
              </w:rPr>
              <w:t>生产设备运行时产生的噪声，</w:t>
            </w:r>
            <w:r>
              <w:rPr>
                <w:rFonts w:hint="eastAsia" w:ascii="Times New Roman" w:hAnsi="Times New Roman" w:eastAsia="宋体" w:cs="Times New Roman"/>
                <w:color w:val="auto"/>
                <w:spacing w:val="0"/>
                <w:w w:val="100"/>
                <w:position w:val="0"/>
                <w:sz w:val="24"/>
                <w:szCs w:val="24"/>
              </w:rPr>
              <w:t>结合国内类似设备噪声源情况，本项目噪声源1m处声源强度约在70~85dB（A）之间，经过基础减振、厂房隔声等措施进行降噪，具体噪声</w:t>
            </w:r>
            <w:r>
              <w:rPr>
                <w:rFonts w:hint="eastAsia" w:ascii="Times New Roman" w:hAnsi="Times New Roman" w:eastAsia="宋体" w:cs="Times New Roman"/>
                <w:color w:val="auto"/>
                <w:spacing w:val="0"/>
                <w:w w:val="100"/>
                <w:position w:val="0"/>
                <w:sz w:val="24"/>
                <w:szCs w:val="24"/>
                <w:lang w:val="en-US" w:eastAsia="zh-CN"/>
              </w:rPr>
              <w:t>产生情况见下表</w:t>
            </w:r>
            <w:r>
              <w:rPr>
                <w:rFonts w:hint="eastAsia" w:ascii="Times New Roman" w:hAnsi="Times New Roman" w:eastAsia="宋体" w:cs="Times New Roman"/>
                <w:color w:val="auto"/>
                <w:spacing w:val="0"/>
                <w:w w:val="100"/>
                <w:position w:val="0"/>
                <w:sz w:val="24"/>
                <w:szCs w:val="24"/>
              </w:rPr>
              <w:t>。</w:t>
            </w:r>
          </w:p>
          <w:p>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ascii="Times New Roman" w:hAnsi="Times New Roman" w:eastAsia="宋体" w:cs="Times New Roman"/>
                <w:b/>
                <w:bCs/>
                <w:color w:val="auto"/>
                <w:spacing w:val="0"/>
                <w:sz w:val="21"/>
              </w:rPr>
            </w:pPr>
            <w:r>
              <w:rPr>
                <w:rFonts w:ascii="Times New Roman" w:hAnsi="Times New Roman" w:eastAsia="宋体" w:cs="Times New Roman"/>
                <w:b/>
                <w:bCs/>
                <w:color w:val="auto"/>
                <w:spacing w:val="0"/>
                <w:sz w:val="21"/>
              </w:rPr>
              <w:t>表</w:t>
            </w:r>
            <w:r>
              <w:rPr>
                <w:rFonts w:hint="eastAsia" w:ascii="Times New Roman" w:hAnsi="Times New Roman" w:eastAsia="宋体" w:cs="Times New Roman"/>
                <w:b/>
                <w:bCs/>
                <w:color w:val="auto"/>
                <w:spacing w:val="0"/>
                <w:sz w:val="21"/>
              </w:rPr>
              <w:t>4-</w:t>
            </w:r>
            <w:r>
              <w:rPr>
                <w:rFonts w:hint="eastAsia" w:ascii="Times New Roman" w:hAnsi="Times New Roman" w:eastAsia="宋体" w:cs="Times New Roman"/>
                <w:b/>
                <w:bCs/>
                <w:color w:val="auto"/>
                <w:spacing w:val="0"/>
                <w:sz w:val="21"/>
                <w:lang w:val="en-US" w:eastAsia="zh-CN"/>
              </w:rPr>
              <w:t>9</w:t>
            </w:r>
            <w:r>
              <w:rPr>
                <w:rFonts w:hint="eastAsia" w:ascii="Times New Roman" w:hAnsi="Times New Roman" w:eastAsia="宋体" w:cs="Times New Roman"/>
                <w:b/>
                <w:bCs/>
                <w:color w:val="auto"/>
                <w:spacing w:val="0"/>
                <w:sz w:val="21"/>
              </w:rPr>
              <w:t xml:space="preserve">  </w:t>
            </w:r>
            <w:r>
              <w:rPr>
                <w:rFonts w:ascii="Times New Roman" w:hAnsi="Times New Roman" w:eastAsia="宋体" w:cs="Times New Roman"/>
                <w:b/>
                <w:bCs/>
                <w:color w:val="auto"/>
                <w:spacing w:val="0"/>
                <w:sz w:val="21"/>
              </w:rPr>
              <w:t>工业企业噪声源强调查清单（室</w:t>
            </w:r>
            <w:r>
              <w:rPr>
                <w:rFonts w:hint="eastAsia" w:ascii="Times New Roman" w:hAnsi="Times New Roman" w:eastAsia="宋体" w:cs="Times New Roman"/>
                <w:b/>
                <w:bCs/>
                <w:color w:val="auto"/>
                <w:spacing w:val="0"/>
                <w:sz w:val="21"/>
              </w:rPr>
              <w:t>内声</w:t>
            </w:r>
            <w:r>
              <w:rPr>
                <w:rFonts w:ascii="Times New Roman" w:hAnsi="Times New Roman" w:eastAsia="宋体" w:cs="Times New Roman"/>
                <w:b/>
                <w:bCs/>
                <w:color w:val="auto"/>
                <w:spacing w:val="0"/>
                <w:sz w:val="21"/>
              </w:rPr>
              <w:t>源）</w:t>
            </w:r>
          </w:p>
          <w:tbl>
            <w:tblPr>
              <w:tblStyle w:val="55"/>
              <w:tblW w:w="5000" w:type="pct"/>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108" w:type="dxa"/>
                <w:bottom w:w="0" w:type="dxa"/>
                <w:right w:w="108" w:type="dxa"/>
              </w:tblCellMar>
            </w:tblPr>
            <w:tblGrid>
              <w:gridCol w:w="396"/>
              <w:gridCol w:w="396"/>
              <w:gridCol w:w="706"/>
              <w:gridCol w:w="576"/>
              <w:gridCol w:w="595"/>
              <w:gridCol w:w="595"/>
              <w:gridCol w:w="443"/>
              <w:gridCol w:w="531"/>
              <w:gridCol w:w="531"/>
              <w:gridCol w:w="531"/>
              <w:gridCol w:w="553"/>
              <w:gridCol w:w="621"/>
              <w:gridCol w:w="621"/>
              <w:gridCol w:w="621"/>
              <w:gridCol w:w="623"/>
              <w:gridCol w:w="537"/>
              <w:gridCol w:w="396"/>
              <w:gridCol w:w="396"/>
              <w:gridCol w:w="396"/>
              <w:gridCol w:w="396"/>
              <w:gridCol w:w="621"/>
              <w:gridCol w:w="621"/>
              <w:gridCol w:w="621"/>
              <w:gridCol w:w="631"/>
              <w:gridCol w:w="407"/>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297" w:hRule="atLeast"/>
              </w:trPr>
              <w:tc>
                <w:tcPr>
                  <w:tcW w:w="148" w:type="pct"/>
                  <w:vMerge w:val="restar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ascii="Times New Roman" w:hAnsi="Times New Roman" w:eastAsia="宋体" w:cs="Times New Roman"/>
                      <w:color w:val="auto"/>
                      <w:spacing w:val="0"/>
                      <w:sz w:val="18"/>
                      <w:szCs w:val="18"/>
                    </w:rPr>
                    <w:t>建筑物名称</w:t>
                  </w:r>
                </w:p>
              </w:tc>
              <w:tc>
                <w:tcPr>
                  <w:tcW w:w="148" w:type="pct"/>
                  <w:vMerge w:val="restar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ascii="Times New Roman" w:hAnsi="Times New Roman" w:eastAsia="宋体" w:cs="Times New Roman"/>
                      <w:color w:val="auto"/>
                      <w:spacing w:val="0"/>
                      <w:sz w:val="18"/>
                      <w:szCs w:val="18"/>
                    </w:rPr>
                    <w:t>声源</w:t>
                  </w:r>
                </w:p>
                <w:p>
                  <w:pPr>
                    <w:widowControl/>
                    <w:spacing w:line="240" w:lineRule="auto"/>
                    <w:ind w:firstLine="0" w:firstLineChars="0"/>
                    <w:jc w:val="center"/>
                    <w:rPr>
                      <w:rFonts w:ascii="Times New Roman" w:hAnsi="Times New Roman" w:eastAsia="宋体" w:cs="Times New Roman"/>
                      <w:color w:val="auto"/>
                      <w:spacing w:val="0"/>
                      <w:sz w:val="18"/>
                      <w:szCs w:val="18"/>
                    </w:rPr>
                  </w:pPr>
                  <w:r>
                    <w:rPr>
                      <w:rFonts w:ascii="Times New Roman" w:hAnsi="Times New Roman" w:eastAsia="宋体" w:cs="Times New Roman"/>
                      <w:color w:val="auto"/>
                      <w:spacing w:val="0"/>
                      <w:sz w:val="18"/>
                      <w:szCs w:val="18"/>
                    </w:rPr>
                    <w:t>名称</w:t>
                  </w:r>
                </w:p>
              </w:tc>
              <w:tc>
                <w:tcPr>
                  <w:tcW w:w="264" w:type="pc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ascii="Times New Roman" w:hAnsi="Times New Roman" w:eastAsia="宋体" w:cs="Times New Roman"/>
                      <w:color w:val="auto"/>
                      <w:spacing w:val="0"/>
                      <w:sz w:val="18"/>
                      <w:szCs w:val="18"/>
                    </w:rPr>
                    <w:t>声源源强</w:t>
                  </w:r>
                </w:p>
              </w:tc>
              <w:tc>
                <w:tcPr>
                  <w:tcW w:w="215" w:type="pct"/>
                  <w:vMerge w:val="restar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ascii="Times New Roman" w:hAnsi="Times New Roman" w:eastAsia="宋体" w:cs="Times New Roman"/>
                      <w:color w:val="auto"/>
                      <w:spacing w:val="0"/>
                      <w:sz w:val="18"/>
                      <w:szCs w:val="18"/>
                    </w:rPr>
                    <w:t>声源控制措施</w:t>
                  </w:r>
                </w:p>
              </w:tc>
              <w:tc>
                <w:tcPr>
                  <w:tcW w:w="612" w:type="pct"/>
                  <w:gridSpan w:val="3"/>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ascii="Times New Roman" w:hAnsi="Times New Roman" w:eastAsia="宋体" w:cs="Times New Roman"/>
                      <w:color w:val="auto"/>
                      <w:spacing w:val="0"/>
                      <w:sz w:val="18"/>
                      <w:szCs w:val="18"/>
                    </w:rPr>
                    <w:t>空间相对位置/m</w:t>
                  </w:r>
                </w:p>
              </w:tc>
              <w:tc>
                <w:tcPr>
                  <w:tcW w:w="801" w:type="pct"/>
                  <w:gridSpan w:val="4"/>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ascii="Times New Roman" w:hAnsi="Times New Roman" w:eastAsia="宋体" w:cs="Times New Roman"/>
                      <w:color w:val="auto"/>
                      <w:spacing w:val="0"/>
                      <w:sz w:val="18"/>
                      <w:szCs w:val="18"/>
                    </w:rPr>
                    <w:t>距室内边界距离/m*</w:t>
                  </w:r>
                </w:p>
              </w:tc>
              <w:tc>
                <w:tcPr>
                  <w:tcW w:w="929" w:type="pct"/>
                  <w:gridSpan w:val="4"/>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ascii="Times New Roman" w:hAnsi="Times New Roman" w:eastAsia="宋体" w:cs="Times New Roman"/>
                      <w:color w:val="auto"/>
                      <w:spacing w:val="0"/>
                      <w:sz w:val="18"/>
                      <w:szCs w:val="18"/>
                    </w:rPr>
                    <w:t>室内边界声级/db（A）</w:t>
                  </w:r>
                </w:p>
              </w:tc>
              <w:tc>
                <w:tcPr>
                  <w:tcW w:w="200" w:type="pct"/>
                  <w:vMerge w:val="restar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ascii="Times New Roman" w:hAnsi="Times New Roman" w:eastAsia="宋体" w:cs="Times New Roman"/>
                      <w:color w:val="auto"/>
                      <w:spacing w:val="0"/>
                      <w:sz w:val="18"/>
                      <w:szCs w:val="18"/>
                    </w:rPr>
                    <w:t>运行</w:t>
                  </w:r>
                </w:p>
                <w:p>
                  <w:pPr>
                    <w:spacing w:line="240" w:lineRule="auto"/>
                    <w:ind w:firstLine="0" w:firstLineChars="0"/>
                    <w:jc w:val="center"/>
                    <w:rPr>
                      <w:rFonts w:ascii="Times New Roman" w:hAnsi="Times New Roman" w:eastAsia="宋体" w:cs="Times New Roman"/>
                      <w:color w:val="auto"/>
                      <w:spacing w:val="0"/>
                      <w:sz w:val="18"/>
                      <w:szCs w:val="18"/>
                    </w:rPr>
                  </w:pPr>
                  <w:r>
                    <w:rPr>
                      <w:rFonts w:ascii="Times New Roman" w:hAnsi="Times New Roman" w:eastAsia="宋体" w:cs="Times New Roman"/>
                      <w:color w:val="auto"/>
                      <w:spacing w:val="0"/>
                      <w:sz w:val="18"/>
                      <w:szCs w:val="18"/>
                    </w:rPr>
                    <w:t>时段</w:t>
                  </w:r>
                </w:p>
              </w:tc>
              <w:tc>
                <w:tcPr>
                  <w:tcW w:w="592" w:type="pct"/>
                  <w:gridSpan w:val="4"/>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ascii="Times New Roman" w:hAnsi="Times New Roman" w:eastAsia="宋体" w:cs="Times New Roman"/>
                      <w:color w:val="auto"/>
                      <w:spacing w:val="0"/>
                      <w:sz w:val="18"/>
                      <w:szCs w:val="18"/>
                    </w:rPr>
                    <w:t>建筑物插入损失/dB</w:t>
                  </w:r>
                  <w:r>
                    <w:rPr>
                      <w:rFonts w:hint="eastAsia" w:ascii="Times New Roman" w:hAnsi="Times New Roman" w:eastAsia="宋体" w:cs="Times New Roman"/>
                      <w:color w:val="auto"/>
                      <w:spacing w:val="0"/>
                      <w:sz w:val="18"/>
                      <w:szCs w:val="18"/>
                    </w:rPr>
                    <w:t>(</w:t>
                  </w:r>
                  <w:r>
                    <w:rPr>
                      <w:rFonts w:ascii="Times New Roman" w:hAnsi="Times New Roman" w:eastAsia="宋体" w:cs="Times New Roman"/>
                      <w:color w:val="auto"/>
                      <w:spacing w:val="0"/>
                      <w:sz w:val="18"/>
                      <w:szCs w:val="18"/>
                    </w:rPr>
                    <w:t>A</w:t>
                  </w:r>
                  <w:r>
                    <w:rPr>
                      <w:rFonts w:hint="eastAsia" w:ascii="Times New Roman" w:hAnsi="Times New Roman" w:eastAsia="宋体" w:cs="Times New Roman"/>
                      <w:color w:val="auto"/>
                      <w:spacing w:val="0"/>
                      <w:sz w:val="18"/>
                      <w:szCs w:val="18"/>
                    </w:rPr>
                    <w:t>)</w:t>
                  </w:r>
                </w:p>
              </w:tc>
              <w:tc>
                <w:tcPr>
                  <w:tcW w:w="932" w:type="pct"/>
                  <w:gridSpan w:val="4"/>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hint="eastAsia" w:ascii="Times New Roman" w:hAnsi="Times New Roman" w:eastAsia="宋体" w:cs="Times New Roman"/>
                      <w:color w:val="auto"/>
                      <w:spacing w:val="0"/>
                      <w:sz w:val="18"/>
                      <w:szCs w:val="18"/>
                    </w:rPr>
                    <w:t>建筑物外噪声声压级/dB（A）</w:t>
                  </w:r>
                </w:p>
              </w:tc>
              <w:tc>
                <w:tcPr>
                  <w:tcW w:w="152" w:type="pct"/>
                  <w:vMerge w:val="restar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ascii="Times New Roman" w:hAnsi="Times New Roman" w:eastAsia="宋体" w:cs="Times New Roman"/>
                      <w:color w:val="auto"/>
                      <w:spacing w:val="0"/>
                      <w:sz w:val="18"/>
                      <w:szCs w:val="18"/>
                    </w:rPr>
                    <w:t>建筑物外距离/m</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148" w:type="pct"/>
                  <w:vMerge w:val="continue"/>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p>
              </w:tc>
              <w:tc>
                <w:tcPr>
                  <w:tcW w:w="148" w:type="pct"/>
                  <w:vMerge w:val="continue"/>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p>
              </w:tc>
              <w:tc>
                <w:tcPr>
                  <w:tcW w:w="264" w:type="pc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hint="eastAsia" w:ascii="Times New Roman" w:hAnsi="Times New Roman" w:eastAsia="宋体" w:cs="Times New Roman"/>
                      <w:color w:val="auto"/>
                      <w:spacing w:val="0"/>
                      <w:sz w:val="18"/>
                      <w:szCs w:val="18"/>
                    </w:rPr>
                    <w:t>声功率级/dB（A）</w:t>
                  </w:r>
                </w:p>
              </w:tc>
              <w:tc>
                <w:tcPr>
                  <w:tcW w:w="215" w:type="pct"/>
                  <w:vMerge w:val="continue"/>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p>
              </w:tc>
              <w:tc>
                <w:tcPr>
                  <w:tcW w:w="223" w:type="pc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ascii="Times New Roman" w:hAnsi="Times New Roman" w:eastAsia="宋体" w:cs="Times New Roman"/>
                      <w:color w:val="auto"/>
                      <w:spacing w:val="0"/>
                      <w:sz w:val="18"/>
                      <w:szCs w:val="18"/>
                    </w:rPr>
                    <w:t>X</w:t>
                  </w:r>
                </w:p>
              </w:tc>
              <w:tc>
                <w:tcPr>
                  <w:tcW w:w="223" w:type="pc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ascii="Times New Roman" w:hAnsi="Times New Roman" w:eastAsia="宋体" w:cs="Times New Roman"/>
                      <w:color w:val="auto"/>
                      <w:spacing w:val="0"/>
                      <w:sz w:val="18"/>
                      <w:szCs w:val="18"/>
                    </w:rPr>
                    <w:t>Y</w:t>
                  </w:r>
                </w:p>
              </w:tc>
              <w:tc>
                <w:tcPr>
                  <w:tcW w:w="165" w:type="pc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ascii="Times New Roman" w:hAnsi="Times New Roman" w:eastAsia="宋体" w:cs="Times New Roman"/>
                      <w:color w:val="auto"/>
                      <w:spacing w:val="0"/>
                      <w:sz w:val="18"/>
                      <w:szCs w:val="18"/>
                    </w:rPr>
                    <w:t>Z</w:t>
                  </w:r>
                </w:p>
              </w:tc>
              <w:tc>
                <w:tcPr>
                  <w:tcW w:w="198" w:type="pc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hint="eastAsia" w:ascii="Times New Roman" w:hAnsi="Times New Roman" w:eastAsia="宋体" w:cs="Times New Roman"/>
                      <w:color w:val="auto"/>
                      <w:spacing w:val="0"/>
                      <w:sz w:val="18"/>
                      <w:szCs w:val="18"/>
                    </w:rPr>
                    <w:t>东</w:t>
                  </w:r>
                </w:p>
              </w:tc>
              <w:tc>
                <w:tcPr>
                  <w:tcW w:w="198" w:type="pc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hint="eastAsia" w:ascii="Times New Roman" w:hAnsi="Times New Roman" w:eastAsia="宋体" w:cs="Times New Roman"/>
                      <w:color w:val="auto"/>
                      <w:spacing w:val="0"/>
                      <w:sz w:val="18"/>
                      <w:szCs w:val="18"/>
                    </w:rPr>
                    <w:t>南</w:t>
                  </w:r>
                </w:p>
              </w:tc>
              <w:tc>
                <w:tcPr>
                  <w:tcW w:w="198" w:type="pc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hint="eastAsia" w:ascii="Times New Roman" w:hAnsi="Times New Roman" w:eastAsia="宋体" w:cs="Times New Roman"/>
                      <w:color w:val="auto"/>
                      <w:spacing w:val="0"/>
                      <w:sz w:val="18"/>
                      <w:szCs w:val="18"/>
                    </w:rPr>
                    <w:t>西</w:t>
                  </w:r>
                </w:p>
              </w:tc>
              <w:tc>
                <w:tcPr>
                  <w:tcW w:w="205" w:type="pct"/>
                  <w:shd w:val="clear" w:color="auto" w:fill="auto"/>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北</w:t>
                  </w:r>
                </w:p>
              </w:tc>
              <w:tc>
                <w:tcPr>
                  <w:tcW w:w="232" w:type="pc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hint="eastAsia" w:ascii="Times New Roman" w:hAnsi="Times New Roman" w:eastAsia="宋体" w:cs="Times New Roman"/>
                      <w:color w:val="auto"/>
                      <w:spacing w:val="0"/>
                      <w:sz w:val="18"/>
                      <w:szCs w:val="18"/>
                    </w:rPr>
                    <w:t>东</w:t>
                  </w:r>
                </w:p>
              </w:tc>
              <w:tc>
                <w:tcPr>
                  <w:tcW w:w="232" w:type="pc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hint="eastAsia" w:ascii="Times New Roman" w:hAnsi="Times New Roman" w:eastAsia="宋体" w:cs="Times New Roman"/>
                      <w:color w:val="auto"/>
                      <w:spacing w:val="0"/>
                      <w:sz w:val="18"/>
                      <w:szCs w:val="18"/>
                    </w:rPr>
                    <w:t>南</w:t>
                  </w:r>
                </w:p>
              </w:tc>
              <w:tc>
                <w:tcPr>
                  <w:tcW w:w="232" w:type="pc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hint="eastAsia" w:ascii="Times New Roman" w:hAnsi="Times New Roman" w:eastAsia="宋体" w:cs="Times New Roman"/>
                      <w:color w:val="auto"/>
                      <w:spacing w:val="0"/>
                      <w:sz w:val="18"/>
                      <w:szCs w:val="18"/>
                    </w:rPr>
                    <w:t>西</w:t>
                  </w:r>
                </w:p>
              </w:tc>
              <w:tc>
                <w:tcPr>
                  <w:tcW w:w="232" w:type="pc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hint="eastAsia" w:ascii="Times New Roman" w:hAnsi="Times New Roman" w:eastAsia="宋体" w:cs="Times New Roman"/>
                      <w:color w:val="auto"/>
                      <w:spacing w:val="0"/>
                      <w:sz w:val="18"/>
                      <w:szCs w:val="18"/>
                    </w:rPr>
                    <w:t>北</w:t>
                  </w:r>
                </w:p>
              </w:tc>
              <w:tc>
                <w:tcPr>
                  <w:tcW w:w="200" w:type="pct"/>
                  <w:vMerge w:val="continue"/>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p>
              </w:tc>
              <w:tc>
                <w:tcPr>
                  <w:tcW w:w="148" w:type="pc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hint="eastAsia" w:ascii="Times New Roman" w:hAnsi="Times New Roman" w:eastAsia="宋体" w:cs="Times New Roman"/>
                      <w:color w:val="auto"/>
                      <w:spacing w:val="0"/>
                      <w:sz w:val="18"/>
                      <w:szCs w:val="18"/>
                    </w:rPr>
                    <w:t>东</w:t>
                  </w:r>
                </w:p>
              </w:tc>
              <w:tc>
                <w:tcPr>
                  <w:tcW w:w="148" w:type="pc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hint="eastAsia" w:ascii="Times New Roman" w:hAnsi="Times New Roman" w:eastAsia="宋体" w:cs="Times New Roman"/>
                      <w:color w:val="auto"/>
                      <w:spacing w:val="0"/>
                      <w:sz w:val="18"/>
                      <w:szCs w:val="18"/>
                    </w:rPr>
                    <w:t>南</w:t>
                  </w:r>
                </w:p>
              </w:tc>
              <w:tc>
                <w:tcPr>
                  <w:tcW w:w="148" w:type="pc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hint="eastAsia" w:ascii="Times New Roman" w:hAnsi="Times New Roman" w:eastAsia="宋体" w:cs="Times New Roman"/>
                      <w:color w:val="auto"/>
                      <w:spacing w:val="0"/>
                      <w:sz w:val="18"/>
                      <w:szCs w:val="18"/>
                    </w:rPr>
                    <w:t>西</w:t>
                  </w:r>
                </w:p>
              </w:tc>
              <w:tc>
                <w:tcPr>
                  <w:tcW w:w="148" w:type="pc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hint="eastAsia" w:ascii="Times New Roman" w:hAnsi="Times New Roman" w:eastAsia="宋体" w:cs="Times New Roman"/>
                      <w:color w:val="auto"/>
                      <w:spacing w:val="0"/>
                      <w:sz w:val="18"/>
                      <w:szCs w:val="18"/>
                    </w:rPr>
                    <w:t>北</w:t>
                  </w:r>
                </w:p>
              </w:tc>
              <w:tc>
                <w:tcPr>
                  <w:tcW w:w="232" w:type="pc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hint="eastAsia" w:ascii="Times New Roman" w:hAnsi="Times New Roman" w:eastAsia="宋体" w:cs="Times New Roman"/>
                      <w:color w:val="auto"/>
                      <w:spacing w:val="0"/>
                      <w:sz w:val="18"/>
                      <w:szCs w:val="18"/>
                    </w:rPr>
                    <w:t>东</w:t>
                  </w:r>
                </w:p>
              </w:tc>
              <w:tc>
                <w:tcPr>
                  <w:tcW w:w="232" w:type="pc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hint="eastAsia" w:ascii="Times New Roman" w:hAnsi="Times New Roman" w:eastAsia="宋体" w:cs="Times New Roman"/>
                      <w:color w:val="auto"/>
                      <w:spacing w:val="0"/>
                      <w:sz w:val="18"/>
                      <w:szCs w:val="18"/>
                    </w:rPr>
                    <w:t>南</w:t>
                  </w:r>
                </w:p>
              </w:tc>
              <w:tc>
                <w:tcPr>
                  <w:tcW w:w="232" w:type="pc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hint="eastAsia" w:ascii="Times New Roman" w:hAnsi="Times New Roman" w:eastAsia="宋体" w:cs="Times New Roman"/>
                      <w:color w:val="auto"/>
                      <w:spacing w:val="0"/>
                      <w:sz w:val="18"/>
                      <w:szCs w:val="18"/>
                    </w:rPr>
                    <w:t>西</w:t>
                  </w:r>
                </w:p>
              </w:tc>
              <w:tc>
                <w:tcPr>
                  <w:tcW w:w="235" w:type="pc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hint="eastAsia" w:ascii="Times New Roman" w:hAnsi="Times New Roman" w:eastAsia="宋体" w:cs="Times New Roman"/>
                      <w:color w:val="auto"/>
                      <w:spacing w:val="0"/>
                      <w:sz w:val="18"/>
                      <w:szCs w:val="18"/>
                    </w:rPr>
                    <w:t>北</w:t>
                  </w:r>
                </w:p>
              </w:tc>
              <w:tc>
                <w:tcPr>
                  <w:tcW w:w="152" w:type="pct"/>
                  <w:vMerge w:val="continue"/>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148" w:type="pct"/>
                  <w:vMerge w:val="restar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hint="eastAsia" w:ascii="Times New Roman" w:hAnsi="Times New Roman" w:eastAsia="宋体" w:cs="Times New Roman"/>
                      <w:color w:val="auto"/>
                      <w:spacing w:val="0"/>
                      <w:sz w:val="18"/>
                      <w:szCs w:val="18"/>
                    </w:rPr>
                    <w:t>生产车间</w:t>
                  </w:r>
                </w:p>
              </w:tc>
              <w:tc>
                <w:tcPr>
                  <w:tcW w:w="148" w:type="pct"/>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pacing w:val="0"/>
                      <w:sz w:val="18"/>
                      <w:szCs w:val="18"/>
                      <w:lang w:val="en-US" w:eastAsia="zh-CN"/>
                    </w:rPr>
                  </w:pPr>
                  <w:r>
                    <w:rPr>
                      <w:rFonts w:hint="default" w:ascii="Times New Roman" w:hAnsi="Times New Roman" w:eastAsia="宋体" w:cs="Times New Roman"/>
                      <w:color w:val="auto"/>
                      <w:spacing w:val="0"/>
                      <w:sz w:val="18"/>
                      <w:szCs w:val="18"/>
                    </w:rPr>
                    <w:t>振动</w:t>
                  </w:r>
                  <w:r>
                    <w:rPr>
                      <w:rFonts w:hint="eastAsia" w:ascii="Times New Roman" w:hAnsi="Times New Roman" w:eastAsia="宋体" w:cs="Times New Roman"/>
                      <w:color w:val="auto"/>
                      <w:spacing w:val="0"/>
                      <w:sz w:val="18"/>
                      <w:szCs w:val="18"/>
                      <w:lang w:eastAsia="zh-CN"/>
                    </w:rPr>
                    <w:t>投料</w:t>
                  </w:r>
                  <w:r>
                    <w:rPr>
                      <w:rFonts w:hint="default" w:ascii="Times New Roman" w:hAnsi="Times New Roman" w:eastAsia="宋体" w:cs="Times New Roman"/>
                      <w:color w:val="auto"/>
                      <w:spacing w:val="0"/>
                      <w:sz w:val="18"/>
                      <w:szCs w:val="18"/>
                    </w:rPr>
                    <w:t>机</w:t>
                  </w:r>
                </w:p>
              </w:tc>
              <w:tc>
                <w:tcPr>
                  <w:tcW w:w="264" w:type="pct"/>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75</w:t>
                  </w:r>
                </w:p>
              </w:tc>
              <w:tc>
                <w:tcPr>
                  <w:tcW w:w="215" w:type="pct"/>
                  <w:vMerge w:val="restar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hint="eastAsia" w:ascii="Times New Roman" w:hAnsi="Times New Roman" w:eastAsia="宋体" w:cs="Times New Roman"/>
                      <w:color w:val="auto"/>
                      <w:spacing w:val="0"/>
                      <w:sz w:val="18"/>
                      <w:szCs w:val="18"/>
                      <w:lang w:val="en-US" w:eastAsia="zh-CN"/>
                    </w:rPr>
                    <w:t>低噪声设备、</w:t>
                  </w:r>
                  <w:r>
                    <w:rPr>
                      <w:rFonts w:hint="eastAsia" w:ascii="Times New Roman" w:hAnsi="Times New Roman" w:eastAsia="宋体" w:cs="Times New Roman"/>
                      <w:color w:val="auto"/>
                      <w:spacing w:val="0"/>
                      <w:sz w:val="18"/>
                      <w:szCs w:val="18"/>
                    </w:rPr>
                    <w:t>基础减振，厂房隔声等降噪措施</w:t>
                  </w:r>
                </w:p>
              </w:tc>
              <w:tc>
                <w:tcPr>
                  <w:tcW w:w="223"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15.8</w:t>
                  </w:r>
                </w:p>
              </w:tc>
              <w:tc>
                <w:tcPr>
                  <w:tcW w:w="223"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32.1</w:t>
                  </w:r>
                </w:p>
              </w:tc>
              <w:tc>
                <w:tcPr>
                  <w:tcW w:w="165"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1.2</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22</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10.5</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15</w:t>
                  </w:r>
                </w:p>
              </w:tc>
              <w:tc>
                <w:tcPr>
                  <w:tcW w:w="205"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50.5</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48.15</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54.58</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51.48</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40.93</w:t>
                  </w:r>
                </w:p>
              </w:tc>
              <w:tc>
                <w:tcPr>
                  <w:tcW w:w="200"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8h/d</w:t>
                  </w:r>
                </w:p>
              </w:tc>
              <w:tc>
                <w:tcPr>
                  <w:tcW w:w="14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20</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28.15</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34.58</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31.48</w:t>
                  </w:r>
                </w:p>
              </w:tc>
              <w:tc>
                <w:tcPr>
                  <w:tcW w:w="235"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20.93</w:t>
                  </w:r>
                </w:p>
              </w:tc>
              <w:tc>
                <w:tcPr>
                  <w:tcW w:w="152" w:type="pc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hint="eastAsia" w:ascii="Times New Roman" w:hAnsi="Times New Roman" w:eastAsia="宋体" w:cs="Times New Roman"/>
                      <w:color w:val="auto"/>
                      <w:spacing w:val="0"/>
                      <w:sz w:val="18"/>
                      <w:szCs w:val="18"/>
                    </w:rPr>
                    <w:t>1</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283" w:hRule="atLeast"/>
              </w:trPr>
              <w:tc>
                <w:tcPr>
                  <w:tcW w:w="148" w:type="pct"/>
                  <w:vMerge w:val="continue"/>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p>
              </w:tc>
              <w:tc>
                <w:tcPr>
                  <w:tcW w:w="148" w:type="pct"/>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eastAsia="zh-CN"/>
                    </w:rPr>
                    <w:t>颚式破碎机</w:t>
                  </w:r>
                </w:p>
              </w:tc>
              <w:tc>
                <w:tcPr>
                  <w:tcW w:w="264" w:type="pct"/>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pacing w:val="0"/>
                      <w:sz w:val="18"/>
                      <w:szCs w:val="18"/>
                      <w:lang w:val="en-US"/>
                    </w:rPr>
                  </w:pPr>
                  <w:r>
                    <w:rPr>
                      <w:rFonts w:hint="eastAsia" w:ascii="Times New Roman" w:hAnsi="Times New Roman" w:eastAsia="宋体" w:cs="Times New Roman"/>
                      <w:color w:val="auto"/>
                      <w:spacing w:val="0"/>
                      <w:sz w:val="18"/>
                      <w:szCs w:val="18"/>
                      <w:lang w:val="en-US" w:eastAsia="zh-CN"/>
                    </w:rPr>
                    <w:t>75</w:t>
                  </w:r>
                </w:p>
              </w:tc>
              <w:tc>
                <w:tcPr>
                  <w:tcW w:w="215" w:type="pct"/>
                  <w:vMerge w:val="continue"/>
                  <w:shd w:val="clear" w:color="auto" w:fill="auto"/>
                  <w:vAlign w:val="center"/>
                </w:tcPr>
                <w:p>
                  <w:pPr>
                    <w:widowControl/>
                    <w:spacing w:line="240" w:lineRule="auto"/>
                    <w:ind w:firstLine="0" w:firstLineChars="0"/>
                    <w:jc w:val="center"/>
                    <w:textAlignment w:val="center"/>
                    <w:rPr>
                      <w:rFonts w:ascii="Times New Roman" w:hAnsi="Times New Roman" w:eastAsia="宋体" w:cs="Times New Roman"/>
                      <w:color w:val="auto"/>
                      <w:spacing w:val="0"/>
                      <w:sz w:val="18"/>
                      <w:szCs w:val="18"/>
                      <w:lang w:bidi="ar"/>
                    </w:rPr>
                  </w:pPr>
                </w:p>
              </w:tc>
              <w:tc>
                <w:tcPr>
                  <w:tcW w:w="223"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11.1</w:t>
                  </w:r>
                </w:p>
              </w:tc>
              <w:tc>
                <w:tcPr>
                  <w:tcW w:w="223"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39.7</w:t>
                  </w:r>
                </w:p>
              </w:tc>
              <w:tc>
                <w:tcPr>
                  <w:tcW w:w="165"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1.2</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21.5</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19.1</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15.5</w:t>
                  </w:r>
                </w:p>
              </w:tc>
              <w:tc>
                <w:tcPr>
                  <w:tcW w:w="205"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41.9</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48.35</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49.38</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51.19</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42.56</w:t>
                  </w:r>
                </w:p>
              </w:tc>
              <w:tc>
                <w:tcPr>
                  <w:tcW w:w="200"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8h/d</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28.35</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29.38</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31.19</w:t>
                  </w:r>
                </w:p>
              </w:tc>
              <w:tc>
                <w:tcPr>
                  <w:tcW w:w="235"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22.56</w:t>
                  </w:r>
                </w:p>
              </w:tc>
              <w:tc>
                <w:tcPr>
                  <w:tcW w:w="152" w:type="pc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hint="eastAsia" w:ascii="Times New Roman" w:hAnsi="Times New Roman" w:eastAsia="宋体" w:cs="Times New Roman"/>
                      <w:color w:val="auto"/>
                      <w:spacing w:val="0"/>
                      <w:sz w:val="18"/>
                      <w:szCs w:val="18"/>
                    </w:rPr>
                    <w:t>1</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283" w:hRule="atLeast"/>
              </w:trPr>
              <w:tc>
                <w:tcPr>
                  <w:tcW w:w="148" w:type="pct"/>
                  <w:vMerge w:val="continue"/>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p>
              </w:tc>
              <w:tc>
                <w:tcPr>
                  <w:tcW w:w="148" w:type="pct"/>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永磁自卸式除铁器1</w:t>
                  </w:r>
                </w:p>
              </w:tc>
              <w:tc>
                <w:tcPr>
                  <w:tcW w:w="264" w:type="pct"/>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75</w:t>
                  </w:r>
                </w:p>
              </w:tc>
              <w:tc>
                <w:tcPr>
                  <w:tcW w:w="215" w:type="pct"/>
                  <w:vMerge w:val="continue"/>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p>
              </w:tc>
              <w:tc>
                <w:tcPr>
                  <w:tcW w:w="223"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8.8</w:t>
                  </w:r>
                </w:p>
              </w:tc>
              <w:tc>
                <w:tcPr>
                  <w:tcW w:w="223"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48.5</w:t>
                  </w:r>
                </w:p>
              </w:tc>
              <w:tc>
                <w:tcPr>
                  <w:tcW w:w="165" w:type="pct"/>
                  <w:shd w:val="clear" w:color="auto" w:fill="auto"/>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1.2</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20</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25.8</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17</w:t>
                  </w:r>
                </w:p>
              </w:tc>
              <w:tc>
                <w:tcPr>
                  <w:tcW w:w="205"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35.2</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48.98</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46.77</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50.39</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44.07</w:t>
                  </w:r>
                </w:p>
              </w:tc>
              <w:tc>
                <w:tcPr>
                  <w:tcW w:w="200"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ascii="Times New Roman" w:hAnsi="Times New Roman" w:eastAsia="宋体" w:cs="Times New Roman"/>
                      <w:color w:val="auto"/>
                      <w:spacing w:val="0"/>
                      <w:sz w:val="18"/>
                      <w:szCs w:val="18"/>
                    </w:rPr>
                  </w:pPr>
                  <w:r>
                    <w:rPr>
                      <w:rFonts w:hint="eastAsia" w:ascii="Times New Roman" w:hAnsi="Times New Roman" w:eastAsia="宋体" w:cs="Times New Roman"/>
                      <w:color w:val="auto"/>
                      <w:spacing w:val="0"/>
                      <w:sz w:val="18"/>
                      <w:szCs w:val="18"/>
                      <w:lang w:val="en-US" w:eastAsia="zh-CN"/>
                    </w:rPr>
                    <w:t>8h/d</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28.98</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26.77</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30.39</w:t>
                  </w:r>
                </w:p>
              </w:tc>
              <w:tc>
                <w:tcPr>
                  <w:tcW w:w="235"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24.07</w:t>
                  </w:r>
                </w:p>
              </w:tc>
              <w:tc>
                <w:tcPr>
                  <w:tcW w:w="152" w:type="pct"/>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r>
                    <w:rPr>
                      <w:rFonts w:hint="eastAsia" w:ascii="Times New Roman" w:hAnsi="Times New Roman" w:eastAsia="宋体" w:cs="Times New Roman"/>
                      <w:color w:val="auto"/>
                      <w:spacing w:val="0"/>
                      <w:sz w:val="18"/>
                      <w:szCs w:val="18"/>
                    </w:rPr>
                    <w:t>1</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283" w:hRule="atLeast"/>
              </w:trPr>
              <w:tc>
                <w:tcPr>
                  <w:tcW w:w="148" w:type="pct"/>
                  <w:vMerge w:val="continue"/>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p>
              </w:tc>
              <w:tc>
                <w:tcPr>
                  <w:tcW w:w="148" w:type="pct"/>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永磁自卸式除铁器2</w:t>
                  </w:r>
                </w:p>
              </w:tc>
              <w:tc>
                <w:tcPr>
                  <w:tcW w:w="264" w:type="pct"/>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75</w:t>
                  </w:r>
                </w:p>
              </w:tc>
              <w:tc>
                <w:tcPr>
                  <w:tcW w:w="215" w:type="pct"/>
                  <w:vMerge w:val="continue"/>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p>
              </w:tc>
              <w:tc>
                <w:tcPr>
                  <w:tcW w:w="223"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-3.0</w:t>
                  </w:r>
                </w:p>
              </w:tc>
              <w:tc>
                <w:tcPr>
                  <w:tcW w:w="223"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67.2</w:t>
                  </w:r>
                </w:p>
              </w:tc>
              <w:tc>
                <w:tcPr>
                  <w:tcW w:w="165" w:type="pct"/>
                  <w:shd w:val="clear" w:color="auto" w:fill="auto"/>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1.2</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20</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50</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17</w:t>
                  </w:r>
                </w:p>
              </w:tc>
              <w:tc>
                <w:tcPr>
                  <w:tcW w:w="205"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11</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48.98</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41.02</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50.39</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54.17</w:t>
                  </w:r>
                </w:p>
              </w:tc>
              <w:tc>
                <w:tcPr>
                  <w:tcW w:w="200"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8h/d</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28.98</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21.02</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30.39</w:t>
                  </w:r>
                </w:p>
              </w:tc>
              <w:tc>
                <w:tcPr>
                  <w:tcW w:w="235"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34.17</w:t>
                  </w:r>
                </w:p>
              </w:tc>
              <w:tc>
                <w:tcPr>
                  <w:tcW w:w="152" w:type="pct"/>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283" w:hRule="atLeast"/>
              </w:trPr>
              <w:tc>
                <w:tcPr>
                  <w:tcW w:w="148" w:type="pct"/>
                  <w:vMerge w:val="continue"/>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p>
              </w:tc>
              <w:tc>
                <w:tcPr>
                  <w:tcW w:w="148" w:type="pct"/>
                  <w:shd w:val="clear" w:color="auto" w:fill="auto"/>
                  <w:vAlign w:val="center"/>
                </w:tcPr>
                <w:p>
                  <w:pPr>
                    <w:pStyle w:val="115"/>
                    <w:spacing w:line="240" w:lineRule="auto"/>
                    <w:ind w:firstLine="0" w:firstLineChars="0"/>
                    <w:rPr>
                      <w:rFonts w:hint="default" w:ascii="Times New Roman" w:hAnsi="Times New Roman" w:eastAsia="宋体" w:cs="Times New Roman"/>
                      <w:b w:val="0"/>
                      <w:color w:val="auto"/>
                      <w:spacing w:val="0"/>
                      <w:sz w:val="18"/>
                      <w:szCs w:val="18"/>
                      <w:lang w:val="en-US" w:eastAsia="zh-CN" w:bidi="ar-SA"/>
                    </w:rPr>
                  </w:pPr>
                  <w:r>
                    <w:rPr>
                      <w:rFonts w:hint="eastAsia" w:ascii="Times New Roman" w:hAnsi="Times New Roman" w:eastAsia="宋体" w:cs="Times New Roman"/>
                      <w:b w:val="0"/>
                      <w:color w:val="auto"/>
                      <w:spacing w:val="0"/>
                      <w:sz w:val="18"/>
                      <w:szCs w:val="18"/>
                      <w:lang w:val="en-US" w:eastAsia="zh-CN" w:bidi="ar-SA"/>
                    </w:rPr>
                    <w:t>张弛</w:t>
                  </w:r>
                  <w:r>
                    <w:rPr>
                      <w:rFonts w:hint="default" w:ascii="Times New Roman" w:hAnsi="Times New Roman" w:eastAsia="宋体" w:cs="Times New Roman"/>
                      <w:b w:val="0"/>
                      <w:color w:val="auto"/>
                      <w:spacing w:val="0"/>
                      <w:sz w:val="18"/>
                      <w:szCs w:val="18"/>
                      <w:lang w:val="en-US" w:eastAsia="zh-CN" w:bidi="ar-SA"/>
                    </w:rPr>
                    <w:t>筛</w:t>
                  </w:r>
                </w:p>
              </w:tc>
              <w:tc>
                <w:tcPr>
                  <w:tcW w:w="264" w:type="pct"/>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70</w:t>
                  </w:r>
                </w:p>
              </w:tc>
              <w:tc>
                <w:tcPr>
                  <w:tcW w:w="215" w:type="pct"/>
                  <w:vMerge w:val="continue"/>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p>
              </w:tc>
              <w:tc>
                <w:tcPr>
                  <w:tcW w:w="223"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4.0</w:t>
                  </w:r>
                </w:p>
              </w:tc>
              <w:tc>
                <w:tcPr>
                  <w:tcW w:w="223"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54.2</w:t>
                  </w:r>
                </w:p>
              </w:tc>
              <w:tc>
                <w:tcPr>
                  <w:tcW w:w="165" w:type="pct"/>
                  <w:shd w:val="clear" w:color="auto" w:fill="auto"/>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1.2</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21</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32.5</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16</w:t>
                  </w:r>
                </w:p>
              </w:tc>
              <w:tc>
                <w:tcPr>
                  <w:tcW w:w="205"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28.5</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43.56</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39.76</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45.92</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40.90</w:t>
                  </w:r>
                </w:p>
              </w:tc>
              <w:tc>
                <w:tcPr>
                  <w:tcW w:w="200" w:type="pct"/>
                  <w:shd w:val="clear" w:color="auto" w:fill="auto"/>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8h/d</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23.56</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19.76</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25.92</w:t>
                  </w:r>
                </w:p>
              </w:tc>
              <w:tc>
                <w:tcPr>
                  <w:tcW w:w="235"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20.90</w:t>
                  </w:r>
                </w:p>
              </w:tc>
              <w:tc>
                <w:tcPr>
                  <w:tcW w:w="152" w:type="pct"/>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283" w:hRule="atLeast"/>
              </w:trPr>
              <w:tc>
                <w:tcPr>
                  <w:tcW w:w="148" w:type="pct"/>
                  <w:vMerge w:val="continue"/>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p>
              </w:tc>
              <w:tc>
                <w:tcPr>
                  <w:tcW w:w="148" w:type="pct"/>
                  <w:shd w:val="clear" w:color="auto" w:fill="auto"/>
                  <w:vAlign w:val="center"/>
                </w:tcPr>
                <w:p>
                  <w:pPr>
                    <w:pStyle w:val="115"/>
                    <w:spacing w:line="240" w:lineRule="auto"/>
                    <w:ind w:firstLine="0" w:firstLineChars="0"/>
                    <w:rPr>
                      <w:rFonts w:hint="default" w:ascii="Times New Roman" w:hAnsi="Times New Roman" w:eastAsia="宋体" w:cs="Times New Roman"/>
                      <w:b w:val="0"/>
                      <w:color w:val="auto"/>
                      <w:spacing w:val="0"/>
                      <w:sz w:val="18"/>
                      <w:szCs w:val="18"/>
                      <w:lang w:val="en-US" w:eastAsia="zh-CN" w:bidi="ar-SA"/>
                    </w:rPr>
                  </w:pPr>
                  <w:r>
                    <w:rPr>
                      <w:rFonts w:hint="eastAsia" w:ascii="Times New Roman" w:hAnsi="Times New Roman" w:eastAsia="宋体" w:cs="Times New Roman"/>
                      <w:b w:val="0"/>
                      <w:color w:val="auto"/>
                      <w:spacing w:val="0"/>
                      <w:sz w:val="18"/>
                      <w:szCs w:val="18"/>
                      <w:lang w:val="en-US" w:eastAsia="zh-CN" w:bidi="ar-SA"/>
                    </w:rPr>
                    <w:t>卧式</w:t>
                  </w:r>
                  <w:r>
                    <w:rPr>
                      <w:rFonts w:hint="default" w:ascii="Times New Roman" w:hAnsi="Times New Roman" w:eastAsia="宋体" w:cs="Times New Roman"/>
                      <w:b w:val="0"/>
                      <w:color w:val="auto"/>
                      <w:spacing w:val="0"/>
                      <w:sz w:val="18"/>
                      <w:szCs w:val="18"/>
                      <w:lang w:val="en-US" w:eastAsia="zh-CN" w:bidi="ar-SA"/>
                    </w:rPr>
                    <w:t>风选机</w:t>
                  </w:r>
                </w:p>
              </w:tc>
              <w:tc>
                <w:tcPr>
                  <w:tcW w:w="264" w:type="pct"/>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75</w:t>
                  </w:r>
                </w:p>
              </w:tc>
              <w:tc>
                <w:tcPr>
                  <w:tcW w:w="215" w:type="pct"/>
                  <w:vMerge w:val="continue"/>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p>
              </w:tc>
              <w:tc>
                <w:tcPr>
                  <w:tcW w:w="223"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1.0</w:t>
                  </w:r>
                </w:p>
              </w:tc>
              <w:tc>
                <w:tcPr>
                  <w:tcW w:w="223"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60.7</w:t>
                  </w:r>
                </w:p>
              </w:tc>
              <w:tc>
                <w:tcPr>
                  <w:tcW w:w="165" w:type="pct"/>
                  <w:shd w:val="clear" w:color="auto" w:fill="auto"/>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1.2</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19.5</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39</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17.5</w:t>
                  </w:r>
                </w:p>
              </w:tc>
              <w:tc>
                <w:tcPr>
                  <w:tcW w:w="205"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22</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49.2</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43.18</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50.14</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48.15</w:t>
                  </w:r>
                </w:p>
              </w:tc>
              <w:tc>
                <w:tcPr>
                  <w:tcW w:w="200" w:type="pct"/>
                  <w:shd w:val="clear" w:color="auto" w:fill="auto"/>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8h/d</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29.2</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23.18</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30.14</w:t>
                  </w:r>
                </w:p>
              </w:tc>
              <w:tc>
                <w:tcPr>
                  <w:tcW w:w="235"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28.15</w:t>
                  </w:r>
                </w:p>
              </w:tc>
              <w:tc>
                <w:tcPr>
                  <w:tcW w:w="152" w:type="pct"/>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283" w:hRule="atLeast"/>
              </w:trPr>
              <w:tc>
                <w:tcPr>
                  <w:tcW w:w="148" w:type="pct"/>
                  <w:vMerge w:val="continue"/>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p>
              </w:tc>
              <w:tc>
                <w:tcPr>
                  <w:tcW w:w="148" w:type="pct"/>
                  <w:shd w:val="clear" w:color="auto" w:fill="auto"/>
                  <w:vAlign w:val="center"/>
                </w:tcPr>
                <w:p>
                  <w:pPr>
                    <w:pStyle w:val="115"/>
                    <w:spacing w:line="240" w:lineRule="auto"/>
                    <w:ind w:firstLine="0" w:firstLineChars="0"/>
                    <w:rPr>
                      <w:rFonts w:hint="default" w:ascii="Times New Roman" w:hAnsi="Times New Roman" w:eastAsia="宋体" w:cs="Times New Roman"/>
                      <w:b w:val="0"/>
                      <w:color w:val="auto"/>
                      <w:spacing w:val="0"/>
                      <w:sz w:val="18"/>
                      <w:szCs w:val="18"/>
                      <w:lang w:val="en-US" w:eastAsia="zh-CN" w:bidi="ar-SA"/>
                    </w:rPr>
                  </w:pPr>
                  <w:r>
                    <w:rPr>
                      <w:rFonts w:hint="default" w:ascii="Times New Roman" w:hAnsi="Times New Roman" w:eastAsia="宋体" w:cs="Times New Roman"/>
                      <w:b w:val="0"/>
                      <w:color w:val="auto"/>
                      <w:spacing w:val="0"/>
                      <w:sz w:val="18"/>
                      <w:szCs w:val="18"/>
                      <w:lang w:val="en-US" w:eastAsia="zh-CN" w:bidi="ar-SA"/>
                    </w:rPr>
                    <w:t>反击式破碎机</w:t>
                  </w:r>
                </w:p>
              </w:tc>
              <w:tc>
                <w:tcPr>
                  <w:tcW w:w="264" w:type="pct"/>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75</w:t>
                  </w:r>
                </w:p>
              </w:tc>
              <w:tc>
                <w:tcPr>
                  <w:tcW w:w="215" w:type="pct"/>
                  <w:vMerge w:val="continue"/>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p>
              </w:tc>
              <w:tc>
                <w:tcPr>
                  <w:tcW w:w="223"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-2.5</w:t>
                  </w:r>
                </w:p>
              </w:tc>
              <w:tc>
                <w:tcPr>
                  <w:tcW w:w="223"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65.4</w:t>
                  </w:r>
                </w:p>
              </w:tc>
              <w:tc>
                <w:tcPr>
                  <w:tcW w:w="165" w:type="pct"/>
                  <w:shd w:val="clear" w:color="auto" w:fill="auto"/>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1.2</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20</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44.2</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17</w:t>
                  </w:r>
                </w:p>
              </w:tc>
              <w:tc>
                <w:tcPr>
                  <w:tcW w:w="205"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16.8</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48.98</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42.09</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50.39</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50.49</w:t>
                  </w:r>
                </w:p>
              </w:tc>
              <w:tc>
                <w:tcPr>
                  <w:tcW w:w="200" w:type="pct"/>
                  <w:shd w:val="clear" w:color="auto" w:fill="auto"/>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8h/d</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20</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28.98</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22.09</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30.39</w:t>
                  </w:r>
                </w:p>
              </w:tc>
              <w:tc>
                <w:tcPr>
                  <w:tcW w:w="235"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30.49</w:t>
                  </w:r>
                </w:p>
              </w:tc>
              <w:tc>
                <w:tcPr>
                  <w:tcW w:w="152" w:type="pct"/>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283" w:hRule="atLeast"/>
              </w:trPr>
              <w:tc>
                <w:tcPr>
                  <w:tcW w:w="148" w:type="pct"/>
                  <w:vMerge w:val="continue"/>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p>
              </w:tc>
              <w:tc>
                <w:tcPr>
                  <w:tcW w:w="148" w:type="pct"/>
                  <w:shd w:val="clear" w:color="auto" w:fill="auto"/>
                  <w:vAlign w:val="center"/>
                </w:tcPr>
                <w:p>
                  <w:pPr>
                    <w:pStyle w:val="115"/>
                    <w:spacing w:line="240" w:lineRule="auto"/>
                    <w:ind w:firstLine="0" w:firstLineChars="0"/>
                    <w:rPr>
                      <w:rFonts w:hint="default" w:ascii="Times New Roman" w:hAnsi="Times New Roman" w:eastAsia="宋体" w:cs="Times New Roman"/>
                      <w:b w:val="0"/>
                      <w:color w:val="auto"/>
                      <w:spacing w:val="0"/>
                      <w:sz w:val="18"/>
                      <w:szCs w:val="18"/>
                      <w:lang w:val="en-US" w:eastAsia="zh-CN" w:bidi="ar-SA"/>
                    </w:rPr>
                  </w:pPr>
                  <w:r>
                    <w:rPr>
                      <w:rFonts w:hint="default" w:ascii="Times New Roman" w:hAnsi="Times New Roman" w:eastAsia="宋体" w:cs="Times New Roman"/>
                      <w:b w:val="0"/>
                      <w:color w:val="auto"/>
                      <w:spacing w:val="0"/>
                      <w:sz w:val="18"/>
                      <w:szCs w:val="18"/>
                      <w:lang w:val="en-US" w:eastAsia="zh-CN" w:bidi="ar-SA"/>
                    </w:rPr>
                    <w:t>圆振筛</w:t>
                  </w:r>
                </w:p>
              </w:tc>
              <w:tc>
                <w:tcPr>
                  <w:tcW w:w="264" w:type="pct"/>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70</w:t>
                  </w:r>
                </w:p>
              </w:tc>
              <w:tc>
                <w:tcPr>
                  <w:tcW w:w="215" w:type="pct"/>
                  <w:vMerge w:val="continue"/>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p>
              </w:tc>
              <w:tc>
                <w:tcPr>
                  <w:tcW w:w="223"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-6.6</w:t>
                  </w:r>
                </w:p>
              </w:tc>
              <w:tc>
                <w:tcPr>
                  <w:tcW w:w="223"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78.9</w:t>
                  </w:r>
                </w:p>
              </w:tc>
              <w:tc>
                <w:tcPr>
                  <w:tcW w:w="165" w:type="pct"/>
                  <w:shd w:val="clear" w:color="auto" w:fill="auto"/>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1.2</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18</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56.1</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19</w:t>
                  </w:r>
                </w:p>
              </w:tc>
              <w:tc>
                <w:tcPr>
                  <w:tcW w:w="205"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4.9</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44.89</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35.02</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44.42</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56.2</w:t>
                  </w:r>
                </w:p>
              </w:tc>
              <w:tc>
                <w:tcPr>
                  <w:tcW w:w="200" w:type="pct"/>
                  <w:shd w:val="clear" w:color="auto" w:fill="auto"/>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8h/d</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20</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24.89</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15.02</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24.42</w:t>
                  </w:r>
                </w:p>
              </w:tc>
              <w:tc>
                <w:tcPr>
                  <w:tcW w:w="235"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36.2</w:t>
                  </w:r>
                </w:p>
              </w:tc>
              <w:tc>
                <w:tcPr>
                  <w:tcW w:w="152" w:type="pct"/>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283" w:hRule="atLeast"/>
              </w:trPr>
              <w:tc>
                <w:tcPr>
                  <w:tcW w:w="148" w:type="pct"/>
                  <w:vMerge w:val="continue"/>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p>
              </w:tc>
              <w:tc>
                <w:tcPr>
                  <w:tcW w:w="148" w:type="pct"/>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bidi="ar-SA"/>
                    </w:rPr>
                    <w:t>皮带输送机</w:t>
                  </w:r>
                </w:p>
              </w:tc>
              <w:tc>
                <w:tcPr>
                  <w:tcW w:w="264" w:type="pct"/>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65</w:t>
                  </w:r>
                </w:p>
              </w:tc>
              <w:tc>
                <w:tcPr>
                  <w:tcW w:w="215" w:type="pct"/>
                  <w:vMerge w:val="continue"/>
                  <w:shd w:val="clear" w:color="auto" w:fill="auto"/>
                  <w:vAlign w:val="center"/>
                </w:tcPr>
                <w:p>
                  <w:pPr>
                    <w:widowControl/>
                    <w:spacing w:line="240" w:lineRule="auto"/>
                    <w:ind w:firstLine="0" w:firstLineChars="0"/>
                    <w:jc w:val="center"/>
                    <w:rPr>
                      <w:rFonts w:ascii="Times New Roman" w:hAnsi="Times New Roman" w:eastAsia="宋体" w:cs="Times New Roman"/>
                      <w:color w:val="auto"/>
                      <w:spacing w:val="0"/>
                      <w:sz w:val="18"/>
                      <w:szCs w:val="18"/>
                    </w:rPr>
                  </w:pPr>
                </w:p>
              </w:tc>
              <w:tc>
                <w:tcPr>
                  <w:tcW w:w="223"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6.9</w:t>
                  </w:r>
                </w:p>
              </w:tc>
              <w:tc>
                <w:tcPr>
                  <w:tcW w:w="223"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54.5</w:t>
                  </w:r>
                </w:p>
              </w:tc>
              <w:tc>
                <w:tcPr>
                  <w:tcW w:w="165" w:type="pct"/>
                  <w:shd w:val="clear" w:color="auto" w:fill="auto"/>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1.2</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22.5</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30.9</w:t>
                  </w:r>
                </w:p>
              </w:tc>
              <w:tc>
                <w:tcPr>
                  <w:tcW w:w="198"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14.5</w:t>
                  </w:r>
                </w:p>
              </w:tc>
              <w:tc>
                <w:tcPr>
                  <w:tcW w:w="205"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30.1</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37.96</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35.2</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41.77</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35.43</w:t>
                  </w:r>
                </w:p>
              </w:tc>
              <w:tc>
                <w:tcPr>
                  <w:tcW w:w="200" w:type="pct"/>
                  <w:shd w:val="clear" w:color="auto" w:fill="auto"/>
                  <w:vAlign w:val="center"/>
                </w:tcPr>
                <w:p>
                  <w:pPr>
                    <w:widowControl/>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8h/d</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20</w:t>
                  </w:r>
                </w:p>
              </w:tc>
              <w:tc>
                <w:tcPr>
                  <w:tcW w:w="148" w:type="pct"/>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20</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17.96</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15.2</w:t>
                  </w:r>
                </w:p>
              </w:tc>
              <w:tc>
                <w:tcPr>
                  <w:tcW w:w="232"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21.77</w:t>
                  </w:r>
                </w:p>
              </w:tc>
              <w:tc>
                <w:tcPr>
                  <w:tcW w:w="235" w:type="pct"/>
                  <w:shd w:val="clear" w:color="auto" w:fill="auto"/>
                  <w:vAlign w:val="center"/>
                </w:tcPr>
                <w:p>
                  <w:pPr>
                    <w:widowControl/>
                    <w:spacing w:line="240" w:lineRule="auto"/>
                    <w:ind w:firstLine="0" w:firstLineChars="0"/>
                    <w:jc w:val="center"/>
                    <w:textAlignment w:val="center"/>
                    <w:rPr>
                      <w:rFonts w:hint="default" w:ascii="Times New Roman" w:hAnsi="Times New Roman" w:eastAsia="宋体" w:cs="Times New Roman"/>
                      <w:color w:val="auto"/>
                      <w:spacing w:val="0"/>
                      <w:sz w:val="18"/>
                      <w:szCs w:val="18"/>
                      <w:lang w:val="en-US" w:eastAsia="zh-CN" w:bidi="ar-SA"/>
                    </w:rPr>
                  </w:pPr>
                  <w:r>
                    <w:rPr>
                      <w:rFonts w:hint="eastAsia" w:ascii="Times New Roman" w:hAnsi="Times New Roman" w:eastAsia="宋体" w:cs="Times New Roman"/>
                      <w:color w:val="auto"/>
                      <w:spacing w:val="0"/>
                      <w:sz w:val="18"/>
                      <w:szCs w:val="18"/>
                      <w:lang w:val="en-US" w:eastAsia="zh-CN"/>
                    </w:rPr>
                    <w:t>15.43</w:t>
                  </w:r>
                </w:p>
              </w:tc>
              <w:tc>
                <w:tcPr>
                  <w:tcW w:w="152" w:type="pct"/>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spacing w:val="0"/>
                      <w:sz w:val="18"/>
                      <w:szCs w:val="18"/>
                      <w:lang w:val="en-US" w:eastAsia="zh-CN"/>
                    </w:rPr>
                  </w:pPr>
                  <w:r>
                    <w:rPr>
                      <w:rFonts w:hint="eastAsia" w:ascii="Times New Roman" w:hAnsi="Times New Roman" w:eastAsia="宋体" w:cs="Times New Roman"/>
                      <w:color w:val="auto"/>
                      <w:spacing w:val="0"/>
                      <w:sz w:val="18"/>
                      <w:szCs w:val="18"/>
                      <w:lang w:val="en-US" w:eastAsia="zh-CN"/>
                    </w:rPr>
                    <w:t>1</w:t>
                  </w:r>
                </w:p>
              </w:tc>
            </w:tr>
          </w:tbl>
          <w:p>
            <w:pPr>
              <w:widowControl/>
              <w:adjustRightInd/>
              <w:snapToGrid/>
              <w:ind w:firstLine="562"/>
              <w:rPr>
                <w:rFonts w:ascii="Arial" w:hAnsi="Arial" w:eastAsia="宋体"/>
                <w:b/>
                <w:color w:val="auto"/>
                <w:spacing w:val="0"/>
                <w:sz w:val="28"/>
              </w:rPr>
            </w:pPr>
          </w:p>
        </w:tc>
      </w:tr>
    </w:tbl>
    <w:p>
      <w:pPr>
        <w:pStyle w:val="2"/>
        <w:ind w:firstLine="560"/>
        <w:rPr>
          <w:color w:val="auto"/>
          <w:spacing w:val="0"/>
        </w:rPr>
        <w:sectPr>
          <w:pgSz w:w="16838" w:h="11906" w:orient="landscape"/>
          <w:pgMar w:top="1797" w:right="1440" w:bottom="1797"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tbl>
      <w:tblPr>
        <w:tblStyle w:val="55"/>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92"/>
        <w:gridCol w:w="815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8" w:type="pct"/>
            <w:tcMar>
              <w:left w:w="28" w:type="dxa"/>
              <w:right w:w="28" w:type="dxa"/>
            </w:tcMar>
            <w:vAlign w:val="center"/>
          </w:tcPr>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运</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营</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期</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环</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境</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影</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响</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和</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保</w:t>
            </w:r>
          </w:p>
          <w:p>
            <w:pPr>
              <w:spacing w:line="240" w:lineRule="auto"/>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护</w:t>
            </w:r>
          </w:p>
          <w:p>
            <w:pPr>
              <w:spacing w:line="240" w:lineRule="auto"/>
              <w:ind w:firstLine="0" w:firstLineChars="0"/>
              <w:jc w:val="center"/>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rPr>
              <w:t>措</w:t>
            </w:r>
          </w:p>
          <w:p>
            <w:pPr>
              <w:spacing w:line="240" w:lineRule="auto"/>
              <w:ind w:firstLine="0" w:firstLineChars="0"/>
              <w:jc w:val="center"/>
              <w:rPr>
                <w:rFonts w:ascii="Times New Roman" w:hAnsi="Times New Roman"/>
                <w:bCs/>
                <w:color w:val="auto"/>
                <w:spacing w:val="0"/>
                <w:sz w:val="24"/>
              </w:rPr>
            </w:pPr>
            <w:r>
              <w:rPr>
                <w:rFonts w:hint="eastAsia" w:ascii="Times New Roman" w:hAnsi="Times New Roman" w:eastAsia="宋体" w:cs="Times New Roman"/>
                <w:color w:val="auto"/>
                <w:spacing w:val="0"/>
                <w:sz w:val="24"/>
                <w:szCs w:val="24"/>
              </w:rPr>
              <w:t>施</w:t>
            </w:r>
          </w:p>
        </w:tc>
        <w:tc>
          <w:tcPr>
            <w:tcW w:w="4811" w:type="pct"/>
            <w:vAlign w:val="center"/>
          </w:tcPr>
          <w:p>
            <w:pPr>
              <w:ind w:firstLine="422"/>
              <w:jc w:val="center"/>
              <w:rPr>
                <w:rFonts w:ascii="Times New Roman" w:hAnsi="Times New Roman" w:eastAsia="宋体" w:cs="Times New Roman"/>
                <w:b/>
                <w:bCs/>
                <w:color w:val="auto"/>
                <w:spacing w:val="0"/>
                <w:sz w:val="21"/>
              </w:rPr>
            </w:pPr>
            <w:r>
              <w:rPr>
                <w:rFonts w:ascii="Times New Roman" w:hAnsi="Times New Roman" w:eastAsia="宋体" w:cs="Times New Roman"/>
                <w:b/>
                <w:bCs/>
                <w:color w:val="auto"/>
                <w:spacing w:val="0"/>
                <w:sz w:val="21"/>
              </w:rPr>
              <w:t>4-</w:t>
            </w:r>
            <w:r>
              <w:rPr>
                <w:rFonts w:hint="eastAsia" w:ascii="Times New Roman" w:hAnsi="Times New Roman" w:eastAsia="宋体" w:cs="Times New Roman"/>
                <w:b/>
                <w:bCs/>
                <w:color w:val="auto"/>
                <w:spacing w:val="0"/>
                <w:sz w:val="21"/>
                <w:lang w:val="en-US" w:eastAsia="zh-CN"/>
              </w:rPr>
              <w:t>10</w:t>
            </w:r>
            <w:r>
              <w:rPr>
                <w:rFonts w:ascii="Times New Roman" w:hAnsi="Times New Roman" w:eastAsia="宋体" w:cs="Times New Roman"/>
                <w:b/>
                <w:bCs/>
                <w:color w:val="auto"/>
                <w:spacing w:val="0"/>
                <w:sz w:val="21"/>
              </w:rPr>
              <w:t xml:space="preserve"> 工业企业噪声源强调查清单（室外声源）</w:t>
            </w:r>
          </w:p>
          <w:tbl>
            <w:tblPr>
              <w:tblStyle w:val="391"/>
              <w:tblW w:w="804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379"/>
              <w:gridCol w:w="1483"/>
              <w:gridCol w:w="666"/>
              <w:gridCol w:w="665"/>
              <w:gridCol w:w="662"/>
              <w:gridCol w:w="1208"/>
              <w:gridCol w:w="2105"/>
              <w:gridCol w:w="87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0" w:hRule="atLeast"/>
                <w:jc w:val="center"/>
              </w:trPr>
              <w:tc>
                <w:tcPr>
                  <w:tcW w:w="379" w:type="dxa"/>
                  <w:vMerge w:val="restart"/>
                  <w:vAlign w:val="center"/>
                </w:tcPr>
                <w:p>
                  <w:pPr>
                    <w:spacing w:line="240" w:lineRule="auto"/>
                    <w:ind w:firstLine="0" w:firstLineChars="0"/>
                    <w:jc w:val="center"/>
                    <w:rPr>
                      <w:rFonts w:ascii="Times New Roman" w:hAnsi="Times New Roman" w:eastAsia="宋体" w:cs="Times New Roman"/>
                      <w:color w:val="auto"/>
                      <w:spacing w:val="0"/>
                      <w:kern w:val="21"/>
                      <w:sz w:val="21"/>
                      <w:lang w:val="zh-CN"/>
                    </w:rPr>
                  </w:pPr>
                  <w:r>
                    <w:rPr>
                      <w:rFonts w:ascii="Times New Roman" w:hAnsi="Times New Roman" w:eastAsia="宋体" w:cs="Times New Roman"/>
                      <w:color w:val="auto"/>
                      <w:spacing w:val="0"/>
                      <w:kern w:val="21"/>
                      <w:sz w:val="21"/>
                      <w:lang w:val="zh-CN"/>
                    </w:rPr>
                    <w:t>序号</w:t>
                  </w:r>
                </w:p>
              </w:tc>
              <w:tc>
                <w:tcPr>
                  <w:tcW w:w="1483" w:type="dxa"/>
                  <w:vMerge w:val="restart"/>
                  <w:vAlign w:val="center"/>
                </w:tcPr>
                <w:p>
                  <w:pPr>
                    <w:spacing w:line="240" w:lineRule="auto"/>
                    <w:ind w:firstLine="0" w:firstLineChars="0"/>
                    <w:jc w:val="center"/>
                    <w:rPr>
                      <w:rFonts w:ascii="Times New Roman" w:hAnsi="Times New Roman" w:eastAsia="宋体" w:cs="Times New Roman"/>
                      <w:color w:val="auto"/>
                      <w:spacing w:val="0"/>
                      <w:kern w:val="21"/>
                      <w:sz w:val="21"/>
                      <w:lang w:val="zh-CN"/>
                    </w:rPr>
                  </w:pPr>
                  <w:r>
                    <w:rPr>
                      <w:rFonts w:ascii="Times New Roman" w:hAnsi="Times New Roman" w:eastAsia="宋体" w:cs="Times New Roman"/>
                      <w:color w:val="auto"/>
                      <w:spacing w:val="0"/>
                      <w:kern w:val="21"/>
                      <w:sz w:val="21"/>
                      <w:lang w:val="zh-CN"/>
                    </w:rPr>
                    <w:t>声源</w:t>
                  </w:r>
                </w:p>
                <w:p>
                  <w:pPr>
                    <w:spacing w:line="240" w:lineRule="auto"/>
                    <w:ind w:firstLine="0" w:firstLineChars="0"/>
                    <w:jc w:val="center"/>
                    <w:rPr>
                      <w:rFonts w:ascii="Times New Roman" w:hAnsi="Times New Roman" w:eastAsia="宋体" w:cs="Times New Roman"/>
                      <w:color w:val="auto"/>
                      <w:spacing w:val="0"/>
                      <w:kern w:val="21"/>
                      <w:sz w:val="21"/>
                      <w:lang w:val="zh-CN"/>
                    </w:rPr>
                  </w:pPr>
                  <w:r>
                    <w:rPr>
                      <w:rFonts w:ascii="Times New Roman" w:hAnsi="Times New Roman" w:eastAsia="宋体" w:cs="Times New Roman"/>
                      <w:color w:val="auto"/>
                      <w:spacing w:val="0"/>
                      <w:kern w:val="21"/>
                      <w:sz w:val="21"/>
                      <w:lang w:val="zh-CN"/>
                    </w:rPr>
                    <w:t>名称</w:t>
                  </w:r>
                </w:p>
              </w:tc>
              <w:tc>
                <w:tcPr>
                  <w:tcW w:w="1993" w:type="dxa"/>
                  <w:gridSpan w:val="3"/>
                  <w:vAlign w:val="center"/>
                </w:tcPr>
                <w:p>
                  <w:pPr>
                    <w:spacing w:line="240" w:lineRule="auto"/>
                    <w:ind w:firstLine="0" w:firstLineChars="0"/>
                    <w:jc w:val="center"/>
                    <w:rPr>
                      <w:rFonts w:ascii="Times New Roman" w:hAnsi="Times New Roman" w:eastAsia="宋体" w:cs="Times New Roman"/>
                      <w:color w:val="auto"/>
                      <w:spacing w:val="0"/>
                      <w:kern w:val="21"/>
                      <w:sz w:val="21"/>
                      <w:lang w:val="zh-CN"/>
                    </w:rPr>
                  </w:pPr>
                  <w:r>
                    <w:rPr>
                      <w:rFonts w:ascii="Times New Roman" w:hAnsi="Times New Roman" w:eastAsia="宋体" w:cs="Times New Roman"/>
                      <w:color w:val="auto"/>
                      <w:spacing w:val="0"/>
                      <w:kern w:val="21"/>
                      <w:sz w:val="21"/>
                      <w:lang w:val="zh-CN"/>
                    </w:rPr>
                    <w:t>空间相对位置/m</w:t>
                  </w:r>
                </w:p>
              </w:tc>
              <w:tc>
                <w:tcPr>
                  <w:tcW w:w="1208" w:type="dxa"/>
                  <w:vAlign w:val="center"/>
                </w:tcPr>
                <w:p>
                  <w:pPr>
                    <w:spacing w:line="240" w:lineRule="auto"/>
                    <w:ind w:firstLine="0" w:firstLineChars="0"/>
                    <w:jc w:val="center"/>
                    <w:rPr>
                      <w:rFonts w:ascii="Times New Roman" w:hAnsi="Times New Roman" w:eastAsia="宋体" w:cs="Times New Roman"/>
                      <w:color w:val="auto"/>
                      <w:spacing w:val="0"/>
                      <w:kern w:val="21"/>
                      <w:sz w:val="21"/>
                      <w:lang w:val="zh-CN"/>
                    </w:rPr>
                  </w:pPr>
                  <w:r>
                    <w:rPr>
                      <w:rFonts w:ascii="Times New Roman" w:hAnsi="Times New Roman" w:eastAsia="宋体" w:cs="Times New Roman"/>
                      <w:color w:val="auto"/>
                      <w:spacing w:val="0"/>
                      <w:kern w:val="21"/>
                      <w:sz w:val="21"/>
                      <w:lang w:val="zh-CN"/>
                    </w:rPr>
                    <w:t>声源源强</w:t>
                  </w:r>
                </w:p>
              </w:tc>
              <w:tc>
                <w:tcPr>
                  <w:tcW w:w="2105" w:type="dxa"/>
                  <w:vMerge w:val="restart"/>
                  <w:vAlign w:val="center"/>
                </w:tcPr>
                <w:p>
                  <w:pPr>
                    <w:spacing w:line="240" w:lineRule="auto"/>
                    <w:ind w:firstLine="0" w:firstLineChars="0"/>
                    <w:jc w:val="center"/>
                    <w:rPr>
                      <w:rFonts w:ascii="Times New Roman" w:hAnsi="Times New Roman" w:eastAsia="宋体" w:cs="Times New Roman"/>
                      <w:color w:val="auto"/>
                      <w:spacing w:val="0"/>
                      <w:kern w:val="21"/>
                      <w:sz w:val="21"/>
                      <w:lang w:val="zh-CN"/>
                    </w:rPr>
                  </w:pPr>
                  <w:r>
                    <w:rPr>
                      <w:rFonts w:ascii="Times New Roman" w:hAnsi="Times New Roman" w:eastAsia="宋体" w:cs="Times New Roman"/>
                      <w:color w:val="auto"/>
                      <w:spacing w:val="0"/>
                      <w:kern w:val="21"/>
                      <w:sz w:val="21"/>
                      <w:lang w:val="zh-CN"/>
                    </w:rPr>
                    <w:t>声源控制措施</w:t>
                  </w:r>
                </w:p>
              </w:tc>
              <w:tc>
                <w:tcPr>
                  <w:tcW w:w="872" w:type="dxa"/>
                  <w:vMerge w:val="restart"/>
                  <w:vAlign w:val="center"/>
                </w:tcPr>
                <w:p>
                  <w:pPr>
                    <w:spacing w:line="240" w:lineRule="auto"/>
                    <w:ind w:firstLine="0" w:firstLineChars="0"/>
                    <w:jc w:val="center"/>
                    <w:rPr>
                      <w:rFonts w:ascii="Times New Roman" w:hAnsi="Times New Roman" w:eastAsia="宋体" w:cs="Times New Roman"/>
                      <w:color w:val="auto"/>
                      <w:spacing w:val="0"/>
                      <w:kern w:val="21"/>
                      <w:sz w:val="21"/>
                      <w:lang w:val="zh-CN"/>
                    </w:rPr>
                  </w:pPr>
                  <w:r>
                    <w:rPr>
                      <w:rFonts w:ascii="Times New Roman" w:hAnsi="Times New Roman" w:eastAsia="宋体" w:cs="Times New Roman"/>
                      <w:color w:val="auto"/>
                      <w:spacing w:val="0"/>
                      <w:kern w:val="21"/>
                      <w:sz w:val="21"/>
                      <w:lang w:val="zh-CN"/>
                    </w:rPr>
                    <w:t>运行</w:t>
                  </w:r>
                </w:p>
                <w:p>
                  <w:pPr>
                    <w:spacing w:line="240" w:lineRule="auto"/>
                    <w:ind w:firstLine="0" w:firstLineChars="0"/>
                    <w:jc w:val="center"/>
                    <w:rPr>
                      <w:rFonts w:ascii="Times New Roman" w:hAnsi="Times New Roman" w:eastAsia="宋体" w:cs="Times New Roman"/>
                      <w:color w:val="auto"/>
                      <w:spacing w:val="0"/>
                      <w:kern w:val="21"/>
                      <w:sz w:val="21"/>
                      <w:lang w:val="zh-CN"/>
                    </w:rPr>
                  </w:pPr>
                  <w:r>
                    <w:rPr>
                      <w:rFonts w:ascii="Times New Roman" w:hAnsi="Times New Roman" w:eastAsia="宋体" w:cs="Times New Roman"/>
                      <w:color w:val="auto"/>
                      <w:spacing w:val="0"/>
                      <w:kern w:val="21"/>
                      <w:sz w:val="21"/>
                      <w:lang w:val="zh-CN"/>
                    </w:rPr>
                    <w:t>时段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9" w:type="dxa"/>
                  <w:vMerge w:val="continue"/>
                  <w:vAlign w:val="center"/>
                </w:tcPr>
                <w:p>
                  <w:pPr>
                    <w:spacing w:line="240" w:lineRule="auto"/>
                    <w:ind w:firstLine="0" w:firstLineChars="0"/>
                    <w:jc w:val="center"/>
                    <w:rPr>
                      <w:rFonts w:ascii="Times New Roman" w:hAnsi="Times New Roman" w:eastAsia="宋体" w:cs="Times New Roman"/>
                      <w:color w:val="auto"/>
                      <w:spacing w:val="0"/>
                      <w:kern w:val="21"/>
                      <w:sz w:val="21"/>
                      <w:lang w:val="zh-CN"/>
                    </w:rPr>
                  </w:pPr>
                </w:p>
              </w:tc>
              <w:tc>
                <w:tcPr>
                  <w:tcW w:w="1483" w:type="dxa"/>
                  <w:vMerge w:val="continue"/>
                  <w:vAlign w:val="center"/>
                </w:tcPr>
                <w:p>
                  <w:pPr>
                    <w:spacing w:line="240" w:lineRule="auto"/>
                    <w:ind w:firstLine="0" w:firstLineChars="0"/>
                    <w:jc w:val="center"/>
                    <w:rPr>
                      <w:rFonts w:ascii="Times New Roman" w:hAnsi="Times New Roman" w:eastAsia="宋体" w:cs="Times New Roman"/>
                      <w:color w:val="auto"/>
                      <w:spacing w:val="0"/>
                      <w:kern w:val="21"/>
                      <w:sz w:val="21"/>
                      <w:lang w:val="zh-CN"/>
                    </w:rPr>
                  </w:pPr>
                </w:p>
              </w:tc>
              <w:tc>
                <w:tcPr>
                  <w:tcW w:w="666" w:type="dxa"/>
                  <w:vAlign w:val="center"/>
                </w:tcPr>
                <w:p>
                  <w:pPr>
                    <w:spacing w:line="240" w:lineRule="auto"/>
                    <w:ind w:firstLine="0" w:firstLineChars="0"/>
                    <w:jc w:val="center"/>
                    <w:rPr>
                      <w:rFonts w:ascii="Times New Roman" w:hAnsi="Times New Roman" w:eastAsia="宋体" w:cs="Times New Roman"/>
                      <w:color w:val="auto"/>
                      <w:spacing w:val="0"/>
                      <w:kern w:val="21"/>
                      <w:sz w:val="21"/>
                      <w:lang w:val="zh-CN"/>
                    </w:rPr>
                  </w:pPr>
                  <w:r>
                    <w:rPr>
                      <w:rFonts w:ascii="Times New Roman" w:hAnsi="Times New Roman" w:eastAsia="宋体" w:cs="Times New Roman"/>
                      <w:i/>
                      <w:color w:val="auto"/>
                      <w:spacing w:val="0"/>
                      <w:kern w:val="21"/>
                      <w:sz w:val="21"/>
                      <w:lang w:val="zh-CN"/>
                    </w:rPr>
                    <w:t>X</w:t>
                  </w:r>
                </w:p>
              </w:tc>
              <w:tc>
                <w:tcPr>
                  <w:tcW w:w="665" w:type="dxa"/>
                  <w:vAlign w:val="center"/>
                </w:tcPr>
                <w:p>
                  <w:pPr>
                    <w:spacing w:line="240" w:lineRule="auto"/>
                    <w:ind w:firstLine="0" w:firstLineChars="0"/>
                    <w:jc w:val="center"/>
                    <w:rPr>
                      <w:rFonts w:ascii="Times New Roman" w:hAnsi="Times New Roman" w:eastAsia="宋体" w:cs="Times New Roman"/>
                      <w:color w:val="auto"/>
                      <w:spacing w:val="0"/>
                      <w:kern w:val="21"/>
                      <w:sz w:val="21"/>
                      <w:lang w:val="zh-CN"/>
                    </w:rPr>
                  </w:pPr>
                  <w:r>
                    <w:rPr>
                      <w:rFonts w:ascii="Times New Roman" w:hAnsi="Times New Roman" w:eastAsia="宋体" w:cs="Times New Roman"/>
                      <w:i/>
                      <w:color w:val="auto"/>
                      <w:spacing w:val="0"/>
                      <w:kern w:val="21"/>
                      <w:sz w:val="21"/>
                      <w:lang w:val="zh-CN"/>
                    </w:rPr>
                    <w:t>Y</w:t>
                  </w:r>
                </w:p>
              </w:tc>
              <w:tc>
                <w:tcPr>
                  <w:tcW w:w="662" w:type="dxa"/>
                  <w:vAlign w:val="center"/>
                </w:tcPr>
                <w:p>
                  <w:pPr>
                    <w:spacing w:line="240" w:lineRule="auto"/>
                    <w:ind w:firstLine="0" w:firstLineChars="0"/>
                    <w:jc w:val="center"/>
                    <w:rPr>
                      <w:rFonts w:ascii="Times New Roman" w:hAnsi="Times New Roman" w:eastAsia="宋体" w:cs="Times New Roman"/>
                      <w:color w:val="auto"/>
                      <w:spacing w:val="0"/>
                      <w:kern w:val="21"/>
                      <w:sz w:val="21"/>
                      <w:lang w:val="zh-CN"/>
                    </w:rPr>
                  </w:pPr>
                  <w:r>
                    <w:rPr>
                      <w:rFonts w:ascii="Times New Roman" w:hAnsi="Times New Roman" w:eastAsia="宋体" w:cs="Times New Roman"/>
                      <w:i/>
                      <w:color w:val="auto"/>
                      <w:spacing w:val="0"/>
                      <w:kern w:val="21"/>
                      <w:sz w:val="21"/>
                      <w:lang w:val="zh-CN"/>
                    </w:rPr>
                    <w:t>Z</w:t>
                  </w:r>
                </w:p>
              </w:tc>
              <w:tc>
                <w:tcPr>
                  <w:tcW w:w="1208" w:type="dxa"/>
                  <w:vAlign w:val="center"/>
                </w:tcPr>
                <w:p>
                  <w:pPr>
                    <w:spacing w:line="240" w:lineRule="auto"/>
                    <w:ind w:firstLine="0" w:firstLineChars="0"/>
                    <w:jc w:val="center"/>
                    <w:rPr>
                      <w:rFonts w:ascii="Times New Roman" w:hAnsi="Times New Roman" w:eastAsia="宋体" w:cs="Times New Roman"/>
                      <w:color w:val="auto"/>
                      <w:spacing w:val="0"/>
                      <w:kern w:val="21"/>
                      <w:sz w:val="21"/>
                      <w:lang w:val="zh-CN"/>
                    </w:rPr>
                  </w:pPr>
                  <w:r>
                    <w:rPr>
                      <w:rFonts w:ascii="Times New Roman" w:hAnsi="Times New Roman" w:eastAsia="宋体" w:cs="Times New Roman"/>
                      <w:color w:val="auto"/>
                      <w:spacing w:val="0"/>
                      <w:kern w:val="21"/>
                      <w:sz w:val="21"/>
                      <w:lang w:val="zh-CN"/>
                    </w:rPr>
                    <w:t>声功率级/dB（A）</w:t>
                  </w:r>
                </w:p>
              </w:tc>
              <w:tc>
                <w:tcPr>
                  <w:tcW w:w="2105" w:type="dxa"/>
                  <w:vMerge w:val="continue"/>
                  <w:vAlign w:val="center"/>
                </w:tcPr>
                <w:p>
                  <w:pPr>
                    <w:spacing w:line="240" w:lineRule="auto"/>
                    <w:ind w:firstLine="0" w:firstLineChars="0"/>
                    <w:jc w:val="center"/>
                    <w:rPr>
                      <w:rFonts w:ascii="Times New Roman" w:hAnsi="Times New Roman" w:eastAsia="宋体" w:cs="Times New Roman"/>
                      <w:color w:val="auto"/>
                      <w:spacing w:val="0"/>
                      <w:kern w:val="21"/>
                      <w:sz w:val="21"/>
                      <w:lang w:val="zh-CN"/>
                    </w:rPr>
                  </w:pPr>
                </w:p>
              </w:tc>
              <w:tc>
                <w:tcPr>
                  <w:tcW w:w="872" w:type="dxa"/>
                  <w:vMerge w:val="continue"/>
                  <w:vAlign w:val="center"/>
                </w:tcPr>
                <w:p>
                  <w:pPr>
                    <w:spacing w:line="240" w:lineRule="auto"/>
                    <w:ind w:firstLine="0" w:firstLineChars="0"/>
                    <w:jc w:val="center"/>
                    <w:rPr>
                      <w:rFonts w:ascii="Times New Roman" w:hAnsi="Times New Roman" w:eastAsia="宋体" w:cs="Times New Roman"/>
                      <w:color w:val="auto"/>
                      <w:spacing w:val="0"/>
                      <w:kern w:val="21"/>
                      <w:sz w:val="21"/>
                      <w:lang w:val="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9" w:type="dxa"/>
                  <w:vAlign w:val="center"/>
                </w:tcPr>
                <w:p>
                  <w:pPr>
                    <w:spacing w:line="240" w:lineRule="auto"/>
                    <w:ind w:firstLine="0" w:firstLineChars="0"/>
                    <w:jc w:val="center"/>
                    <w:rPr>
                      <w:rFonts w:ascii="Times New Roman" w:hAnsi="Times New Roman" w:eastAsia="宋体" w:cs="Times New Roman"/>
                      <w:color w:val="auto"/>
                      <w:spacing w:val="0"/>
                      <w:kern w:val="21"/>
                      <w:sz w:val="21"/>
                    </w:rPr>
                  </w:pPr>
                  <w:r>
                    <w:rPr>
                      <w:rFonts w:ascii="Times New Roman" w:hAnsi="Times New Roman" w:eastAsia="宋体" w:cs="Times New Roman"/>
                      <w:color w:val="auto"/>
                      <w:spacing w:val="0"/>
                      <w:kern w:val="21"/>
                      <w:sz w:val="21"/>
                    </w:rPr>
                    <w:t>1</w:t>
                  </w:r>
                </w:p>
              </w:tc>
              <w:tc>
                <w:tcPr>
                  <w:tcW w:w="1483" w:type="dxa"/>
                  <w:vAlign w:val="center"/>
                </w:tcPr>
                <w:p>
                  <w:pPr>
                    <w:spacing w:line="240" w:lineRule="auto"/>
                    <w:ind w:firstLine="0" w:firstLineChars="0"/>
                    <w:jc w:val="center"/>
                    <w:rPr>
                      <w:rFonts w:ascii="Times New Roman" w:hAnsi="Times New Roman" w:eastAsia="宋体" w:cs="Times New Roman"/>
                      <w:color w:val="auto"/>
                      <w:spacing w:val="0"/>
                      <w:kern w:val="21"/>
                      <w:sz w:val="21"/>
                    </w:rPr>
                  </w:pPr>
                  <w:r>
                    <w:rPr>
                      <w:rFonts w:ascii="Times New Roman" w:hAnsi="Times New Roman" w:eastAsia="宋体" w:cs="Times New Roman"/>
                      <w:color w:val="auto"/>
                      <w:spacing w:val="0"/>
                      <w:kern w:val="21"/>
                      <w:sz w:val="21"/>
                    </w:rPr>
                    <w:t>风机（DA001）</w:t>
                  </w:r>
                </w:p>
              </w:tc>
              <w:tc>
                <w:tcPr>
                  <w:tcW w:w="666" w:type="dxa"/>
                  <w:vAlign w:val="center"/>
                </w:tcPr>
                <w:p>
                  <w:pPr>
                    <w:spacing w:line="240" w:lineRule="auto"/>
                    <w:ind w:firstLine="0" w:firstLineChars="0"/>
                    <w:jc w:val="center"/>
                    <w:rPr>
                      <w:rFonts w:hint="default"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-12.6</w:t>
                  </w:r>
                </w:p>
              </w:tc>
              <w:tc>
                <w:tcPr>
                  <w:tcW w:w="665" w:type="dxa"/>
                  <w:vAlign w:val="center"/>
                </w:tcPr>
                <w:p>
                  <w:pPr>
                    <w:spacing w:line="240" w:lineRule="auto"/>
                    <w:ind w:firstLine="0" w:firstLineChars="0"/>
                    <w:jc w:val="center"/>
                    <w:rPr>
                      <w:rFonts w:hint="default"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39.3</w:t>
                  </w:r>
                </w:p>
              </w:tc>
              <w:tc>
                <w:tcPr>
                  <w:tcW w:w="662" w:type="dxa"/>
                  <w:vAlign w:val="center"/>
                </w:tcPr>
                <w:p>
                  <w:pPr>
                    <w:spacing w:line="240" w:lineRule="auto"/>
                    <w:ind w:firstLine="0" w:firstLineChars="0"/>
                    <w:jc w:val="center"/>
                    <w:rPr>
                      <w:rFonts w:hint="default"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1</w:t>
                  </w:r>
                </w:p>
              </w:tc>
              <w:tc>
                <w:tcPr>
                  <w:tcW w:w="1208" w:type="dxa"/>
                  <w:vAlign w:val="center"/>
                </w:tcPr>
                <w:p>
                  <w:pPr>
                    <w:spacing w:line="240" w:lineRule="auto"/>
                    <w:ind w:firstLine="0" w:firstLineChars="0"/>
                    <w:jc w:val="center"/>
                    <w:rPr>
                      <w:rFonts w:hint="eastAsia" w:ascii="Times New Roman" w:hAnsi="Times New Roman" w:eastAsia="宋体" w:cs="Times New Roman"/>
                      <w:color w:val="auto"/>
                      <w:spacing w:val="0"/>
                      <w:kern w:val="21"/>
                      <w:sz w:val="21"/>
                      <w:lang w:val="en-US" w:eastAsia="zh-CN"/>
                    </w:rPr>
                  </w:pPr>
                  <w:r>
                    <w:rPr>
                      <w:rFonts w:ascii="Times New Roman" w:hAnsi="Times New Roman" w:eastAsia="宋体" w:cs="Times New Roman"/>
                      <w:color w:val="auto"/>
                      <w:spacing w:val="0"/>
                      <w:kern w:val="21"/>
                      <w:sz w:val="21"/>
                    </w:rPr>
                    <w:t>8</w:t>
                  </w:r>
                  <w:r>
                    <w:rPr>
                      <w:rFonts w:hint="eastAsia" w:ascii="Times New Roman" w:hAnsi="Times New Roman" w:eastAsia="宋体" w:cs="Times New Roman"/>
                      <w:color w:val="auto"/>
                      <w:spacing w:val="0"/>
                      <w:kern w:val="21"/>
                      <w:sz w:val="21"/>
                      <w:lang w:val="en-US" w:eastAsia="zh-CN"/>
                    </w:rPr>
                    <w:t>0</w:t>
                  </w:r>
                </w:p>
              </w:tc>
              <w:tc>
                <w:tcPr>
                  <w:tcW w:w="2105" w:type="dxa"/>
                  <w:vAlign w:val="center"/>
                </w:tcPr>
                <w:p>
                  <w:pPr>
                    <w:spacing w:line="240" w:lineRule="auto"/>
                    <w:ind w:firstLine="0" w:firstLineChars="0"/>
                    <w:jc w:val="center"/>
                    <w:rPr>
                      <w:rFonts w:ascii="Times New Roman" w:hAnsi="Times New Roman" w:eastAsia="宋体" w:cs="Times New Roman"/>
                      <w:color w:val="auto"/>
                      <w:spacing w:val="0"/>
                      <w:kern w:val="21"/>
                      <w:sz w:val="21"/>
                    </w:rPr>
                  </w:pPr>
                  <w:r>
                    <w:rPr>
                      <w:rFonts w:ascii="Times New Roman" w:hAnsi="Times New Roman" w:eastAsia="宋体" w:cs="Times New Roman"/>
                      <w:color w:val="auto"/>
                      <w:spacing w:val="0"/>
                      <w:kern w:val="21"/>
                      <w:sz w:val="21"/>
                    </w:rPr>
                    <w:t>基础减振、风机加装隔声罩</w:t>
                  </w:r>
                </w:p>
              </w:tc>
              <w:tc>
                <w:tcPr>
                  <w:tcW w:w="872" w:type="dxa"/>
                  <w:vAlign w:val="center"/>
                </w:tcPr>
                <w:p>
                  <w:pPr>
                    <w:spacing w:line="240" w:lineRule="auto"/>
                    <w:ind w:firstLine="0" w:firstLineChars="0"/>
                    <w:jc w:val="center"/>
                    <w:rPr>
                      <w:rFonts w:ascii="Times New Roman" w:hAnsi="Times New Roman" w:eastAsia="宋体" w:cs="Times New Roman"/>
                      <w:color w:val="auto"/>
                      <w:spacing w:val="0"/>
                      <w:kern w:val="21"/>
                      <w:sz w:val="21"/>
                    </w:rPr>
                  </w:pPr>
                  <w:r>
                    <w:rPr>
                      <w:rFonts w:hint="eastAsia" w:ascii="Times New Roman" w:hAnsi="Times New Roman" w:eastAsia="宋体" w:cs="Times New Roman"/>
                      <w:color w:val="auto"/>
                      <w:spacing w:val="0"/>
                      <w:kern w:val="21"/>
                      <w:sz w:val="21"/>
                      <w:lang w:val="en-US" w:eastAsia="zh-CN"/>
                    </w:rPr>
                    <w:t>8</w:t>
                  </w:r>
                  <w:r>
                    <w:rPr>
                      <w:rFonts w:ascii="Times New Roman" w:hAnsi="Times New Roman" w:eastAsia="宋体" w:cs="Times New Roman"/>
                      <w:color w:val="auto"/>
                      <w:spacing w:val="0"/>
                      <w:kern w:val="21"/>
                      <w:sz w:val="21"/>
                    </w:rPr>
                    <w:t>h/d</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9" w:type="dxa"/>
                  <w:vAlign w:val="center"/>
                </w:tcPr>
                <w:p>
                  <w:pPr>
                    <w:spacing w:line="240" w:lineRule="auto"/>
                    <w:ind w:firstLine="0" w:firstLineChars="0"/>
                    <w:jc w:val="center"/>
                    <w:rPr>
                      <w:rFonts w:hint="eastAsia"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2</w:t>
                  </w:r>
                </w:p>
              </w:tc>
              <w:tc>
                <w:tcPr>
                  <w:tcW w:w="1483" w:type="dxa"/>
                  <w:vAlign w:val="center"/>
                </w:tcPr>
                <w:p>
                  <w:pPr>
                    <w:spacing w:line="240" w:lineRule="auto"/>
                    <w:ind w:firstLine="0" w:firstLineChars="0"/>
                    <w:jc w:val="center"/>
                    <w:rPr>
                      <w:rFonts w:hint="default"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雾炮机1</w:t>
                  </w:r>
                </w:p>
              </w:tc>
              <w:tc>
                <w:tcPr>
                  <w:tcW w:w="666" w:type="dxa"/>
                  <w:vAlign w:val="center"/>
                </w:tcPr>
                <w:p>
                  <w:pPr>
                    <w:spacing w:line="240" w:lineRule="auto"/>
                    <w:ind w:firstLine="0" w:firstLineChars="0"/>
                    <w:jc w:val="center"/>
                    <w:rPr>
                      <w:rFonts w:hint="default"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33.5</w:t>
                  </w:r>
                </w:p>
              </w:tc>
              <w:tc>
                <w:tcPr>
                  <w:tcW w:w="665" w:type="dxa"/>
                  <w:vAlign w:val="center"/>
                </w:tcPr>
                <w:p>
                  <w:pPr>
                    <w:spacing w:line="240" w:lineRule="auto"/>
                    <w:ind w:firstLine="0" w:firstLineChars="0"/>
                    <w:jc w:val="center"/>
                    <w:rPr>
                      <w:rFonts w:hint="default"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56.9</w:t>
                  </w:r>
                </w:p>
              </w:tc>
              <w:tc>
                <w:tcPr>
                  <w:tcW w:w="662" w:type="dxa"/>
                  <w:vAlign w:val="center"/>
                </w:tcPr>
                <w:p>
                  <w:pPr>
                    <w:spacing w:line="240" w:lineRule="auto"/>
                    <w:ind w:firstLine="0" w:firstLineChars="0"/>
                    <w:jc w:val="center"/>
                    <w:rPr>
                      <w:rFonts w:hint="default"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1.2</w:t>
                  </w:r>
                </w:p>
              </w:tc>
              <w:tc>
                <w:tcPr>
                  <w:tcW w:w="1208" w:type="dxa"/>
                  <w:vAlign w:val="center"/>
                </w:tcPr>
                <w:p>
                  <w:pPr>
                    <w:spacing w:line="240" w:lineRule="auto"/>
                    <w:ind w:firstLine="0" w:firstLineChars="0"/>
                    <w:jc w:val="center"/>
                    <w:rPr>
                      <w:rFonts w:hint="default"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75</w:t>
                  </w:r>
                </w:p>
              </w:tc>
              <w:tc>
                <w:tcPr>
                  <w:tcW w:w="2105" w:type="dxa"/>
                  <w:vAlign w:val="center"/>
                </w:tcPr>
                <w:p>
                  <w:pPr>
                    <w:spacing w:line="240" w:lineRule="auto"/>
                    <w:ind w:firstLine="0" w:firstLineChars="0"/>
                    <w:jc w:val="center"/>
                    <w:rPr>
                      <w:rFonts w:ascii="Times New Roman" w:hAnsi="Times New Roman" w:eastAsia="宋体" w:cs="Times New Roman"/>
                      <w:color w:val="auto"/>
                      <w:spacing w:val="0"/>
                      <w:kern w:val="21"/>
                      <w:sz w:val="21"/>
                    </w:rPr>
                  </w:pPr>
                  <w:r>
                    <w:rPr>
                      <w:rFonts w:hint="eastAsia" w:ascii="Times New Roman" w:hAnsi="Times New Roman" w:eastAsia="宋体" w:cs="Times New Roman"/>
                      <w:color w:val="auto"/>
                      <w:spacing w:val="0"/>
                      <w:kern w:val="21"/>
                      <w:sz w:val="21"/>
                      <w:lang w:val="en-US" w:eastAsia="zh-CN"/>
                    </w:rPr>
                    <w:t>低噪声设备、</w:t>
                  </w:r>
                  <w:r>
                    <w:rPr>
                      <w:rFonts w:ascii="Times New Roman" w:hAnsi="Times New Roman" w:eastAsia="宋体" w:cs="Times New Roman"/>
                      <w:color w:val="auto"/>
                      <w:spacing w:val="0"/>
                      <w:kern w:val="21"/>
                      <w:sz w:val="21"/>
                    </w:rPr>
                    <w:t>基础减振</w:t>
                  </w:r>
                </w:p>
              </w:tc>
              <w:tc>
                <w:tcPr>
                  <w:tcW w:w="872" w:type="dxa"/>
                  <w:vAlign w:val="center"/>
                </w:tcPr>
                <w:p>
                  <w:pPr>
                    <w:spacing w:line="240" w:lineRule="auto"/>
                    <w:ind w:firstLine="0" w:firstLineChars="0"/>
                    <w:jc w:val="center"/>
                    <w:rPr>
                      <w:rFonts w:hint="eastAsia"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8</w:t>
                  </w:r>
                  <w:r>
                    <w:rPr>
                      <w:rFonts w:ascii="Times New Roman" w:hAnsi="Times New Roman" w:eastAsia="宋体" w:cs="Times New Roman"/>
                      <w:color w:val="auto"/>
                      <w:spacing w:val="0"/>
                      <w:kern w:val="21"/>
                      <w:sz w:val="21"/>
                    </w:rPr>
                    <w:t>h/d</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9" w:type="dxa"/>
                  <w:vAlign w:val="center"/>
                </w:tcPr>
                <w:p>
                  <w:pPr>
                    <w:spacing w:line="240" w:lineRule="auto"/>
                    <w:ind w:firstLine="0" w:firstLineChars="0"/>
                    <w:jc w:val="center"/>
                    <w:rPr>
                      <w:rFonts w:hint="eastAsia"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3</w:t>
                  </w:r>
                </w:p>
              </w:tc>
              <w:tc>
                <w:tcPr>
                  <w:tcW w:w="1483" w:type="dxa"/>
                  <w:vAlign w:val="center"/>
                </w:tcPr>
                <w:p>
                  <w:pPr>
                    <w:spacing w:line="240" w:lineRule="auto"/>
                    <w:ind w:firstLine="0" w:firstLineChars="0"/>
                    <w:jc w:val="center"/>
                    <w:rPr>
                      <w:rFonts w:hint="default" w:ascii="Times New Roman" w:hAnsi="Times New Roman" w:eastAsia="宋体" w:cs="Times New Roman"/>
                      <w:color w:val="auto"/>
                      <w:spacing w:val="0"/>
                      <w:kern w:val="21"/>
                      <w:sz w:val="21"/>
                      <w:lang w:val="en-US"/>
                    </w:rPr>
                  </w:pPr>
                  <w:r>
                    <w:rPr>
                      <w:rFonts w:hint="eastAsia" w:ascii="Times New Roman" w:hAnsi="Times New Roman" w:eastAsia="宋体" w:cs="Times New Roman"/>
                      <w:color w:val="auto"/>
                      <w:spacing w:val="0"/>
                      <w:kern w:val="21"/>
                      <w:sz w:val="21"/>
                      <w:lang w:val="en-US" w:eastAsia="zh-CN"/>
                    </w:rPr>
                    <w:t>雾炮机2</w:t>
                  </w:r>
                </w:p>
              </w:tc>
              <w:tc>
                <w:tcPr>
                  <w:tcW w:w="666" w:type="dxa"/>
                  <w:vAlign w:val="center"/>
                </w:tcPr>
                <w:p>
                  <w:pPr>
                    <w:spacing w:line="240" w:lineRule="auto"/>
                    <w:ind w:firstLine="0" w:firstLineChars="0"/>
                    <w:jc w:val="center"/>
                    <w:rPr>
                      <w:rFonts w:hint="default"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41.0</w:t>
                  </w:r>
                </w:p>
              </w:tc>
              <w:tc>
                <w:tcPr>
                  <w:tcW w:w="665" w:type="dxa"/>
                  <w:vAlign w:val="center"/>
                </w:tcPr>
                <w:p>
                  <w:pPr>
                    <w:spacing w:line="240" w:lineRule="auto"/>
                    <w:ind w:firstLine="0" w:firstLineChars="0"/>
                    <w:jc w:val="center"/>
                    <w:rPr>
                      <w:rFonts w:hint="default"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56.9</w:t>
                  </w:r>
                </w:p>
              </w:tc>
              <w:tc>
                <w:tcPr>
                  <w:tcW w:w="662" w:type="dxa"/>
                  <w:vAlign w:val="center"/>
                </w:tcPr>
                <w:p>
                  <w:pPr>
                    <w:spacing w:line="240" w:lineRule="auto"/>
                    <w:ind w:firstLine="0" w:firstLineChars="0"/>
                    <w:jc w:val="center"/>
                    <w:rPr>
                      <w:rFonts w:ascii="Times New Roman" w:hAnsi="Times New Roman" w:eastAsia="宋体" w:cs="Times New Roman"/>
                      <w:color w:val="auto"/>
                      <w:spacing w:val="0"/>
                      <w:kern w:val="21"/>
                      <w:sz w:val="21"/>
                      <w:lang w:val="zh-CN"/>
                    </w:rPr>
                  </w:pPr>
                  <w:r>
                    <w:rPr>
                      <w:rFonts w:hint="eastAsia" w:ascii="Times New Roman" w:hAnsi="Times New Roman" w:eastAsia="宋体" w:cs="Times New Roman"/>
                      <w:color w:val="auto"/>
                      <w:spacing w:val="0"/>
                      <w:kern w:val="21"/>
                      <w:sz w:val="21"/>
                      <w:lang w:val="en-US" w:eastAsia="zh-CN"/>
                    </w:rPr>
                    <w:t>1.2</w:t>
                  </w:r>
                </w:p>
              </w:tc>
              <w:tc>
                <w:tcPr>
                  <w:tcW w:w="1208" w:type="dxa"/>
                  <w:vAlign w:val="center"/>
                </w:tcPr>
                <w:p>
                  <w:pPr>
                    <w:spacing w:line="240" w:lineRule="auto"/>
                    <w:ind w:firstLine="0" w:firstLineChars="0"/>
                    <w:jc w:val="center"/>
                    <w:rPr>
                      <w:rFonts w:hint="default"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75</w:t>
                  </w:r>
                </w:p>
              </w:tc>
              <w:tc>
                <w:tcPr>
                  <w:tcW w:w="2105" w:type="dxa"/>
                  <w:vAlign w:val="center"/>
                </w:tcPr>
                <w:p>
                  <w:pPr>
                    <w:spacing w:line="240" w:lineRule="auto"/>
                    <w:ind w:firstLine="0" w:firstLineChars="0"/>
                    <w:jc w:val="center"/>
                    <w:rPr>
                      <w:rFonts w:ascii="Times New Roman" w:hAnsi="Times New Roman" w:eastAsia="宋体" w:cs="Times New Roman"/>
                      <w:color w:val="auto"/>
                      <w:spacing w:val="0"/>
                      <w:kern w:val="21"/>
                      <w:sz w:val="21"/>
                    </w:rPr>
                  </w:pPr>
                  <w:r>
                    <w:rPr>
                      <w:rFonts w:hint="eastAsia" w:ascii="Times New Roman" w:hAnsi="Times New Roman" w:eastAsia="宋体" w:cs="Times New Roman"/>
                      <w:color w:val="auto"/>
                      <w:spacing w:val="0"/>
                      <w:kern w:val="21"/>
                      <w:sz w:val="21"/>
                      <w:lang w:val="en-US" w:eastAsia="zh-CN"/>
                    </w:rPr>
                    <w:t>低噪声设备、</w:t>
                  </w:r>
                  <w:r>
                    <w:rPr>
                      <w:rFonts w:ascii="Times New Roman" w:hAnsi="Times New Roman" w:eastAsia="宋体" w:cs="Times New Roman"/>
                      <w:color w:val="auto"/>
                      <w:spacing w:val="0"/>
                      <w:kern w:val="21"/>
                      <w:sz w:val="21"/>
                    </w:rPr>
                    <w:t>基础减振</w:t>
                  </w:r>
                </w:p>
              </w:tc>
              <w:tc>
                <w:tcPr>
                  <w:tcW w:w="872" w:type="dxa"/>
                  <w:vAlign w:val="center"/>
                </w:tcPr>
                <w:p>
                  <w:pPr>
                    <w:spacing w:line="240" w:lineRule="auto"/>
                    <w:ind w:firstLine="0" w:firstLineChars="0"/>
                    <w:jc w:val="center"/>
                    <w:rPr>
                      <w:rFonts w:hint="eastAsia"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8</w:t>
                  </w:r>
                  <w:r>
                    <w:rPr>
                      <w:rFonts w:ascii="Times New Roman" w:hAnsi="Times New Roman" w:eastAsia="宋体" w:cs="Times New Roman"/>
                      <w:color w:val="auto"/>
                      <w:spacing w:val="0"/>
                      <w:kern w:val="21"/>
                      <w:sz w:val="21"/>
                    </w:rPr>
                    <w:t>h/d</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9" w:type="dxa"/>
                  <w:vAlign w:val="center"/>
                </w:tcPr>
                <w:p>
                  <w:pPr>
                    <w:spacing w:line="240" w:lineRule="auto"/>
                    <w:ind w:firstLine="0" w:firstLineChars="0"/>
                    <w:jc w:val="center"/>
                    <w:rPr>
                      <w:rFonts w:hint="eastAsia"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4</w:t>
                  </w:r>
                </w:p>
              </w:tc>
              <w:tc>
                <w:tcPr>
                  <w:tcW w:w="1483" w:type="dxa"/>
                  <w:vAlign w:val="center"/>
                </w:tcPr>
                <w:p>
                  <w:pPr>
                    <w:spacing w:line="240" w:lineRule="auto"/>
                    <w:ind w:firstLine="0" w:firstLineChars="0"/>
                    <w:jc w:val="center"/>
                    <w:rPr>
                      <w:rFonts w:hint="default"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装载机1</w:t>
                  </w:r>
                </w:p>
              </w:tc>
              <w:tc>
                <w:tcPr>
                  <w:tcW w:w="666" w:type="dxa"/>
                  <w:vAlign w:val="center"/>
                </w:tcPr>
                <w:p>
                  <w:pPr>
                    <w:spacing w:line="240" w:lineRule="auto"/>
                    <w:ind w:firstLine="0" w:firstLineChars="0"/>
                    <w:jc w:val="center"/>
                    <w:rPr>
                      <w:rFonts w:hint="default"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34.2</w:t>
                  </w:r>
                </w:p>
              </w:tc>
              <w:tc>
                <w:tcPr>
                  <w:tcW w:w="665" w:type="dxa"/>
                  <w:vAlign w:val="center"/>
                </w:tcPr>
                <w:p>
                  <w:pPr>
                    <w:spacing w:line="240" w:lineRule="auto"/>
                    <w:ind w:firstLine="0" w:firstLineChars="0"/>
                    <w:jc w:val="center"/>
                    <w:rPr>
                      <w:rFonts w:hint="default"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57.4</w:t>
                  </w:r>
                </w:p>
              </w:tc>
              <w:tc>
                <w:tcPr>
                  <w:tcW w:w="662" w:type="dxa"/>
                  <w:vAlign w:val="center"/>
                </w:tcPr>
                <w:p>
                  <w:pPr>
                    <w:spacing w:line="240" w:lineRule="auto"/>
                    <w:ind w:firstLine="0" w:firstLineChars="0"/>
                    <w:jc w:val="center"/>
                    <w:rPr>
                      <w:rFonts w:ascii="Times New Roman" w:hAnsi="Times New Roman" w:eastAsia="宋体" w:cs="Times New Roman"/>
                      <w:color w:val="auto"/>
                      <w:spacing w:val="0"/>
                      <w:kern w:val="21"/>
                      <w:sz w:val="21"/>
                      <w:lang w:val="zh-CN"/>
                    </w:rPr>
                  </w:pPr>
                  <w:r>
                    <w:rPr>
                      <w:rFonts w:hint="eastAsia" w:ascii="Times New Roman" w:hAnsi="Times New Roman" w:eastAsia="宋体" w:cs="Times New Roman"/>
                      <w:color w:val="auto"/>
                      <w:spacing w:val="0"/>
                      <w:kern w:val="21"/>
                      <w:sz w:val="21"/>
                      <w:lang w:val="en-US" w:eastAsia="zh-CN"/>
                    </w:rPr>
                    <w:t>1.2</w:t>
                  </w:r>
                </w:p>
              </w:tc>
              <w:tc>
                <w:tcPr>
                  <w:tcW w:w="1208" w:type="dxa"/>
                  <w:vAlign w:val="center"/>
                </w:tcPr>
                <w:p>
                  <w:pPr>
                    <w:spacing w:line="240" w:lineRule="auto"/>
                    <w:ind w:firstLine="0" w:firstLineChars="0"/>
                    <w:jc w:val="center"/>
                    <w:rPr>
                      <w:rFonts w:hint="default"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75</w:t>
                  </w:r>
                </w:p>
              </w:tc>
              <w:tc>
                <w:tcPr>
                  <w:tcW w:w="2105" w:type="dxa"/>
                  <w:vAlign w:val="center"/>
                </w:tcPr>
                <w:p>
                  <w:pPr>
                    <w:spacing w:line="240" w:lineRule="auto"/>
                    <w:ind w:firstLine="0" w:firstLineChars="0"/>
                    <w:jc w:val="center"/>
                    <w:rPr>
                      <w:rFonts w:ascii="Times New Roman" w:hAnsi="Times New Roman" w:eastAsia="宋体" w:cs="Times New Roman"/>
                      <w:color w:val="auto"/>
                      <w:spacing w:val="0"/>
                      <w:kern w:val="21"/>
                      <w:sz w:val="21"/>
                    </w:rPr>
                  </w:pPr>
                  <w:r>
                    <w:rPr>
                      <w:rFonts w:hint="eastAsia" w:ascii="Times New Roman" w:hAnsi="Times New Roman" w:eastAsia="宋体" w:cs="Times New Roman"/>
                      <w:color w:val="auto"/>
                      <w:spacing w:val="0"/>
                      <w:kern w:val="21"/>
                      <w:sz w:val="21"/>
                      <w:lang w:val="en-US" w:eastAsia="zh-CN"/>
                    </w:rPr>
                    <w:t>低噪声设备、</w:t>
                  </w:r>
                  <w:r>
                    <w:rPr>
                      <w:rFonts w:ascii="Times New Roman" w:hAnsi="Times New Roman" w:eastAsia="宋体" w:cs="Times New Roman"/>
                      <w:color w:val="auto"/>
                      <w:spacing w:val="0"/>
                      <w:kern w:val="21"/>
                      <w:sz w:val="21"/>
                    </w:rPr>
                    <w:t>基础减振</w:t>
                  </w:r>
                </w:p>
              </w:tc>
              <w:tc>
                <w:tcPr>
                  <w:tcW w:w="872" w:type="dxa"/>
                  <w:vAlign w:val="center"/>
                </w:tcPr>
                <w:p>
                  <w:pPr>
                    <w:spacing w:line="240" w:lineRule="auto"/>
                    <w:ind w:firstLine="0" w:firstLineChars="0"/>
                    <w:jc w:val="center"/>
                    <w:rPr>
                      <w:rFonts w:hint="eastAsia"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8</w:t>
                  </w:r>
                  <w:r>
                    <w:rPr>
                      <w:rFonts w:ascii="Times New Roman" w:hAnsi="Times New Roman" w:eastAsia="宋体" w:cs="Times New Roman"/>
                      <w:color w:val="auto"/>
                      <w:spacing w:val="0"/>
                      <w:kern w:val="21"/>
                      <w:sz w:val="21"/>
                    </w:rPr>
                    <w:t>h/d</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9" w:type="dxa"/>
                  <w:vAlign w:val="center"/>
                </w:tcPr>
                <w:p>
                  <w:pPr>
                    <w:spacing w:line="240" w:lineRule="auto"/>
                    <w:ind w:firstLine="0" w:firstLineChars="0"/>
                    <w:jc w:val="center"/>
                    <w:rPr>
                      <w:rFonts w:hint="eastAsia"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5</w:t>
                  </w:r>
                </w:p>
              </w:tc>
              <w:tc>
                <w:tcPr>
                  <w:tcW w:w="1483" w:type="dxa"/>
                  <w:vAlign w:val="center"/>
                </w:tcPr>
                <w:p>
                  <w:pPr>
                    <w:spacing w:line="240" w:lineRule="auto"/>
                    <w:ind w:firstLine="0" w:firstLineChars="0"/>
                    <w:jc w:val="center"/>
                    <w:rPr>
                      <w:rFonts w:hint="default" w:ascii="Times New Roman" w:hAnsi="Times New Roman" w:eastAsia="宋体" w:cs="Times New Roman"/>
                      <w:color w:val="auto"/>
                      <w:spacing w:val="0"/>
                      <w:kern w:val="21"/>
                      <w:sz w:val="21"/>
                      <w:lang w:val="en-US"/>
                    </w:rPr>
                  </w:pPr>
                  <w:r>
                    <w:rPr>
                      <w:rFonts w:hint="eastAsia" w:ascii="Times New Roman" w:hAnsi="Times New Roman" w:eastAsia="宋体" w:cs="Times New Roman"/>
                      <w:color w:val="auto"/>
                      <w:spacing w:val="0"/>
                      <w:kern w:val="21"/>
                      <w:sz w:val="21"/>
                      <w:lang w:val="en-US" w:eastAsia="zh-CN"/>
                    </w:rPr>
                    <w:t>装载机2</w:t>
                  </w:r>
                </w:p>
              </w:tc>
              <w:tc>
                <w:tcPr>
                  <w:tcW w:w="666" w:type="dxa"/>
                  <w:vAlign w:val="center"/>
                </w:tcPr>
                <w:p>
                  <w:pPr>
                    <w:spacing w:line="240" w:lineRule="auto"/>
                    <w:ind w:firstLine="0" w:firstLineChars="0"/>
                    <w:jc w:val="center"/>
                    <w:rPr>
                      <w:rFonts w:hint="default"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33.0</w:t>
                  </w:r>
                </w:p>
              </w:tc>
              <w:tc>
                <w:tcPr>
                  <w:tcW w:w="665" w:type="dxa"/>
                  <w:vAlign w:val="center"/>
                </w:tcPr>
                <w:p>
                  <w:pPr>
                    <w:spacing w:line="240" w:lineRule="auto"/>
                    <w:ind w:firstLine="0" w:firstLineChars="0"/>
                    <w:jc w:val="center"/>
                    <w:rPr>
                      <w:rFonts w:hint="default"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57.8</w:t>
                  </w:r>
                </w:p>
              </w:tc>
              <w:tc>
                <w:tcPr>
                  <w:tcW w:w="662" w:type="dxa"/>
                  <w:vAlign w:val="center"/>
                </w:tcPr>
                <w:p>
                  <w:pPr>
                    <w:spacing w:line="240" w:lineRule="auto"/>
                    <w:ind w:firstLine="0" w:firstLineChars="0"/>
                    <w:jc w:val="center"/>
                    <w:rPr>
                      <w:rFonts w:ascii="Times New Roman" w:hAnsi="Times New Roman" w:eastAsia="宋体" w:cs="Times New Roman"/>
                      <w:color w:val="auto"/>
                      <w:spacing w:val="0"/>
                      <w:kern w:val="21"/>
                      <w:sz w:val="21"/>
                      <w:lang w:val="zh-CN"/>
                    </w:rPr>
                  </w:pPr>
                  <w:r>
                    <w:rPr>
                      <w:rFonts w:hint="eastAsia" w:ascii="Times New Roman" w:hAnsi="Times New Roman" w:eastAsia="宋体" w:cs="Times New Roman"/>
                      <w:color w:val="auto"/>
                      <w:spacing w:val="0"/>
                      <w:kern w:val="21"/>
                      <w:sz w:val="21"/>
                      <w:lang w:val="en-US" w:eastAsia="zh-CN"/>
                    </w:rPr>
                    <w:t>1.2</w:t>
                  </w:r>
                </w:p>
              </w:tc>
              <w:tc>
                <w:tcPr>
                  <w:tcW w:w="1208" w:type="dxa"/>
                  <w:vAlign w:val="center"/>
                </w:tcPr>
                <w:p>
                  <w:pPr>
                    <w:spacing w:line="240" w:lineRule="auto"/>
                    <w:ind w:firstLine="0" w:firstLineChars="0"/>
                    <w:jc w:val="center"/>
                    <w:rPr>
                      <w:rFonts w:hint="default"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75</w:t>
                  </w:r>
                </w:p>
              </w:tc>
              <w:tc>
                <w:tcPr>
                  <w:tcW w:w="2105" w:type="dxa"/>
                  <w:vAlign w:val="center"/>
                </w:tcPr>
                <w:p>
                  <w:pPr>
                    <w:spacing w:line="240" w:lineRule="auto"/>
                    <w:ind w:firstLine="0" w:firstLineChars="0"/>
                    <w:jc w:val="center"/>
                    <w:rPr>
                      <w:rFonts w:ascii="Times New Roman" w:hAnsi="Times New Roman" w:eastAsia="宋体" w:cs="Times New Roman"/>
                      <w:color w:val="auto"/>
                      <w:spacing w:val="0"/>
                      <w:kern w:val="21"/>
                      <w:sz w:val="21"/>
                    </w:rPr>
                  </w:pPr>
                  <w:r>
                    <w:rPr>
                      <w:rFonts w:hint="eastAsia" w:ascii="Times New Roman" w:hAnsi="Times New Roman" w:eastAsia="宋体" w:cs="Times New Roman"/>
                      <w:color w:val="auto"/>
                      <w:spacing w:val="0"/>
                      <w:kern w:val="21"/>
                      <w:sz w:val="21"/>
                      <w:lang w:val="en-US" w:eastAsia="zh-CN"/>
                    </w:rPr>
                    <w:t>低噪声设备、</w:t>
                  </w:r>
                  <w:r>
                    <w:rPr>
                      <w:rFonts w:ascii="Times New Roman" w:hAnsi="Times New Roman" w:eastAsia="宋体" w:cs="Times New Roman"/>
                      <w:color w:val="auto"/>
                      <w:spacing w:val="0"/>
                      <w:kern w:val="21"/>
                      <w:sz w:val="21"/>
                    </w:rPr>
                    <w:t>基础减振</w:t>
                  </w:r>
                </w:p>
              </w:tc>
              <w:tc>
                <w:tcPr>
                  <w:tcW w:w="872" w:type="dxa"/>
                  <w:vAlign w:val="center"/>
                </w:tcPr>
                <w:p>
                  <w:pPr>
                    <w:spacing w:line="240" w:lineRule="auto"/>
                    <w:ind w:firstLine="0" w:firstLineChars="0"/>
                    <w:jc w:val="center"/>
                    <w:rPr>
                      <w:rFonts w:hint="eastAsia" w:ascii="Times New Roman" w:hAnsi="Times New Roman" w:eastAsia="宋体" w:cs="Times New Roman"/>
                      <w:color w:val="auto"/>
                      <w:spacing w:val="0"/>
                      <w:kern w:val="21"/>
                      <w:sz w:val="21"/>
                      <w:lang w:val="en-US" w:eastAsia="zh-CN"/>
                    </w:rPr>
                  </w:pPr>
                  <w:r>
                    <w:rPr>
                      <w:rFonts w:hint="eastAsia" w:ascii="Times New Roman" w:hAnsi="Times New Roman" w:eastAsia="宋体" w:cs="Times New Roman"/>
                      <w:color w:val="auto"/>
                      <w:spacing w:val="0"/>
                      <w:kern w:val="21"/>
                      <w:sz w:val="21"/>
                      <w:lang w:val="en-US" w:eastAsia="zh-CN"/>
                    </w:rPr>
                    <w:t>8</w:t>
                  </w:r>
                  <w:r>
                    <w:rPr>
                      <w:rFonts w:ascii="Times New Roman" w:hAnsi="Times New Roman" w:eastAsia="宋体" w:cs="Times New Roman"/>
                      <w:color w:val="auto"/>
                      <w:spacing w:val="0"/>
                      <w:kern w:val="21"/>
                      <w:sz w:val="21"/>
                    </w:rPr>
                    <w:t>h/d</w:t>
                  </w:r>
                </w:p>
              </w:tc>
            </w:tr>
          </w:tbl>
          <w:p>
            <w:pPr>
              <w:widowControl/>
              <w:adjustRightInd/>
              <w:snapToGrid/>
              <w:ind w:firstLine="482"/>
              <w:jc w:val="left"/>
              <w:rPr>
                <w:rFonts w:ascii="Times New Roman" w:hAnsi="Times New Roman" w:cs="Times New Roman" w:eastAsiaTheme="minorEastAsia"/>
                <w:b/>
                <w:bCs/>
                <w:color w:val="auto"/>
                <w:spacing w:val="0"/>
                <w:sz w:val="24"/>
                <w:szCs w:val="24"/>
                <w:lang w:bidi="ar"/>
              </w:rPr>
            </w:pPr>
            <w:r>
              <w:rPr>
                <w:rFonts w:ascii="Times New Roman" w:hAnsi="Times New Roman" w:cs="Times New Roman" w:eastAsiaTheme="minorEastAsia"/>
                <w:b/>
                <w:bCs/>
                <w:color w:val="auto"/>
                <w:spacing w:val="0"/>
                <w:sz w:val="24"/>
                <w:szCs w:val="24"/>
              </w:rPr>
              <w:t>3.2</w:t>
            </w:r>
            <w:r>
              <w:rPr>
                <w:rFonts w:ascii="Times New Roman" w:hAnsi="Times New Roman" w:cs="Times New Roman" w:eastAsiaTheme="minorEastAsia"/>
                <w:b/>
                <w:bCs/>
                <w:color w:val="auto"/>
                <w:spacing w:val="0"/>
                <w:sz w:val="24"/>
                <w:szCs w:val="24"/>
                <w:lang w:bidi="ar"/>
              </w:rPr>
              <w:t>预测模式</w:t>
            </w:r>
          </w:p>
          <w:p>
            <w:pPr>
              <w:pStyle w:val="454"/>
              <w:bidi w:val="0"/>
              <w:rPr>
                <w:rFonts w:hint="eastAsia"/>
                <w:color w:val="auto"/>
                <w:highlight w:val="none"/>
                <w:lang w:val="en-US" w:eastAsia="zh-CN"/>
              </w:rPr>
            </w:pPr>
            <w:r>
              <w:rPr>
                <w:rFonts w:hint="eastAsia" w:ascii="Times New Roman" w:hAnsi="Times New Roman" w:cs="Times New Roman" w:eastAsiaTheme="minorEastAsia"/>
                <w:color w:val="auto"/>
                <w:spacing w:val="0"/>
                <w:sz w:val="24"/>
                <w:szCs w:val="24"/>
                <w:lang w:eastAsia="zh-CN" w:bidi="ar"/>
              </w:rPr>
              <w:t>（</w:t>
            </w:r>
            <w:r>
              <w:rPr>
                <w:rFonts w:hint="eastAsia" w:ascii="Times New Roman" w:hAnsi="Times New Roman" w:cs="Times New Roman" w:eastAsiaTheme="minorEastAsia"/>
                <w:color w:val="auto"/>
                <w:spacing w:val="0"/>
                <w:sz w:val="24"/>
                <w:szCs w:val="24"/>
                <w:lang w:val="en-US" w:eastAsia="zh-CN" w:bidi="ar"/>
              </w:rPr>
              <w:t>1</w:t>
            </w:r>
            <w:r>
              <w:rPr>
                <w:rFonts w:hint="eastAsia" w:ascii="Times New Roman" w:hAnsi="Times New Roman" w:cs="Times New Roman" w:eastAsiaTheme="minorEastAsia"/>
                <w:color w:val="auto"/>
                <w:spacing w:val="0"/>
                <w:sz w:val="24"/>
                <w:szCs w:val="24"/>
                <w:lang w:eastAsia="zh-CN" w:bidi="ar"/>
              </w:rPr>
              <w:t>）</w:t>
            </w:r>
            <w:r>
              <w:rPr>
                <w:rFonts w:hint="eastAsia"/>
                <w:color w:val="auto"/>
                <w:highlight w:val="none"/>
                <w:lang w:val="en-US" w:eastAsia="zh-CN"/>
              </w:rPr>
              <w:t>预测方法</w:t>
            </w:r>
          </w:p>
          <w:p>
            <w:pPr>
              <w:widowControl/>
              <w:adjustRightInd/>
              <w:snapToGrid/>
              <w:ind w:firstLine="480"/>
              <w:jc w:val="left"/>
              <w:rPr>
                <w:rFonts w:hint="eastAsia" w:ascii="Times New Roman" w:hAnsi="Times New Roman" w:cs="Times New Roman" w:eastAsiaTheme="minorEastAsia"/>
                <w:color w:val="auto"/>
                <w:spacing w:val="0"/>
                <w:sz w:val="24"/>
                <w:szCs w:val="24"/>
                <w:lang w:val="en-US" w:eastAsia="zh-CN" w:bidi="ar"/>
              </w:rPr>
            </w:pPr>
            <w:r>
              <w:rPr>
                <w:rFonts w:hint="eastAsia" w:ascii="Times New Roman" w:hAnsi="Times New Roman" w:cs="Times New Roman" w:eastAsiaTheme="minorEastAsia"/>
                <w:color w:val="auto"/>
                <w:spacing w:val="0"/>
                <w:sz w:val="24"/>
                <w:szCs w:val="24"/>
                <w:lang w:val="en-US" w:eastAsia="zh-CN" w:bidi="ar"/>
              </w:rPr>
              <w:t>为了预测新建噪声源对厂界环境噪声强度及造成的影响，根据工程特点及环境特征，此次噪声计算考虑了噪声随距离的衰减、建筑物围护结构的隔声和建筑物屏蔽效应。进行预测时，以采取环评规定的防震减噪措施后噪声源强的消减值，经模式计算所得为采取措施后的贡献值。</w:t>
            </w:r>
          </w:p>
          <w:p>
            <w:pPr>
              <w:widowControl/>
              <w:adjustRightInd/>
              <w:snapToGrid/>
              <w:ind w:firstLine="480"/>
              <w:jc w:val="left"/>
              <w:rPr>
                <w:rFonts w:hint="eastAsia" w:ascii="Times New Roman" w:hAnsi="Times New Roman" w:cs="Times New Roman" w:eastAsiaTheme="minorEastAsia"/>
                <w:color w:val="auto"/>
                <w:spacing w:val="0"/>
                <w:sz w:val="24"/>
                <w:szCs w:val="24"/>
                <w:lang w:eastAsia="zh-CN" w:bidi="ar"/>
              </w:rPr>
            </w:pPr>
            <w:r>
              <w:rPr>
                <w:rFonts w:hint="eastAsia" w:ascii="Times New Roman" w:hAnsi="Times New Roman" w:cs="Times New Roman" w:eastAsiaTheme="minorEastAsia"/>
                <w:color w:val="auto"/>
                <w:spacing w:val="0"/>
                <w:sz w:val="24"/>
                <w:szCs w:val="24"/>
                <w:lang w:eastAsia="zh-CN" w:bidi="ar"/>
              </w:rPr>
              <w:t>（</w:t>
            </w:r>
            <w:r>
              <w:rPr>
                <w:rFonts w:hint="eastAsia" w:ascii="Times New Roman" w:hAnsi="Times New Roman" w:cs="Times New Roman" w:eastAsiaTheme="minorEastAsia"/>
                <w:color w:val="auto"/>
                <w:spacing w:val="0"/>
                <w:sz w:val="24"/>
                <w:szCs w:val="24"/>
                <w:lang w:val="en-US" w:eastAsia="zh-CN" w:bidi="ar"/>
              </w:rPr>
              <w:t>2</w:t>
            </w:r>
            <w:r>
              <w:rPr>
                <w:rFonts w:hint="eastAsia" w:ascii="Times New Roman" w:hAnsi="Times New Roman" w:cs="Times New Roman" w:eastAsiaTheme="minorEastAsia"/>
                <w:color w:val="auto"/>
                <w:spacing w:val="0"/>
                <w:sz w:val="24"/>
                <w:szCs w:val="24"/>
                <w:lang w:eastAsia="zh-CN" w:bidi="ar"/>
              </w:rPr>
              <w:t>）</w:t>
            </w:r>
            <w:r>
              <w:rPr>
                <w:rFonts w:ascii="Times New Roman" w:hAnsi="Times New Roman" w:cs="Times New Roman" w:eastAsiaTheme="minorEastAsia"/>
                <w:color w:val="auto"/>
                <w:spacing w:val="0"/>
                <w:sz w:val="24"/>
                <w:szCs w:val="24"/>
                <w:lang w:bidi="ar"/>
              </w:rPr>
              <w:t>预测模式</w:t>
            </w:r>
          </w:p>
          <w:p>
            <w:pPr>
              <w:pStyle w:val="454"/>
              <w:bidi w:val="0"/>
              <w:rPr>
                <w:rFonts w:hint="eastAsia"/>
                <w:color w:val="auto"/>
                <w:highlight w:val="none"/>
              </w:rPr>
            </w:pPr>
            <w:r>
              <w:rPr>
                <w:rFonts w:hint="eastAsia"/>
                <w:color w:val="auto"/>
                <w:highlight w:val="none"/>
              </w:rPr>
              <w:t>根据本项目对噪声源所采取的消声、隔声措施及效果。按照《环境影响评价技术导则声环境》</w:t>
            </w:r>
            <w:r>
              <w:rPr>
                <w:rFonts w:hint="eastAsia"/>
                <w:color w:val="auto"/>
                <w:highlight w:val="none"/>
                <w:lang w:eastAsia="zh-CN"/>
              </w:rPr>
              <w:t>（HJ2.4-2021）</w:t>
            </w:r>
            <w:r>
              <w:rPr>
                <w:rFonts w:hint="eastAsia"/>
                <w:color w:val="auto"/>
                <w:highlight w:val="none"/>
              </w:rPr>
              <w:t>中措施的模式预测噪声源对各预测点的影响值并进行影响评价。</w:t>
            </w:r>
          </w:p>
          <w:p>
            <w:pPr>
              <w:pStyle w:val="454"/>
              <w:bidi w:val="0"/>
              <w:rPr>
                <w:color w:val="auto"/>
                <w:highlight w:val="none"/>
                <w:lang w:val="en-US" w:eastAsia="en-US"/>
              </w:rPr>
            </w:pPr>
            <w:r>
              <w:rPr>
                <w:color w:val="auto"/>
                <w:highlight w:val="none"/>
                <w:lang w:val="en-US" w:eastAsia="en-US"/>
              </w:rPr>
              <w:t>噪声预测公式为：L</w:t>
            </w:r>
            <w:r>
              <w:rPr>
                <w:color w:val="auto"/>
                <w:highlight w:val="none"/>
                <w:vertAlign w:val="subscript"/>
                <w:lang w:val="en-US" w:eastAsia="en-US"/>
              </w:rPr>
              <w:t>1</w:t>
            </w:r>
            <w:r>
              <w:rPr>
                <w:color w:val="auto"/>
                <w:highlight w:val="none"/>
                <w:lang w:val="en-US" w:eastAsia="en-US"/>
              </w:rPr>
              <w:t>＝L</w:t>
            </w:r>
            <w:r>
              <w:rPr>
                <w:color w:val="auto"/>
                <w:highlight w:val="none"/>
                <w:vertAlign w:val="subscript"/>
                <w:lang w:val="en-US" w:eastAsia="en-US"/>
              </w:rPr>
              <w:t>0</w:t>
            </w:r>
            <w:r>
              <w:rPr>
                <w:color w:val="auto"/>
                <w:highlight w:val="none"/>
                <w:lang w:val="en-US" w:eastAsia="en-US"/>
              </w:rPr>
              <w:t>－20lgr</w:t>
            </w:r>
            <w:r>
              <w:rPr>
                <w:color w:val="auto"/>
                <w:highlight w:val="none"/>
                <w:vertAlign w:val="subscript"/>
                <w:lang w:val="en-US" w:eastAsia="en-US"/>
              </w:rPr>
              <w:t>1</w:t>
            </w:r>
            <w:r>
              <w:rPr>
                <w:color w:val="auto"/>
                <w:highlight w:val="none"/>
                <w:lang w:val="en-US" w:eastAsia="en-US"/>
              </w:rPr>
              <w:t>/r</w:t>
            </w:r>
            <w:r>
              <w:rPr>
                <w:color w:val="auto"/>
                <w:highlight w:val="none"/>
                <w:vertAlign w:val="subscript"/>
                <w:lang w:val="en-US" w:eastAsia="en-US"/>
              </w:rPr>
              <w:t>0</w:t>
            </w:r>
            <w:r>
              <w:rPr>
                <w:color w:val="auto"/>
                <w:highlight w:val="none"/>
                <w:lang w:val="en-US" w:eastAsia="en-US"/>
              </w:rPr>
              <w:t>-△L</w:t>
            </w:r>
          </w:p>
          <w:p>
            <w:pPr>
              <w:pStyle w:val="454"/>
              <w:bidi w:val="0"/>
              <w:rPr>
                <w:color w:val="auto"/>
                <w:highlight w:val="none"/>
                <w:lang w:val="en-US" w:eastAsia="en-US"/>
              </w:rPr>
            </w:pPr>
            <w:r>
              <w:rPr>
                <w:color w:val="auto"/>
                <w:highlight w:val="none"/>
                <w:lang w:val="en-US" w:eastAsia="en-US"/>
              </w:rPr>
              <w:t>式中：L</w:t>
            </w:r>
            <w:r>
              <w:rPr>
                <w:color w:val="auto"/>
                <w:highlight w:val="none"/>
                <w:vertAlign w:val="subscript"/>
                <w:lang w:val="en-US" w:eastAsia="en-US"/>
              </w:rPr>
              <w:t>1</w:t>
            </w:r>
            <w:r>
              <w:rPr>
                <w:color w:val="auto"/>
                <w:highlight w:val="none"/>
                <w:lang w:val="en-US" w:eastAsia="en-US"/>
              </w:rPr>
              <w:t>——距声源r</w:t>
            </w:r>
            <w:r>
              <w:rPr>
                <w:color w:val="auto"/>
                <w:highlight w:val="none"/>
                <w:vertAlign w:val="subscript"/>
                <w:lang w:val="en-US" w:eastAsia="en-US"/>
              </w:rPr>
              <w:t>2</w:t>
            </w:r>
            <w:r>
              <w:rPr>
                <w:color w:val="auto"/>
                <w:highlight w:val="none"/>
                <w:lang w:val="en-US" w:eastAsia="en-US"/>
              </w:rPr>
              <w:t>处声源值[dB(A)]；</w:t>
            </w:r>
          </w:p>
          <w:p>
            <w:pPr>
              <w:pStyle w:val="454"/>
              <w:keepNext w:val="0"/>
              <w:keepLines w:val="0"/>
              <w:pageBreakBefore w:val="0"/>
              <w:widowControl w:val="0"/>
              <w:kinsoku/>
              <w:wordWrap/>
              <w:overflowPunct/>
              <w:topLinePunct w:val="0"/>
              <w:autoSpaceDE/>
              <w:autoSpaceDN/>
              <w:bidi w:val="0"/>
              <w:adjustRightInd w:val="0"/>
              <w:snapToGrid w:val="0"/>
              <w:ind w:firstLine="1200" w:firstLineChars="500"/>
              <w:textAlignment w:val="auto"/>
              <w:rPr>
                <w:color w:val="auto"/>
                <w:highlight w:val="none"/>
                <w:lang w:val="en-US" w:eastAsia="en-US"/>
              </w:rPr>
            </w:pPr>
            <w:r>
              <w:rPr>
                <w:color w:val="auto"/>
                <w:highlight w:val="none"/>
                <w:lang w:val="en-US" w:eastAsia="en-US"/>
              </w:rPr>
              <w:t>L</w:t>
            </w:r>
            <w:r>
              <w:rPr>
                <w:color w:val="auto"/>
                <w:highlight w:val="none"/>
                <w:vertAlign w:val="subscript"/>
                <w:lang w:val="en-US" w:eastAsia="en-US"/>
              </w:rPr>
              <w:t>0</w:t>
            </w:r>
            <w:r>
              <w:rPr>
                <w:color w:val="auto"/>
                <w:highlight w:val="none"/>
                <w:lang w:val="en-US" w:eastAsia="en-US"/>
              </w:rPr>
              <w:t>——距声源r</w:t>
            </w:r>
            <w:r>
              <w:rPr>
                <w:color w:val="auto"/>
                <w:highlight w:val="none"/>
                <w:vertAlign w:val="subscript"/>
                <w:lang w:val="en-US" w:eastAsia="en-US"/>
              </w:rPr>
              <w:t>1</w:t>
            </w:r>
            <w:r>
              <w:rPr>
                <w:color w:val="auto"/>
                <w:highlight w:val="none"/>
                <w:lang w:val="en-US" w:eastAsia="en-US"/>
              </w:rPr>
              <w:t>处声源值[dB(A)]；</w:t>
            </w:r>
          </w:p>
          <w:p>
            <w:pPr>
              <w:pStyle w:val="454"/>
              <w:keepNext w:val="0"/>
              <w:keepLines w:val="0"/>
              <w:pageBreakBefore w:val="0"/>
              <w:widowControl w:val="0"/>
              <w:kinsoku/>
              <w:wordWrap/>
              <w:overflowPunct/>
              <w:topLinePunct w:val="0"/>
              <w:autoSpaceDE/>
              <w:autoSpaceDN/>
              <w:bidi w:val="0"/>
              <w:adjustRightInd w:val="0"/>
              <w:snapToGrid w:val="0"/>
              <w:ind w:firstLine="1200" w:firstLineChars="500"/>
              <w:textAlignment w:val="auto"/>
              <w:rPr>
                <w:color w:val="auto"/>
                <w:highlight w:val="none"/>
                <w:lang w:val="en-US" w:eastAsia="en-US"/>
              </w:rPr>
            </w:pPr>
            <w:r>
              <w:rPr>
                <w:color w:val="auto"/>
                <w:highlight w:val="none"/>
                <w:lang w:val="en-US" w:eastAsia="en-US"/>
              </w:rPr>
              <w:t>r</w:t>
            </w:r>
            <w:r>
              <w:rPr>
                <w:color w:val="auto"/>
                <w:highlight w:val="none"/>
                <w:vertAlign w:val="subscript"/>
                <w:lang w:val="en-US" w:eastAsia="en-US"/>
              </w:rPr>
              <w:t>1</w:t>
            </w:r>
            <w:r>
              <w:rPr>
                <w:rFonts w:hint="eastAsia"/>
                <w:color w:val="auto"/>
                <w:highlight w:val="none"/>
                <w:lang w:val="en-US" w:eastAsia="zh-CN"/>
              </w:rPr>
              <w:t>、</w:t>
            </w:r>
            <w:r>
              <w:rPr>
                <w:color w:val="auto"/>
                <w:highlight w:val="none"/>
                <w:lang w:val="en-US" w:eastAsia="en-US"/>
              </w:rPr>
              <w:t>r0——与声源的距离</w:t>
            </w:r>
            <w:r>
              <w:rPr>
                <w:rFonts w:hint="eastAsia"/>
                <w:color w:val="auto"/>
                <w:highlight w:val="none"/>
                <w:lang w:val="en-US" w:eastAsia="zh-CN"/>
              </w:rPr>
              <w:t>（</w:t>
            </w:r>
            <w:r>
              <w:rPr>
                <w:color w:val="auto"/>
                <w:highlight w:val="none"/>
                <w:lang w:val="en-US" w:eastAsia="en-US"/>
              </w:rPr>
              <w:t>m</w:t>
            </w:r>
            <w:r>
              <w:rPr>
                <w:rFonts w:hint="eastAsia"/>
                <w:color w:val="auto"/>
                <w:highlight w:val="none"/>
                <w:lang w:val="en-US" w:eastAsia="zh-CN"/>
              </w:rPr>
              <w:t>）</w:t>
            </w:r>
            <w:r>
              <w:rPr>
                <w:color w:val="auto"/>
                <w:highlight w:val="none"/>
                <w:lang w:val="en-US" w:eastAsia="en-US"/>
              </w:rPr>
              <w:t>（本次计算取r0=1）；</w:t>
            </w:r>
          </w:p>
          <w:p>
            <w:pPr>
              <w:pStyle w:val="454"/>
              <w:keepNext w:val="0"/>
              <w:keepLines w:val="0"/>
              <w:pageBreakBefore w:val="0"/>
              <w:widowControl w:val="0"/>
              <w:kinsoku/>
              <w:wordWrap/>
              <w:overflowPunct/>
              <w:topLinePunct w:val="0"/>
              <w:autoSpaceDE/>
              <w:autoSpaceDN/>
              <w:bidi w:val="0"/>
              <w:adjustRightInd w:val="0"/>
              <w:snapToGrid w:val="0"/>
              <w:ind w:firstLine="1200" w:firstLineChars="500"/>
              <w:textAlignment w:val="auto"/>
              <w:rPr>
                <w:color w:val="auto"/>
                <w:highlight w:val="none"/>
                <w:lang w:val="en-US" w:eastAsia="en-US"/>
              </w:rPr>
            </w:pPr>
            <w:r>
              <w:rPr>
                <w:color w:val="auto"/>
                <w:highlight w:val="none"/>
                <w:lang w:val="en-US" w:eastAsia="en-US"/>
              </w:rPr>
              <w:t>△L——采取各种措施后的噪声衰减量，dB(A</w:t>
            </w:r>
            <w:r>
              <w:rPr>
                <w:rFonts w:hint="eastAsia"/>
                <w:color w:val="auto"/>
                <w:highlight w:val="none"/>
                <w:lang w:val="en-US" w:eastAsia="zh-CN"/>
              </w:rPr>
              <w:t>）</w:t>
            </w:r>
            <w:r>
              <w:rPr>
                <w:color w:val="auto"/>
                <w:highlight w:val="none"/>
                <w:lang w:val="en-US" w:eastAsia="en-US"/>
              </w:rPr>
              <w:t>。</w:t>
            </w:r>
          </w:p>
          <w:p>
            <w:pPr>
              <w:pStyle w:val="454"/>
              <w:bidi w:val="0"/>
              <w:rPr>
                <w:color w:val="auto"/>
                <w:highlight w:val="none"/>
                <w:lang w:val="en-US" w:eastAsia="en-US"/>
              </w:rPr>
            </w:pPr>
            <w:r>
              <w:rPr>
                <w:color w:val="auto"/>
                <w:highlight w:val="none"/>
                <w:lang w:val="en-US" w:eastAsia="en-US"/>
              </w:rPr>
              <w:t>由上式预测单个噪声源在评价点的贡献值，再将不同声源在该点的贡献值用对数法叠加，得出多个噪声源对该点噪声的贡献值，采用的模式如下：</w:t>
            </w:r>
          </w:p>
          <w:p>
            <w:pPr>
              <w:pStyle w:val="454"/>
              <w:bidi w:val="0"/>
              <w:rPr>
                <w:color w:val="auto"/>
                <w:highlight w:val="none"/>
                <w:lang w:val="en-US" w:eastAsia="en-US"/>
              </w:rPr>
            </w:pPr>
            <w:r>
              <w:rPr>
                <w:color w:val="auto"/>
                <w:highlight w:val="none"/>
                <w:lang w:val="en-US" w:eastAsia="en-US"/>
              </w:rPr>
              <w:drawing>
                <wp:inline distT="0" distB="0" distL="114300" distR="114300">
                  <wp:extent cx="1264920" cy="427355"/>
                  <wp:effectExtent l="0" t="0" r="11430" b="10795"/>
                  <wp:docPr id="8" name="图片 23"/>
                  <wp:cNvGraphicFramePr/>
                  <a:graphic xmlns:a="http://schemas.openxmlformats.org/drawingml/2006/main">
                    <a:graphicData uri="http://schemas.openxmlformats.org/drawingml/2006/picture">
                      <pic:pic xmlns:pic="http://schemas.openxmlformats.org/drawingml/2006/picture">
                        <pic:nvPicPr>
                          <pic:cNvPr id="8" name="图片 23"/>
                          <pic:cNvPicPr/>
                        </pic:nvPicPr>
                        <pic:blipFill>
                          <a:blip r:embed="rId17"/>
                          <a:stretch>
                            <a:fillRect/>
                          </a:stretch>
                        </pic:blipFill>
                        <pic:spPr>
                          <a:xfrm>
                            <a:off x="0" y="0"/>
                            <a:ext cx="1264920" cy="427355"/>
                          </a:xfrm>
                          <a:prstGeom prst="rect">
                            <a:avLst/>
                          </a:prstGeom>
                          <a:noFill/>
                          <a:ln>
                            <a:noFill/>
                          </a:ln>
                        </pic:spPr>
                      </pic:pic>
                    </a:graphicData>
                  </a:graphic>
                </wp:inline>
              </w:drawing>
            </w:r>
          </w:p>
          <w:p>
            <w:pPr>
              <w:pStyle w:val="454"/>
              <w:bidi w:val="0"/>
              <w:rPr>
                <w:color w:val="auto"/>
                <w:highlight w:val="none"/>
                <w:lang w:val="en-US" w:eastAsia="en-US"/>
              </w:rPr>
            </w:pPr>
            <w:r>
              <w:rPr>
                <w:color w:val="auto"/>
                <w:highlight w:val="none"/>
                <w:lang w:val="en-US" w:eastAsia="en-US"/>
              </w:rPr>
              <w:t>式中：Li——第i个声源的噪声值，dB(A</w:t>
            </w:r>
            <w:r>
              <w:rPr>
                <w:rFonts w:hint="eastAsia"/>
                <w:color w:val="auto"/>
                <w:highlight w:val="none"/>
                <w:lang w:val="en-US" w:eastAsia="zh-CN"/>
              </w:rPr>
              <w:t>)</w:t>
            </w:r>
            <w:r>
              <w:rPr>
                <w:color w:val="auto"/>
                <w:highlight w:val="none"/>
                <w:lang w:val="en-US" w:eastAsia="en-US"/>
              </w:rPr>
              <w:t>；</w:t>
            </w:r>
          </w:p>
          <w:p>
            <w:pPr>
              <w:pStyle w:val="454"/>
              <w:keepNext w:val="0"/>
              <w:keepLines w:val="0"/>
              <w:pageBreakBefore w:val="0"/>
              <w:widowControl w:val="0"/>
              <w:kinsoku/>
              <w:wordWrap/>
              <w:overflowPunct/>
              <w:topLinePunct w:val="0"/>
              <w:autoSpaceDE/>
              <w:autoSpaceDN/>
              <w:bidi w:val="0"/>
              <w:adjustRightInd w:val="0"/>
              <w:snapToGrid w:val="0"/>
              <w:ind w:firstLine="1200" w:firstLineChars="500"/>
              <w:textAlignment w:val="auto"/>
              <w:rPr>
                <w:color w:val="auto"/>
                <w:highlight w:val="none"/>
                <w:lang w:val="en-US" w:eastAsia="en-US"/>
              </w:rPr>
            </w:pPr>
            <w:r>
              <w:rPr>
                <w:color w:val="auto"/>
                <w:highlight w:val="none"/>
                <w:lang w:val="en-US" w:eastAsia="en-US"/>
              </w:rPr>
              <w:t>L——某点噪声总</w:t>
            </w:r>
            <w:r>
              <w:rPr>
                <w:rFonts w:hint="eastAsia"/>
                <w:color w:val="auto"/>
                <w:highlight w:val="none"/>
                <w:lang w:val="en-US" w:eastAsia="zh-CN"/>
              </w:rPr>
              <w:t>叠</w:t>
            </w:r>
            <w:r>
              <w:rPr>
                <w:color w:val="auto"/>
                <w:highlight w:val="none"/>
                <w:lang w:val="en-US" w:eastAsia="en-US"/>
              </w:rPr>
              <w:t>加值，dB(A</w:t>
            </w:r>
            <w:r>
              <w:rPr>
                <w:rFonts w:hint="eastAsia"/>
                <w:color w:val="auto"/>
                <w:highlight w:val="none"/>
                <w:lang w:val="en-US" w:eastAsia="zh-CN"/>
              </w:rPr>
              <w:t>)</w:t>
            </w:r>
            <w:r>
              <w:rPr>
                <w:color w:val="auto"/>
                <w:highlight w:val="none"/>
                <w:lang w:val="en-US" w:eastAsia="en-US"/>
              </w:rPr>
              <w:t>；</w:t>
            </w:r>
          </w:p>
          <w:p>
            <w:pPr>
              <w:pStyle w:val="454"/>
              <w:keepNext w:val="0"/>
              <w:keepLines w:val="0"/>
              <w:pageBreakBefore w:val="0"/>
              <w:widowControl w:val="0"/>
              <w:kinsoku/>
              <w:wordWrap/>
              <w:overflowPunct/>
              <w:topLinePunct w:val="0"/>
              <w:autoSpaceDE/>
              <w:autoSpaceDN/>
              <w:bidi w:val="0"/>
              <w:adjustRightInd w:val="0"/>
              <w:snapToGrid w:val="0"/>
              <w:ind w:firstLine="1200" w:firstLineChars="500"/>
              <w:textAlignment w:val="auto"/>
              <w:rPr>
                <w:rFonts w:hint="eastAsia"/>
                <w:color w:val="auto"/>
                <w:highlight w:val="none"/>
              </w:rPr>
            </w:pPr>
            <w:r>
              <w:rPr>
                <w:color w:val="auto"/>
                <w:highlight w:val="none"/>
                <w:lang w:val="en-US" w:eastAsia="en-US"/>
              </w:rPr>
              <w:t>n——声源个数。</w:t>
            </w:r>
          </w:p>
          <w:p>
            <w:pPr>
              <w:pStyle w:val="449"/>
              <w:adjustRightInd/>
              <w:snapToGrid/>
              <w:ind w:firstLine="482"/>
              <w:rPr>
                <w:rFonts w:ascii="Times New Roman" w:hAnsi="Times New Roman" w:eastAsia="宋体" w:cs="Times New Roman"/>
                <w:b/>
                <w:bCs/>
                <w:color w:val="auto"/>
                <w:spacing w:val="0"/>
                <w:sz w:val="24"/>
                <w:szCs w:val="24"/>
              </w:rPr>
            </w:pPr>
            <w:r>
              <w:rPr>
                <w:rFonts w:hint="eastAsia" w:ascii="Times New Roman" w:hAnsi="Times New Roman" w:eastAsia="宋体" w:cs="Times New Roman"/>
                <w:b/>
                <w:bCs/>
                <w:color w:val="auto"/>
                <w:spacing w:val="0"/>
                <w:sz w:val="24"/>
                <w:szCs w:val="24"/>
              </w:rPr>
              <w:t>3.3预测结果</w:t>
            </w:r>
          </w:p>
          <w:p>
            <w:pPr>
              <w:adjustRightInd/>
              <w:snapToGrid/>
              <w:ind w:firstLine="480"/>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lang w:val="zh-CN"/>
              </w:rPr>
              <w:t>通过噪声预测软件，厂界</w:t>
            </w:r>
            <w:r>
              <w:rPr>
                <w:rFonts w:hint="eastAsia" w:ascii="Times New Roman" w:hAnsi="Times New Roman" w:eastAsia="宋体" w:cs="Times New Roman"/>
                <w:color w:val="auto"/>
                <w:spacing w:val="0"/>
                <w:sz w:val="24"/>
                <w:szCs w:val="24"/>
                <w:lang w:val="zh-CN"/>
              </w:rPr>
              <w:t>噪声</w:t>
            </w:r>
            <w:r>
              <w:rPr>
                <w:rFonts w:ascii="Times New Roman" w:hAnsi="Times New Roman" w:eastAsia="宋体" w:cs="Times New Roman"/>
                <w:color w:val="auto"/>
                <w:spacing w:val="0"/>
                <w:sz w:val="24"/>
                <w:szCs w:val="24"/>
              </w:rPr>
              <w:t>预测结果见表4-</w:t>
            </w:r>
            <w:r>
              <w:rPr>
                <w:rFonts w:hint="eastAsia" w:ascii="Times New Roman" w:hAnsi="Times New Roman" w:eastAsia="宋体" w:cs="Times New Roman"/>
                <w:color w:val="auto"/>
                <w:spacing w:val="0"/>
                <w:sz w:val="24"/>
                <w:szCs w:val="24"/>
                <w:lang w:val="en-US" w:eastAsia="zh-CN"/>
              </w:rPr>
              <w:t>11</w:t>
            </w:r>
            <w:r>
              <w:rPr>
                <w:rFonts w:hint="eastAsia" w:ascii="Times New Roman" w:hAnsi="Times New Roman" w:eastAsia="宋体" w:cs="Times New Roman"/>
                <w:color w:val="auto"/>
                <w:spacing w:val="0"/>
                <w:sz w:val="24"/>
                <w:szCs w:val="24"/>
              </w:rPr>
              <w:t>。</w:t>
            </w:r>
          </w:p>
          <w:p>
            <w:pPr>
              <w:pStyle w:val="450"/>
              <w:spacing w:before="0" w:beforeLines="0"/>
              <w:ind w:firstLine="422"/>
              <w:rPr>
                <w:rFonts w:eastAsia="宋体"/>
                <w:color w:val="auto"/>
                <w:spacing w:val="0"/>
                <w:sz w:val="21"/>
                <w:highlight w:val="yellow"/>
              </w:rPr>
            </w:pPr>
            <w:r>
              <w:rPr>
                <w:rFonts w:hint="eastAsia" w:asciiTheme="minorEastAsia" w:hAnsiTheme="minorEastAsia" w:eastAsiaTheme="minorEastAsia" w:cstheme="minorEastAsia"/>
                <w:color w:val="auto"/>
                <w:spacing w:val="0"/>
                <w:sz w:val="21"/>
                <w:highlight w:val="none"/>
              </w:rPr>
              <w:t>表</w:t>
            </w:r>
            <w:r>
              <w:rPr>
                <w:rFonts w:ascii="Times New Roman" w:hAnsi="Times New Roman" w:cs="Times New Roman" w:eastAsiaTheme="minorEastAsia"/>
                <w:color w:val="auto"/>
                <w:spacing w:val="0"/>
                <w:sz w:val="21"/>
                <w:highlight w:val="none"/>
              </w:rPr>
              <w:t>4-1</w:t>
            </w:r>
            <w:r>
              <w:rPr>
                <w:rFonts w:hint="eastAsia" w:ascii="Times New Roman" w:hAnsi="Times New Roman" w:cs="Times New Roman" w:eastAsiaTheme="minorEastAsia"/>
                <w:color w:val="auto"/>
                <w:spacing w:val="0"/>
                <w:sz w:val="21"/>
                <w:highlight w:val="none"/>
                <w:lang w:val="en-US" w:eastAsia="zh-CN"/>
              </w:rPr>
              <w:t>1</w:t>
            </w:r>
            <w:r>
              <w:rPr>
                <w:rFonts w:hint="eastAsia" w:asciiTheme="minorEastAsia" w:hAnsiTheme="minorEastAsia" w:eastAsiaTheme="minorEastAsia" w:cstheme="minorEastAsia"/>
                <w:color w:val="auto"/>
                <w:spacing w:val="0"/>
                <w:sz w:val="21"/>
                <w:highlight w:val="none"/>
              </w:rPr>
              <w:t xml:space="preserve">  噪声预测结果  单位 dB（A）</w:t>
            </w:r>
          </w:p>
          <w:tbl>
            <w:tblPr>
              <w:tblStyle w:val="5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9"/>
              <w:gridCol w:w="758"/>
              <w:gridCol w:w="793"/>
              <w:gridCol w:w="745"/>
              <w:gridCol w:w="912"/>
              <w:gridCol w:w="1308"/>
              <w:gridCol w:w="1308"/>
              <w:gridCol w:w="10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0" w:hRule="exact"/>
                <w:jc w:val="center"/>
              </w:trPr>
              <w:tc>
                <w:tcPr>
                  <w:tcW w:w="636" w:type="pct"/>
                  <w:vMerge w:val="restar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预测方位</w:t>
                  </w:r>
                </w:p>
              </w:tc>
              <w:tc>
                <w:tcPr>
                  <w:tcW w:w="1448" w:type="pct"/>
                  <w:gridSpan w:val="3"/>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lang w:val="en-US" w:eastAsia="zh-CN"/>
                    </w:rPr>
                    <w:t>最大值点</w:t>
                  </w:r>
                  <w:r>
                    <w:rPr>
                      <w:rFonts w:ascii="Times New Roman" w:hAnsi="Times New Roman" w:eastAsia="宋体" w:cs="Times New Roman"/>
                      <w:color w:val="auto"/>
                      <w:spacing w:val="0"/>
                      <w:sz w:val="21"/>
                    </w:rPr>
                    <w:t>空间相对位置/m</w:t>
                  </w:r>
                </w:p>
              </w:tc>
              <w:tc>
                <w:tcPr>
                  <w:tcW w:w="575" w:type="pct"/>
                  <w:vMerge w:val="restar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时段</w:t>
                  </w:r>
                </w:p>
              </w:tc>
              <w:tc>
                <w:tcPr>
                  <w:tcW w:w="825" w:type="pct"/>
                  <w:vMerge w:val="restart"/>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贡献值</w:t>
                  </w:r>
                  <w:r>
                    <w:rPr>
                      <w:rFonts w:ascii="Times New Roman" w:hAnsi="Times New Roman" w:eastAsia="宋体" w:cs="Times New Roman"/>
                      <w:color w:val="auto"/>
                      <w:spacing w:val="0"/>
                      <w:sz w:val="21"/>
                    </w:rPr>
                    <w:t>（dB</w:t>
                  </w:r>
                  <w:r>
                    <w:rPr>
                      <w:rFonts w:hint="eastAsia" w:ascii="Times New Roman" w:hAnsi="Times New Roman" w:eastAsia="宋体" w:cs="Times New Roman"/>
                      <w:color w:val="auto"/>
                      <w:spacing w:val="0"/>
                      <w:sz w:val="21"/>
                      <w:lang w:eastAsia="zh-CN"/>
                    </w:rPr>
                    <w:t>（</w:t>
                  </w:r>
                  <w:r>
                    <w:rPr>
                      <w:rFonts w:ascii="Times New Roman" w:hAnsi="Times New Roman" w:eastAsia="宋体" w:cs="Times New Roman"/>
                      <w:color w:val="auto"/>
                      <w:spacing w:val="0"/>
                      <w:sz w:val="21"/>
                    </w:rPr>
                    <w:t>A</w:t>
                  </w:r>
                  <w:r>
                    <w:rPr>
                      <w:rFonts w:hint="eastAsia" w:ascii="Times New Roman" w:hAnsi="Times New Roman" w:eastAsia="宋体" w:cs="Times New Roman"/>
                      <w:color w:val="auto"/>
                      <w:spacing w:val="0"/>
                      <w:sz w:val="21"/>
                      <w:lang w:eastAsia="zh-CN"/>
                    </w:rPr>
                    <w:t>）</w:t>
                  </w:r>
                  <w:r>
                    <w:rPr>
                      <w:rFonts w:ascii="Times New Roman" w:hAnsi="Times New Roman" w:eastAsia="宋体" w:cs="Times New Roman"/>
                      <w:color w:val="auto"/>
                      <w:spacing w:val="0"/>
                      <w:sz w:val="21"/>
                    </w:rPr>
                    <w:t>）</w:t>
                  </w:r>
                </w:p>
              </w:tc>
              <w:tc>
                <w:tcPr>
                  <w:tcW w:w="825" w:type="pct"/>
                  <w:vMerge w:val="restar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标准限值（dB</w:t>
                  </w:r>
                  <w:r>
                    <w:rPr>
                      <w:rFonts w:hint="eastAsia" w:ascii="Times New Roman" w:hAnsi="Times New Roman" w:eastAsia="宋体" w:cs="Times New Roman"/>
                      <w:color w:val="auto"/>
                      <w:spacing w:val="0"/>
                      <w:sz w:val="21"/>
                      <w:lang w:eastAsia="zh-CN"/>
                    </w:rPr>
                    <w:t>（</w:t>
                  </w:r>
                  <w:r>
                    <w:rPr>
                      <w:rFonts w:ascii="Times New Roman" w:hAnsi="Times New Roman" w:eastAsia="宋体" w:cs="Times New Roman"/>
                      <w:color w:val="auto"/>
                      <w:spacing w:val="0"/>
                      <w:sz w:val="21"/>
                    </w:rPr>
                    <w:t>A</w:t>
                  </w:r>
                  <w:r>
                    <w:rPr>
                      <w:rFonts w:hint="eastAsia" w:ascii="Times New Roman" w:hAnsi="Times New Roman" w:eastAsia="宋体" w:cs="Times New Roman"/>
                      <w:color w:val="auto"/>
                      <w:spacing w:val="0"/>
                      <w:sz w:val="21"/>
                      <w:lang w:eastAsia="zh-CN"/>
                    </w:rPr>
                    <w:t>）</w:t>
                  </w:r>
                  <w:r>
                    <w:rPr>
                      <w:rFonts w:ascii="Times New Roman" w:hAnsi="Times New Roman" w:eastAsia="宋体" w:cs="Times New Roman"/>
                      <w:color w:val="auto"/>
                      <w:spacing w:val="0"/>
                      <w:sz w:val="21"/>
                    </w:rPr>
                    <w:t>）</w:t>
                  </w:r>
                </w:p>
              </w:tc>
              <w:tc>
                <w:tcPr>
                  <w:tcW w:w="690" w:type="pct"/>
                  <w:vMerge w:val="restar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36" w:type="pct"/>
                  <w:vMerge w:val="continue"/>
                  <w:shd w:val="clear" w:color="auto" w:fill="FFFFFF"/>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478"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X</w:t>
                  </w:r>
                </w:p>
              </w:tc>
              <w:tc>
                <w:tcPr>
                  <w:tcW w:w="500"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Y</w:t>
                  </w:r>
                </w:p>
              </w:tc>
              <w:tc>
                <w:tcPr>
                  <w:tcW w:w="469"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Z</w:t>
                  </w:r>
                </w:p>
              </w:tc>
              <w:tc>
                <w:tcPr>
                  <w:tcW w:w="575" w:type="pct"/>
                  <w:vMerge w:val="continue"/>
                  <w:shd w:val="clear" w:color="auto" w:fill="FFFFFF"/>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825" w:type="pct"/>
                  <w:vMerge w:val="continue"/>
                  <w:shd w:val="clear" w:color="auto" w:fill="FFFFFF"/>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825" w:type="pct"/>
                  <w:vMerge w:val="continue"/>
                  <w:shd w:val="clear" w:color="auto" w:fill="FFFFFF"/>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690" w:type="pct"/>
                  <w:vMerge w:val="continue"/>
                  <w:shd w:val="clear" w:color="auto" w:fill="FFFFFF"/>
                  <w:vAlign w:val="center"/>
                </w:tcPr>
                <w:p>
                  <w:pPr>
                    <w:spacing w:line="240" w:lineRule="auto"/>
                    <w:ind w:firstLine="0" w:firstLineChars="0"/>
                    <w:jc w:val="center"/>
                    <w:rPr>
                      <w:rFonts w:ascii="Times New Roman" w:hAnsi="Times New Roman" w:eastAsia="宋体" w:cs="Times New Roman"/>
                      <w:color w:val="auto"/>
                      <w:spacing w:val="0"/>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rPr>
                <w:trHeight w:val="408" w:hRule="exact"/>
                <w:jc w:val="center"/>
              </w:trPr>
              <w:tc>
                <w:tcPr>
                  <w:tcW w:w="636" w:type="pct"/>
                  <w:vMerge w:val="restar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东侧</w:t>
                  </w:r>
                </w:p>
              </w:tc>
              <w:tc>
                <w:tcPr>
                  <w:tcW w:w="478"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22.4</w:t>
                  </w:r>
                </w:p>
              </w:tc>
              <w:tc>
                <w:tcPr>
                  <w:tcW w:w="500"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64.8</w:t>
                  </w:r>
                </w:p>
              </w:tc>
              <w:tc>
                <w:tcPr>
                  <w:tcW w:w="469"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1.2</w:t>
                  </w:r>
                </w:p>
              </w:tc>
              <w:tc>
                <w:tcPr>
                  <w:tcW w:w="575"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昼间</w:t>
                  </w:r>
                </w:p>
              </w:tc>
              <w:tc>
                <w:tcPr>
                  <w:tcW w:w="825"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40.24</w:t>
                  </w:r>
                </w:p>
              </w:tc>
              <w:tc>
                <w:tcPr>
                  <w:tcW w:w="825"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60</w:t>
                  </w:r>
                </w:p>
              </w:tc>
              <w:tc>
                <w:tcPr>
                  <w:tcW w:w="690"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rPr>
                <w:trHeight w:val="408" w:hRule="exact"/>
                <w:jc w:val="center"/>
              </w:trPr>
              <w:tc>
                <w:tcPr>
                  <w:tcW w:w="636" w:type="pct"/>
                  <w:vMerge w:val="continue"/>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478"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22.4</w:t>
                  </w:r>
                </w:p>
              </w:tc>
              <w:tc>
                <w:tcPr>
                  <w:tcW w:w="500"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64.8</w:t>
                  </w:r>
                </w:p>
              </w:tc>
              <w:tc>
                <w:tcPr>
                  <w:tcW w:w="469"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1.2</w:t>
                  </w:r>
                </w:p>
              </w:tc>
              <w:tc>
                <w:tcPr>
                  <w:tcW w:w="575"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夜间</w:t>
                  </w:r>
                </w:p>
              </w:tc>
              <w:tc>
                <w:tcPr>
                  <w:tcW w:w="825"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lang w:val="en-US" w:eastAsia="zh-CN"/>
                    </w:rPr>
                    <w:t>40.24</w:t>
                  </w:r>
                </w:p>
              </w:tc>
              <w:tc>
                <w:tcPr>
                  <w:tcW w:w="825"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50</w:t>
                  </w:r>
                </w:p>
              </w:tc>
              <w:tc>
                <w:tcPr>
                  <w:tcW w:w="690"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rPr>
                <w:trHeight w:val="408" w:hRule="exact"/>
                <w:jc w:val="center"/>
              </w:trPr>
              <w:tc>
                <w:tcPr>
                  <w:tcW w:w="636" w:type="pct"/>
                  <w:vMerge w:val="restar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南侧</w:t>
                  </w:r>
                </w:p>
              </w:tc>
              <w:tc>
                <w:tcPr>
                  <w:tcW w:w="478"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23.4</w:t>
                  </w:r>
                </w:p>
              </w:tc>
              <w:tc>
                <w:tcPr>
                  <w:tcW w:w="500"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22.9</w:t>
                  </w:r>
                </w:p>
              </w:tc>
              <w:tc>
                <w:tcPr>
                  <w:tcW w:w="469"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1.2</w:t>
                  </w:r>
                </w:p>
              </w:tc>
              <w:tc>
                <w:tcPr>
                  <w:tcW w:w="575"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昼间</w:t>
                  </w:r>
                </w:p>
              </w:tc>
              <w:tc>
                <w:tcPr>
                  <w:tcW w:w="825"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45.02</w:t>
                  </w:r>
                </w:p>
              </w:tc>
              <w:tc>
                <w:tcPr>
                  <w:tcW w:w="1308" w:type="dxa"/>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lang w:val="en-US" w:eastAsia="zh-CN"/>
                    </w:rPr>
                    <w:t>60</w:t>
                  </w:r>
                </w:p>
              </w:tc>
              <w:tc>
                <w:tcPr>
                  <w:tcW w:w="690"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rPr>
                <w:trHeight w:val="408" w:hRule="exact"/>
                <w:jc w:val="center"/>
              </w:trPr>
              <w:tc>
                <w:tcPr>
                  <w:tcW w:w="636" w:type="pct"/>
                  <w:vMerge w:val="continue"/>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478"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23.4</w:t>
                  </w:r>
                </w:p>
              </w:tc>
              <w:tc>
                <w:tcPr>
                  <w:tcW w:w="500"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22.9</w:t>
                  </w:r>
                </w:p>
              </w:tc>
              <w:tc>
                <w:tcPr>
                  <w:tcW w:w="469"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1.2</w:t>
                  </w:r>
                </w:p>
              </w:tc>
              <w:tc>
                <w:tcPr>
                  <w:tcW w:w="575"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夜间</w:t>
                  </w:r>
                </w:p>
              </w:tc>
              <w:tc>
                <w:tcPr>
                  <w:tcW w:w="825"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lang w:val="en-US" w:eastAsia="zh-CN"/>
                    </w:rPr>
                    <w:t>45.02</w:t>
                  </w:r>
                </w:p>
              </w:tc>
              <w:tc>
                <w:tcPr>
                  <w:tcW w:w="1308" w:type="dxa"/>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lang w:val="en-US" w:eastAsia="zh-CN"/>
                    </w:rPr>
                    <w:t>50</w:t>
                  </w:r>
                </w:p>
              </w:tc>
              <w:tc>
                <w:tcPr>
                  <w:tcW w:w="690"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rPr>
                <w:trHeight w:val="408" w:hRule="exact"/>
                <w:jc w:val="center"/>
              </w:trPr>
              <w:tc>
                <w:tcPr>
                  <w:tcW w:w="636" w:type="pct"/>
                  <w:vMerge w:val="restar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西侧</w:t>
                  </w:r>
                </w:p>
              </w:tc>
              <w:tc>
                <w:tcPr>
                  <w:tcW w:w="478"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-9.2</w:t>
                  </w:r>
                </w:p>
              </w:tc>
              <w:tc>
                <w:tcPr>
                  <w:tcW w:w="500"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39.6</w:t>
                  </w:r>
                </w:p>
              </w:tc>
              <w:tc>
                <w:tcPr>
                  <w:tcW w:w="469"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1.2</w:t>
                  </w:r>
                </w:p>
              </w:tc>
              <w:tc>
                <w:tcPr>
                  <w:tcW w:w="575"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昼间</w:t>
                  </w:r>
                </w:p>
              </w:tc>
              <w:tc>
                <w:tcPr>
                  <w:tcW w:w="1308" w:type="dxa"/>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48.53</w:t>
                  </w:r>
                </w:p>
              </w:tc>
              <w:tc>
                <w:tcPr>
                  <w:tcW w:w="1308" w:type="dxa"/>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lang w:val="en-US" w:eastAsia="zh-CN"/>
                    </w:rPr>
                    <w:t>60</w:t>
                  </w:r>
                </w:p>
              </w:tc>
              <w:tc>
                <w:tcPr>
                  <w:tcW w:w="690"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rPr>
                <w:trHeight w:val="408" w:hRule="exact"/>
                <w:jc w:val="center"/>
              </w:trPr>
              <w:tc>
                <w:tcPr>
                  <w:tcW w:w="636" w:type="pct"/>
                  <w:vMerge w:val="continue"/>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478"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-9.2</w:t>
                  </w:r>
                </w:p>
              </w:tc>
              <w:tc>
                <w:tcPr>
                  <w:tcW w:w="500"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39.6</w:t>
                  </w:r>
                </w:p>
              </w:tc>
              <w:tc>
                <w:tcPr>
                  <w:tcW w:w="469"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1.2</w:t>
                  </w:r>
                </w:p>
              </w:tc>
              <w:tc>
                <w:tcPr>
                  <w:tcW w:w="575"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夜间</w:t>
                  </w:r>
                </w:p>
              </w:tc>
              <w:tc>
                <w:tcPr>
                  <w:tcW w:w="1308" w:type="dxa"/>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rPr>
                  </w:pPr>
                  <w:r>
                    <w:rPr>
                      <w:rFonts w:hint="eastAsia" w:ascii="Times New Roman" w:hAnsi="Times New Roman" w:eastAsia="宋体" w:cs="Times New Roman"/>
                      <w:color w:val="auto"/>
                      <w:spacing w:val="0"/>
                      <w:sz w:val="21"/>
                      <w:lang w:val="en-US" w:eastAsia="zh-CN"/>
                    </w:rPr>
                    <w:t>48.53</w:t>
                  </w:r>
                </w:p>
              </w:tc>
              <w:tc>
                <w:tcPr>
                  <w:tcW w:w="1308" w:type="dxa"/>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lang w:val="en-US" w:eastAsia="zh-CN"/>
                    </w:rPr>
                    <w:t>50</w:t>
                  </w:r>
                </w:p>
              </w:tc>
              <w:tc>
                <w:tcPr>
                  <w:tcW w:w="690"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rPr>
                <w:trHeight w:val="408" w:hRule="exact"/>
                <w:jc w:val="center"/>
              </w:trPr>
              <w:tc>
                <w:tcPr>
                  <w:tcW w:w="636" w:type="pct"/>
                  <w:vMerge w:val="restar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北侧</w:t>
                  </w:r>
                </w:p>
              </w:tc>
              <w:tc>
                <w:tcPr>
                  <w:tcW w:w="478"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-5.1</w:t>
                  </w:r>
                </w:p>
              </w:tc>
              <w:tc>
                <w:tcPr>
                  <w:tcW w:w="500"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82.3</w:t>
                  </w:r>
                </w:p>
              </w:tc>
              <w:tc>
                <w:tcPr>
                  <w:tcW w:w="469"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1.2</w:t>
                  </w:r>
                </w:p>
              </w:tc>
              <w:tc>
                <w:tcPr>
                  <w:tcW w:w="575"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昼间</w:t>
                  </w:r>
                </w:p>
              </w:tc>
              <w:tc>
                <w:tcPr>
                  <w:tcW w:w="825"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43.16</w:t>
                  </w:r>
                </w:p>
              </w:tc>
              <w:tc>
                <w:tcPr>
                  <w:tcW w:w="1308" w:type="dxa"/>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lang w:val="en-US" w:eastAsia="zh-CN"/>
                    </w:rPr>
                    <w:t>60</w:t>
                  </w:r>
                </w:p>
              </w:tc>
              <w:tc>
                <w:tcPr>
                  <w:tcW w:w="690"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rPr>
                <w:trHeight w:val="408" w:hRule="exact"/>
                <w:jc w:val="center"/>
              </w:trPr>
              <w:tc>
                <w:tcPr>
                  <w:tcW w:w="636" w:type="pct"/>
                  <w:vMerge w:val="continue"/>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478"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-5.1</w:t>
                  </w:r>
                </w:p>
              </w:tc>
              <w:tc>
                <w:tcPr>
                  <w:tcW w:w="500"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82.3</w:t>
                  </w:r>
                </w:p>
              </w:tc>
              <w:tc>
                <w:tcPr>
                  <w:tcW w:w="469"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1.2</w:t>
                  </w:r>
                </w:p>
              </w:tc>
              <w:tc>
                <w:tcPr>
                  <w:tcW w:w="575"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夜间</w:t>
                  </w:r>
                </w:p>
              </w:tc>
              <w:tc>
                <w:tcPr>
                  <w:tcW w:w="825"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rPr>
                  </w:pPr>
                  <w:r>
                    <w:rPr>
                      <w:rFonts w:hint="eastAsia" w:ascii="Times New Roman" w:hAnsi="Times New Roman" w:eastAsia="宋体" w:cs="Times New Roman"/>
                      <w:color w:val="auto"/>
                      <w:spacing w:val="0"/>
                      <w:sz w:val="21"/>
                      <w:lang w:val="en-US" w:eastAsia="zh-CN"/>
                    </w:rPr>
                    <w:t>43.16</w:t>
                  </w:r>
                </w:p>
              </w:tc>
              <w:tc>
                <w:tcPr>
                  <w:tcW w:w="1308" w:type="dxa"/>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lang w:val="en-US" w:eastAsia="zh-CN"/>
                    </w:rPr>
                    <w:t>50</w:t>
                  </w:r>
                </w:p>
              </w:tc>
              <w:tc>
                <w:tcPr>
                  <w:tcW w:w="690"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达标</w:t>
                  </w:r>
                </w:p>
              </w:tc>
            </w:tr>
          </w:tbl>
          <w:p>
            <w:pPr>
              <w:adjustRightInd/>
              <w:snapToGrid/>
              <w:ind w:left="0" w:leftChars="0" w:firstLine="0" w:firstLineChars="0"/>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lang w:val="en-US" w:eastAsia="zh-CN"/>
              </w:rPr>
              <w:t>注：表中坐标以厂界西南角（）为坐标原点，正东向为X轴正方向，正北向为Y轴正方向。</w:t>
            </w:r>
          </w:p>
          <w:p>
            <w:pPr>
              <w:keepNext w:val="0"/>
              <w:keepLines w:val="0"/>
              <w:pageBreakBefore w:val="0"/>
              <w:kinsoku/>
              <w:wordWrap/>
              <w:overflowPunct/>
              <w:topLinePunct w:val="0"/>
              <w:autoSpaceDE/>
              <w:autoSpaceDN/>
              <w:bidi w:val="0"/>
              <w:adjustRightInd/>
              <w:snapToGrid/>
              <w:ind w:firstLine="480"/>
              <w:textAlignment w:val="auto"/>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由</w:t>
            </w:r>
            <w:r>
              <w:rPr>
                <w:rFonts w:hint="eastAsia" w:ascii="Times New Roman" w:hAnsi="Times New Roman" w:eastAsia="宋体" w:cs="Times New Roman"/>
                <w:color w:val="auto"/>
                <w:spacing w:val="0"/>
                <w:sz w:val="24"/>
                <w:szCs w:val="24"/>
              </w:rPr>
              <w:t>上表</w:t>
            </w:r>
            <w:r>
              <w:rPr>
                <w:rFonts w:ascii="Times New Roman" w:hAnsi="Times New Roman" w:eastAsia="宋体" w:cs="Times New Roman"/>
                <w:color w:val="auto"/>
                <w:spacing w:val="0"/>
                <w:sz w:val="24"/>
                <w:szCs w:val="24"/>
              </w:rPr>
              <w:t>可知，根据预测结果，</w:t>
            </w:r>
            <w:r>
              <w:rPr>
                <w:rFonts w:hint="eastAsia" w:ascii="Times New Roman" w:hAnsi="Times New Roman" w:eastAsia="宋体" w:cs="Times New Roman"/>
                <w:color w:val="auto"/>
                <w:spacing w:val="0"/>
                <w:sz w:val="24"/>
                <w:szCs w:val="24"/>
                <w:lang w:val="en-US" w:eastAsia="zh-CN"/>
              </w:rPr>
              <w:t>噪声最大值为西侧48.53</w:t>
            </w:r>
            <w:r>
              <w:rPr>
                <w:rFonts w:ascii="Times New Roman" w:hAnsi="Times New Roman" w:eastAsia="宋体" w:cs="Times New Roman"/>
                <w:color w:val="auto"/>
                <w:spacing w:val="0"/>
                <w:sz w:val="21"/>
              </w:rPr>
              <w:t>dB</w:t>
            </w:r>
            <w:r>
              <w:rPr>
                <w:rFonts w:hint="eastAsia" w:ascii="Times New Roman" w:hAnsi="Times New Roman" w:eastAsia="宋体" w:cs="Times New Roman"/>
                <w:color w:val="auto"/>
                <w:spacing w:val="0"/>
                <w:sz w:val="21"/>
                <w:lang w:eastAsia="zh-CN"/>
              </w:rPr>
              <w:t>（</w:t>
            </w:r>
            <w:r>
              <w:rPr>
                <w:rFonts w:ascii="Times New Roman" w:hAnsi="Times New Roman" w:eastAsia="宋体" w:cs="Times New Roman"/>
                <w:color w:val="auto"/>
                <w:spacing w:val="0"/>
                <w:sz w:val="21"/>
              </w:rPr>
              <w:t>A</w:t>
            </w:r>
            <w:r>
              <w:rPr>
                <w:rFonts w:hint="eastAsia" w:ascii="Times New Roman" w:hAnsi="Times New Roman" w:eastAsia="宋体" w:cs="Times New Roman"/>
                <w:color w:val="auto"/>
                <w:spacing w:val="0"/>
                <w:sz w:val="21"/>
                <w:lang w:eastAsia="zh-CN"/>
              </w:rPr>
              <w:t>），</w:t>
            </w:r>
            <w:r>
              <w:rPr>
                <w:rFonts w:ascii="Times New Roman" w:hAnsi="Times New Roman" w:eastAsia="宋体" w:cs="Times New Roman"/>
                <w:color w:val="auto"/>
                <w:spacing w:val="0"/>
                <w:sz w:val="24"/>
                <w:szCs w:val="24"/>
              </w:rPr>
              <w:t>经</w:t>
            </w:r>
            <w:r>
              <w:rPr>
                <w:rFonts w:hint="eastAsia" w:ascii="Times New Roman" w:hAnsi="Times New Roman" w:eastAsia="宋体" w:cs="Times New Roman"/>
                <w:color w:val="auto"/>
                <w:spacing w:val="0"/>
                <w:sz w:val="24"/>
                <w:szCs w:val="24"/>
              </w:rPr>
              <w:t>采取减振、隔声等措施，再经距离衰减隔离后，对厂界的噪声贡献值较小</w:t>
            </w:r>
            <w:r>
              <w:rPr>
                <w:rFonts w:ascii="Times New Roman" w:hAnsi="Times New Roman" w:eastAsia="宋体" w:cs="Times New Roman"/>
                <w:color w:val="auto"/>
                <w:spacing w:val="0"/>
                <w:sz w:val="24"/>
                <w:szCs w:val="24"/>
              </w:rPr>
              <w:t>，</w:t>
            </w:r>
            <w:r>
              <w:rPr>
                <w:rFonts w:hint="eastAsia" w:ascii="Times New Roman" w:hAnsi="Times New Roman" w:eastAsia="宋体" w:cs="Times New Roman"/>
                <w:color w:val="auto"/>
                <w:spacing w:val="0"/>
                <w:sz w:val="24"/>
                <w:szCs w:val="24"/>
              </w:rPr>
              <w:t>厂界</w:t>
            </w:r>
            <w:r>
              <w:rPr>
                <w:rFonts w:ascii="Times New Roman" w:hAnsi="Times New Roman" w:eastAsia="宋体" w:cs="Times New Roman"/>
                <w:color w:val="auto"/>
                <w:spacing w:val="0"/>
                <w:sz w:val="24"/>
                <w:szCs w:val="24"/>
              </w:rPr>
              <w:t>噪声贡献值满足《工业企业厂界环境噪声排放标准》</w:t>
            </w:r>
            <w:r>
              <w:rPr>
                <w:rFonts w:hint="eastAsia" w:ascii="Times New Roman" w:hAnsi="Times New Roman" w:eastAsia="宋体" w:cs="Times New Roman"/>
                <w:color w:val="auto"/>
                <w:spacing w:val="0"/>
                <w:sz w:val="24"/>
                <w:szCs w:val="24"/>
              </w:rPr>
              <w:t>（</w:t>
            </w:r>
            <w:r>
              <w:rPr>
                <w:rFonts w:ascii="Times New Roman" w:hAnsi="Times New Roman" w:eastAsia="宋体" w:cs="Times New Roman"/>
                <w:color w:val="auto"/>
                <w:spacing w:val="0"/>
                <w:sz w:val="24"/>
                <w:szCs w:val="24"/>
              </w:rPr>
              <w:t>GB12348-2008</w:t>
            </w:r>
            <w:r>
              <w:rPr>
                <w:rFonts w:hint="eastAsia" w:ascii="Times New Roman" w:hAnsi="Times New Roman" w:eastAsia="宋体" w:cs="Times New Roman"/>
                <w:color w:val="auto"/>
                <w:spacing w:val="0"/>
                <w:sz w:val="24"/>
                <w:szCs w:val="24"/>
              </w:rPr>
              <w:t>）</w:t>
            </w:r>
            <w:r>
              <w:rPr>
                <w:rFonts w:ascii="Times New Roman" w:hAnsi="Times New Roman" w:eastAsia="宋体" w:cs="Times New Roman"/>
                <w:color w:val="auto"/>
                <w:spacing w:val="0"/>
                <w:sz w:val="24"/>
                <w:szCs w:val="24"/>
              </w:rPr>
              <w:t>中</w:t>
            </w:r>
            <w:r>
              <w:rPr>
                <w:rFonts w:hint="eastAsia" w:ascii="Times New Roman" w:hAnsi="Times New Roman" w:eastAsia="宋体" w:cs="Times New Roman"/>
                <w:color w:val="auto"/>
                <w:spacing w:val="0"/>
                <w:sz w:val="24"/>
                <w:szCs w:val="24"/>
                <w:lang w:val="en-US" w:eastAsia="zh-CN"/>
              </w:rPr>
              <w:t>2</w:t>
            </w:r>
            <w:r>
              <w:rPr>
                <w:rFonts w:ascii="Times New Roman" w:hAnsi="Times New Roman" w:eastAsia="宋体" w:cs="Times New Roman"/>
                <w:color w:val="auto"/>
                <w:spacing w:val="0"/>
                <w:sz w:val="24"/>
                <w:szCs w:val="24"/>
              </w:rPr>
              <w:t>类标准要求，对周围环境的声环境影响较小</w:t>
            </w:r>
            <w:r>
              <w:rPr>
                <w:rFonts w:hint="eastAsia" w:ascii="Times New Roman" w:hAnsi="Times New Roman" w:eastAsia="宋体" w:cs="Times New Roman"/>
                <w:color w:val="auto"/>
                <w:spacing w:val="0"/>
                <w:sz w:val="24"/>
                <w:szCs w:val="24"/>
              </w:rPr>
              <w:t>。</w:t>
            </w:r>
          </w:p>
          <w:p>
            <w:pPr>
              <w:pStyle w:val="393"/>
              <w:keepNext w:val="0"/>
              <w:keepLines w:val="0"/>
              <w:pageBreakBefore w:val="0"/>
              <w:kinsoku/>
              <w:wordWrap/>
              <w:overflowPunct/>
              <w:topLinePunct w:val="0"/>
              <w:autoSpaceDE/>
              <w:autoSpaceDN/>
              <w:bidi w:val="0"/>
              <w:adjustRightInd/>
              <w:snapToGrid/>
              <w:spacing w:before="0"/>
              <w:ind w:firstLine="482"/>
              <w:textAlignment w:val="auto"/>
              <w:rPr>
                <w:rFonts w:hint="eastAsia"/>
                <w:b/>
                <w:bCs/>
                <w:color w:val="auto"/>
                <w:spacing w:val="0"/>
              </w:rPr>
            </w:pPr>
            <w:r>
              <w:rPr>
                <w:rFonts w:hint="eastAsia"/>
                <w:b/>
                <w:bCs/>
                <w:color w:val="auto"/>
                <w:spacing w:val="0"/>
              </w:rPr>
              <w:t>3.4</w:t>
            </w:r>
            <w:r>
              <w:rPr>
                <w:rFonts w:hint="eastAsia"/>
                <w:b/>
                <w:bCs/>
                <w:color w:val="auto"/>
                <w:highlight w:val="none"/>
              </w:rPr>
              <w:t>噪声控制措施</w:t>
            </w:r>
          </w:p>
          <w:p>
            <w:pPr>
              <w:pStyle w:val="454"/>
              <w:keepNext w:val="0"/>
              <w:keepLines w:val="0"/>
              <w:pageBreakBefore w:val="0"/>
              <w:kinsoku/>
              <w:wordWrap/>
              <w:overflowPunct/>
              <w:topLinePunct w:val="0"/>
              <w:autoSpaceDE/>
              <w:autoSpaceDN/>
              <w:bidi w:val="0"/>
              <w:adjustRightInd/>
              <w:snapToGrid/>
              <w:textAlignment w:val="auto"/>
              <w:rPr>
                <w:rFonts w:hint="eastAsia"/>
                <w:color w:val="auto"/>
                <w:highlight w:val="none"/>
              </w:rPr>
            </w:pPr>
            <w:r>
              <w:rPr>
                <w:rFonts w:hint="eastAsia"/>
                <w:color w:val="auto"/>
                <w:highlight w:val="none"/>
              </w:rPr>
              <w:t>建设单位</w:t>
            </w:r>
            <w:r>
              <w:rPr>
                <w:rFonts w:hint="eastAsia"/>
                <w:color w:val="auto"/>
                <w:highlight w:val="none"/>
                <w:lang w:val="en-US" w:eastAsia="zh-CN"/>
              </w:rPr>
              <w:t>应</w:t>
            </w:r>
            <w:r>
              <w:rPr>
                <w:rFonts w:hint="eastAsia"/>
                <w:color w:val="auto"/>
                <w:highlight w:val="none"/>
              </w:rPr>
              <w:t>采取以下</w:t>
            </w:r>
            <w:r>
              <w:rPr>
                <w:rFonts w:hint="eastAsia"/>
                <w:color w:val="auto"/>
                <w:highlight w:val="none"/>
                <w:lang w:val="en-US" w:eastAsia="zh-CN"/>
              </w:rPr>
              <w:t>噪声</w:t>
            </w:r>
            <w:r>
              <w:rPr>
                <w:rFonts w:hint="eastAsia"/>
                <w:color w:val="auto"/>
                <w:highlight w:val="none"/>
              </w:rPr>
              <w:t>防治措施以减少噪声对项目区声环境、工作人员的影响：</w:t>
            </w:r>
          </w:p>
          <w:p>
            <w:pPr>
              <w:pStyle w:val="454"/>
              <w:keepNext w:val="0"/>
              <w:keepLines w:val="0"/>
              <w:pageBreakBefore w:val="0"/>
              <w:kinsoku/>
              <w:wordWrap/>
              <w:overflowPunct/>
              <w:topLinePunct w:val="0"/>
              <w:autoSpaceDE/>
              <w:autoSpaceDN/>
              <w:bidi w:val="0"/>
              <w:adjustRightInd/>
              <w:snapToGrid/>
              <w:textAlignment w:val="auto"/>
              <w:rPr>
                <w:rFonts w:hint="eastAsia"/>
                <w:color w:val="auto"/>
                <w:highlight w:val="none"/>
              </w:rPr>
            </w:pPr>
            <w:r>
              <w:rPr>
                <w:rFonts w:hint="eastAsia"/>
                <w:color w:val="auto"/>
                <w:highlight w:val="none"/>
              </w:rPr>
              <w:t>①选择高效、低噪声设备，合理布置声源。高噪声源设备均设置在专用房间内合理分布，避免集中放置，充分利用厂内建筑物的隔声作用，减轻设备对周围环境的影响。</w:t>
            </w:r>
          </w:p>
          <w:p>
            <w:pPr>
              <w:pStyle w:val="454"/>
              <w:keepNext w:val="0"/>
              <w:keepLines w:val="0"/>
              <w:pageBreakBefore w:val="0"/>
              <w:kinsoku/>
              <w:wordWrap/>
              <w:overflowPunct/>
              <w:topLinePunct w:val="0"/>
              <w:autoSpaceDE/>
              <w:autoSpaceDN/>
              <w:bidi w:val="0"/>
              <w:adjustRightInd/>
              <w:snapToGrid/>
              <w:textAlignment w:val="auto"/>
              <w:rPr>
                <w:rFonts w:hint="eastAsia" w:ascii="宋体" w:hAnsi="宋体" w:eastAsia="宋体" w:cs="宋体"/>
                <w:color w:val="auto"/>
                <w:szCs w:val="24"/>
                <w:highlight w:val="none"/>
              </w:rPr>
            </w:pPr>
            <w:r>
              <w:rPr>
                <w:rFonts w:hint="eastAsia"/>
                <w:color w:val="auto"/>
                <w:highlight w:val="none"/>
                <w:lang w:eastAsia="zh-CN"/>
              </w:rPr>
              <w:t>②</w:t>
            </w:r>
            <w:r>
              <w:rPr>
                <w:rFonts w:hint="eastAsia"/>
                <w:color w:val="auto"/>
                <w:highlight w:val="none"/>
              </w:rPr>
              <w:t>产生噪声的机电设备与地面柔性连接，设置隔振基础</w:t>
            </w:r>
            <w:r>
              <w:rPr>
                <w:rFonts w:hint="eastAsia" w:ascii="宋体" w:hAnsi="宋体" w:eastAsia="宋体" w:cs="宋体"/>
                <w:color w:val="auto"/>
                <w:szCs w:val="24"/>
                <w:highlight w:val="none"/>
              </w:rPr>
              <w:t>。</w:t>
            </w:r>
          </w:p>
          <w:p>
            <w:pPr>
              <w:pStyle w:val="454"/>
              <w:keepNext w:val="0"/>
              <w:keepLines w:val="0"/>
              <w:pageBreakBefore w:val="0"/>
              <w:kinsoku/>
              <w:wordWrap/>
              <w:overflowPunct/>
              <w:topLinePunct w:val="0"/>
              <w:autoSpaceDE/>
              <w:autoSpaceDN/>
              <w:bidi w:val="0"/>
              <w:adjustRightInd/>
              <w:snapToGrid/>
              <w:textAlignment w:val="auto"/>
              <w:rPr>
                <w:rFonts w:hint="eastAsia"/>
                <w:color w:val="auto"/>
                <w:highlight w:val="none"/>
                <w:lang w:eastAsia="zh-CN"/>
              </w:rPr>
            </w:pPr>
            <w:r>
              <w:rPr>
                <w:rFonts w:hint="eastAsia"/>
                <w:color w:val="auto"/>
                <w:highlight w:val="none"/>
              </w:rPr>
              <w:t>③</w:t>
            </w:r>
            <w:r>
              <w:rPr>
                <w:rFonts w:hint="eastAsia"/>
                <w:color w:val="auto"/>
                <w:highlight w:val="none"/>
                <w:lang w:val="en-US" w:eastAsia="zh-CN"/>
              </w:rPr>
              <w:t>除尘</w:t>
            </w:r>
            <w:r>
              <w:rPr>
                <w:rFonts w:hint="eastAsia"/>
                <w:color w:val="auto"/>
                <w:highlight w:val="none"/>
              </w:rPr>
              <w:t>风机排风口外安装消声器，内置消声插片，使噪声在通过特殊构造的消声器时削减。消声器是降低空气动力设备进、排气口辐射或沿管传递噪声的有效措施</w:t>
            </w:r>
            <w:r>
              <w:rPr>
                <w:rFonts w:hint="eastAsia"/>
                <w:color w:val="auto"/>
                <w:highlight w:val="none"/>
                <w:lang w:eastAsia="zh-CN"/>
              </w:rPr>
              <w:t>。</w:t>
            </w:r>
          </w:p>
          <w:p>
            <w:pPr>
              <w:pStyle w:val="454"/>
              <w:keepNext w:val="0"/>
              <w:keepLines w:val="0"/>
              <w:pageBreakBefore w:val="0"/>
              <w:kinsoku/>
              <w:wordWrap/>
              <w:overflowPunct/>
              <w:topLinePunct w:val="0"/>
              <w:autoSpaceDE/>
              <w:autoSpaceDN/>
              <w:bidi w:val="0"/>
              <w:adjustRightInd/>
              <w:snapToGrid/>
              <w:textAlignment w:val="auto"/>
              <w:rPr>
                <w:rFonts w:hint="eastAsia"/>
                <w:color w:val="auto"/>
                <w:highlight w:val="none"/>
                <w:lang w:eastAsia="zh-CN"/>
              </w:rPr>
            </w:pPr>
            <w:r>
              <w:rPr>
                <w:rFonts w:hint="eastAsia"/>
                <w:color w:val="auto"/>
                <w:highlight w:val="none"/>
                <w:lang w:val="en-US" w:eastAsia="zh-CN"/>
              </w:rPr>
              <w:t>④加强管理，建立设备定期维护、保养管理制度，定期对运行设备进行检修和维护，保持设备正常运行，以防止设备故障形成的非正常生产噪声，防止因设备不正常运转时产生的高噪声现象，同时确保环保措施发挥最佳效用；加强职工环保意识教育，倡导文明生产，减少人为噪声。</w:t>
            </w:r>
          </w:p>
          <w:p>
            <w:pPr>
              <w:pStyle w:val="454"/>
              <w:keepNext w:val="0"/>
              <w:keepLines w:val="0"/>
              <w:pageBreakBefore w:val="0"/>
              <w:kinsoku/>
              <w:wordWrap/>
              <w:overflowPunct/>
              <w:topLinePunct w:val="0"/>
              <w:autoSpaceDE/>
              <w:autoSpaceDN/>
              <w:bidi w:val="0"/>
              <w:adjustRightInd/>
              <w:snapToGrid/>
              <w:textAlignment w:val="auto"/>
              <w:rPr>
                <w:rFonts w:hint="eastAsia"/>
                <w:color w:val="auto"/>
                <w:highlight w:val="none"/>
              </w:rPr>
            </w:pPr>
            <w:r>
              <w:rPr>
                <w:rFonts w:hint="eastAsia"/>
                <w:color w:val="auto"/>
                <w:highlight w:val="none"/>
              </w:rPr>
              <w:t>综上所述，</w:t>
            </w:r>
            <w:r>
              <w:rPr>
                <w:rFonts w:hint="eastAsia"/>
                <w:color w:val="auto"/>
                <w:highlight w:val="none"/>
                <w:lang w:val="en-US" w:eastAsia="zh-CN"/>
              </w:rPr>
              <w:t>建设单位</w:t>
            </w:r>
            <w:r>
              <w:rPr>
                <w:rFonts w:hint="eastAsia"/>
                <w:color w:val="auto"/>
                <w:highlight w:val="none"/>
              </w:rPr>
              <w:t>在</w:t>
            </w:r>
            <w:r>
              <w:rPr>
                <w:rFonts w:hint="eastAsia"/>
                <w:color w:val="auto"/>
                <w:highlight w:val="none"/>
                <w:lang w:val="en-US" w:eastAsia="zh-CN"/>
              </w:rPr>
              <w:t>运营</w:t>
            </w:r>
            <w:r>
              <w:rPr>
                <w:rFonts w:hint="eastAsia"/>
                <w:color w:val="auto"/>
                <w:highlight w:val="none"/>
              </w:rPr>
              <w:t>过程中应加强设备机械的维修保养，保持其良好的运行效果</w:t>
            </w:r>
            <w:r>
              <w:rPr>
                <w:rFonts w:hint="eastAsia"/>
                <w:color w:val="auto"/>
                <w:highlight w:val="none"/>
                <w:lang w:eastAsia="zh-CN"/>
              </w:rPr>
              <w:t>，</w:t>
            </w:r>
            <w:r>
              <w:rPr>
                <w:rFonts w:hint="eastAsia"/>
                <w:color w:val="auto"/>
                <w:highlight w:val="none"/>
              </w:rPr>
              <w:t>确保厂界噪声</w:t>
            </w:r>
            <w:r>
              <w:rPr>
                <w:rFonts w:hint="eastAsia"/>
                <w:color w:val="auto"/>
                <w:highlight w:val="none"/>
                <w:lang w:val="en-US" w:eastAsia="zh-CN"/>
              </w:rPr>
              <w:t>稳定</w:t>
            </w:r>
            <w:r>
              <w:rPr>
                <w:rFonts w:hint="eastAsia"/>
                <w:color w:val="auto"/>
                <w:highlight w:val="none"/>
              </w:rPr>
              <w:t>达标，不</w:t>
            </w:r>
            <w:r>
              <w:rPr>
                <w:rFonts w:hint="eastAsia"/>
                <w:color w:val="auto"/>
                <w:highlight w:val="none"/>
                <w:lang w:eastAsia="zh-CN"/>
              </w:rPr>
              <w:t>对</w:t>
            </w:r>
            <w:r>
              <w:rPr>
                <w:rFonts w:hint="eastAsia"/>
                <w:color w:val="auto"/>
                <w:highlight w:val="none"/>
              </w:rPr>
              <w:t>周边</w:t>
            </w:r>
            <w:r>
              <w:rPr>
                <w:rFonts w:hint="eastAsia"/>
                <w:color w:val="auto"/>
                <w:highlight w:val="none"/>
                <w:lang w:val="en-US" w:eastAsia="zh-CN"/>
              </w:rPr>
              <w:t>声</w:t>
            </w:r>
            <w:r>
              <w:rPr>
                <w:rFonts w:hint="eastAsia"/>
                <w:color w:val="auto"/>
                <w:highlight w:val="none"/>
              </w:rPr>
              <w:t>环境</w:t>
            </w:r>
            <w:r>
              <w:rPr>
                <w:rFonts w:hint="eastAsia"/>
                <w:color w:val="auto"/>
                <w:highlight w:val="none"/>
                <w:lang w:val="en-US" w:eastAsia="zh-CN"/>
              </w:rPr>
              <w:t>质量产生不利</w:t>
            </w:r>
            <w:r>
              <w:rPr>
                <w:rFonts w:hint="eastAsia"/>
                <w:color w:val="auto"/>
                <w:highlight w:val="none"/>
              </w:rPr>
              <w:t>影响。</w:t>
            </w:r>
          </w:p>
          <w:p>
            <w:pPr>
              <w:pStyle w:val="393"/>
              <w:keepNext w:val="0"/>
              <w:keepLines w:val="0"/>
              <w:pageBreakBefore w:val="0"/>
              <w:kinsoku/>
              <w:wordWrap/>
              <w:overflowPunct/>
              <w:topLinePunct w:val="0"/>
              <w:autoSpaceDE/>
              <w:autoSpaceDN/>
              <w:bidi w:val="0"/>
              <w:adjustRightInd/>
              <w:snapToGrid/>
              <w:spacing w:before="0"/>
              <w:ind w:firstLine="482"/>
              <w:textAlignment w:val="auto"/>
              <w:rPr>
                <w:color w:val="auto"/>
                <w:spacing w:val="0"/>
              </w:rPr>
            </w:pPr>
            <w:r>
              <w:rPr>
                <w:rFonts w:hint="eastAsia"/>
                <w:b/>
                <w:bCs/>
                <w:color w:val="auto"/>
                <w:spacing w:val="0"/>
                <w:lang w:val="en-US" w:eastAsia="zh-CN"/>
              </w:rPr>
              <w:t>3.5</w:t>
            </w:r>
            <w:r>
              <w:rPr>
                <w:b/>
                <w:bCs/>
                <w:color w:val="auto"/>
                <w:spacing w:val="0"/>
              </w:rPr>
              <w:t>噪声监测计划</w:t>
            </w:r>
          </w:p>
          <w:p>
            <w:pPr>
              <w:pStyle w:val="393"/>
              <w:keepNext w:val="0"/>
              <w:keepLines w:val="0"/>
              <w:pageBreakBefore w:val="0"/>
              <w:kinsoku/>
              <w:wordWrap/>
              <w:overflowPunct/>
              <w:topLinePunct w:val="0"/>
              <w:autoSpaceDE/>
              <w:autoSpaceDN/>
              <w:bidi w:val="0"/>
              <w:adjustRightInd/>
              <w:snapToGrid/>
              <w:spacing w:before="0"/>
              <w:ind w:firstLine="480"/>
              <w:textAlignment w:val="auto"/>
              <w:rPr>
                <w:color w:val="auto"/>
                <w:spacing w:val="0"/>
              </w:rPr>
            </w:pPr>
            <w:r>
              <w:rPr>
                <w:color w:val="auto"/>
                <w:spacing w:val="0"/>
              </w:rPr>
              <w:t>根据《排污许可证申请与核发技术规范 总则》</w:t>
            </w:r>
            <w:r>
              <w:rPr>
                <w:rFonts w:hint="eastAsia"/>
                <w:color w:val="auto"/>
                <w:spacing w:val="0"/>
              </w:rPr>
              <w:t>（HJ819-2017）</w:t>
            </w:r>
            <w:r>
              <w:rPr>
                <w:rFonts w:hint="eastAsia"/>
                <w:color w:val="auto"/>
                <w:spacing w:val="0"/>
                <w:lang w:eastAsia="zh-CN"/>
              </w:rPr>
              <w:t>、《排污许可证申请与核发技术规范 工业噪声》（HJ 1301-2023）</w:t>
            </w:r>
            <w:r>
              <w:rPr>
                <w:rFonts w:hint="eastAsia"/>
                <w:color w:val="auto"/>
                <w:spacing w:val="0"/>
              </w:rPr>
              <w:t>中相关要求，本项目噪声监测计划见表4-1</w:t>
            </w:r>
            <w:r>
              <w:rPr>
                <w:rFonts w:hint="eastAsia"/>
                <w:color w:val="auto"/>
                <w:spacing w:val="0"/>
                <w:lang w:val="en-US" w:eastAsia="zh-CN"/>
              </w:rPr>
              <w:t>2</w:t>
            </w:r>
            <w:r>
              <w:rPr>
                <w:rFonts w:hint="eastAsia"/>
                <w:color w:val="auto"/>
                <w:spacing w:val="0"/>
              </w:rPr>
              <w:t>。</w:t>
            </w:r>
          </w:p>
          <w:p>
            <w:pPr>
              <w:adjustRightInd/>
              <w:snapToGrid/>
              <w:ind w:firstLine="0" w:firstLineChars="0"/>
              <w:jc w:val="center"/>
              <w:rPr>
                <w:rFonts w:ascii="Times New Roman" w:hAnsi="Times New Roman" w:eastAsia="宋体" w:cs="Times New Roman"/>
                <w:b/>
                <w:bCs/>
                <w:color w:val="auto"/>
                <w:spacing w:val="0"/>
                <w:sz w:val="21"/>
              </w:rPr>
            </w:pPr>
            <w:r>
              <w:rPr>
                <w:rFonts w:ascii="Times New Roman" w:hAnsi="Times New Roman" w:eastAsia="宋体" w:cs="Times New Roman"/>
                <w:b/>
                <w:bCs/>
                <w:color w:val="auto"/>
                <w:spacing w:val="0"/>
                <w:sz w:val="21"/>
              </w:rPr>
              <w:t>表4-</w:t>
            </w:r>
            <w:r>
              <w:rPr>
                <w:rFonts w:hint="eastAsia" w:ascii="Times New Roman" w:hAnsi="Times New Roman" w:eastAsia="宋体" w:cs="Times New Roman"/>
                <w:b/>
                <w:bCs/>
                <w:color w:val="auto"/>
                <w:spacing w:val="0"/>
                <w:sz w:val="21"/>
              </w:rPr>
              <w:t>1</w:t>
            </w:r>
            <w:r>
              <w:rPr>
                <w:rFonts w:hint="eastAsia" w:ascii="Times New Roman" w:hAnsi="Times New Roman" w:eastAsia="宋体" w:cs="Times New Roman"/>
                <w:b/>
                <w:bCs/>
                <w:color w:val="auto"/>
                <w:spacing w:val="0"/>
                <w:sz w:val="21"/>
                <w:lang w:val="en-US" w:eastAsia="zh-CN"/>
              </w:rPr>
              <w:t>2</w:t>
            </w:r>
            <w:r>
              <w:rPr>
                <w:rFonts w:ascii="Times New Roman" w:hAnsi="Times New Roman" w:eastAsia="宋体" w:cs="Times New Roman"/>
                <w:b/>
                <w:bCs/>
                <w:color w:val="auto"/>
                <w:spacing w:val="0"/>
                <w:sz w:val="21"/>
              </w:rPr>
              <w:t xml:space="preserve"> </w:t>
            </w:r>
            <w:r>
              <w:rPr>
                <w:rFonts w:hint="eastAsia" w:ascii="Times New Roman" w:hAnsi="Times New Roman" w:eastAsia="宋体" w:cs="Times New Roman"/>
                <w:b/>
                <w:bCs/>
                <w:color w:val="auto"/>
                <w:spacing w:val="0"/>
                <w:sz w:val="21"/>
              </w:rPr>
              <w:t>本项目</w:t>
            </w:r>
            <w:r>
              <w:rPr>
                <w:rFonts w:ascii="Times New Roman" w:hAnsi="Times New Roman" w:eastAsia="宋体" w:cs="Times New Roman"/>
                <w:b/>
                <w:bCs/>
                <w:color w:val="auto"/>
                <w:spacing w:val="0"/>
                <w:sz w:val="21"/>
              </w:rPr>
              <w:t>噪声监测计划一览表</w:t>
            </w:r>
          </w:p>
          <w:tbl>
            <w:tblPr>
              <w:tblStyle w:val="5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3"/>
              <w:gridCol w:w="1566"/>
              <w:gridCol w:w="1434"/>
              <w:gridCol w:w="33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979"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监测点位</w:t>
                  </w:r>
                </w:p>
              </w:tc>
              <w:tc>
                <w:tcPr>
                  <w:tcW w:w="987"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监测频率</w:t>
                  </w:r>
                </w:p>
              </w:tc>
              <w:tc>
                <w:tcPr>
                  <w:tcW w:w="904"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监测因子</w:t>
                  </w:r>
                </w:p>
              </w:tc>
              <w:tc>
                <w:tcPr>
                  <w:tcW w:w="2127"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79"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厂界外1m</w:t>
                  </w:r>
                </w:p>
              </w:tc>
              <w:tc>
                <w:tcPr>
                  <w:tcW w:w="987"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每季度一次</w:t>
                  </w:r>
                </w:p>
              </w:tc>
              <w:tc>
                <w:tcPr>
                  <w:tcW w:w="904" w:type="pct"/>
                  <w:vAlign w:val="center"/>
                </w:tcPr>
                <w:p>
                  <w:pPr>
                    <w:adjustRightInd/>
                    <w:snapToGrid/>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L</w:t>
                  </w:r>
                  <w:r>
                    <w:rPr>
                      <w:rFonts w:ascii="Times New Roman" w:hAnsi="Times New Roman" w:eastAsia="宋体" w:cs="Times New Roman"/>
                      <w:color w:val="auto"/>
                      <w:spacing w:val="0"/>
                      <w:sz w:val="21"/>
                      <w:vertAlign w:val="subscript"/>
                    </w:rPr>
                    <w:t>Aeq</w:t>
                  </w:r>
                </w:p>
              </w:tc>
              <w:tc>
                <w:tcPr>
                  <w:tcW w:w="2127"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《工业企业厂界环境噪声排放标准》（GB12348-2008）表1中</w:t>
                  </w:r>
                  <w:r>
                    <w:rPr>
                      <w:rFonts w:hint="eastAsia" w:ascii="Times New Roman" w:hAnsi="Times New Roman" w:eastAsia="宋体" w:cs="Times New Roman"/>
                      <w:color w:val="auto"/>
                      <w:spacing w:val="0"/>
                      <w:sz w:val="21"/>
                      <w:lang w:val="en-US" w:eastAsia="zh-CN"/>
                    </w:rPr>
                    <w:t>2</w:t>
                  </w:r>
                  <w:r>
                    <w:rPr>
                      <w:rFonts w:ascii="Times New Roman" w:hAnsi="Times New Roman" w:eastAsia="宋体" w:cs="Times New Roman"/>
                      <w:color w:val="auto"/>
                      <w:spacing w:val="0"/>
                      <w:sz w:val="21"/>
                    </w:rPr>
                    <w:t>类标准</w:t>
                  </w:r>
                </w:p>
              </w:tc>
            </w:tr>
          </w:tbl>
          <w:p>
            <w:pPr>
              <w:adjustRightInd/>
              <w:snapToGrid/>
              <w:ind w:firstLine="482"/>
              <w:rPr>
                <w:rFonts w:ascii="Times New Roman" w:hAnsi="Times New Roman" w:eastAsia="宋体" w:cs="Times New Roman"/>
                <w:b/>
                <w:bCs/>
                <w:color w:val="auto"/>
                <w:spacing w:val="0"/>
                <w:sz w:val="24"/>
              </w:rPr>
            </w:pPr>
            <w:r>
              <w:rPr>
                <w:rFonts w:hint="eastAsia" w:ascii="Times New Roman" w:hAnsi="Times New Roman" w:eastAsia="宋体" w:cs="Times New Roman"/>
                <w:b/>
                <w:bCs/>
                <w:color w:val="auto"/>
                <w:spacing w:val="0"/>
                <w:sz w:val="21"/>
                <w:szCs w:val="21"/>
              </w:rPr>
              <w:t>注</w:t>
            </w:r>
            <w:r>
              <w:rPr>
                <w:rFonts w:hint="eastAsia" w:ascii="Times New Roman" w:hAnsi="Times New Roman" w:eastAsia="宋体" w:cs="Times New Roman"/>
                <w:b/>
                <w:bCs/>
                <w:color w:val="auto"/>
                <w:spacing w:val="0"/>
                <w:sz w:val="21"/>
                <w:szCs w:val="21"/>
                <w:lang w:eastAsia="zh-CN"/>
              </w:rPr>
              <w:t>：</w:t>
            </w:r>
            <w:r>
              <w:rPr>
                <w:rFonts w:hint="eastAsia" w:ascii="Times New Roman" w:hAnsi="Times New Roman" w:eastAsia="宋体" w:cs="Times New Roman"/>
                <w:b/>
                <w:bCs/>
                <w:color w:val="auto"/>
                <w:spacing w:val="0"/>
                <w:sz w:val="21"/>
                <w:szCs w:val="21"/>
              </w:rPr>
              <w:t>夜间频发、偶发噪声需监测最大A声级L</w:t>
            </w:r>
            <w:r>
              <w:rPr>
                <w:rFonts w:hint="eastAsia" w:ascii="Times New Roman" w:hAnsi="Times New Roman" w:eastAsia="宋体" w:cs="Times New Roman"/>
                <w:b/>
                <w:bCs/>
                <w:color w:val="auto"/>
                <w:spacing w:val="0"/>
                <w:sz w:val="21"/>
                <w:szCs w:val="21"/>
                <w:vertAlign w:val="subscript"/>
              </w:rPr>
              <w:t>max</w:t>
            </w:r>
            <w:r>
              <w:rPr>
                <w:rFonts w:hint="eastAsia" w:ascii="Times New Roman" w:hAnsi="Times New Roman" w:eastAsia="宋体" w:cs="Times New Roman"/>
                <w:b/>
                <w:bCs/>
                <w:color w:val="auto"/>
                <w:spacing w:val="0"/>
                <w:sz w:val="21"/>
                <w:szCs w:val="21"/>
              </w:rPr>
              <w:t>，频发、偶发噪声在发生时进行监测。</w:t>
            </w:r>
          </w:p>
          <w:p>
            <w:pPr>
              <w:keepNext w:val="0"/>
              <w:keepLines w:val="0"/>
              <w:pageBreakBefore w:val="0"/>
              <w:widowControl w:val="0"/>
              <w:kinsoku/>
              <w:wordWrap/>
              <w:overflowPunct/>
              <w:topLinePunct w:val="0"/>
              <w:autoSpaceDE/>
              <w:autoSpaceDN/>
              <w:bidi w:val="0"/>
              <w:adjustRightInd/>
              <w:snapToGrid/>
              <w:ind w:firstLine="482"/>
              <w:textAlignment w:val="auto"/>
              <w:rPr>
                <w:rFonts w:ascii="Times New Roman" w:hAnsi="Times New Roman" w:eastAsia="宋体" w:cs="Times New Roman"/>
                <w:b/>
                <w:bCs/>
                <w:color w:val="auto"/>
                <w:spacing w:val="0"/>
                <w:sz w:val="24"/>
              </w:rPr>
            </w:pPr>
            <w:r>
              <w:rPr>
                <w:rFonts w:ascii="Times New Roman" w:hAnsi="Times New Roman" w:eastAsia="宋体" w:cs="Times New Roman"/>
                <w:b/>
                <w:bCs/>
                <w:color w:val="auto"/>
                <w:spacing w:val="0"/>
                <w:sz w:val="24"/>
              </w:rPr>
              <w:t>4、固体废物</w:t>
            </w:r>
            <w:r>
              <w:rPr>
                <w:rFonts w:hint="eastAsia" w:ascii="Times New Roman" w:hAnsi="Times New Roman" w:eastAsia="宋体" w:cs="Times New Roman"/>
                <w:b/>
                <w:bCs/>
                <w:color w:val="auto"/>
                <w:spacing w:val="0"/>
                <w:sz w:val="24"/>
              </w:rPr>
              <w:t>影响分析</w:t>
            </w:r>
          </w:p>
          <w:p>
            <w:pPr>
              <w:keepNext w:val="0"/>
              <w:keepLines w:val="0"/>
              <w:pageBreakBefore w:val="0"/>
              <w:widowControl w:val="0"/>
              <w:kinsoku/>
              <w:wordWrap/>
              <w:overflowPunct/>
              <w:topLinePunct w:val="0"/>
              <w:autoSpaceDE/>
              <w:autoSpaceDN/>
              <w:bidi w:val="0"/>
              <w:adjustRightInd/>
              <w:snapToGrid/>
              <w:ind w:firstLine="482"/>
              <w:textAlignment w:val="auto"/>
              <w:rPr>
                <w:rFonts w:ascii="Times New Roman" w:hAnsi="Times New Roman" w:eastAsia="宋体" w:cs="Times New Roman"/>
                <w:color w:val="auto"/>
                <w:spacing w:val="0"/>
                <w:sz w:val="24"/>
              </w:rPr>
            </w:pPr>
            <w:r>
              <w:rPr>
                <w:rFonts w:hint="eastAsia" w:ascii="Times New Roman" w:hAnsi="Times New Roman" w:eastAsia="宋体" w:cs="Times New Roman"/>
                <w:b/>
                <w:bCs/>
                <w:color w:val="auto"/>
                <w:spacing w:val="0"/>
                <w:sz w:val="24"/>
              </w:rPr>
              <w:t>4.1固体废物类别及处置措施</w:t>
            </w:r>
          </w:p>
          <w:p>
            <w:pPr>
              <w:pStyle w:val="454"/>
              <w:keepNext w:val="0"/>
              <w:keepLines w:val="0"/>
              <w:pageBreakBefore w:val="0"/>
              <w:widowControl w:val="0"/>
              <w:kinsoku/>
              <w:wordWrap/>
              <w:overflowPunct/>
              <w:topLinePunct w:val="0"/>
              <w:autoSpaceDE/>
              <w:autoSpaceDN/>
              <w:bidi w:val="0"/>
              <w:adjustRightInd/>
              <w:snapToGrid/>
              <w:textAlignment w:val="auto"/>
              <w:rPr>
                <w:rFonts w:hint="eastAsia"/>
                <w:color w:val="auto"/>
                <w:highlight w:val="none"/>
              </w:rPr>
            </w:pPr>
            <w:r>
              <w:rPr>
                <w:rFonts w:hint="eastAsia"/>
                <w:color w:val="auto"/>
                <w:highlight w:val="none"/>
                <w:lang w:val="en-US" w:eastAsia="zh-CN"/>
              </w:rPr>
              <w:t>本项目产生的固体废物主要为生活垃圾，一般工业固体废物和危险废物。一般工业固体包括废布袋、</w:t>
            </w:r>
            <w:r>
              <w:rPr>
                <w:rStyle w:val="464"/>
                <w:rFonts w:hint="eastAsia"/>
                <w:color w:val="auto"/>
                <w:highlight w:val="none"/>
                <w:lang w:val="en-US" w:eastAsia="zh-CN"/>
              </w:rPr>
              <w:t>尘系统收集的粉尘</w:t>
            </w:r>
            <w:r>
              <w:rPr>
                <w:rFonts w:hint="eastAsia"/>
                <w:color w:val="auto"/>
                <w:highlight w:val="none"/>
                <w:lang w:val="en-US" w:eastAsia="zh-CN"/>
              </w:rPr>
              <w:t>、</w:t>
            </w:r>
            <w:r>
              <w:rPr>
                <w:rFonts w:hint="eastAsia" w:ascii="Times New Roman" w:hAnsi="Times New Roman" w:eastAsia="宋体" w:cs="Times New Roman"/>
                <w:color w:val="auto"/>
                <w:sz w:val="24"/>
                <w:szCs w:val="24"/>
                <w:lang w:val="en-US" w:eastAsia="zh-CN"/>
              </w:rPr>
              <w:t>废金属、</w:t>
            </w:r>
            <w:r>
              <w:rPr>
                <w:rFonts w:hint="eastAsia" w:cs="Times New Roman"/>
                <w:color w:val="auto"/>
                <w:sz w:val="24"/>
                <w:szCs w:val="24"/>
                <w:lang w:val="en-US" w:eastAsia="zh-CN"/>
              </w:rPr>
              <w:t>轻物质</w:t>
            </w:r>
            <w:r>
              <w:rPr>
                <w:rFonts w:hint="default" w:ascii="Times New Roman" w:hAnsi="Times New Roman" w:cs="Times New Roman"/>
                <w:color w:val="auto"/>
                <w:spacing w:val="1"/>
                <w:sz w:val="24"/>
                <w:szCs w:val="24"/>
              </w:rPr>
              <w:t>、</w:t>
            </w:r>
            <w:r>
              <w:rPr>
                <w:rFonts w:hint="eastAsia" w:ascii="Times New Roman" w:hAnsi="Times New Roman" w:cs="Times New Roman"/>
                <w:color w:val="auto"/>
                <w:spacing w:val="1"/>
                <w:sz w:val="24"/>
                <w:szCs w:val="24"/>
                <w:lang w:val="en-US" w:eastAsia="zh-CN"/>
              </w:rPr>
              <w:t>渣土、沉淀池污泥</w:t>
            </w:r>
            <w:r>
              <w:rPr>
                <w:rFonts w:hint="eastAsia"/>
                <w:color w:val="auto"/>
                <w:highlight w:val="none"/>
                <w:lang w:val="en-US" w:eastAsia="zh-CN"/>
              </w:rPr>
              <w:t>；危险废物主要为</w:t>
            </w:r>
            <w:r>
              <w:rPr>
                <w:rFonts w:hint="eastAsia" w:cs="Times New Roman"/>
                <w:color w:val="auto"/>
                <w:highlight w:val="none"/>
                <w:lang w:val="en-US" w:eastAsia="zh-CN"/>
              </w:rPr>
              <w:t>废机油</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废油桶</w:t>
            </w:r>
            <w:r>
              <w:rPr>
                <w:rFonts w:hint="eastAsia"/>
                <w:color w:val="auto"/>
                <w:highlight w:val="none"/>
                <w:lang w:val="en-US" w:eastAsia="zh-CN"/>
              </w:rPr>
              <w:t>。本项目固废产生量具体分析如下。</w:t>
            </w:r>
          </w:p>
          <w:p>
            <w:pPr>
              <w:keepNext w:val="0"/>
              <w:keepLines w:val="0"/>
              <w:pageBreakBefore w:val="0"/>
              <w:widowControl w:val="0"/>
              <w:kinsoku/>
              <w:wordWrap/>
              <w:overflowPunct/>
              <w:topLinePunct w:val="0"/>
              <w:autoSpaceDE/>
              <w:autoSpaceDN/>
              <w:bidi w:val="0"/>
              <w:adjustRightInd/>
              <w:snapToGrid/>
              <w:ind w:firstLine="480"/>
              <w:textAlignment w:val="auto"/>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rPr>
              <w:t>（1）一般固废</w:t>
            </w:r>
          </w:p>
          <w:p>
            <w:pPr>
              <w:pStyle w:val="454"/>
              <w:keepNext w:val="0"/>
              <w:keepLines w:val="0"/>
              <w:pageBreakBefore w:val="0"/>
              <w:widowControl w:val="0"/>
              <w:kinsoku/>
              <w:wordWrap/>
              <w:overflowPunct/>
              <w:topLinePunct w:val="0"/>
              <w:autoSpaceDE/>
              <w:autoSpaceDN/>
              <w:bidi w:val="0"/>
              <w:adjustRightInd/>
              <w:snapToGrid/>
              <w:textAlignment w:val="auto"/>
              <w:rPr>
                <w:rFonts w:hint="eastAsia" w:eastAsia="宋体"/>
                <w:color w:val="auto"/>
                <w:highlight w:val="none"/>
                <w:lang w:val="en-US" w:eastAsia="zh-CN"/>
              </w:rPr>
            </w:pPr>
            <w:r>
              <w:rPr>
                <w:rFonts w:hint="eastAsia"/>
                <w:color w:val="auto"/>
                <w:highlight w:val="none"/>
              </w:rPr>
              <w:t>①</w:t>
            </w:r>
            <w:r>
              <w:rPr>
                <w:rStyle w:val="464"/>
                <w:rFonts w:hint="eastAsia"/>
                <w:color w:val="auto"/>
                <w:highlight w:val="none"/>
                <w:lang w:val="en-US" w:eastAsia="zh-CN"/>
              </w:rPr>
              <w:t>车间及除尘系统收集的粉尘</w:t>
            </w:r>
          </w:p>
          <w:p>
            <w:pPr>
              <w:pStyle w:val="454"/>
              <w:keepNext w:val="0"/>
              <w:keepLines w:val="0"/>
              <w:pageBreakBefore w:val="0"/>
              <w:widowControl w:val="0"/>
              <w:kinsoku/>
              <w:wordWrap/>
              <w:overflowPunct/>
              <w:topLinePunct w:val="0"/>
              <w:autoSpaceDE/>
              <w:autoSpaceDN/>
              <w:bidi w:val="0"/>
              <w:adjustRightInd/>
              <w:snapToGrid/>
              <w:textAlignment w:val="auto"/>
              <w:rPr>
                <w:rStyle w:val="464"/>
                <w:rFonts w:hint="eastAsia"/>
                <w:color w:val="auto"/>
                <w:highlight w:val="none"/>
                <w:lang w:val="en-US" w:eastAsia="zh-CN"/>
              </w:rPr>
            </w:pPr>
            <w:r>
              <w:rPr>
                <w:rStyle w:val="464"/>
                <w:rFonts w:hint="eastAsia"/>
                <w:color w:val="auto"/>
                <w:highlight w:val="none"/>
                <w:lang w:val="en-US" w:eastAsia="zh-CN"/>
              </w:rPr>
              <w:t>生产车间除尘系统除尘设备收集的粉尘需定期清理，根据废气产排污平衡计算，除尘器捕集的除尘灰为238.846t/a，经收集后混入产品中</w:t>
            </w:r>
            <w:r>
              <w:rPr>
                <w:rFonts w:hint="eastAsia" w:ascii="Times New Roman" w:hAnsi="Times New Roman" w:eastAsia="宋体" w:cs="Times New Roman"/>
                <w:color w:val="auto"/>
                <w:kern w:val="2"/>
                <w:sz w:val="24"/>
                <w:szCs w:val="21"/>
                <w:lang w:val="en-US" w:eastAsia="zh-CN" w:bidi="ar-SA"/>
              </w:rPr>
              <w:t>定期</w:t>
            </w:r>
            <w:r>
              <w:rPr>
                <w:rFonts w:hint="default" w:ascii="Times New Roman" w:hAnsi="Times New Roman" w:eastAsia="宋体" w:cs="Times New Roman"/>
                <w:color w:val="auto"/>
                <w:kern w:val="0"/>
                <w:sz w:val="24"/>
                <w:szCs w:val="24"/>
                <w:lang w:val="en-US" w:eastAsia="zh-CN" w:bidi="ar-SA"/>
              </w:rPr>
              <w:t>外售</w:t>
            </w:r>
            <w:r>
              <w:rPr>
                <w:rFonts w:hint="eastAsia" w:ascii="Times New Roman" w:hAnsi="Times New Roman" w:eastAsia="宋体" w:cs="Times New Roman"/>
                <w:color w:val="auto"/>
                <w:kern w:val="0"/>
                <w:sz w:val="24"/>
                <w:szCs w:val="24"/>
                <w:lang w:val="en-US" w:eastAsia="zh-CN" w:bidi="ar-SA"/>
              </w:rPr>
              <w:t>综合利用</w:t>
            </w:r>
            <w:r>
              <w:rPr>
                <w:rStyle w:val="464"/>
                <w:rFonts w:hint="eastAsia"/>
                <w:color w:val="auto"/>
                <w:highlight w:val="none"/>
                <w:lang w:val="en-US" w:eastAsia="zh-CN"/>
              </w:rPr>
              <w:t>。</w:t>
            </w:r>
          </w:p>
          <w:p>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②废金属</w:t>
            </w:r>
          </w:p>
          <w:p>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本项目建筑垃圾原料中含有废钢筋、废铁丝等废金属，原料经磁选机进行2次除铁后将废金属从原料中除去。</w:t>
            </w:r>
            <w:r>
              <w:rPr>
                <w:rFonts w:hint="eastAsia" w:ascii="Times New Roman" w:hAnsi="Times New Roman" w:eastAsia="宋体" w:cs="Times New Roman"/>
                <w:color w:val="auto"/>
                <w:spacing w:val="0"/>
                <w:sz w:val="24"/>
                <w:szCs w:val="24"/>
              </w:rPr>
              <w:t>根据建设单位提供资料</w:t>
            </w:r>
            <w:r>
              <w:rPr>
                <w:rFonts w:hint="eastAsia" w:ascii="Times New Roman" w:hAnsi="Times New Roman" w:eastAsia="宋体" w:cs="Times New Roman"/>
                <w:color w:val="auto"/>
                <w:spacing w:val="0"/>
                <w:sz w:val="24"/>
                <w:szCs w:val="24"/>
                <w:lang w:val="en-US" w:eastAsia="zh-CN"/>
              </w:rPr>
              <w:t>，项目在除铁工序中除去的废钢筋、废铁丝等废金属量约为2000t/a。废金属收集后定期外售于金属回收厂。</w:t>
            </w:r>
          </w:p>
          <w:p>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③轻物质</w:t>
            </w:r>
          </w:p>
          <w:p>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本项目通过风选、人工分拣出的轻物质，根据建设单位提供资料，产生量为1000t/a，轻物质主要为木材、塑料等，集中收集后定期外售综合利用。</w:t>
            </w:r>
          </w:p>
          <w:p>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④渣土</w:t>
            </w:r>
          </w:p>
          <w:p>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原料通过张弛筛进行渣土筛分会产生渣土，按照《建筑垃圾处理技术规范》要求，采取回收利用或出售等措施处理后不会对周围环境造成不利影响。根据建设单位提供资料，产生量约为12000t/a。收集后定期外售综合利用。</w:t>
            </w:r>
          </w:p>
          <w:p>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⑤废布袋</w:t>
            </w:r>
          </w:p>
          <w:p>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布袋除尘器需定期更换布袋，每两年更换一次，每次更换下来的废布袋量约为0.5t/a。收集后交由厂家进行回收。</w:t>
            </w:r>
          </w:p>
          <w:p>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⑥沉淀池沉渣</w:t>
            </w:r>
          </w:p>
          <w:p>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项目进出口设置洗车平台，车辆冲洗废水产生量约为113.36m</w:t>
            </w:r>
            <w:r>
              <w:rPr>
                <w:rFonts w:hint="eastAsia" w:ascii="Times New Roman" w:hAnsi="Times New Roman" w:eastAsia="宋体" w:cs="Times New Roman"/>
                <w:color w:val="auto"/>
                <w:spacing w:val="0"/>
                <w:sz w:val="24"/>
                <w:szCs w:val="24"/>
                <w:vertAlign w:val="superscript"/>
                <w:lang w:val="en-US" w:eastAsia="zh-CN"/>
              </w:rPr>
              <w:t>3</w:t>
            </w:r>
            <w:r>
              <w:rPr>
                <w:rFonts w:hint="eastAsia" w:ascii="Times New Roman" w:hAnsi="Times New Roman" w:eastAsia="宋体" w:cs="Times New Roman"/>
                <w:color w:val="auto"/>
                <w:spacing w:val="0"/>
                <w:sz w:val="24"/>
                <w:szCs w:val="24"/>
                <w:lang w:val="en-US" w:eastAsia="zh-CN"/>
              </w:rPr>
              <w:t>/a（循环水量），车辆冲洗废水主要污染物为悬浮物，浓度约为2000mg/L，废水经沉淀池（对SS去除效率取80%）沉淀后产生沉淀渣量约为0.182t/a。定期清掏外运综合利用。</w:t>
            </w:r>
          </w:p>
          <w:p>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rPr>
              <w:t>（2）危险废物</w:t>
            </w:r>
          </w:p>
          <w:p>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rPr>
              <w:t>①</w:t>
            </w:r>
            <w:r>
              <w:rPr>
                <w:rFonts w:hint="default" w:ascii="Times New Roman" w:hAnsi="Times New Roman" w:eastAsia="宋体" w:cs="Times New Roman"/>
                <w:color w:val="auto"/>
                <w:spacing w:val="0"/>
                <w:sz w:val="24"/>
                <w:szCs w:val="24"/>
                <w:lang w:val="en-US" w:eastAsia="zh-CN"/>
              </w:rPr>
              <w:t>废</w:t>
            </w:r>
            <w:r>
              <w:rPr>
                <w:rFonts w:hint="eastAsia" w:ascii="Times New Roman" w:hAnsi="Times New Roman" w:eastAsia="宋体" w:cs="Times New Roman"/>
                <w:color w:val="auto"/>
                <w:spacing w:val="0"/>
                <w:sz w:val="24"/>
                <w:szCs w:val="24"/>
                <w:lang w:val="en-US" w:eastAsia="zh-CN"/>
              </w:rPr>
              <w:t>油桶</w:t>
            </w:r>
          </w:p>
          <w:p>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val="en-US" w:eastAsia="zh-CN"/>
              </w:rPr>
              <w:t>本项目油桶厂家周转循环使用，偶尔破损的废油桶产生量约为0.</w:t>
            </w:r>
            <w:r>
              <w:rPr>
                <w:rFonts w:hint="eastAsia" w:ascii="Times New Roman" w:hAnsi="Times New Roman" w:eastAsia="宋体" w:cs="Times New Roman"/>
                <w:color w:val="auto"/>
                <w:spacing w:val="0"/>
                <w:w w:val="100"/>
                <w:position w:val="0"/>
                <w:sz w:val="24"/>
                <w:szCs w:val="24"/>
                <w:lang w:val="en-US" w:eastAsia="zh-CN"/>
              </w:rPr>
              <w:t>0</w:t>
            </w:r>
            <w:r>
              <w:rPr>
                <w:rFonts w:hint="default" w:ascii="Times New Roman" w:hAnsi="Times New Roman" w:eastAsia="宋体" w:cs="Times New Roman"/>
                <w:color w:val="auto"/>
                <w:spacing w:val="0"/>
                <w:w w:val="100"/>
                <w:position w:val="0"/>
                <w:sz w:val="24"/>
                <w:szCs w:val="24"/>
                <w:lang w:val="en-US" w:eastAsia="zh-CN"/>
              </w:rPr>
              <w:t>1t/a，根据《国家危险废物名录（2025年版）》，其属于HW08废矿物油与含矿物油废物类别，危废代码为900-249-08，危险特性为T、I。废油桶暂存于</w:t>
            </w:r>
            <w:r>
              <w:rPr>
                <w:rFonts w:hint="eastAsia" w:ascii="Times New Roman" w:hAnsi="Times New Roman" w:eastAsia="宋体" w:cs="Times New Roman"/>
                <w:color w:val="auto"/>
                <w:spacing w:val="0"/>
                <w:w w:val="100"/>
                <w:position w:val="0"/>
                <w:sz w:val="24"/>
                <w:szCs w:val="24"/>
                <w:lang w:val="en-US" w:eastAsia="zh-CN"/>
              </w:rPr>
              <w:t>危废贮存点</w:t>
            </w:r>
            <w:r>
              <w:rPr>
                <w:rFonts w:hint="default" w:ascii="Times New Roman" w:hAnsi="Times New Roman" w:eastAsia="宋体" w:cs="Times New Roman"/>
                <w:color w:val="auto"/>
                <w:spacing w:val="0"/>
                <w:w w:val="100"/>
                <w:position w:val="0"/>
                <w:sz w:val="24"/>
                <w:szCs w:val="24"/>
                <w:lang w:val="en-US" w:eastAsia="zh-CN"/>
              </w:rPr>
              <w:t>内，定期交有危废处理资质的单位进行处置。</w:t>
            </w:r>
          </w:p>
          <w:p>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val="en-US" w:eastAsia="zh-CN"/>
              </w:rPr>
              <w:t>②</w:t>
            </w:r>
            <w:r>
              <w:rPr>
                <w:rFonts w:hint="eastAsia" w:ascii="Times New Roman" w:hAnsi="Times New Roman" w:eastAsia="宋体" w:cs="Times New Roman"/>
                <w:color w:val="auto"/>
                <w:spacing w:val="0"/>
                <w:w w:val="100"/>
                <w:position w:val="0"/>
                <w:sz w:val="24"/>
                <w:szCs w:val="24"/>
                <w:lang w:val="en-US" w:eastAsia="zh-CN"/>
              </w:rPr>
              <w:t>废机油</w:t>
            </w:r>
          </w:p>
          <w:p>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val="en-US" w:eastAsia="zh-CN"/>
              </w:rPr>
              <w:t>本项目设备维护保养每年产生废机油0.1t，属于《国家危险废物名录》（202</w:t>
            </w:r>
            <w:r>
              <w:rPr>
                <w:rFonts w:hint="eastAsia" w:ascii="Times New Roman" w:hAnsi="Times New Roman" w:eastAsia="宋体" w:cs="Times New Roman"/>
                <w:color w:val="auto"/>
                <w:spacing w:val="0"/>
                <w:w w:val="100"/>
                <w:position w:val="0"/>
                <w:sz w:val="24"/>
                <w:szCs w:val="24"/>
                <w:lang w:val="en-US" w:eastAsia="zh-CN"/>
              </w:rPr>
              <w:t>5</w:t>
            </w:r>
            <w:r>
              <w:rPr>
                <w:rFonts w:hint="default" w:ascii="Times New Roman" w:hAnsi="Times New Roman" w:eastAsia="宋体" w:cs="Times New Roman"/>
                <w:color w:val="auto"/>
                <w:spacing w:val="0"/>
                <w:w w:val="100"/>
                <w:position w:val="0"/>
                <w:sz w:val="24"/>
                <w:szCs w:val="24"/>
                <w:lang w:val="en-US" w:eastAsia="zh-CN"/>
              </w:rPr>
              <w:t>版）中HW08类危险废物，废物代码为900-21</w:t>
            </w:r>
            <w:r>
              <w:rPr>
                <w:rFonts w:hint="eastAsia" w:ascii="Times New Roman" w:hAnsi="Times New Roman" w:eastAsia="宋体" w:cs="Times New Roman"/>
                <w:color w:val="auto"/>
                <w:spacing w:val="0"/>
                <w:w w:val="100"/>
                <w:position w:val="0"/>
                <w:sz w:val="24"/>
                <w:szCs w:val="24"/>
                <w:lang w:val="en-US" w:eastAsia="zh-CN"/>
              </w:rPr>
              <w:t>8</w:t>
            </w:r>
            <w:r>
              <w:rPr>
                <w:rFonts w:hint="default" w:ascii="Times New Roman" w:hAnsi="Times New Roman" w:eastAsia="宋体" w:cs="Times New Roman"/>
                <w:color w:val="auto"/>
                <w:spacing w:val="0"/>
                <w:w w:val="100"/>
                <w:position w:val="0"/>
                <w:sz w:val="24"/>
                <w:szCs w:val="24"/>
                <w:lang w:val="en-US" w:eastAsia="zh-CN"/>
              </w:rPr>
              <w:t>-08</w:t>
            </w:r>
            <w:r>
              <w:rPr>
                <w:rFonts w:hint="eastAsia" w:ascii="Times New Roman" w:hAnsi="Times New Roman" w:eastAsia="宋体" w:cs="Times New Roman"/>
                <w:color w:val="auto"/>
                <w:spacing w:val="0"/>
                <w:w w:val="100"/>
                <w:position w:val="0"/>
                <w:sz w:val="24"/>
                <w:szCs w:val="24"/>
                <w:lang w:val="en-US" w:eastAsia="zh-CN"/>
              </w:rPr>
              <w:t>，</w:t>
            </w:r>
            <w:r>
              <w:rPr>
                <w:rFonts w:hint="default" w:ascii="Times New Roman" w:hAnsi="Times New Roman" w:eastAsia="宋体" w:cs="Times New Roman"/>
                <w:color w:val="auto"/>
                <w:spacing w:val="0"/>
                <w:w w:val="100"/>
                <w:position w:val="0"/>
                <w:sz w:val="24"/>
                <w:szCs w:val="24"/>
                <w:lang w:val="en-US" w:eastAsia="zh-CN"/>
              </w:rPr>
              <w:t>设备维保新购机油0.1t/a，设备运行损耗忽略不计，全部更换下来的废机油密闭桶装暂存于厂内</w:t>
            </w:r>
            <w:r>
              <w:rPr>
                <w:rFonts w:hint="eastAsia" w:ascii="Times New Roman" w:hAnsi="Times New Roman" w:eastAsia="宋体" w:cs="Times New Roman"/>
                <w:color w:val="auto"/>
                <w:spacing w:val="0"/>
                <w:w w:val="100"/>
                <w:position w:val="0"/>
                <w:sz w:val="24"/>
                <w:szCs w:val="24"/>
                <w:lang w:val="en-US" w:eastAsia="zh-CN"/>
              </w:rPr>
              <w:t>危废贮存点</w:t>
            </w:r>
            <w:r>
              <w:rPr>
                <w:rFonts w:hint="default" w:ascii="Times New Roman" w:hAnsi="Times New Roman" w:eastAsia="宋体" w:cs="Times New Roman"/>
                <w:color w:val="auto"/>
                <w:spacing w:val="0"/>
                <w:w w:val="100"/>
                <w:position w:val="0"/>
                <w:sz w:val="24"/>
                <w:szCs w:val="24"/>
                <w:lang w:val="en-US" w:eastAsia="zh-CN"/>
              </w:rPr>
              <w:t>，交由有资质的单位处置。</w:t>
            </w:r>
          </w:p>
          <w:p>
            <w:pPr>
              <w:pStyle w:val="461"/>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cs="Times New Roman" w:eastAsiaTheme="minorEastAsia"/>
                <w:color w:val="auto"/>
                <w:spacing w:val="0"/>
                <w:sz w:val="24"/>
                <w:szCs w:val="24"/>
                <w:lang w:eastAsia="zh-CN"/>
              </w:rPr>
              <w:t>（</w:t>
            </w:r>
            <w:r>
              <w:rPr>
                <w:rFonts w:hint="eastAsia" w:ascii="Times New Roman" w:hAnsi="Times New Roman" w:cs="Times New Roman" w:eastAsiaTheme="minorEastAsia"/>
                <w:color w:val="auto"/>
                <w:spacing w:val="0"/>
                <w:sz w:val="24"/>
                <w:szCs w:val="24"/>
                <w:lang w:val="en-US" w:eastAsia="zh-CN"/>
              </w:rPr>
              <w:t>3</w:t>
            </w:r>
            <w:r>
              <w:rPr>
                <w:rFonts w:hint="eastAsia" w:ascii="Times New Roman" w:hAnsi="Times New Roman" w:cs="Times New Roman" w:eastAsiaTheme="minorEastAsia"/>
                <w:color w:val="auto"/>
                <w:spacing w:val="0"/>
                <w:sz w:val="24"/>
                <w:szCs w:val="24"/>
                <w:lang w:eastAsia="zh-CN"/>
              </w:rPr>
              <w:t>）</w:t>
            </w:r>
            <w:r>
              <w:rPr>
                <w:rFonts w:hint="default" w:ascii="Times New Roman" w:hAnsi="Times New Roman" w:eastAsia="宋体" w:cs="Times New Roman"/>
                <w:color w:val="auto"/>
                <w:sz w:val="24"/>
                <w:szCs w:val="24"/>
              </w:rPr>
              <w:t>生活垃圾</w:t>
            </w:r>
          </w:p>
          <w:p>
            <w:pPr>
              <w:pStyle w:val="461"/>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68" w:firstLineChars="200"/>
              <w:textAlignment w:val="auto"/>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lang w:val="en-US" w:eastAsia="zh-CN"/>
              </w:rPr>
              <w:t>本次劳动定</w:t>
            </w:r>
            <w:r>
              <w:rPr>
                <w:rFonts w:hint="default" w:ascii="Times New Roman" w:hAnsi="Times New Roman" w:eastAsia="宋体" w:cs="Times New Roman"/>
                <w:color w:val="auto"/>
                <w:spacing w:val="-3"/>
                <w:sz w:val="24"/>
                <w:szCs w:val="24"/>
              </w:rPr>
              <w:t>员</w:t>
            </w:r>
            <w:r>
              <w:rPr>
                <w:rFonts w:hint="eastAsia" w:ascii="Times New Roman" w:hAnsi="Times New Roman" w:eastAsia="宋体" w:cs="Times New Roman"/>
                <w:color w:val="auto"/>
                <w:spacing w:val="-3"/>
                <w:sz w:val="24"/>
                <w:szCs w:val="24"/>
                <w:lang w:val="en-US" w:eastAsia="zh-CN"/>
              </w:rPr>
              <w:t>6</w:t>
            </w:r>
            <w:r>
              <w:rPr>
                <w:rFonts w:hint="default" w:ascii="Times New Roman" w:hAnsi="Times New Roman" w:eastAsia="宋体" w:cs="Times New Roman"/>
                <w:color w:val="auto"/>
                <w:spacing w:val="-3"/>
                <w:sz w:val="24"/>
                <w:szCs w:val="24"/>
              </w:rPr>
              <w:t>人，年工作</w:t>
            </w:r>
            <w:r>
              <w:rPr>
                <w:rFonts w:hint="eastAsia" w:ascii="Times New Roman" w:hAnsi="Times New Roman" w:eastAsia="宋体" w:cs="Times New Roman"/>
                <w:color w:val="auto"/>
                <w:spacing w:val="-3"/>
                <w:sz w:val="24"/>
                <w:szCs w:val="24"/>
                <w:lang w:val="en-US" w:eastAsia="zh-CN"/>
              </w:rPr>
              <w:t>330</w:t>
            </w:r>
            <w:r>
              <w:rPr>
                <w:rFonts w:hint="default" w:ascii="Times New Roman" w:hAnsi="Times New Roman" w:eastAsia="宋体" w:cs="Times New Roman"/>
                <w:color w:val="auto"/>
                <w:spacing w:val="-3"/>
                <w:sz w:val="24"/>
                <w:szCs w:val="24"/>
              </w:rPr>
              <w:t>天</w:t>
            </w:r>
            <w:r>
              <w:rPr>
                <w:rFonts w:hint="default"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lang w:val="en-US" w:eastAsia="zh-CN"/>
              </w:rPr>
              <w:t>垃圾产生系数为1.0kg/人·d</w:t>
            </w:r>
            <w:r>
              <w:rPr>
                <w:rFonts w:hint="default" w:ascii="Times New Roman" w:hAnsi="Times New Roman" w:eastAsia="宋体" w:cs="Times New Roman"/>
                <w:color w:val="auto"/>
                <w:spacing w:val="-3"/>
                <w:sz w:val="24"/>
                <w:szCs w:val="24"/>
                <w:lang w:val="zh-CN"/>
              </w:rPr>
              <w:t>，</w:t>
            </w:r>
            <w:r>
              <w:rPr>
                <w:rFonts w:hint="default" w:ascii="Times New Roman" w:hAnsi="Times New Roman" w:eastAsia="宋体" w:cs="Times New Roman"/>
                <w:color w:val="auto"/>
                <w:spacing w:val="-3"/>
                <w:sz w:val="24"/>
                <w:szCs w:val="24"/>
                <w:lang w:val="en-US" w:eastAsia="zh-CN"/>
              </w:rPr>
              <w:t>则员工生活垃圾产生量为</w:t>
            </w:r>
            <w:r>
              <w:rPr>
                <w:rFonts w:hint="eastAsia" w:ascii="Times New Roman" w:hAnsi="Times New Roman" w:eastAsia="宋体" w:cs="Times New Roman"/>
                <w:color w:val="auto"/>
                <w:spacing w:val="-3"/>
                <w:sz w:val="24"/>
                <w:szCs w:val="24"/>
                <w:lang w:val="en-US" w:eastAsia="zh-CN"/>
              </w:rPr>
              <w:t>6</w:t>
            </w:r>
            <w:r>
              <w:rPr>
                <w:rFonts w:hint="default" w:ascii="Times New Roman" w:hAnsi="Times New Roman" w:eastAsia="宋体" w:cs="Times New Roman"/>
                <w:color w:val="auto"/>
                <w:spacing w:val="-3"/>
                <w:sz w:val="24"/>
                <w:szCs w:val="24"/>
                <w:lang w:val="en-US" w:eastAsia="zh-CN"/>
              </w:rPr>
              <w:t>kg/d，约</w:t>
            </w:r>
            <w:r>
              <w:rPr>
                <w:rFonts w:hint="eastAsia" w:ascii="Times New Roman" w:hAnsi="Times New Roman" w:eastAsia="宋体" w:cs="Times New Roman"/>
                <w:color w:val="auto"/>
                <w:spacing w:val="-3"/>
                <w:sz w:val="24"/>
                <w:szCs w:val="24"/>
                <w:lang w:val="en-US" w:eastAsia="zh-CN"/>
              </w:rPr>
              <w:t>1.98</w:t>
            </w:r>
            <w:r>
              <w:rPr>
                <w:rFonts w:hint="default" w:ascii="Times New Roman" w:hAnsi="Times New Roman" w:eastAsia="宋体" w:cs="Times New Roman"/>
                <w:color w:val="auto"/>
                <w:spacing w:val="-3"/>
                <w:sz w:val="24"/>
                <w:szCs w:val="24"/>
                <w:lang w:val="en-US" w:eastAsia="zh-CN"/>
              </w:rPr>
              <w:t>t/a。厂内设有加盖生活</w:t>
            </w:r>
            <w:r>
              <w:rPr>
                <w:rFonts w:hint="eastAsia" w:ascii="Times New Roman" w:hAnsi="Times New Roman" w:eastAsia="宋体" w:cs="Times New Roman"/>
                <w:color w:val="auto"/>
                <w:spacing w:val="-3"/>
                <w:sz w:val="24"/>
                <w:szCs w:val="24"/>
                <w:lang w:val="en-US" w:eastAsia="zh-CN"/>
              </w:rPr>
              <w:t>垃圾</w:t>
            </w:r>
            <w:r>
              <w:rPr>
                <w:rFonts w:hint="default" w:ascii="Times New Roman" w:hAnsi="Times New Roman" w:eastAsia="宋体" w:cs="Times New Roman"/>
                <w:color w:val="auto"/>
                <w:spacing w:val="-3"/>
                <w:sz w:val="24"/>
                <w:szCs w:val="24"/>
                <w:lang w:val="en-US" w:eastAsia="zh-CN"/>
              </w:rPr>
              <w:t>收集箱，统一收集后交由当地市政环卫部门及时清运</w:t>
            </w:r>
            <w:r>
              <w:rPr>
                <w:rFonts w:hint="default" w:ascii="Times New Roman" w:hAnsi="Times New Roman" w:eastAsia="宋体" w:cs="Times New Roman"/>
                <w:color w:val="auto"/>
                <w:spacing w:val="-3"/>
                <w:sz w:val="24"/>
                <w:szCs w:val="24"/>
                <w:lang w:val="zh-CN" w:eastAsia="zh-CN"/>
              </w:rPr>
              <w:t>。</w:t>
            </w:r>
          </w:p>
          <w:p>
            <w:pPr>
              <w:keepNext w:val="0"/>
              <w:keepLines w:val="0"/>
              <w:pageBreakBefore w:val="0"/>
              <w:widowControl w:val="0"/>
              <w:kinsoku/>
              <w:wordWrap/>
              <w:overflowPunct/>
              <w:topLinePunct w:val="0"/>
              <w:autoSpaceDE/>
              <w:autoSpaceDN/>
              <w:bidi w:val="0"/>
              <w:adjustRightInd/>
              <w:snapToGrid/>
              <w:ind w:firstLine="480"/>
              <w:textAlignment w:val="auto"/>
              <w:rPr>
                <w:rFonts w:ascii="Times New Roman" w:hAnsi="Times New Roman" w:cs="Times New Roman" w:eastAsiaTheme="minorEastAsia"/>
                <w:color w:val="auto"/>
                <w:spacing w:val="0"/>
                <w:sz w:val="24"/>
                <w:szCs w:val="24"/>
              </w:rPr>
            </w:pPr>
            <w:r>
              <w:rPr>
                <w:rFonts w:ascii="Times New Roman" w:hAnsi="Times New Roman" w:cs="Times New Roman" w:eastAsiaTheme="minorEastAsia"/>
                <w:color w:val="auto"/>
                <w:spacing w:val="0"/>
                <w:sz w:val="24"/>
                <w:szCs w:val="24"/>
              </w:rPr>
              <w:t>本项目固体废物产生及处置情况见下表。</w:t>
            </w:r>
          </w:p>
          <w:p>
            <w:pPr>
              <w:adjustRightInd/>
              <w:snapToGrid/>
              <w:ind w:firstLine="0" w:firstLineChars="0"/>
              <w:jc w:val="center"/>
              <w:rPr>
                <w:rFonts w:ascii="Times New Roman" w:hAnsi="Times New Roman" w:eastAsia="宋体" w:cs="Times New Roman"/>
                <w:color w:val="auto"/>
                <w:spacing w:val="0"/>
                <w:sz w:val="24"/>
                <w:szCs w:val="24"/>
              </w:rPr>
            </w:pPr>
            <w:r>
              <w:rPr>
                <w:rFonts w:ascii="Times New Roman" w:hAnsi="Times New Roman" w:eastAsia="宋体" w:cs="Times New Roman"/>
                <w:b/>
                <w:color w:val="auto"/>
                <w:spacing w:val="0"/>
                <w:sz w:val="21"/>
              </w:rPr>
              <w:t>表4-</w:t>
            </w:r>
            <w:r>
              <w:rPr>
                <w:rFonts w:hint="eastAsia" w:ascii="Times New Roman" w:hAnsi="Times New Roman" w:eastAsia="宋体" w:cs="Times New Roman"/>
                <w:b/>
                <w:color w:val="auto"/>
                <w:spacing w:val="0"/>
                <w:sz w:val="21"/>
              </w:rPr>
              <w:t>1</w:t>
            </w:r>
            <w:r>
              <w:rPr>
                <w:rFonts w:hint="eastAsia" w:ascii="Times New Roman" w:hAnsi="Times New Roman" w:eastAsia="宋体" w:cs="Times New Roman"/>
                <w:b/>
                <w:color w:val="auto"/>
                <w:spacing w:val="0"/>
                <w:sz w:val="21"/>
                <w:lang w:val="en-US" w:eastAsia="zh-CN"/>
              </w:rPr>
              <w:t>3</w:t>
            </w:r>
            <w:r>
              <w:rPr>
                <w:rFonts w:hint="eastAsia" w:ascii="Times New Roman" w:hAnsi="Times New Roman" w:eastAsia="宋体" w:cs="Times New Roman"/>
                <w:b/>
                <w:color w:val="auto"/>
                <w:spacing w:val="0"/>
                <w:sz w:val="21"/>
              </w:rPr>
              <w:t>本项目</w:t>
            </w:r>
            <w:r>
              <w:rPr>
                <w:rFonts w:ascii="Times New Roman" w:hAnsi="Times New Roman" w:eastAsia="宋体" w:cs="Times New Roman"/>
                <w:b/>
                <w:color w:val="auto"/>
                <w:spacing w:val="0"/>
                <w:sz w:val="21"/>
              </w:rPr>
              <w:t>固体废物</w:t>
            </w:r>
            <w:r>
              <w:rPr>
                <w:rFonts w:hint="eastAsia" w:ascii="Times New Roman" w:hAnsi="Times New Roman" w:eastAsia="宋体" w:cs="Times New Roman"/>
                <w:b/>
                <w:color w:val="auto"/>
                <w:spacing w:val="0"/>
                <w:sz w:val="21"/>
              </w:rPr>
              <w:t>分析结果及处置措施</w:t>
            </w:r>
            <w:r>
              <w:rPr>
                <w:rFonts w:ascii="Times New Roman" w:hAnsi="Times New Roman" w:eastAsia="宋体" w:cs="Times New Roman"/>
                <w:b/>
                <w:color w:val="auto"/>
                <w:spacing w:val="0"/>
                <w:sz w:val="21"/>
              </w:rPr>
              <w:t>一览表</w:t>
            </w:r>
          </w:p>
          <w:tbl>
            <w:tblPr>
              <w:tblStyle w:val="55"/>
              <w:tblW w:w="4993"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1042"/>
              <w:gridCol w:w="1809"/>
              <w:gridCol w:w="857"/>
              <w:gridCol w:w="637"/>
              <w:gridCol w:w="628"/>
              <w:gridCol w:w="899"/>
              <w:gridCol w:w="137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0" w:hRule="atLeast"/>
              </w:trPr>
              <w:tc>
                <w:tcPr>
                  <w:tcW w:w="485" w:type="pct"/>
                  <w:vAlign w:val="center"/>
                </w:tcPr>
                <w:p>
                  <w:pPr>
                    <w:pStyle w:val="2"/>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产生</w:t>
                  </w:r>
                  <w:r>
                    <w:rPr>
                      <w:rFonts w:ascii="Times New Roman" w:hAnsi="Times New Roman" w:eastAsia="宋体" w:cs="Times New Roman"/>
                      <w:color w:val="auto"/>
                      <w:spacing w:val="0"/>
                      <w:sz w:val="21"/>
                    </w:rPr>
                    <w:br w:type="textWrapping"/>
                  </w:r>
                  <w:r>
                    <w:rPr>
                      <w:rFonts w:ascii="Times New Roman" w:hAnsi="Times New Roman" w:eastAsia="宋体" w:cs="Times New Roman"/>
                      <w:color w:val="auto"/>
                      <w:spacing w:val="0"/>
                      <w:sz w:val="21"/>
                    </w:rPr>
                    <w:t>环节</w:t>
                  </w:r>
                </w:p>
              </w:tc>
              <w:tc>
                <w:tcPr>
                  <w:tcW w:w="724" w:type="pct"/>
                  <w:vAlign w:val="center"/>
                </w:tcPr>
                <w:p>
                  <w:pPr>
                    <w:pStyle w:val="2"/>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固体废物名称</w:t>
                  </w:r>
                </w:p>
              </w:tc>
              <w:tc>
                <w:tcPr>
                  <w:tcW w:w="768" w:type="pct"/>
                  <w:vAlign w:val="center"/>
                </w:tcPr>
                <w:p>
                  <w:pPr>
                    <w:pStyle w:val="2"/>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属性</w:t>
                  </w:r>
                  <w:r>
                    <w:rPr>
                      <w:rFonts w:hint="eastAsia" w:ascii="Times New Roman" w:hAnsi="Times New Roman" w:eastAsia="宋体" w:cs="Times New Roman"/>
                      <w:color w:val="auto"/>
                      <w:spacing w:val="0"/>
                      <w:sz w:val="21"/>
                    </w:rPr>
                    <w:t>及代码</w:t>
                  </w:r>
                </w:p>
              </w:tc>
              <w:tc>
                <w:tcPr>
                  <w:tcW w:w="607" w:type="pct"/>
                  <w:vAlign w:val="center"/>
                </w:tcPr>
                <w:p>
                  <w:pPr>
                    <w:pStyle w:val="2"/>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有毒有害物质名称</w:t>
                  </w:r>
                </w:p>
              </w:tc>
              <w:tc>
                <w:tcPr>
                  <w:tcW w:w="468" w:type="pct"/>
                  <w:vAlign w:val="center"/>
                </w:tcPr>
                <w:p>
                  <w:pPr>
                    <w:pStyle w:val="2"/>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物理</w:t>
                  </w:r>
                  <w:r>
                    <w:rPr>
                      <w:rFonts w:ascii="Times New Roman" w:hAnsi="Times New Roman" w:eastAsia="宋体" w:cs="Times New Roman"/>
                      <w:color w:val="auto"/>
                      <w:spacing w:val="0"/>
                      <w:sz w:val="21"/>
                    </w:rPr>
                    <w:br w:type="textWrapping"/>
                  </w:r>
                  <w:r>
                    <w:rPr>
                      <w:rFonts w:ascii="Times New Roman" w:hAnsi="Times New Roman" w:eastAsia="宋体" w:cs="Times New Roman"/>
                      <w:color w:val="auto"/>
                      <w:spacing w:val="0"/>
                      <w:sz w:val="21"/>
                    </w:rPr>
                    <w:t>性状</w:t>
                  </w:r>
                </w:p>
              </w:tc>
              <w:tc>
                <w:tcPr>
                  <w:tcW w:w="462" w:type="pct"/>
                  <w:vAlign w:val="center"/>
                </w:tcPr>
                <w:p>
                  <w:pPr>
                    <w:pStyle w:val="2"/>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环境危险特性</w:t>
                  </w:r>
                </w:p>
              </w:tc>
              <w:tc>
                <w:tcPr>
                  <w:tcW w:w="549" w:type="pct"/>
                  <w:vAlign w:val="center"/>
                </w:tcPr>
                <w:p>
                  <w:pPr>
                    <w:pStyle w:val="2"/>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产生量t/a</w:t>
                  </w:r>
                </w:p>
              </w:tc>
              <w:tc>
                <w:tcPr>
                  <w:tcW w:w="932" w:type="pct"/>
                  <w:vAlign w:val="center"/>
                </w:tcPr>
                <w:p>
                  <w:pPr>
                    <w:pStyle w:val="2"/>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处置方式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 w:type="pct"/>
                  <w:vMerge w:val="restart"/>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废气处理</w:t>
                  </w:r>
                </w:p>
              </w:tc>
              <w:tc>
                <w:tcPr>
                  <w:tcW w:w="724"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lang w:val="en-US" w:eastAsia="zh-CN"/>
                    </w:rPr>
                    <w:t>车间及除尘系统收集的粉尘</w:t>
                  </w:r>
                </w:p>
              </w:tc>
              <w:tc>
                <w:tcPr>
                  <w:tcW w:w="768" w:type="pct"/>
                  <w:vAlign w:val="center"/>
                </w:tcPr>
                <w:p>
                  <w:pPr>
                    <w:pStyle w:val="2"/>
                    <w:spacing w:line="240" w:lineRule="auto"/>
                    <w:ind w:firstLine="0" w:firstLineChars="0"/>
                    <w:jc w:val="center"/>
                    <w:rPr>
                      <w:rFonts w:ascii="Times New Roman" w:hAnsi="Times New Roman" w:eastAsia="宋体" w:cs="Times New Roman"/>
                      <w:color w:val="auto"/>
                      <w:spacing w:val="0"/>
                      <w:sz w:val="21"/>
                    </w:rPr>
                  </w:pPr>
                  <w:r>
                    <w:rPr>
                      <w:rFonts w:hint="default" w:ascii="Times New Roman" w:hAnsi="Times New Roman" w:eastAsia="宋体" w:cs="Times New Roman"/>
                      <w:color w:val="auto"/>
                      <w:spacing w:val="0"/>
                      <w:sz w:val="21"/>
                      <w:lang w:val="en-US" w:eastAsia="zh-CN"/>
                    </w:rPr>
                    <w:t>900-099-S59</w:t>
                  </w:r>
                </w:p>
              </w:tc>
              <w:tc>
                <w:tcPr>
                  <w:tcW w:w="607" w:type="pct"/>
                  <w:vAlign w:val="center"/>
                </w:tcPr>
                <w:p>
                  <w:pPr>
                    <w:pStyle w:val="2"/>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w:t>
                  </w:r>
                </w:p>
              </w:tc>
              <w:tc>
                <w:tcPr>
                  <w:tcW w:w="468" w:type="pct"/>
                  <w:vAlign w:val="center"/>
                </w:tcPr>
                <w:p>
                  <w:pPr>
                    <w:pStyle w:val="2"/>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固态</w:t>
                  </w:r>
                </w:p>
              </w:tc>
              <w:tc>
                <w:tcPr>
                  <w:tcW w:w="462" w:type="pct"/>
                  <w:vAlign w:val="center"/>
                </w:tcPr>
                <w:p>
                  <w:pPr>
                    <w:pStyle w:val="2"/>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w:t>
                  </w:r>
                </w:p>
              </w:tc>
              <w:tc>
                <w:tcPr>
                  <w:tcW w:w="549" w:type="pct"/>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238.846</w:t>
                  </w:r>
                </w:p>
              </w:tc>
              <w:tc>
                <w:tcPr>
                  <w:tcW w:w="932" w:type="pct"/>
                  <w:vAlign w:val="center"/>
                </w:tcPr>
                <w:p>
                  <w:pPr>
                    <w:pStyle w:val="2"/>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lang w:val="en-US" w:eastAsia="zh-CN"/>
                    </w:rPr>
                    <w:t>经收集后混入产品中定期</w:t>
                  </w:r>
                  <w:r>
                    <w:rPr>
                      <w:rFonts w:hint="default" w:ascii="Times New Roman" w:hAnsi="Times New Roman" w:eastAsia="宋体" w:cs="Times New Roman"/>
                      <w:color w:val="auto"/>
                      <w:spacing w:val="0"/>
                      <w:sz w:val="21"/>
                      <w:lang w:val="en-US" w:eastAsia="zh-CN"/>
                    </w:rPr>
                    <w:t>外售</w:t>
                  </w:r>
                  <w:r>
                    <w:rPr>
                      <w:rFonts w:hint="eastAsia" w:ascii="Times New Roman" w:hAnsi="Times New Roman" w:eastAsia="宋体" w:cs="Times New Roman"/>
                      <w:color w:val="auto"/>
                      <w:spacing w:val="0"/>
                      <w:sz w:val="21"/>
                      <w:lang w:val="en-US" w:eastAsia="zh-CN"/>
                    </w:rPr>
                    <w:t>综合利用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0" w:hRule="atLeast"/>
              </w:trPr>
              <w:tc>
                <w:tcPr>
                  <w:tcW w:w="485" w:type="pct"/>
                  <w:vMerge w:val="continue"/>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p>
              </w:tc>
              <w:tc>
                <w:tcPr>
                  <w:tcW w:w="724"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废布袋</w:t>
                  </w:r>
                </w:p>
              </w:tc>
              <w:tc>
                <w:tcPr>
                  <w:tcW w:w="768" w:type="pct"/>
                  <w:vAlign w:val="center"/>
                </w:tcPr>
                <w:p>
                  <w:pPr>
                    <w:pStyle w:val="2"/>
                    <w:spacing w:line="240" w:lineRule="auto"/>
                    <w:ind w:firstLine="0" w:firstLineChars="0"/>
                    <w:jc w:val="center"/>
                    <w:rPr>
                      <w:rFonts w:hint="default" w:ascii="Times New Roman" w:hAnsi="Times New Roman" w:eastAsia="宋体" w:cs="Times New Roman"/>
                      <w:color w:val="auto"/>
                      <w:sz w:val="21"/>
                      <w:lang w:val="en-US" w:eastAsia="zh-CN"/>
                    </w:rPr>
                  </w:pPr>
                  <w:r>
                    <w:rPr>
                      <w:rFonts w:hint="default" w:ascii="Times New Roman" w:hAnsi="Times New Roman" w:eastAsia="宋体" w:cs="Times New Roman"/>
                      <w:color w:val="auto"/>
                      <w:sz w:val="21"/>
                      <w:lang w:val="en-US" w:eastAsia="zh-CN"/>
                    </w:rPr>
                    <w:t>900-099-S17</w:t>
                  </w:r>
                </w:p>
              </w:tc>
              <w:tc>
                <w:tcPr>
                  <w:tcW w:w="607" w:type="pct"/>
                  <w:vAlign w:val="center"/>
                </w:tcPr>
                <w:p>
                  <w:pPr>
                    <w:pStyle w:val="2"/>
                    <w:spacing w:line="240" w:lineRule="auto"/>
                    <w:ind w:firstLine="0" w:firstLineChars="0"/>
                    <w:jc w:val="center"/>
                    <w:rPr>
                      <w:rFonts w:hint="eastAsia"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w:t>
                  </w:r>
                </w:p>
              </w:tc>
              <w:tc>
                <w:tcPr>
                  <w:tcW w:w="468" w:type="pct"/>
                  <w:vAlign w:val="center"/>
                </w:tcPr>
                <w:p>
                  <w:pPr>
                    <w:pStyle w:val="2"/>
                    <w:spacing w:line="240" w:lineRule="auto"/>
                    <w:ind w:firstLine="0" w:firstLineChars="0"/>
                    <w:jc w:val="center"/>
                    <w:rPr>
                      <w:rFonts w:hint="eastAsia"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固态</w:t>
                  </w:r>
                </w:p>
              </w:tc>
              <w:tc>
                <w:tcPr>
                  <w:tcW w:w="462" w:type="pct"/>
                  <w:vAlign w:val="center"/>
                </w:tcPr>
                <w:p>
                  <w:pPr>
                    <w:pStyle w:val="2"/>
                    <w:spacing w:line="240" w:lineRule="auto"/>
                    <w:ind w:firstLine="0" w:firstLineChars="0"/>
                    <w:jc w:val="center"/>
                    <w:rPr>
                      <w:rFonts w:hint="eastAsia"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w:t>
                  </w:r>
                </w:p>
              </w:tc>
              <w:tc>
                <w:tcPr>
                  <w:tcW w:w="549" w:type="pct"/>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0.5</w:t>
                  </w:r>
                </w:p>
              </w:tc>
              <w:tc>
                <w:tcPr>
                  <w:tcW w:w="932" w:type="pct"/>
                  <w:vAlign w:val="center"/>
                </w:tcPr>
                <w:p>
                  <w:pPr>
                    <w:pStyle w:val="2"/>
                    <w:spacing w:line="240" w:lineRule="auto"/>
                    <w:ind w:firstLine="0" w:firstLineChars="0"/>
                    <w:jc w:val="center"/>
                    <w:rPr>
                      <w:rFonts w:hint="eastAsia" w:ascii="Times New Roman" w:hAnsi="Times New Roman" w:eastAsia="宋体" w:cs="Times New Roman"/>
                      <w:color w:val="auto"/>
                      <w:spacing w:val="0"/>
                      <w:kern w:val="2"/>
                      <w:sz w:val="21"/>
                    </w:rPr>
                  </w:pPr>
                  <w:r>
                    <w:rPr>
                      <w:rFonts w:hint="eastAsia" w:ascii="Times New Roman" w:hAnsi="Times New Roman" w:eastAsia="宋体" w:cs="Times New Roman"/>
                      <w:color w:val="auto"/>
                      <w:spacing w:val="0"/>
                      <w:kern w:val="2"/>
                      <w:sz w:val="21"/>
                      <w:lang w:val="en-US" w:eastAsia="zh-CN"/>
                    </w:rPr>
                    <w:t>收集后交由厂家进行回收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0" w:hRule="atLeast"/>
              </w:trPr>
              <w:tc>
                <w:tcPr>
                  <w:tcW w:w="485" w:type="pct"/>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磁选</w:t>
                  </w:r>
                </w:p>
              </w:tc>
              <w:tc>
                <w:tcPr>
                  <w:tcW w:w="724"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废金属</w:t>
                  </w:r>
                </w:p>
              </w:tc>
              <w:tc>
                <w:tcPr>
                  <w:tcW w:w="768" w:type="pct"/>
                  <w:vAlign w:val="center"/>
                </w:tcPr>
                <w:p>
                  <w:pPr>
                    <w:pStyle w:val="2"/>
                    <w:spacing w:line="240" w:lineRule="auto"/>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lang w:val="en-US" w:eastAsia="zh-CN"/>
                    </w:rPr>
                    <w:t>900-099-S59</w:t>
                  </w:r>
                </w:p>
              </w:tc>
              <w:tc>
                <w:tcPr>
                  <w:tcW w:w="607" w:type="pct"/>
                  <w:vAlign w:val="center"/>
                </w:tcPr>
                <w:p>
                  <w:pPr>
                    <w:pStyle w:val="2"/>
                    <w:spacing w:line="240" w:lineRule="auto"/>
                    <w:ind w:firstLine="0" w:firstLineChars="0"/>
                    <w:jc w:val="center"/>
                    <w:rPr>
                      <w:rFonts w:hint="eastAsia"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w:t>
                  </w:r>
                </w:p>
              </w:tc>
              <w:tc>
                <w:tcPr>
                  <w:tcW w:w="468" w:type="pct"/>
                  <w:vAlign w:val="center"/>
                </w:tcPr>
                <w:p>
                  <w:pPr>
                    <w:pStyle w:val="2"/>
                    <w:spacing w:line="240" w:lineRule="auto"/>
                    <w:ind w:firstLine="0" w:firstLineChars="0"/>
                    <w:jc w:val="center"/>
                    <w:rPr>
                      <w:rFonts w:hint="eastAsia"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固态</w:t>
                  </w:r>
                </w:p>
              </w:tc>
              <w:tc>
                <w:tcPr>
                  <w:tcW w:w="462" w:type="pct"/>
                  <w:vAlign w:val="center"/>
                </w:tcPr>
                <w:p>
                  <w:pPr>
                    <w:pStyle w:val="2"/>
                    <w:spacing w:line="240" w:lineRule="auto"/>
                    <w:ind w:firstLine="0" w:firstLineChars="0"/>
                    <w:jc w:val="center"/>
                    <w:rPr>
                      <w:rFonts w:hint="eastAsia"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w:t>
                  </w:r>
                </w:p>
              </w:tc>
              <w:tc>
                <w:tcPr>
                  <w:tcW w:w="549" w:type="pct"/>
                  <w:vAlign w:val="center"/>
                </w:tcPr>
                <w:p>
                  <w:pPr>
                    <w:pStyle w:val="2"/>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2000</w:t>
                  </w:r>
                </w:p>
              </w:tc>
              <w:tc>
                <w:tcPr>
                  <w:tcW w:w="932" w:type="pct"/>
                  <w:vAlign w:val="center"/>
                </w:tcPr>
                <w:p>
                  <w:pPr>
                    <w:pStyle w:val="2"/>
                    <w:spacing w:line="240" w:lineRule="auto"/>
                    <w:ind w:firstLine="0" w:firstLineChars="0"/>
                    <w:jc w:val="center"/>
                    <w:rPr>
                      <w:rFonts w:hint="eastAsia" w:ascii="Times New Roman" w:hAnsi="Times New Roman" w:eastAsia="宋体" w:cs="Times New Roman"/>
                      <w:color w:val="auto"/>
                      <w:spacing w:val="0"/>
                      <w:kern w:val="2"/>
                      <w:sz w:val="21"/>
                    </w:rPr>
                  </w:pPr>
                  <w:r>
                    <w:rPr>
                      <w:rFonts w:hint="eastAsia" w:ascii="Times New Roman" w:hAnsi="Times New Roman" w:eastAsia="宋体" w:cs="Times New Roman"/>
                      <w:color w:val="auto"/>
                      <w:spacing w:val="0"/>
                      <w:kern w:val="2"/>
                      <w:sz w:val="21"/>
                      <w:lang w:val="en-US" w:eastAsia="zh-CN"/>
                    </w:rPr>
                    <w:t>收集后定期外售于金属回收厂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0" w:hRule="atLeast"/>
              </w:trPr>
              <w:tc>
                <w:tcPr>
                  <w:tcW w:w="485" w:type="pct"/>
                  <w:vAlign w:val="center"/>
                </w:tcPr>
                <w:p>
                  <w:pPr>
                    <w:spacing w:line="240" w:lineRule="auto"/>
                    <w:ind w:firstLine="0" w:firstLineChars="0"/>
                    <w:jc w:val="center"/>
                    <w:rPr>
                      <w:rFonts w:hint="eastAsia" w:ascii="Times New Roman" w:hAnsi="Times New Roman" w:eastAsia="宋体" w:cs="Times New Roman"/>
                      <w:color w:val="auto"/>
                      <w:spacing w:val="0"/>
                      <w:sz w:val="21"/>
                      <w:lang w:eastAsia="zh-CN"/>
                    </w:rPr>
                  </w:pPr>
                  <w:r>
                    <w:rPr>
                      <w:rFonts w:hint="eastAsia" w:ascii="Times New Roman" w:hAnsi="Times New Roman" w:eastAsia="宋体" w:cs="Times New Roman"/>
                      <w:color w:val="auto"/>
                      <w:spacing w:val="0"/>
                      <w:sz w:val="21"/>
                      <w:lang w:val="en-US" w:eastAsia="zh-CN"/>
                    </w:rPr>
                    <w:t>人工分拣、风选</w:t>
                  </w:r>
                </w:p>
              </w:tc>
              <w:tc>
                <w:tcPr>
                  <w:tcW w:w="724"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轻物质</w:t>
                  </w:r>
                </w:p>
              </w:tc>
              <w:tc>
                <w:tcPr>
                  <w:tcW w:w="768" w:type="pct"/>
                  <w:vAlign w:val="center"/>
                </w:tcPr>
                <w:p>
                  <w:pPr>
                    <w:spacing w:line="240" w:lineRule="auto"/>
                    <w:ind w:firstLine="0" w:firstLineChars="0"/>
                    <w:jc w:val="center"/>
                    <w:rPr>
                      <w:rFonts w:hint="default" w:ascii="Times New Roman" w:hAnsi="Times New Roman" w:eastAsia="宋体" w:cs="Times New Roman"/>
                      <w:color w:val="auto"/>
                      <w:spacing w:val="0"/>
                      <w:sz w:val="21"/>
                      <w:lang w:val="en-US"/>
                    </w:rPr>
                  </w:pPr>
                  <w:r>
                    <w:rPr>
                      <w:rFonts w:hint="default" w:ascii="Times New Roman" w:hAnsi="Times New Roman" w:eastAsia="宋体" w:cs="Times New Roman"/>
                      <w:color w:val="auto"/>
                      <w:spacing w:val="0"/>
                      <w:sz w:val="21"/>
                      <w:lang w:val="en-US" w:eastAsia="zh-CN"/>
                    </w:rPr>
                    <w:t>900-099-S59</w:t>
                  </w:r>
                </w:p>
              </w:tc>
              <w:tc>
                <w:tcPr>
                  <w:tcW w:w="607" w:type="pct"/>
                  <w:vAlign w:val="center"/>
                </w:tcPr>
                <w:p>
                  <w:pPr>
                    <w:pStyle w:val="2"/>
                    <w:spacing w:line="240" w:lineRule="auto"/>
                    <w:ind w:firstLine="0" w:firstLineChars="0"/>
                    <w:jc w:val="center"/>
                    <w:rPr>
                      <w:rFonts w:hint="eastAsia"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w:t>
                  </w:r>
                </w:p>
              </w:tc>
              <w:tc>
                <w:tcPr>
                  <w:tcW w:w="468" w:type="pct"/>
                  <w:vAlign w:val="center"/>
                </w:tcPr>
                <w:p>
                  <w:pPr>
                    <w:pStyle w:val="2"/>
                    <w:spacing w:line="240" w:lineRule="auto"/>
                    <w:ind w:firstLine="0" w:firstLineChars="0"/>
                    <w:jc w:val="center"/>
                    <w:rPr>
                      <w:rFonts w:hint="eastAsia"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固态</w:t>
                  </w:r>
                </w:p>
              </w:tc>
              <w:tc>
                <w:tcPr>
                  <w:tcW w:w="462" w:type="pct"/>
                  <w:vAlign w:val="center"/>
                </w:tcPr>
                <w:p>
                  <w:pPr>
                    <w:pStyle w:val="2"/>
                    <w:spacing w:line="240" w:lineRule="auto"/>
                    <w:ind w:firstLine="0" w:firstLineChars="0"/>
                    <w:jc w:val="center"/>
                    <w:rPr>
                      <w:rFonts w:hint="eastAsia"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w:t>
                  </w:r>
                </w:p>
              </w:tc>
              <w:tc>
                <w:tcPr>
                  <w:tcW w:w="549" w:type="pct"/>
                  <w:vAlign w:val="center"/>
                </w:tcPr>
                <w:p>
                  <w:pPr>
                    <w:pStyle w:val="2"/>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1000</w:t>
                  </w:r>
                </w:p>
              </w:tc>
              <w:tc>
                <w:tcPr>
                  <w:tcW w:w="932" w:type="pct"/>
                  <w:vAlign w:val="center"/>
                </w:tcPr>
                <w:p>
                  <w:pPr>
                    <w:pStyle w:val="2"/>
                    <w:spacing w:line="240" w:lineRule="auto"/>
                    <w:ind w:firstLine="0" w:firstLineChars="0"/>
                    <w:jc w:val="center"/>
                    <w:rPr>
                      <w:rFonts w:hint="eastAsia" w:ascii="Times New Roman" w:hAnsi="Times New Roman" w:eastAsia="宋体" w:cs="Times New Roman"/>
                      <w:color w:val="auto"/>
                      <w:spacing w:val="0"/>
                      <w:kern w:val="2"/>
                      <w:sz w:val="21"/>
                    </w:rPr>
                  </w:pPr>
                  <w:r>
                    <w:rPr>
                      <w:rFonts w:hint="eastAsia" w:ascii="Times New Roman" w:hAnsi="Times New Roman" w:eastAsia="宋体" w:cs="Times New Roman"/>
                      <w:color w:val="auto"/>
                      <w:spacing w:val="0"/>
                      <w:kern w:val="2"/>
                      <w:sz w:val="21"/>
                      <w:lang w:val="en-US" w:eastAsia="zh-CN"/>
                    </w:rPr>
                    <w:t>集中收集后定期外售综合利用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0" w:hRule="atLeast"/>
              </w:trPr>
              <w:tc>
                <w:tcPr>
                  <w:tcW w:w="485" w:type="pct"/>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筛分</w:t>
                  </w:r>
                </w:p>
              </w:tc>
              <w:tc>
                <w:tcPr>
                  <w:tcW w:w="724"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渣土</w:t>
                  </w:r>
                </w:p>
              </w:tc>
              <w:tc>
                <w:tcPr>
                  <w:tcW w:w="768" w:type="pct"/>
                  <w:vAlign w:val="center"/>
                </w:tcPr>
                <w:p>
                  <w:pPr>
                    <w:spacing w:line="240" w:lineRule="auto"/>
                    <w:ind w:firstLine="0" w:firstLineChars="0"/>
                    <w:jc w:val="center"/>
                    <w:rPr>
                      <w:rFonts w:hint="default" w:ascii="Times New Roman" w:hAnsi="Times New Roman" w:eastAsia="宋体" w:cs="Times New Roman"/>
                      <w:color w:val="auto"/>
                      <w:spacing w:val="0"/>
                      <w:sz w:val="21"/>
                      <w:lang w:val="en-US"/>
                    </w:rPr>
                  </w:pPr>
                  <w:r>
                    <w:rPr>
                      <w:rFonts w:hint="default" w:ascii="Times New Roman" w:hAnsi="Times New Roman" w:eastAsia="宋体" w:cs="Times New Roman"/>
                      <w:color w:val="auto"/>
                      <w:spacing w:val="0"/>
                      <w:sz w:val="21"/>
                      <w:lang w:val="en-US" w:eastAsia="zh-CN"/>
                    </w:rPr>
                    <w:t>900-099-S59</w:t>
                  </w:r>
                </w:p>
              </w:tc>
              <w:tc>
                <w:tcPr>
                  <w:tcW w:w="607" w:type="pct"/>
                  <w:shd w:val="clear" w:color="auto" w:fill="auto"/>
                  <w:vAlign w:val="center"/>
                </w:tcPr>
                <w:p>
                  <w:pPr>
                    <w:pStyle w:val="2"/>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rPr>
                    <w:t>/</w:t>
                  </w:r>
                </w:p>
              </w:tc>
              <w:tc>
                <w:tcPr>
                  <w:tcW w:w="468" w:type="pct"/>
                  <w:shd w:val="clear" w:color="auto" w:fill="auto"/>
                  <w:vAlign w:val="center"/>
                </w:tcPr>
                <w:p>
                  <w:pPr>
                    <w:pStyle w:val="2"/>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rPr>
                    <w:t>固态</w:t>
                  </w:r>
                </w:p>
              </w:tc>
              <w:tc>
                <w:tcPr>
                  <w:tcW w:w="462" w:type="pct"/>
                  <w:shd w:val="clear" w:color="auto" w:fill="auto"/>
                  <w:vAlign w:val="center"/>
                </w:tcPr>
                <w:p>
                  <w:pPr>
                    <w:pStyle w:val="2"/>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rPr>
                    <w:t>/</w:t>
                  </w:r>
                </w:p>
              </w:tc>
              <w:tc>
                <w:tcPr>
                  <w:tcW w:w="549" w:type="pct"/>
                  <w:vAlign w:val="center"/>
                </w:tcPr>
                <w:p>
                  <w:pPr>
                    <w:pStyle w:val="2"/>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12000</w:t>
                  </w:r>
                </w:p>
              </w:tc>
              <w:tc>
                <w:tcPr>
                  <w:tcW w:w="932" w:type="pct"/>
                  <w:vAlign w:val="center"/>
                </w:tcPr>
                <w:p>
                  <w:pPr>
                    <w:pStyle w:val="2"/>
                    <w:spacing w:line="240" w:lineRule="auto"/>
                    <w:ind w:firstLine="0" w:firstLineChars="0"/>
                    <w:jc w:val="center"/>
                    <w:rPr>
                      <w:rFonts w:hint="eastAsia" w:ascii="Times New Roman" w:hAnsi="Times New Roman" w:eastAsia="宋体" w:cs="Times New Roman"/>
                      <w:color w:val="auto"/>
                      <w:spacing w:val="0"/>
                      <w:kern w:val="2"/>
                      <w:sz w:val="21"/>
                    </w:rPr>
                  </w:pPr>
                  <w:r>
                    <w:rPr>
                      <w:rFonts w:hint="eastAsia" w:ascii="Times New Roman" w:hAnsi="Times New Roman" w:eastAsia="宋体" w:cs="Times New Roman"/>
                      <w:color w:val="auto"/>
                      <w:spacing w:val="0"/>
                      <w:kern w:val="2"/>
                      <w:sz w:val="21"/>
                      <w:lang w:val="en-US" w:eastAsia="zh-CN"/>
                    </w:rPr>
                    <w:t>收集后定期外售综合利用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0" w:hRule="atLeast"/>
              </w:trPr>
              <w:tc>
                <w:tcPr>
                  <w:tcW w:w="485" w:type="pct"/>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废水处理</w:t>
                  </w:r>
                </w:p>
              </w:tc>
              <w:tc>
                <w:tcPr>
                  <w:tcW w:w="724"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沉淀池沉渣</w:t>
                  </w:r>
                </w:p>
              </w:tc>
              <w:tc>
                <w:tcPr>
                  <w:tcW w:w="768" w:type="pct"/>
                  <w:vAlign w:val="center"/>
                </w:tcPr>
                <w:p>
                  <w:pPr>
                    <w:spacing w:line="240" w:lineRule="auto"/>
                    <w:ind w:firstLine="0" w:firstLineChars="0"/>
                    <w:jc w:val="center"/>
                    <w:rPr>
                      <w:rFonts w:hint="default" w:ascii="Times New Roman" w:hAnsi="Times New Roman" w:eastAsia="宋体" w:cs="Times New Roman"/>
                      <w:color w:val="auto"/>
                      <w:spacing w:val="0"/>
                      <w:sz w:val="21"/>
                      <w:lang w:val="en-US"/>
                    </w:rPr>
                  </w:pPr>
                  <w:r>
                    <w:rPr>
                      <w:rFonts w:hint="default" w:ascii="Times New Roman" w:hAnsi="Times New Roman" w:cs="Times New Roman"/>
                      <w:color w:val="auto"/>
                      <w:sz w:val="24"/>
                      <w:szCs w:val="24"/>
                      <w:lang w:val="en-US" w:eastAsia="zh-CN"/>
                    </w:rPr>
                    <w:t>900-099-S</w:t>
                  </w:r>
                  <w:r>
                    <w:rPr>
                      <w:rFonts w:hint="eastAsia" w:ascii="Times New Roman" w:hAnsi="Times New Roman" w:cs="Times New Roman"/>
                      <w:color w:val="auto"/>
                      <w:sz w:val="24"/>
                      <w:szCs w:val="24"/>
                      <w:lang w:val="en-US" w:eastAsia="zh-CN"/>
                    </w:rPr>
                    <w:t>07</w:t>
                  </w:r>
                </w:p>
              </w:tc>
              <w:tc>
                <w:tcPr>
                  <w:tcW w:w="607" w:type="pct"/>
                  <w:shd w:val="clear" w:color="auto" w:fill="auto"/>
                  <w:vAlign w:val="center"/>
                </w:tcPr>
                <w:p>
                  <w:pPr>
                    <w:pStyle w:val="2"/>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rPr>
                    <w:t>/</w:t>
                  </w:r>
                </w:p>
              </w:tc>
              <w:tc>
                <w:tcPr>
                  <w:tcW w:w="468" w:type="pct"/>
                  <w:shd w:val="clear" w:color="auto" w:fill="auto"/>
                  <w:vAlign w:val="center"/>
                </w:tcPr>
                <w:p>
                  <w:pPr>
                    <w:pStyle w:val="2"/>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rPr>
                    <w:t>固态</w:t>
                  </w:r>
                </w:p>
              </w:tc>
              <w:tc>
                <w:tcPr>
                  <w:tcW w:w="462" w:type="pct"/>
                  <w:shd w:val="clear" w:color="auto" w:fill="auto"/>
                  <w:vAlign w:val="center"/>
                </w:tcPr>
                <w:p>
                  <w:pPr>
                    <w:pStyle w:val="2"/>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rPr>
                    <w:t>/</w:t>
                  </w:r>
                </w:p>
              </w:tc>
              <w:tc>
                <w:tcPr>
                  <w:tcW w:w="549" w:type="pct"/>
                  <w:vAlign w:val="center"/>
                </w:tcPr>
                <w:p>
                  <w:pPr>
                    <w:pStyle w:val="2"/>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0.182</w:t>
                  </w:r>
                </w:p>
              </w:tc>
              <w:tc>
                <w:tcPr>
                  <w:tcW w:w="932" w:type="pct"/>
                  <w:vAlign w:val="center"/>
                </w:tcPr>
                <w:p>
                  <w:pPr>
                    <w:pStyle w:val="2"/>
                    <w:spacing w:line="240" w:lineRule="auto"/>
                    <w:ind w:firstLine="0" w:firstLineChars="0"/>
                    <w:jc w:val="center"/>
                    <w:rPr>
                      <w:rFonts w:hint="eastAsia" w:ascii="Times New Roman" w:hAnsi="Times New Roman" w:eastAsia="宋体" w:cs="Times New Roman"/>
                      <w:color w:val="auto"/>
                      <w:spacing w:val="0"/>
                      <w:kern w:val="2"/>
                      <w:sz w:val="21"/>
                    </w:rPr>
                  </w:pPr>
                  <w:r>
                    <w:rPr>
                      <w:rFonts w:hint="eastAsia" w:ascii="Times New Roman" w:hAnsi="Times New Roman" w:eastAsia="宋体" w:cs="Times New Roman"/>
                      <w:color w:val="auto"/>
                      <w:spacing w:val="0"/>
                      <w:kern w:val="2"/>
                      <w:sz w:val="21"/>
                      <w:lang w:val="en-US" w:eastAsia="zh-CN"/>
                    </w:rPr>
                    <w:t>定期清掏外运综合利用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17" w:hRule="atLeast"/>
              </w:trPr>
              <w:tc>
                <w:tcPr>
                  <w:tcW w:w="485" w:type="pct"/>
                  <w:vMerge w:val="restart"/>
                  <w:vAlign w:val="center"/>
                </w:tcPr>
                <w:p>
                  <w:pPr>
                    <w:spacing w:line="240" w:lineRule="auto"/>
                    <w:ind w:firstLine="0" w:firstLineChars="0"/>
                    <w:jc w:val="center"/>
                    <w:rPr>
                      <w:rFonts w:hint="eastAsia" w:ascii="Times New Roman" w:hAnsi="Times New Roman" w:eastAsia="宋体" w:cs="Times New Roman"/>
                      <w:color w:val="auto"/>
                      <w:spacing w:val="0"/>
                      <w:sz w:val="21"/>
                      <w:lang w:eastAsia="zh-CN"/>
                    </w:rPr>
                  </w:pPr>
                  <w:r>
                    <w:rPr>
                      <w:rFonts w:hint="eastAsia" w:ascii="Times New Roman" w:hAnsi="Times New Roman" w:eastAsia="宋体" w:cs="Times New Roman"/>
                      <w:color w:val="auto"/>
                      <w:spacing w:val="0"/>
                      <w:sz w:val="21"/>
                      <w:lang w:val="en-US" w:eastAsia="zh-CN"/>
                    </w:rPr>
                    <w:t>设备维护</w:t>
                  </w:r>
                </w:p>
              </w:tc>
              <w:tc>
                <w:tcPr>
                  <w:tcW w:w="724"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废油桶</w:t>
                  </w:r>
                </w:p>
              </w:tc>
              <w:tc>
                <w:tcPr>
                  <w:tcW w:w="768" w:type="pct"/>
                  <w:vAlign w:val="center"/>
                </w:tcPr>
                <w:p>
                  <w:pPr>
                    <w:pStyle w:val="2"/>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HW08</w:t>
                  </w:r>
                  <w:r>
                    <w:rPr>
                      <w:rFonts w:hint="eastAsia" w:ascii="Times New Roman" w:hAnsi="Times New Roman" w:eastAsia="宋体" w:cs="Times New Roman"/>
                      <w:color w:val="auto"/>
                      <w:spacing w:val="0"/>
                      <w:sz w:val="21"/>
                      <w:lang w:eastAsia="zh-CN"/>
                    </w:rPr>
                    <w:t>,</w:t>
                  </w:r>
                  <w:r>
                    <w:rPr>
                      <w:rFonts w:hint="eastAsia" w:ascii="Times New Roman" w:hAnsi="Times New Roman" w:eastAsia="宋体" w:cs="Times New Roman"/>
                      <w:color w:val="auto"/>
                      <w:spacing w:val="0"/>
                      <w:sz w:val="21"/>
                    </w:rPr>
                    <w:t>900-249-08</w:t>
                  </w:r>
                </w:p>
              </w:tc>
              <w:tc>
                <w:tcPr>
                  <w:tcW w:w="607" w:type="pct"/>
                  <w:shd w:val="clear" w:color="auto" w:fill="auto"/>
                  <w:vAlign w:val="center"/>
                </w:tcPr>
                <w:p>
                  <w:pPr>
                    <w:pStyle w:val="2"/>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矿物油</w:t>
                  </w:r>
                </w:p>
              </w:tc>
              <w:tc>
                <w:tcPr>
                  <w:tcW w:w="468" w:type="pct"/>
                  <w:shd w:val="clear" w:color="auto" w:fill="auto"/>
                  <w:vAlign w:val="center"/>
                </w:tcPr>
                <w:p>
                  <w:pPr>
                    <w:pStyle w:val="2"/>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固态</w:t>
                  </w:r>
                </w:p>
              </w:tc>
              <w:tc>
                <w:tcPr>
                  <w:tcW w:w="462" w:type="pct"/>
                  <w:vAlign w:val="center"/>
                </w:tcPr>
                <w:p>
                  <w:pPr>
                    <w:pStyle w:val="2"/>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cs="Times New Roman"/>
                      <w:bCs/>
                      <w:color w:val="auto"/>
                      <w:sz w:val="21"/>
                      <w:szCs w:val="21"/>
                      <w:lang w:val="en-US" w:eastAsia="zh-CN"/>
                    </w:rPr>
                    <w:t>T/In</w:t>
                  </w:r>
                </w:p>
              </w:tc>
              <w:tc>
                <w:tcPr>
                  <w:tcW w:w="549" w:type="pct"/>
                  <w:vAlign w:val="center"/>
                </w:tcPr>
                <w:p>
                  <w:pPr>
                    <w:pStyle w:val="2"/>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0.01</w:t>
                  </w:r>
                </w:p>
              </w:tc>
              <w:tc>
                <w:tcPr>
                  <w:tcW w:w="932" w:type="pct"/>
                  <w:vMerge w:val="restart"/>
                  <w:vAlign w:val="center"/>
                </w:tcPr>
                <w:p>
                  <w:pPr>
                    <w:pStyle w:val="2"/>
                    <w:spacing w:line="240" w:lineRule="auto"/>
                    <w:ind w:firstLine="0" w:firstLineChars="0"/>
                    <w:jc w:val="center"/>
                    <w:rPr>
                      <w:rFonts w:ascii="Times New Roman" w:hAnsi="Times New Roman" w:eastAsia="宋体" w:cs="Times New Roman"/>
                      <w:color w:val="auto"/>
                      <w:spacing w:val="0"/>
                      <w:kern w:val="2"/>
                      <w:sz w:val="21"/>
                    </w:rPr>
                  </w:pPr>
                  <w:r>
                    <w:rPr>
                      <w:rFonts w:hint="eastAsia" w:ascii="Times New Roman" w:hAnsi="Times New Roman" w:eastAsia="宋体" w:cs="Times New Roman"/>
                      <w:color w:val="auto"/>
                      <w:spacing w:val="0"/>
                      <w:kern w:val="2"/>
                      <w:sz w:val="21"/>
                    </w:rPr>
                    <w:t>暂存</w:t>
                  </w:r>
                  <w:r>
                    <w:rPr>
                      <w:rFonts w:hint="eastAsia" w:ascii="Times New Roman" w:hAnsi="Times New Roman" w:eastAsia="宋体" w:cs="Times New Roman"/>
                      <w:color w:val="auto"/>
                      <w:spacing w:val="0"/>
                      <w:kern w:val="2"/>
                      <w:sz w:val="21"/>
                      <w:lang w:eastAsia="zh-CN"/>
                    </w:rPr>
                    <w:t>危废贮存点</w:t>
                  </w:r>
                  <w:r>
                    <w:rPr>
                      <w:rFonts w:hint="eastAsia" w:ascii="Times New Roman" w:hAnsi="Times New Roman" w:eastAsia="宋体" w:cs="Times New Roman"/>
                      <w:color w:val="auto"/>
                      <w:spacing w:val="0"/>
                      <w:kern w:val="2"/>
                      <w:sz w:val="21"/>
                    </w:rPr>
                    <w:t>，定期交有危废处理资质的单位进行处置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0" w:hRule="atLeast"/>
              </w:trPr>
              <w:tc>
                <w:tcPr>
                  <w:tcW w:w="485" w:type="pct"/>
                  <w:vMerge w:val="continue"/>
                  <w:vAlign w:val="center"/>
                </w:tcPr>
                <w:p>
                  <w:pPr>
                    <w:spacing w:line="240" w:lineRule="auto"/>
                    <w:ind w:firstLine="0" w:firstLineChars="0"/>
                    <w:jc w:val="center"/>
                    <w:rPr>
                      <w:rFonts w:hint="eastAsia" w:ascii="Times New Roman" w:hAnsi="Times New Roman" w:eastAsia="宋体" w:cs="Times New Roman"/>
                      <w:color w:val="auto"/>
                      <w:spacing w:val="0"/>
                      <w:sz w:val="21"/>
                      <w:lang w:eastAsia="zh-CN"/>
                    </w:rPr>
                  </w:pPr>
                </w:p>
              </w:tc>
              <w:tc>
                <w:tcPr>
                  <w:tcW w:w="724"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eastAsia="zh-CN"/>
                    </w:rPr>
                  </w:pPr>
                  <w:r>
                    <w:rPr>
                      <w:rFonts w:ascii="Times New Roman" w:hAnsi="Times New Roman" w:eastAsia="宋体" w:cs="Times New Roman"/>
                      <w:color w:val="auto"/>
                      <w:spacing w:val="0"/>
                      <w:sz w:val="21"/>
                    </w:rPr>
                    <w:t>废</w:t>
                  </w:r>
                  <w:r>
                    <w:rPr>
                      <w:rFonts w:hint="eastAsia" w:ascii="Times New Roman" w:hAnsi="Times New Roman" w:eastAsia="宋体" w:cs="Times New Roman"/>
                      <w:color w:val="auto"/>
                      <w:spacing w:val="0"/>
                      <w:sz w:val="21"/>
                      <w:lang w:val="en-US" w:eastAsia="zh-CN"/>
                    </w:rPr>
                    <w:t>机油</w:t>
                  </w:r>
                </w:p>
              </w:tc>
              <w:tc>
                <w:tcPr>
                  <w:tcW w:w="768" w:type="pct"/>
                  <w:vAlign w:val="center"/>
                </w:tcPr>
                <w:p>
                  <w:pPr>
                    <w:pStyle w:val="2"/>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rPr>
                    <w:t>HW</w:t>
                  </w:r>
                  <w:r>
                    <w:rPr>
                      <w:rFonts w:hint="eastAsia" w:ascii="Times New Roman" w:hAnsi="Times New Roman" w:eastAsia="宋体" w:cs="Times New Roman"/>
                      <w:color w:val="auto"/>
                      <w:spacing w:val="0"/>
                      <w:sz w:val="21"/>
                      <w:lang w:val="en-US" w:eastAsia="zh-CN"/>
                    </w:rPr>
                    <w:t>08,</w:t>
                  </w:r>
                  <w:r>
                    <w:rPr>
                      <w:rFonts w:hint="eastAsia" w:ascii="Times New Roman" w:hAnsi="Times New Roman" w:eastAsia="宋体" w:cs="Times New Roman"/>
                      <w:color w:val="auto"/>
                      <w:spacing w:val="0"/>
                      <w:sz w:val="21"/>
                    </w:rPr>
                    <w:t>900-</w:t>
                  </w:r>
                  <w:r>
                    <w:rPr>
                      <w:rFonts w:hint="eastAsia" w:ascii="Times New Roman" w:hAnsi="Times New Roman" w:eastAsia="宋体" w:cs="Times New Roman"/>
                      <w:color w:val="auto"/>
                      <w:spacing w:val="0"/>
                      <w:sz w:val="21"/>
                      <w:lang w:val="en-US" w:eastAsia="zh-CN"/>
                    </w:rPr>
                    <w:t>218</w:t>
                  </w:r>
                  <w:r>
                    <w:rPr>
                      <w:rFonts w:hint="eastAsia" w:ascii="Times New Roman" w:hAnsi="Times New Roman" w:eastAsia="宋体" w:cs="Times New Roman"/>
                      <w:color w:val="auto"/>
                      <w:spacing w:val="0"/>
                      <w:sz w:val="21"/>
                    </w:rPr>
                    <w:t>-</w:t>
                  </w:r>
                  <w:r>
                    <w:rPr>
                      <w:rFonts w:hint="eastAsia" w:ascii="Times New Roman" w:hAnsi="Times New Roman" w:eastAsia="宋体" w:cs="Times New Roman"/>
                      <w:color w:val="auto"/>
                      <w:spacing w:val="0"/>
                      <w:sz w:val="21"/>
                      <w:lang w:val="en-US" w:eastAsia="zh-CN"/>
                    </w:rPr>
                    <w:t>08</w:t>
                  </w:r>
                </w:p>
              </w:tc>
              <w:tc>
                <w:tcPr>
                  <w:tcW w:w="607" w:type="pct"/>
                  <w:vAlign w:val="center"/>
                </w:tcPr>
                <w:p>
                  <w:pPr>
                    <w:pStyle w:val="2"/>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矿物油</w:t>
                  </w:r>
                </w:p>
              </w:tc>
              <w:tc>
                <w:tcPr>
                  <w:tcW w:w="468" w:type="pct"/>
                  <w:vAlign w:val="center"/>
                </w:tcPr>
                <w:p>
                  <w:pPr>
                    <w:pStyle w:val="2"/>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lang w:val="en-US" w:eastAsia="zh-CN"/>
                    </w:rPr>
                    <w:t>液</w:t>
                  </w:r>
                  <w:r>
                    <w:rPr>
                      <w:rFonts w:hint="eastAsia" w:ascii="Times New Roman" w:hAnsi="Times New Roman" w:eastAsia="宋体" w:cs="Times New Roman"/>
                      <w:color w:val="auto"/>
                      <w:spacing w:val="0"/>
                      <w:sz w:val="21"/>
                    </w:rPr>
                    <w:t>态</w:t>
                  </w:r>
                </w:p>
              </w:tc>
              <w:tc>
                <w:tcPr>
                  <w:tcW w:w="462" w:type="pct"/>
                  <w:vAlign w:val="center"/>
                </w:tcPr>
                <w:p>
                  <w:pPr>
                    <w:pStyle w:val="2"/>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cs="Times New Roman"/>
                      <w:bCs/>
                      <w:color w:val="auto"/>
                      <w:sz w:val="21"/>
                      <w:szCs w:val="21"/>
                      <w:lang w:val="en-US" w:eastAsia="zh-CN"/>
                    </w:rPr>
                    <w:t>T，I</w:t>
                  </w:r>
                </w:p>
              </w:tc>
              <w:tc>
                <w:tcPr>
                  <w:tcW w:w="549" w:type="pct"/>
                  <w:vAlign w:val="center"/>
                </w:tcPr>
                <w:p>
                  <w:pPr>
                    <w:pStyle w:val="2"/>
                    <w:spacing w:line="240" w:lineRule="auto"/>
                    <w:ind w:firstLine="0" w:firstLineChars="0"/>
                    <w:jc w:val="center"/>
                    <w:rPr>
                      <w:rFonts w:hint="default" w:ascii="Times New Roman" w:hAnsi="Times New Roman" w:eastAsia="等线" w:cs="Times New Roman"/>
                      <w:color w:val="auto"/>
                      <w:spacing w:val="0"/>
                      <w:sz w:val="21"/>
                      <w:lang w:val="en-US" w:eastAsia="zh-CN"/>
                    </w:rPr>
                  </w:pPr>
                  <w:r>
                    <w:rPr>
                      <w:rFonts w:hint="eastAsia" w:ascii="Times New Roman" w:hAnsi="Times New Roman" w:cs="Times New Roman"/>
                      <w:color w:val="auto"/>
                      <w:spacing w:val="0"/>
                      <w:sz w:val="21"/>
                      <w:lang w:val="en-US" w:eastAsia="zh-CN"/>
                    </w:rPr>
                    <w:t>0.1</w:t>
                  </w:r>
                </w:p>
              </w:tc>
              <w:tc>
                <w:tcPr>
                  <w:tcW w:w="932" w:type="pct"/>
                  <w:vMerge w:val="continue"/>
                  <w:vAlign w:val="center"/>
                </w:tcPr>
                <w:p>
                  <w:pPr>
                    <w:pStyle w:val="2"/>
                    <w:spacing w:line="240" w:lineRule="auto"/>
                    <w:ind w:firstLine="0" w:firstLineChars="0"/>
                    <w:jc w:val="center"/>
                    <w:rPr>
                      <w:rFonts w:ascii="Times New Roman" w:hAnsi="Times New Roman" w:eastAsia="宋体" w:cs="Times New Roman"/>
                      <w:color w:val="auto"/>
                      <w:spacing w:val="0"/>
                      <w:kern w:val="2"/>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 w:type="pct"/>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生活办公</w:t>
                  </w:r>
                </w:p>
              </w:tc>
              <w:tc>
                <w:tcPr>
                  <w:tcW w:w="724"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生活垃圾</w:t>
                  </w:r>
                </w:p>
              </w:tc>
              <w:tc>
                <w:tcPr>
                  <w:tcW w:w="768" w:type="pct"/>
                  <w:vAlign w:val="center"/>
                </w:tcPr>
                <w:p>
                  <w:pPr>
                    <w:pStyle w:val="2"/>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z w:val="21"/>
                      <w:szCs w:val="21"/>
                      <w:highlight w:val="none"/>
                      <w:lang w:val="en-US" w:eastAsia="zh-CN" w:bidi="ar-SA"/>
                    </w:rPr>
                    <w:t>900-099-S64</w:t>
                  </w:r>
                </w:p>
              </w:tc>
              <w:tc>
                <w:tcPr>
                  <w:tcW w:w="607" w:type="pct"/>
                  <w:vAlign w:val="center"/>
                </w:tcPr>
                <w:p>
                  <w:pPr>
                    <w:pStyle w:val="2"/>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w:t>
                  </w:r>
                </w:p>
              </w:tc>
              <w:tc>
                <w:tcPr>
                  <w:tcW w:w="468" w:type="pct"/>
                  <w:vAlign w:val="center"/>
                </w:tcPr>
                <w:p>
                  <w:pPr>
                    <w:pStyle w:val="2"/>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w:t>
                  </w:r>
                </w:p>
              </w:tc>
              <w:tc>
                <w:tcPr>
                  <w:tcW w:w="462" w:type="pct"/>
                  <w:vAlign w:val="center"/>
                </w:tcPr>
                <w:p>
                  <w:pPr>
                    <w:pStyle w:val="2"/>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w:t>
                  </w:r>
                </w:p>
              </w:tc>
              <w:tc>
                <w:tcPr>
                  <w:tcW w:w="549" w:type="pct"/>
                  <w:vAlign w:val="center"/>
                </w:tcPr>
                <w:p>
                  <w:pPr>
                    <w:pStyle w:val="2"/>
                    <w:spacing w:line="240" w:lineRule="auto"/>
                    <w:ind w:firstLine="0" w:firstLineChars="0"/>
                    <w:jc w:val="center"/>
                    <w:rPr>
                      <w:rFonts w:hint="default" w:ascii="Times New Roman" w:hAnsi="Times New Roman" w:cs="Times New Roman"/>
                      <w:color w:val="auto"/>
                      <w:spacing w:val="0"/>
                      <w:sz w:val="21"/>
                      <w:lang w:val="en-US" w:eastAsia="zh-CN"/>
                    </w:rPr>
                  </w:pPr>
                  <w:r>
                    <w:rPr>
                      <w:rFonts w:hint="eastAsia" w:ascii="Times New Roman" w:hAnsi="Times New Roman" w:cs="Times New Roman"/>
                      <w:color w:val="auto"/>
                      <w:spacing w:val="0"/>
                      <w:sz w:val="21"/>
                      <w:lang w:val="en-US" w:eastAsia="zh-CN"/>
                    </w:rPr>
                    <w:t>1.98</w:t>
                  </w:r>
                </w:p>
              </w:tc>
              <w:tc>
                <w:tcPr>
                  <w:tcW w:w="932" w:type="pct"/>
                  <w:vAlign w:val="center"/>
                </w:tcPr>
                <w:p>
                  <w:pPr>
                    <w:pStyle w:val="2"/>
                    <w:spacing w:line="240" w:lineRule="auto"/>
                    <w:ind w:firstLine="0" w:firstLineChars="0"/>
                    <w:jc w:val="center"/>
                    <w:rPr>
                      <w:rFonts w:ascii="Times New Roman" w:hAnsi="Times New Roman" w:eastAsia="宋体" w:cs="Times New Roman"/>
                      <w:color w:val="auto"/>
                      <w:spacing w:val="0"/>
                      <w:kern w:val="2"/>
                      <w:sz w:val="21"/>
                    </w:rPr>
                  </w:pPr>
                  <w:r>
                    <w:rPr>
                      <w:rFonts w:hint="default" w:ascii="Times New Roman" w:hAnsi="Times New Roman" w:eastAsia="宋体" w:cs="Times New Roman"/>
                      <w:color w:val="auto"/>
                      <w:spacing w:val="0"/>
                      <w:kern w:val="2"/>
                      <w:sz w:val="21"/>
                      <w:lang w:val="en-US" w:eastAsia="zh-CN"/>
                    </w:rPr>
                    <w:t>统一收集后交由当地市政环卫部门及时清运</w:t>
                  </w:r>
                </w:p>
              </w:tc>
            </w:tr>
          </w:tbl>
          <w:p>
            <w:pPr>
              <w:keepNext w:val="0"/>
              <w:keepLines w:val="0"/>
              <w:pageBreakBefore w:val="0"/>
              <w:kinsoku/>
              <w:wordWrap/>
              <w:overflowPunct/>
              <w:topLinePunct w:val="0"/>
              <w:autoSpaceDE/>
              <w:autoSpaceDN/>
              <w:bidi w:val="0"/>
              <w:adjustRightInd/>
              <w:snapToGrid/>
              <w:ind w:firstLine="482"/>
              <w:textAlignment w:val="auto"/>
              <w:rPr>
                <w:rFonts w:ascii="Times New Roman" w:hAnsi="Times New Roman" w:eastAsia="宋体" w:cs="Times New Roman"/>
                <w:color w:val="auto"/>
                <w:spacing w:val="0"/>
                <w:sz w:val="24"/>
                <w:szCs w:val="24"/>
              </w:rPr>
            </w:pPr>
            <w:r>
              <w:rPr>
                <w:rFonts w:hint="eastAsia" w:ascii="Times New Roman" w:hAnsi="Times New Roman" w:eastAsia="宋体" w:cs="Times New Roman"/>
                <w:b/>
                <w:bCs/>
                <w:color w:val="auto"/>
                <w:spacing w:val="0"/>
                <w:sz w:val="24"/>
                <w:szCs w:val="24"/>
              </w:rPr>
              <w:t>4.2固体废物污染防治措施及管理要求</w:t>
            </w:r>
          </w:p>
          <w:p>
            <w:pPr>
              <w:keepNext w:val="0"/>
              <w:keepLines w:val="0"/>
              <w:pageBreakBefore w:val="0"/>
              <w:kinsoku/>
              <w:wordWrap/>
              <w:overflowPunct/>
              <w:topLinePunct w:val="0"/>
              <w:autoSpaceDE/>
              <w:autoSpaceDN/>
              <w:bidi w:val="0"/>
              <w:adjustRightInd/>
              <w:snapToGrid/>
              <w:ind w:firstLine="480"/>
              <w:textAlignment w:val="auto"/>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rPr>
              <w:t>（1）一般工业固体废物</w:t>
            </w:r>
          </w:p>
          <w:p>
            <w:pPr>
              <w:pStyle w:val="454"/>
              <w:keepNext w:val="0"/>
              <w:keepLines w:val="0"/>
              <w:pageBreakBefore w:val="0"/>
              <w:kinsoku/>
              <w:wordWrap/>
              <w:overflowPunct/>
              <w:topLinePunct w:val="0"/>
              <w:autoSpaceDE/>
              <w:autoSpaceDN/>
              <w:bidi w:val="0"/>
              <w:adjustRightInd/>
              <w:snapToGrid/>
              <w:textAlignment w:val="auto"/>
              <w:rPr>
                <w:rFonts w:hint="eastAsia"/>
                <w:color w:val="auto"/>
                <w:highlight w:val="none"/>
                <w:lang w:val="en-US" w:eastAsia="zh-CN"/>
              </w:rPr>
            </w:pPr>
            <w:r>
              <w:rPr>
                <w:rFonts w:hint="eastAsia"/>
                <w:color w:val="auto"/>
                <w:highlight w:val="none"/>
                <w:lang w:val="en-US" w:eastAsia="zh-CN"/>
              </w:rPr>
              <w:t>建设单位须按照《一般工业固体废物贮存和填埋污染控制标准》（GB 18599-2020）及《排污许可证申请与核发技术规范 工业固体废物（试行）》（HJ 1200—2021）要求对一般固废进行管理：</w:t>
            </w:r>
          </w:p>
          <w:p>
            <w:pPr>
              <w:pStyle w:val="454"/>
              <w:keepNext w:val="0"/>
              <w:keepLines w:val="0"/>
              <w:pageBreakBefore w:val="0"/>
              <w:kinsoku/>
              <w:wordWrap/>
              <w:overflowPunct/>
              <w:topLinePunct w:val="0"/>
              <w:autoSpaceDE/>
              <w:autoSpaceDN/>
              <w:bidi w:val="0"/>
              <w:adjustRightInd/>
              <w:snapToGrid/>
              <w:textAlignment w:val="auto"/>
              <w:rPr>
                <w:rFonts w:hint="eastAsia"/>
                <w:color w:val="auto"/>
                <w:highlight w:val="none"/>
                <w:lang w:val="en-US" w:eastAsia="zh-CN"/>
              </w:rPr>
            </w:pPr>
            <w:r>
              <w:rPr>
                <w:rFonts w:hint="eastAsia"/>
                <w:color w:val="auto"/>
                <w:highlight w:val="none"/>
                <w:lang w:val="en-US" w:eastAsia="zh-CN"/>
              </w:rPr>
              <w:t>①委托贮存/利用/处置环节污染防控技术要求：排污单位委托他人运输、利用、处置一般工业固体废物的，应落实《中华人民共和国固体废物污染环境防治法》等法律法规要求，对受托方的主体资格和技术能力进行核实，依法签订书面合同，在合同中约定污染防治要求等。</w:t>
            </w:r>
          </w:p>
          <w:p>
            <w:pPr>
              <w:pStyle w:val="454"/>
              <w:keepNext w:val="0"/>
              <w:keepLines w:val="0"/>
              <w:pageBreakBefore w:val="0"/>
              <w:kinsoku/>
              <w:wordWrap/>
              <w:overflowPunct/>
              <w:topLinePunct w:val="0"/>
              <w:autoSpaceDE/>
              <w:autoSpaceDN/>
              <w:bidi w:val="0"/>
              <w:adjustRightInd/>
              <w:snapToGrid/>
              <w:textAlignment w:val="auto"/>
              <w:rPr>
                <w:rFonts w:hint="eastAsia"/>
                <w:color w:val="auto"/>
                <w:highlight w:val="none"/>
                <w:lang w:val="en-US" w:eastAsia="zh-CN"/>
              </w:rPr>
            </w:pPr>
            <w:r>
              <w:rPr>
                <w:rFonts w:hint="eastAsia"/>
                <w:color w:val="auto"/>
                <w:highlight w:val="none"/>
                <w:lang w:val="en-US" w:eastAsia="zh-CN"/>
              </w:rPr>
              <w:t>②自行贮存/利用/处置设施污染防控技术要求：建设一般工业固体废物贮存间，贮存过程满足防渗漏、防雨淋、防扬尘等环境保护要求；危险废物和生活垃圾不得进入一般工业固体废物贮存间；不相容的一般工业固体废物应设置不同的分区进行贮存；贮存间应设置清晰、完整的一般工业固体废物标志牌等。</w:t>
            </w:r>
          </w:p>
          <w:p>
            <w:pPr>
              <w:pStyle w:val="454"/>
              <w:keepNext w:val="0"/>
              <w:keepLines w:val="0"/>
              <w:pageBreakBefore w:val="0"/>
              <w:kinsoku/>
              <w:wordWrap/>
              <w:overflowPunct/>
              <w:topLinePunct w:val="0"/>
              <w:autoSpaceDE/>
              <w:autoSpaceDN/>
              <w:bidi w:val="0"/>
              <w:adjustRightInd/>
              <w:snapToGrid/>
              <w:textAlignment w:val="auto"/>
              <w:rPr>
                <w:rFonts w:hint="eastAsia"/>
                <w:color w:val="auto"/>
                <w:highlight w:val="none"/>
                <w:lang w:val="en-US" w:eastAsia="zh-CN"/>
              </w:rPr>
            </w:pPr>
            <w:r>
              <w:rPr>
                <w:rFonts w:hint="eastAsia"/>
                <w:color w:val="auto"/>
                <w:highlight w:val="none"/>
                <w:lang w:val="en-US" w:eastAsia="zh-CN"/>
              </w:rPr>
              <w:t>生产运营期间一般工业固体废物自行贮存/利用/处置设施的环境管理和相关设施运行维护要求还应符合GB 15562.2、GB 18599、GB 30485和HJ 2035 等相关标准规范要求。</w:t>
            </w:r>
          </w:p>
          <w:p>
            <w:pPr>
              <w:pStyle w:val="454"/>
              <w:keepNext w:val="0"/>
              <w:keepLines w:val="0"/>
              <w:pageBreakBefore w:val="0"/>
              <w:kinsoku/>
              <w:wordWrap/>
              <w:overflowPunct/>
              <w:topLinePunct w:val="0"/>
              <w:autoSpaceDE/>
              <w:autoSpaceDN/>
              <w:bidi w:val="0"/>
              <w:adjustRightInd/>
              <w:snapToGrid/>
              <w:textAlignment w:val="auto"/>
              <w:rPr>
                <w:rFonts w:hint="eastAsia"/>
                <w:color w:val="auto"/>
                <w:highlight w:val="none"/>
                <w:lang w:val="en-US" w:eastAsia="zh-CN"/>
              </w:rPr>
            </w:pPr>
            <w:r>
              <w:rPr>
                <w:rFonts w:hint="eastAsia"/>
                <w:color w:val="auto"/>
                <w:highlight w:val="none"/>
                <w:lang w:val="en-US" w:eastAsia="zh-CN"/>
              </w:rPr>
              <w:t xml:space="preserve">③建立环境管理台账制度，记录固体废物产生量和去向（处理、处置、综合利用或外运）及相应量。一般工业固体废物环境管理台账记录应符合生态环境部规定的一般工业固体废物环境管理台账相关标准及管理文件要求。 </w:t>
            </w:r>
          </w:p>
          <w:p>
            <w:pPr>
              <w:pStyle w:val="454"/>
              <w:keepNext w:val="0"/>
              <w:keepLines w:val="0"/>
              <w:pageBreakBefore w:val="0"/>
              <w:kinsoku/>
              <w:wordWrap/>
              <w:overflowPunct/>
              <w:topLinePunct w:val="0"/>
              <w:autoSpaceDE/>
              <w:autoSpaceDN/>
              <w:bidi w:val="0"/>
              <w:adjustRightInd/>
              <w:snapToGrid/>
              <w:textAlignment w:val="auto"/>
              <w:rPr>
                <w:rFonts w:hint="eastAsia"/>
                <w:color w:val="auto"/>
                <w:highlight w:val="none"/>
                <w:lang w:val="en-US" w:eastAsia="zh-CN"/>
              </w:rPr>
            </w:pPr>
            <w:r>
              <w:rPr>
                <w:rFonts w:hint="eastAsia"/>
                <w:color w:val="auto"/>
                <w:highlight w:val="none"/>
                <w:lang w:val="en-US" w:eastAsia="zh-CN"/>
              </w:rPr>
              <w:t>企业还应积极采用先进技术，注重清洁生产，在生产过程中尽量降低固废的产生量。</w:t>
            </w:r>
          </w:p>
          <w:p>
            <w:pPr>
              <w:pStyle w:val="393"/>
              <w:keepNext w:val="0"/>
              <w:keepLines w:val="0"/>
              <w:pageBreakBefore w:val="0"/>
              <w:widowControl w:val="0"/>
              <w:kinsoku/>
              <w:wordWrap/>
              <w:overflowPunct/>
              <w:topLinePunct w:val="0"/>
              <w:autoSpaceDE/>
              <w:autoSpaceDN/>
              <w:bidi w:val="0"/>
              <w:adjustRightInd/>
              <w:snapToGrid/>
              <w:spacing w:before="0"/>
              <w:ind w:firstLine="480"/>
              <w:textAlignment w:val="auto"/>
              <w:rPr>
                <w:rFonts w:hint="eastAsia"/>
                <w:color w:val="auto"/>
                <w:highlight w:val="none"/>
                <w:lang w:val="en-US" w:eastAsia="zh-CN"/>
              </w:rPr>
            </w:pPr>
            <w:r>
              <w:rPr>
                <w:rFonts w:hint="eastAsia"/>
                <w:color w:val="auto"/>
                <w:highlight w:val="none"/>
                <w:lang w:val="en-US" w:eastAsia="zh-CN"/>
              </w:rPr>
              <w:t>本项目一般工业固体废物满足《一般工业固体废物贮存和填埋污染控制标准》（GB18599-2020）及《排污许可证申请与核发技术规范 工业固体废物（试行）》（HJ 1200—2021）要求。产生的固体废物均得到合理处置，对周围环境影响较小。</w:t>
            </w:r>
          </w:p>
          <w:p>
            <w:pPr>
              <w:pStyle w:val="393"/>
              <w:keepNext w:val="0"/>
              <w:keepLines w:val="0"/>
              <w:pageBreakBefore w:val="0"/>
              <w:widowControl w:val="0"/>
              <w:kinsoku/>
              <w:wordWrap/>
              <w:overflowPunct/>
              <w:topLinePunct w:val="0"/>
              <w:autoSpaceDE/>
              <w:autoSpaceDN/>
              <w:bidi w:val="0"/>
              <w:adjustRightInd/>
              <w:snapToGrid/>
              <w:spacing w:before="0"/>
              <w:ind w:firstLine="480"/>
              <w:textAlignment w:val="auto"/>
              <w:rPr>
                <w:color w:val="auto"/>
                <w:spacing w:val="0"/>
              </w:rPr>
            </w:pPr>
            <w:r>
              <w:rPr>
                <w:rFonts w:hint="eastAsia"/>
                <w:color w:val="auto"/>
                <w:spacing w:val="0"/>
              </w:rPr>
              <w:t>（2）</w:t>
            </w:r>
            <w:r>
              <w:rPr>
                <w:color w:val="auto"/>
                <w:spacing w:val="0"/>
              </w:rPr>
              <w:t>危险废物</w:t>
            </w:r>
          </w:p>
          <w:p>
            <w:pPr>
              <w:pStyle w:val="393"/>
              <w:keepNext w:val="0"/>
              <w:keepLines w:val="0"/>
              <w:pageBreakBefore w:val="0"/>
              <w:widowControl w:val="0"/>
              <w:kinsoku/>
              <w:wordWrap/>
              <w:overflowPunct/>
              <w:topLinePunct w:val="0"/>
              <w:autoSpaceDE/>
              <w:autoSpaceDN/>
              <w:bidi w:val="0"/>
              <w:adjustRightInd/>
              <w:snapToGrid/>
              <w:spacing w:before="0"/>
              <w:ind w:firstLine="480"/>
              <w:textAlignment w:val="auto"/>
              <w:rPr>
                <w:color w:val="auto"/>
                <w:spacing w:val="0"/>
              </w:rPr>
            </w:pPr>
            <w:r>
              <w:rPr>
                <w:rFonts w:hint="eastAsia"/>
                <w:snapToGrid w:val="0"/>
                <w:color w:val="auto"/>
                <w:sz w:val="24"/>
              </w:rPr>
              <w:t>企业危险废物贮存依托</w:t>
            </w:r>
            <w:r>
              <w:rPr>
                <w:rFonts w:hint="eastAsia"/>
                <w:snapToGrid w:val="0"/>
                <w:color w:val="auto"/>
                <w:sz w:val="24"/>
                <w:lang w:eastAsia="zh-CN"/>
              </w:rPr>
              <w:t>危废贮存点</w:t>
            </w:r>
            <w:r>
              <w:rPr>
                <w:rFonts w:hint="eastAsia"/>
                <w:snapToGrid w:val="0"/>
                <w:color w:val="auto"/>
                <w:sz w:val="24"/>
              </w:rPr>
              <w:t>，</w:t>
            </w:r>
            <w:r>
              <w:rPr>
                <w:color w:val="auto"/>
                <w:spacing w:val="0"/>
              </w:rPr>
              <w:t>危险废物设专用容器储存，定期交由有资质单位处理。项目危险废物临时储存措施应符合《危险废物贮存污染控制标准》</w:t>
            </w:r>
            <w:r>
              <w:rPr>
                <w:rFonts w:hint="eastAsia"/>
                <w:color w:val="auto"/>
                <w:spacing w:val="0"/>
                <w:lang w:eastAsia="zh-CN"/>
              </w:rPr>
              <w:t>（</w:t>
            </w:r>
            <w:r>
              <w:rPr>
                <w:color w:val="auto"/>
                <w:spacing w:val="0"/>
              </w:rPr>
              <w:t>GB 18597-2023</w:t>
            </w:r>
            <w:r>
              <w:rPr>
                <w:rFonts w:hint="eastAsia"/>
                <w:color w:val="auto"/>
                <w:spacing w:val="0"/>
                <w:lang w:eastAsia="zh-CN"/>
              </w:rPr>
              <w:t>）</w:t>
            </w:r>
            <w:r>
              <w:rPr>
                <w:color w:val="auto"/>
                <w:spacing w:val="0"/>
              </w:rPr>
              <w:t>要求：</w:t>
            </w:r>
          </w:p>
          <w:p>
            <w:pPr>
              <w:keepNext w:val="0"/>
              <w:keepLines w:val="0"/>
              <w:pageBreakBefore w:val="0"/>
              <w:widowControl/>
              <w:kinsoku/>
              <w:wordWrap/>
              <w:overflowPunct/>
              <w:topLinePunct w:val="0"/>
              <w:autoSpaceDE/>
              <w:autoSpaceDN/>
              <w:bidi w:val="0"/>
              <w:adjustRightInd/>
              <w:snapToGrid/>
              <w:ind w:firstLine="480"/>
              <w:textAlignment w:val="auto"/>
              <w:rPr>
                <w:rFonts w:ascii="Times New Roman" w:hAnsi="Times New Roman" w:eastAsia="宋体" w:cs="Times New Roman"/>
                <w:color w:val="auto"/>
                <w:spacing w:val="0"/>
                <w:sz w:val="24"/>
                <w:szCs w:val="24"/>
                <w:lang w:bidi="ar"/>
              </w:rPr>
            </w:pPr>
            <w:r>
              <w:rPr>
                <w:rFonts w:hint="eastAsia" w:ascii="Times New Roman" w:hAnsi="Times New Roman" w:eastAsia="宋体" w:cs="Times New Roman"/>
                <w:color w:val="auto"/>
                <w:spacing w:val="0"/>
                <w:sz w:val="24"/>
                <w:szCs w:val="24"/>
              </w:rPr>
              <w:t>①</w:t>
            </w:r>
            <w:r>
              <w:rPr>
                <w:rFonts w:ascii="Times New Roman" w:hAnsi="Times New Roman" w:eastAsia="宋体" w:cs="Times New Roman"/>
                <w:color w:val="auto"/>
                <w:spacing w:val="0"/>
                <w:sz w:val="24"/>
                <w:szCs w:val="24"/>
              </w:rPr>
              <w:t>贮存设施应根据危险废物的形态、物理化学性质、包装形式和污染物迁移途径，采取必要的防风、防晒、防雨、防漏、防渗、防腐以及其他环境污染防治措施，不应露天堆放危险废物。</w:t>
            </w:r>
            <w:r>
              <w:rPr>
                <w:rFonts w:hint="eastAsia" w:ascii="Times New Roman" w:hAnsi="Times New Roman" w:eastAsia="宋体" w:cs="Times New Roman"/>
                <w:color w:val="auto"/>
                <w:spacing w:val="0"/>
                <w:sz w:val="24"/>
                <w:szCs w:val="24"/>
              </w:rPr>
              <w:t>②</w:t>
            </w:r>
            <w:r>
              <w:rPr>
                <w:rFonts w:ascii="Times New Roman" w:hAnsi="Times New Roman" w:eastAsia="宋体" w:cs="Times New Roman"/>
                <w:color w:val="auto"/>
                <w:spacing w:val="0"/>
                <w:sz w:val="24"/>
                <w:szCs w:val="24"/>
              </w:rPr>
              <w:t>贮存设施应根据危险废物的类别、数量、形态、物理化学性质和污染防治等要求设置必要的贮存分区，避免不相容的危险废物接触、混合。</w:t>
            </w:r>
            <w:r>
              <w:rPr>
                <w:rFonts w:hint="eastAsia" w:ascii="Times New Roman" w:hAnsi="Times New Roman" w:eastAsia="宋体" w:cs="Times New Roman"/>
                <w:color w:val="auto"/>
                <w:spacing w:val="0"/>
                <w:sz w:val="24"/>
                <w:szCs w:val="24"/>
              </w:rPr>
              <w:t>③</w:t>
            </w:r>
            <w:r>
              <w:rPr>
                <w:rFonts w:ascii="Times New Roman" w:hAnsi="Times New Roman" w:eastAsia="宋体" w:cs="Times New Roman"/>
                <w:color w:val="auto"/>
                <w:spacing w:val="0"/>
                <w:sz w:val="24"/>
                <w:szCs w:val="24"/>
              </w:rPr>
              <w:t>贮存设施或贮存分区内地面、墙面</w:t>
            </w:r>
            <w:r>
              <w:rPr>
                <w:rFonts w:hint="eastAsia" w:ascii="Times New Roman" w:hAnsi="Times New Roman" w:eastAsia="宋体" w:cs="Times New Roman"/>
                <w:color w:val="auto"/>
                <w:spacing w:val="0"/>
                <w:sz w:val="24"/>
                <w:szCs w:val="24"/>
                <w:lang w:eastAsia="zh-CN"/>
              </w:rPr>
              <w:t>裙角</w:t>
            </w:r>
            <w:r>
              <w:rPr>
                <w:rFonts w:ascii="Times New Roman" w:hAnsi="Times New Roman" w:eastAsia="宋体" w:cs="Times New Roman"/>
                <w:color w:val="auto"/>
                <w:spacing w:val="0"/>
                <w:sz w:val="24"/>
                <w:szCs w:val="24"/>
              </w:rPr>
              <w:t>、堵截泄漏的围堰、接触危险废物的隔板和墙体等应采用坚固的材料建造，表面无裂缝。</w:t>
            </w:r>
            <w:r>
              <w:rPr>
                <w:rFonts w:hint="eastAsia" w:ascii="Times New Roman" w:hAnsi="Times New Roman" w:eastAsia="宋体" w:cs="Times New Roman"/>
                <w:color w:val="auto"/>
                <w:spacing w:val="0"/>
                <w:sz w:val="24"/>
                <w:szCs w:val="24"/>
              </w:rPr>
              <w:t>④</w:t>
            </w:r>
            <w:r>
              <w:rPr>
                <w:rFonts w:ascii="Times New Roman" w:hAnsi="Times New Roman" w:eastAsia="宋体" w:cs="Times New Roman"/>
                <w:color w:val="auto"/>
                <w:spacing w:val="0"/>
                <w:sz w:val="24"/>
                <w:szCs w:val="24"/>
              </w:rPr>
              <w:t>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w:t>
            </w:r>
            <w:r>
              <w:rPr>
                <w:rFonts w:hint="eastAsia" w:ascii="Times New Roman" w:hAnsi="Times New Roman" w:eastAsia="宋体" w:cs="Times New Roman"/>
                <w:color w:val="auto"/>
                <w:spacing w:val="0"/>
                <w:sz w:val="24"/>
                <w:szCs w:val="24"/>
                <w:lang w:eastAsia="zh-CN"/>
              </w:rPr>
              <w:t>（</w:t>
            </w:r>
            <w:r>
              <w:rPr>
                <w:rFonts w:ascii="Times New Roman" w:hAnsi="Times New Roman" w:eastAsia="宋体" w:cs="Times New Roman"/>
                <w:color w:val="auto"/>
                <w:spacing w:val="0"/>
                <w:sz w:val="24"/>
                <w:szCs w:val="24"/>
              </w:rPr>
              <w:t>渗透系数不大于10</w:t>
            </w:r>
            <w:r>
              <w:rPr>
                <w:rFonts w:ascii="Times New Roman" w:hAnsi="Times New Roman" w:eastAsia="宋体" w:cs="Times New Roman"/>
                <w:color w:val="auto"/>
                <w:spacing w:val="0"/>
                <w:sz w:val="24"/>
                <w:szCs w:val="24"/>
                <w:vertAlign w:val="superscript"/>
              </w:rPr>
              <w:t>-7</w:t>
            </w:r>
            <w:r>
              <w:rPr>
                <w:rFonts w:ascii="Times New Roman" w:hAnsi="Times New Roman" w:eastAsia="宋体" w:cs="Times New Roman"/>
                <w:color w:val="auto"/>
                <w:spacing w:val="0"/>
                <w:sz w:val="24"/>
                <w:szCs w:val="24"/>
              </w:rPr>
              <w:t>cm/s</w:t>
            </w:r>
            <w:r>
              <w:rPr>
                <w:rFonts w:hint="eastAsia" w:ascii="Times New Roman" w:hAnsi="Times New Roman" w:eastAsia="宋体" w:cs="Times New Roman"/>
                <w:color w:val="auto"/>
                <w:spacing w:val="0"/>
                <w:sz w:val="24"/>
                <w:szCs w:val="24"/>
                <w:lang w:eastAsia="zh-CN"/>
              </w:rPr>
              <w:t>）</w:t>
            </w:r>
            <w:r>
              <w:rPr>
                <w:rFonts w:ascii="Times New Roman" w:hAnsi="Times New Roman" w:eastAsia="宋体" w:cs="Times New Roman"/>
                <w:color w:val="auto"/>
                <w:spacing w:val="0"/>
                <w:sz w:val="24"/>
                <w:szCs w:val="24"/>
              </w:rPr>
              <w:t>，或至少2mm厚高密度聚乙烯膜等人工防渗材料</w:t>
            </w:r>
            <w:r>
              <w:rPr>
                <w:rFonts w:hint="eastAsia" w:ascii="Times New Roman" w:hAnsi="Times New Roman" w:eastAsia="宋体" w:cs="Times New Roman"/>
                <w:color w:val="auto"/>
                <w:spacing w:val="0"/>
                <w:sz w:val="24"/>
                <w:szCs w:val="24"/>
                <w:lang w:eastAsia="zh-CN"/>
              </w:rPr>
              <w:t>（</w:t>
            </w:r>
            <w:r>
              <w:rPr>
                <w:rFonts w:ascii="Times New Roman" w:hAnsi="Times New Roman" w:eastAsia="宋体" w:cs="Times New Roman"/>
                <w:color w:val="auto"/>
                <w:spacing w:val="0"/>
                <w:sz w:val="24"/>
                <w:szCs w:val="24"/>
              </w:rPr>
              <w:t>渗透系数不大于10</w:t>
            </w:r>
            <w:r>
              <w:rPr>
                <w:rFonts w:ascii="Times New Roman" w:hAnsi="Times New Roman" w:eastAsia="宋体" w:cs="Times New Roman"/>
                <w:color w:val="auto"/>
                <w:spacing w:val="0"/>
                <w:sz w:val="24"/>
                <w:szCs w:val="24"/>
                <w:vertAlign w:val="superscript"/>
              </w:rPr>
              <w:t>-10</w:t>
            </w:r>
            <w:r>
              <w:rPr>
                <w:rFonts w:ascii="Times New Roman" w:hAnsi="Times New Roman" w:eastAsia="宋体" w:cs="Times New Roman"/>
                <w:color w:val="auto"/>
                <w:spacing w:val="0"/>
                <w:sz w:val="24"/>
                <w:szCs w:val="24"/>
              </w:rPr>
              <w:t>cm/s</w:t>
            </w:r>
            <w:r>
              <w:rPr>
                <w:rFonts w:hint="eastAsia" w:ascii="Times New Roman" w:hAnsi="Times New Roman" w:eastAsia="宋体" w:cs="Times New Roman"/>
                <w:color w:val="auto"/>
                <w:spacing w:val="0"/>
                <w:sz w:val="24"/>
                <w:szCs w:val="24"/>
                <w:lang w:eastAsia="zh-CN"/>
              </w:rPr>
              <w:t>）</w:t>
            </w:r>
            <w:r>
              <w:rPr>
                <w:rFonts w:ascii="Times New Roman" w:hAnsi="Times New Roman" w:eastAsia="宋体" w:cs="Times New Roman"/>
                <w:color w:val="auto"/>
                <w:spacing w:val="0"/>
                <w:sz w:val="24"/>
                <w:szCs w:val="24"/>
              </w:rPr>
              <w:t>，或其他防渗性能等效的材料。</w:t>
            </w:r>
            <w:r>
              <w:rPr>
                <w:rFonts w:hint="eastAsia" w:ascii="Times New Roman" w:hAnsi="Times New Roman" w:eastAsia="宋体" w:cs="Times New Roman"/>
                <w:color w:val="auto"/>
                <w:spacing w:val="0"/>
                <w:sz w:val="24"/>
                <w:szCs w:val="24"/>
              </w:rPr>
              <w:t>⑤</w:t>
            </w:r>
            <w:r>
              <w:rPr>
                <w:rFonts w:ascii="Times New Roman" w:hAnsi="Times New Roman" w:eastAsia="宋体" w:cs="Times New Roman"/>
                <w:color w:val="auto"/>
                <w:spacing w:val="0"/>
                <w:sz w:val="24"/>
                <w:szCs w:val="24"/>
              </w:rPr>
              <w:t>同一贮存设施宜采用相同的防渗、防腐工艺</w:t>
            </w:r>
            <w:r>
              <w:rPr>
                <w:rFonts w:hint="eastAsia" w:ascii="Times New Roman" w:hAnsi="Times New Roman" w:eastAsia="宋体" w:cs="Times New Roman"/>
                <w:color w:val="auto"/>
                <w:spacing w:val="0"/>
                <w:sz w:val="24"/>
                <w:szCs w:val="24"/>
                <w:lang w:eastAsia="zh-CN"/>
              </w:rPr>
              <w:t>（</w:t>
            </w:r>
            <w:r>
              <w:rPr>
                <w:rFonts w:ascii="Times New Roman" w:hAnsi="Times New Roman" w:eastAsia="宋体" w:cs="Times New Roman"/>
                <w:color w:val="auto"/>
                <w:spacing w:val="0"/>
                <w:sz w:val="24"/>
                <w:szCs w:val="24"/>
              </w:rPr>
              <w:t>包括防渗、防腐结构或材料</w:t>
            </w:r>
            <w:r>
              <w:rPr>
                <w:rFonts w:hint="eastAsia" w:ascii="Times New Roman" w:hAnsi="Times New Roman" w:eastAsia="宋体" w:cs="Times New Roman"/>
                <w:color w:val="auto"/>
                <w:spacing w:val="0"/>
                <w:sz w:val="24"/>
                <w:szCs w:val="24"/>
                <w:lang w:eastAsia="zh-CN"/>
              </w:rPr>
              <w:t>）</w:t>
            </w:r>
            <w:r>
              <w:rPr>
                <w:rFonts w:ascii="Times New Roman" w:hAnsi="Times New Roman" w:eastAsia="宋体" w:cs="Times New Roman"/>
                <w:color w:val="auto"/>
                <w:spacing w:val="0"/>
                <w:sz w:val="24"/>
                <w:szCs w:val="24"/>
              </w:rPr>
              <w:t>，防渗、防腐材料应覆盖所有可能与废物及其渗滤液、渗漏液等接触的构筑物表面</w:t>
            </w:r>
            <w:r>
              <w:rPr>
                <w:rFonts w:hint="eastAsia" w:ascii="Times New Roman" w:hAnsi="Times New Roman" w:eastAsia="宋体" w:cs="Times New Roman"/>
                <w:color w:val="auto"/>
                <w:spacing w:val="0"/>
                <w:sz w:val="24"/>
                <w:szCs w:val="24"/>
              </w:rPr>
              <w:t>；</w:t>
            </w:r>
            <w:r>
              <w:rPr>
                <w:rFonts w:ascii="Times New Roman" w:hAnsi="Times New Roman" w:eastAsia="宋体" w:cs="Times New Roman"/>
                <w:color w:val="auto"/>
                <w:spacing w:val="0"/>
                <w:sz w:val="24"/>
                <w:szCs w:val="24"/>
              </w:rPr>
              <w:t>采用不同防渗、防腐工艺应分别建设贮存分区。</w:t>
            </w:r>
            <w:r>
              <w:rPr>
                <w:rFonts w:hint="eastAsia" w:ascii="Times New Roman" w:hAnsi="Times New Roman" w:eastAsia="宋体" w:cs="Times New Roman"/>
                <w:color w:val="auto"/>
                <w:spacing w:val="0"/>
                <w:sz w:val="24"/>
                <w:szCs w:val="24"/>
              </w:rPr>
              <w:t>⑥</w:t>
            </w:r>
            <w:r>
              <w:rPr>
                <w:rFonts w:ascii="Times New Roman" w:hAnsi="Times New Roman" w:eastAsia="宋体" w:cs="Times New Roman"/>
                <w:color w:val="auto"/>
                <w:spacing w:val="0"/>
                <w:sz w:val="24"/>
                <w:szCs w:val="24"/>
              </w:rPr>
              <w:t>贮存设施应采取技术和管理措施防止无关人员进入。</w:t>
            </w:r>
          </w:p>
          <w:p>
            <w:pPr>
              <w:keepNext w:val="0"/>
              <w:keepLines w:val="0"/>
              <w:pageBreakBefore w:val="0"/>
              <w:widowControl/>
              <w:kinsoku/>
              <w:wordWrap/>
              <w:overflowPunct/>
              <w:topLinePunct w:val="0"/>
              <w:autoSpaceDE/>
              <w:autoSpaceDN/>
              <w:bidi w:val="0"/>
              <w:adjustRightInd/>
              <w:snapToGrid/>
              <w:ind w:firstLine="480"/>
              <w:textAlignment w:val="auto"/>
              <w:rPr>
                <w:rFonts w:ascii="Times New Roman" w:hAnsi="Times New Roman" w:eastAsia="宋体" w:cs="Times New Roman"/>
                <w:color w:val="auto"/>
                <w:spacing w:val="0"/>
                <w:sz w:val="24"/>
                <w:szCs w:val="24"/>
                <w:lang w:bidi="ar"/>
              </w:rPr>
            </w:pPr>
            <w:r>
              <w:rPr>
                <w:rFonts w:ascii="Times New Roman" w:hAnsi="Times New Roman" w:eastAsia="宋体" w:cs="Times New Roman"/>
                <w:color w:val="auto"/>
                <w:spacing w:val="0"/>
                <w:sz w:val="24"/>
                <w:szCs w:val="24"/>
                <w:lang w:bidi="ar"/>
              </w:rPr>
              <w:t>管理要求：危险废物按照《危险废物贮存污染控制标准》（GB18597-2023）的规定进行：</w:t>
            </w:r>
          </w:p>
          <w:p>
            <w:pPr>
              <w:keepNext w:val="0"/>
              <w:keepLines w:val="0"/>
              <w:pageBreakBefore w:val="0"/>
              <w:widowControl/>
              <w:kinsoku/>
              <w:wordWrap/>
              <w:overflowPunct/>
              <w:topLinePunct w:val="0"/>
              <w:autoSpaceDE/>
              <w:autoSpaceDN/>
              <w:bidi w:val="0"/>
              <w:adjustRightInd/>
              <w:snapToGrid/>
              <w:ind w:firstLine="480"/>
              <w:textAlignment w:val="auto"/>
              <w:rPr>
                <w:rFonts w:ascii="Times New Roman" w:hAnsi="Times New Roman" w:eastAsia="宋体" w:cs="Times New Roman"/>
                <w:color w:val="auto"/>
                <w:spacing w:val="0"/>
                <w:sz w:val="24"/>
                <w:szCs w:val="24"/>
                <w:lang w:bidi="ar"/>
              </w:rPr>
            </w:pPr>
            <w:r>
              <w:rPr>
                <w:rFonts w:hint="eastAsia" w:ascii="Times New Roman" w:hAnsi="Times New Roman" w:eastAsia="宋体" w:cs="Times New Roman"/>
                <w:color w:val="auto"/>
                <w:spacing w:val="0"/>
                <w:sz w:val="24"/>
                <w:szCs w:val="24"/>
                <w:lang w:bidi="ar"/>
              </w:rPr>
              <w:t>①</w:t>
            </w:r>
            <w:r>
              <w:rPr>
                <w:rFonts w:ascii="Times New Roman" w:hAnsi="Times New Roman" w:eastAsia="宋体" w:cs="Times New Roman"/>
                <w:color w:val="auto"/>
                <w:spacing w:val="0"/>
                <w:sz w:val="24"/>
                <w:szCs w:val="24"/>
                <w:lang w:bidi="ar"/>
              </w:rPr>
              <w:t>必须将危险废物装入容器内，禁止将不相容（相互反应）的危险废物在同一容器内混装；</w:t>
            </w:r>
          </w:p>
          <w:p>
            <w:pPr>
              <w:keepNext w:val="0"/>
              <w:keepLines w:val="0"/>
              <w:pageBreakBefore w:val="0"/>
              <w:widowControl/>
              <w:kinsoku/>
              <w:wordWrap/>
              <w:overflowPunct/>
              <w:topLinePunct w:val="0"/>
              <w:autoSpaceDE/>
              <w:autoSpaceDN/>
              <w:bidi w:val="0"/>
              <w:adjustRightInd/>
              <w:snapToGrid/>
              <w:ind w:firstLine="480"/>
              <w:textAlignment w:val="auto"/>
              <w:rPr>
                <w:rFonts w:ascii="Times New Roman" w:hAnsi="Times New Roman" w:eastAsia="宋体" w:cs="Times New Roman"/>
                <w:color w:val="auto"/>
                <w:spacing w:val="0"/>
                <w:sz w:val="24"/>
                <w:szCs w:val="24"/>
                <w:lang w:bidi="ar"/>
              </w:rPr>
            </w:pPr>
            <w:r>
              <w:rPr>
                <w:rFonts w:hint="eastAsia" w:ascii="Times New Roman" w:hAnsi="Times New Roman" w:eastAsia="宋体" w:cs="Times New Roman"/>
                <w:color w:val="auto"/>
                <w:spacing w:val="0"/>
                <w:sz w:val="24"/>
                <w:szCs w:val="24"/>
                <w:lang w:bidi="ar"/>
              </w:rPr>
              <w:t>②</w:t>
            </w:r>
            <w:r>
              <w:rPr>
                <w:rFonts w:ascii="Times New Roman" w:hAnsi="Times New Roman" w:eastAsia="宋体" w:cs="Times New Roman"/>
                <w:color w:val="auto"/>
                <w:spacing w:val="0"/>
                <w:sz w:val="24"/>
                <w:szCs w:val="24"/>
                <w:lang w:bidi="ar"/>
              </w:rPr>
              <w:t>容器应满足相应强度要求，且完好无损，容器材质和衬里与危险废物相容（不相互反应）；</w:t>
            </w:r>
          </w:p>
          <w:p>
            <w:pPr>
              <w:keepNext w:val="0"/>
              <w:keepLines w:val="0"/>
              <w:pageBreakBefore w:val="0"/>
              <w:widowControl/>
              <w:kinsoku/>
              <w:wordWrap/>
              <w:overflowPunct/>
              <w:topLinePunct w:val="0"/>
              <w:autoSpaceDE/>
              <w:autoSpaceDN/>
              <w:bidi w:val="0"/>
              <w:adjustRightInd/>
              <w:snapToGrid/>
              <w:ind w:firstLine="480"/>
              <w:textAlignment w:val="auto"/>
              <w:rPr>
                <w:rFonts w:ascii="Times New Roman" w:hAnsi="Times New Roman" w:eastAsia="宋体" w:cs="Times New Roman"/>
                <w:color w:val="auto"/>
                <w:spacing w:val="0"/>
                <w:sz w:val="24"/>
                <w:szCs w:val="24"/>
                <w:lang w:bidi="ar"/>
              </w:rPr>
            </w:pPr>
            <w:r>
              <w:rPr>
                <w:rFonts w:hint="eastAsia" w:ascii="Times New Roman" w:hAnsi="Times New Roman" w:eastAsia="宋体" w:cs="Times New Roman"/>
                <w:color w:val="auto"/>
                <w:spacing w:val="0"/>
                <w:sz w:val="24"/>
                <w:szCs w:val="24"/>
                <w:lang w:bidi="ar"/>
              </w:rPr>
              <w:t>③</w:t>
            </w:r>
            <w:r>
              <w:rPr>
                <w:rFonts w:ascii="Times New Roman" w:hAnsi="Times New Roman" w:eastAsia="宋体" w:cs="Times New Roman"/>
                <w:color w:val="auto"/>
                <w:spacing w:val="0"/>
                <w:sz w:val="24"/>
                <w:szCs w:val="24"/>
                <w:lang w:bidi="ar"/>
              </w:rPr>
              <w:t>必须定期对贮存的危险废物包装容器及贮存设施进行检查，发现破损，应及时采取措施清理更换；</w:t>
            </w:r>
          </w:p>
          <w:p>
            <w:pPr>
              <w:keepNext w:val="0"/>
              <w:keepLines w:val="0"/>
              <w:pageBreakBefore w:val="0"/>
              <w:widowControl/>
              <w:kinsoku/>
              <w:wordWrap/>
              <w:overflowPunct/>
              <w:topLinePunct w:val="0"/>
              <w:autoSpaceDE/>
              <w:autoSpaceDN/>
              <w:bidi w:val="0"/>
              <w:adjustRightInd/>
              <w:snapToGrid/>
              <w:ind w:firstLine="480"/>
              <w:textAlignment w:val="auto"/>
              <w:rPr>
                <w:rFonts w:ascii="Times New Roman" w:hAnsi="Times New Roman" w:eastAsia="宋体" w:cs="Times New Roman"/>
                <w:color w:val="auto"/>
                <w:spacing w:val="0"/>
                <w:sz w:val="24"/>
                <w:szCs w:val="24"/>
                <w:lang w:bidi="ar"/>
              </w:rPr>
            </w:pPr>
            <w:r>
              <w:rPr>
                <w:rFonts w:hint="eastAsia" w:ascii="Times New Roman" w:hAnsi="Times New Roman" w:eastAsia="宋体" w:cs="Times New Roman"/>
                <w:color w:val="auto"/>
                <w:spacing w:val="0"/>
                <w:sz w:val="24"/>
                <w:szCs w:val="24"/>
                <w:lang w:bidi="ar"/>
              </w:rPr>
              <w:t>④</w:t>
            </w:r>
            <w:r>
              <w:rPr>
                <w:rFonts w:ascii="Times New Roman" w:hAnsi="Times New Roman" w:eastAsia="宋体" w:cs="Times New Roman"/>
                <w:color w:val="auto"/>
                <w:spacing w:val="0"/>
                <w:sz w:val="24"/>
                <w:szCs w:val="24"/>
                <w:lang w:bidi="ar"/>
              </w:rPr>
              <w:t>做好危险废物台账管理，台账注明危险废物的名称、来源、数量、特性、入库日期、出库日期、</w:t>
            </w:r>
            <w:r>
              <w:rPr>
                <w:rFonts w:hint="eastAsia" w:ascii="Times New Roman" w:hAnsi="Times New Roman" w:eastAsia="宋体" w:cs="Times New Roman"/>
                <w:color w:val="auto"/>
                <w:spacing w:val="0"/>
                <w:sz w:val="24"/>
                <w:szCs w:val="24"/>
                <w:lang w:eastAsia="zh-CN" w:bidi="ar"/>
              </w:rPr>
              <w:t>接收单位</w:t>
            </w:r>
            <w:r>
              <w:rPr>
                <w:rFonts w:ascii="Times New Roman" w:hAnsi="Times New Roman" w:eastAsia="宋体" w:cs="Times New Roman"/>
                <w:color w:val="auto"/>
                <w:spacing w:val="0"/>
                <w:sz w:val="24"/>
                <w:szCs w:val="24"/>
                <w:lang w:bidi="ar"/>
              </w:rPr>
              <w:t>名称等；</w:t>
            </w:r>
          </w:p>
          <w:p>
            <w:pPr>
              <w:keepNext w:val="0"/>
              <w:keepLines w:val="0"/>
              <w:pageBreakBefore w:val="0"/>
              <w:kinsoku/>
              <w:wordWrap/>
              <w:overflowPunct/>
              <w:topLinePunct w:val="0"/>
              <w:autoSpaceDE/>
              <w:autoSpaceDN/>
              <w:bidi w:val="0"/>
              <w:adjustRightInd/>
              <w:snapToGrid/>
              <w:ind w:firstLine="480"/>
              <w:textAlignment w:val="auto"/>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lang w:bidi="ar"/>
              </w:rPr>
              <w:t>⑤</w:t>
            </w:r>
            <w:r>
              <w:rPr>
                <w:rFonts w:ascii="Times New Roman" w:hAnsi="Times New Roman" w:eastAsia="宋体" w:cs="Times New Roman"/>
                <w:color w:val="auto"/>
                <w:spacing w:val="0"/>
                <w:sz w:val="24"/>
                <w:szCs w:val="24"/>
                <w:lang w:bidi="ar"/>
              </w:rPr>
              <w:t>危废转移前向主管</w:t>
            </w:r>
            <w:r>
              <w:rPr>
                <w:rFonts w:hint="eastAsia" w:ascii="Times New Roman" w:hAnsi="Times New Roman" w:eastAsia="宋体" w:cs="Times New Roman"/>
                <w:color w:val="auto"/>
                <w:spacing w:val="0"/>
                <w:sz w:val="24"/>
                <w:szCs w:val="24"/>
                <w:lang w:val="en-US" w:eastAsia="zh-CN" w:bidi="ar"/>
              </w:rPr>
              <w:t>生态环境</w:t>
            </w:r>
            <w:r>
              <w:rPr>
                <w:rFonts w:ascii="Times New Roman" w:hAnsi="Times New Roman" w:eastAsia="宋体" w:cs="Times New Roman"/>
                <w:color w:val="auto"/>
                <w:spacing w:val="0"/>
                <w:sz w:val="24"/>
                <w:szCs w:val="24"/>
                <w:lang w:bidi="ar"/>
              </w:rPr>
              <w:t>部门报批转移计划，经批准后向其申领联单，并按照规定转移。</w:t>
            </w:r>
          </w:p>
          <w:tbl>
            <w:tblPr>
              <w:tblStyle w:val="55"/>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165"/>
              <w:gridCol w:w="575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0" w:hRule="atLeast"/>
                <w:jc w:val="center"/>
              </w:trPr>
              <w:tc>
                <w:tcPr>
                  <w:tcW w:w="1367" w:type="pct"/>
                  <w:tcBorders>
                    <w:tl2br w:val="nil"/>
                    <w:tr2bl w:val="nil"/>
                  </w:tcBorders>
                  <w:tcMar>
                    <w:top w:w="28" w:type="dxa"/>
                    <w:bottom w:w="28" w:type="dxa"/>
                  </w:tcMar>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名称</w:t>
                  </w:r>
                </w:p>
              </w:tc>
              <w:tc>
                <w:tcPr>
                  <w:tcW w:w="3632" w:type="pct"/>
                  <w:tcBorders>
                    <w:tl2br w:val="nil"/>
                    <w:tr2bl w:val="nil"/>
                  </w:tcBorders>
                  <w:tcMar>
                    <w:top w:w="28" w:type="dxa"/>
                    <w:bottom w:w="28" w:type="dxa"/>
                  </w:tcMar>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样式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67" w:type="pct"/>
                  <w:tcBorders>
                    <w:tl2br w:val="nil"/>
                    <w:tr2bl w:val="nil"/>
                  </w:tcBorders>
                  <w:tcMar>
                    <w:top w:w="28" w:type="dxa"/>
                    <w:bottom w:w="28" w:type="dxa"/>
                  </w:tcMar>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shd w:val="clear" w:color="auto" w:fill="FFFFFF"/>
                    </w:rPr>
                    <w:t>危险废物贮存分区标志样式示意图</w:t>
                  </w:r>
                </w:p>
              </w:tc>
              <w:tc>
                <w:tcPr>
                  <w:tcW w:w="3632" w:type="pct"/>
                  <w:tcBorders>
                    <w:tl2br w:val="nil"/>
                    <w:tr2bl w:val="nil"/>
                  </w:tcBorders>
                  <w:tcMar>
                    <w:top w:w="28" w:type="dxa"/>
                    <w:bottom w:w="28" w:type="dxa"/>
                  </w:tcMar>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drawing>
                      <wp:inline distT="0" distB="0" distL="114300" distR="114300">
                        <wp:extent cx="1200150" cy="1013460"/>
                        <wp:effectExtent l="0" t="0" r="0" b="15240"/>
                        <wp:docPr id="2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2"/>
                                <pic:cNvPicPr>
                                  <a:picLocks noChangeAspect="1"/>
                                </pic:cNvPicPr>
                              </pic:nvPicPr>
                              <pic:blipFill>
                                <a:blip r:embed="rId18"/>
                                <a:stretch>
                                  <a:fillRect/>
                                </a:stretch>
                              </pic:blipFill>
                              <pic:spPr>
                                <a:xfrm>
                                  <a:off x="0" y="0"/>
                                  <a:ext cx="1200150" cy="1013460"/>
                                </a:xfrm>
                                <a:prstGeom prst="rect">
                                  <a:avLst/>
                                </a:prstGeom>
                                <a:noFill/>
                                <a:ln>
                                  <a:noFill/>
                                </a:ln>
                              </pic:spPr>
                            </pic:pic>
                          </a:graphicData>
                        </a:graphic>
                      </wp:inline>
                    </w:drawing>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67" w:type="pct"/>
                  <w:tcBorders>
                    <w:tl2br w:val="nil"/>
                    <w:tr2bl w:val="nil"/>
                  </w:tcBorders>
                  <w:tcMar>
                    <w:top w:w="28" w:type="dxa"/>
                    <w:bottom w:w="28" w:type="dxa"/>
                  </w:tcMar>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shd w:val="clear" w:color="auto" w:fill="FFFFFF"/>
                    </w:rPr>
                    <w:t>危险废物标签样式示意图</w:t>
                  </w:r>
                </w:p>
              </w:tc>
              <w:tc>
                <w:tcPr>
                  <w:tcW w:w="3632" w:type="pct"/>
                  <w:tcBorders>
                    <w:tl2br w:val="nil"/>
                    <w:tr2bl w:val="nil"/>
                  </w:tcBorders>
                  <w:tcMar>
                    <w:top w:w="28" w:type="dxa"/>
                    <w:bottom w:w="28" w:type="dxa"/>
                  </w:tcMar>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drawing>
                      <wp:inline distT="0" distB="0" distL="114300" distR="114300">
                        <wp:extent cx="1210945" cy="1200785"/>
                        <wp:effectExtent l="0" t="0" r="8255" b="18415"/>
                        <wp:docPr id="2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3"/>
                                <pic:cNvPicPr>
                                  <a:picLocks noChangeAspect="1"/>
                                </pic:cNvPicPr>
                              </pic:nvPicPr>
                              <pic:blipFill>
                                <a:blip r:embed="rId19"/>
                                <a:stretch>
                                  <a:fillRect/>
                                </a:stretch>
                              </pic:blipFill>
                              <pic:spPr>
                                <a:xfrm>
                                  <a:off x="0" y="0"/>
                                  <a:ext cx="1210945" cy="1200785"/>
                                </a:xfrm>
                                <a:prstGeom prst="rect">
                                  <a:avLst/>
                                </a:prstGeom>
                                <a:noFill/>
                                <a:ln>
                                  <a:noFill/>
                                </a:ln>
                              </pic:spPr>
                            </pic:pic>
                          </a:graphicData>
                        </a:graphic>
                      </wp:inline>
                    </w:drawing>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0" w:hRule="atLeast"/>
                <w:jc w:val="center"/>
              </w:trPr>
              <w:tc>
                <w:tcPr>
                  <w:tcW w:w="1367" w:type="pct"/>
                  <w:tcBorders>
                    <w:tl2br w:val="nil"/>
                    <w:tr2bl w:val="nil"/>
                  </w:tcBorders>
                  <w:tcMar>
                    <w:top w:w="28" w:type="dxa"/>
                    <w:bottom w:w="28" w:type="dxa"/>
                  </w:tcMar>
                  <w:vAlign w:val="center"/>
                </w:tcPr>
                <w:p>
                  <w:pPr>
                    <w:spacing w:line="240" w:lineRule="auto"/>
                    <w:ind w:firstLine="0" w:firstLineChars="0"/>
                    <w:jc w:val="center"/>
                    <w:rPr>
                      <w:rFonts w:ascii="Times New Roman" w:hAnsi="Times New Roman" w:eastAsia="宋体" w:cs="Times New Roman"/>
                      <w:color w:val="auto"/>
                      <w:spacing w:val="0"/>
                      <w:sz w:val="21"/>
                      <w:shd w:val="clear" w:color="auto" w:fill="FFFFFF"/>
                    </w:rPr>
                  </w:pPr>
                  <w:r>
                    <w:rPr>
                      <w:rFonts w:ascii="Times New Roman" w:hAnsi="Times New Roman" w:eastAsia="宋体" w:cs="Times New Roman"/>
                      <w:color w:val="auto"/>
                      <w:spacing w:val="0"/>
                      <w:sz w:val="21"/>
                      <w:shd w:val="clear" w:color="auto" w:fill="FFFFFF"/>
                    </w:rPr>
                    <w:t>危险废物贮存设施标志样式示意图</w:t>
                  </w:r>
                </w:p>
              </w:tc>
              <w:tc>
                <w:tcPr>
                  <w:tcW w:w="3632" w:type="pct"/>
                  <w:tcBorders>
                    <w:tl2br w:val="nil"/>
                    <w:tr2bl w:val="nil"/>
                  </w:tcBorders>
                  <w:tcMar>
                    <w:top w:w="28" w:type="dxa"/>
                    <w:bottom w:w="28" w:type="dxa"/>
                  </w:tcMar>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drawing>
                      <wp:inline distT="0" distB="0" distL="114300" distR="114300">
                        <wp:extent cx="1675765" cy="1057910"/>
                        <wp:effectExtent l="0" t="0" r="635" b="8890"/>
                        <wp:docPr id="2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4"/>
                                <pic:cNvPicPr>
                                  <a:picLocks noChangeAspect="1"/>
                                </pic:cNvPicPr>
                              </pic:nvPicPr>
                              <pic:blipFill>
                                <a:blip r:embed="rId20"/>
                                <a:stretch>
                                  <a:fillRect/>
                                </a:stretch>
                              </pic:blipFill>
                              <pic:spPr>
                                <a:xfrm>
                                  <a:off x="0" y="0"/>
                                  <a:ext cx="1675765" cy="1057910"/>
                                </a:xfrm>
                                <a:prstGeom prst="rect">
                                  <a:avLst/>
                                </a:prstGeom>
                                <a:noFill/>
                                <a:ln>
                                  <a:noFill/>
                                </a:ln>
                              </pic:spPr>
                            </pic:pic>
                          </a:graphicData>
                        </a:graphic>
                      </wp:inline>
                    </w:drawing>
                  </w:r>
                  <w:r>
                    <w:rPr>
                      <w:rFonts w:ascii="Times New Roman" w:hAnsi="Times New Roman" w:eastAsia="宋体" w:cs="Times New Roman"/>
                      <w:color w:val="auto"/>
                      <w:spacing w:val="0"/>
                      <w:sz w:val="21"/>
                    </w:rPr>
                    <w:t xml:space="preserve"> 或 </w:t>
                  </w:r>
                  <w:r>
                    <w:rPr>
                      <w:rFonts w:ascii="Times New Roman" w:hAnsi="Times New Roman" w:eastAsia="宋体" w:cs="Times New Roman"/>
                      <w:color w:val="auto"/>
                      <w:spacing w:val="0"/>
                      <w:sz w:val="21"/>
                    </w:rPr>
                    <w:drawing>
                      <wp:inline distT="0" distB="0" distL="114300" distR="114300">
                        <wp:extent cx="851535" cy="1318260"/>
                        <wp:effectExtent l="0" t="0" r="5715" b="15240"/>
                        <wp:docPr id="3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5"/>
                                <pic:cNvPicPr>
                                  <a:picLocks noChangeAspect="1"/>
                                </pic:cNvPicPr>
                              </pic:nvPicPr>
                              <pic:blipFill>
                                <a:blip r:embed="rId21"/>
                                <a:stretch>
                                  <a:fillRect/>
                                </a:stretch>
                              </pic:blipFill>
                              <pic:spPr>
                                <a:xfrm>
                                  <a:off x="0" y="0"/>
                                  <a:ext cx="851535" cy="1318260"/>
                                </a:xfrm>
                                <a:prstGeom prst="rect">
                                  <a:avLst/>
                                </a:prstGeom>
                                <a:noFill/>
                                <a:ln>
                                  <a:noFill/>
                                </a:ln>
                              </pic:spPr>
                            </pic:pic>
                          </a:graphicData>
                        </a:graphic>
                      </wp:inline>
                    </w:drawing>
                  </w:r>
                </w:p>
              </w:tc>
            </w:tr>
          </w:tbl>
          <w:p>
            <w:pPr>
              <w:pStyle w:val="393"/>
              <w:widowControl w:val="0"/>
              <w:spacing w:before="0"/>
              <w:ind w:left="0" w:leftChars="0" w:firstLine="0" w:firstLineChars="0"/>
              <w:jc w:val="center"/>
              <w:rPr>
                <w:rFonts w:hint="eastAsia" w:ascii="Times New Roman" w:hAnsi="Times New Roman" w:eastAsia="宋体" w:cs="Times New Roman"/>
                <w:b/>
                <w:bCs/>
                <w:color w:val="auto"/>
                <w:spacing w:val="0"/>
                <w:sz w:val="21"/>
                <w:szCs w:val="21"/>
                <w:lang w:val="en-US" w:eastAsia="zh-CN" w:bidi="ar-SA"/>
              </w:rPr>
            </w:pPr>
            <w:r>
              <w:rPr>
                <w:rFonts w:hint="eastAsia" w:ascii="Times New Roman" w:hAnsi="Times New Roman" w:eastAsia="宋体" w:cs="Times New Roman"/>
                <w:b/>
                <w:bCs/>
                <w:color w:val="auto"/>
                <w:spacing w:val="0"/>
                <w:sz w:val="21"/>
                <w:szCs w:val="21"/>
                <w:lang w:val="en-US" w:eastAsia="zh-CN" w:bidi="ar-SA"/>
              </w:rPr>
              <w:t>图4-</w:t>
            </w:r>
            <w:r>
              <w:rPr>
                <w:rFonts w:hint="eastAsia" w:cs="Times New Roman"/>
                <w:b/>
                <w:bCs/>
                <w:color w:val="auto"/>
                <w:spacing w:val="0"/>
                <w:sz w:val="21"/>
                <w:szCs w:val="21"/>
                <w:lang w:val="en-US" w:eastAsia="zh-CN" w:bidi="ar-SA"/>
              </w:rPr>
              <w:t>1</w:t>
            </w:r>
            <w:r>
              <w:rPr>
                <w:rFonts w:hint="eastAsia" w:ascii="Times New Roman" w:hAnsi="Times New Roman" w:eastAsia="宋体" w:cs="Times New Roman"/>
                <w:b/>
                <w:bCs/>
                <w:color w:val="auto"/>
                <w:spacing w:val="0"/>
                <w:sz w:val="21"/>
                <w:szCs w:val="21"/>
                <w:lang w:val="en-US" w:eastAsia="zh-CN" w:bidi="ar-SA"/>
              </w:rPr>
              <w:t xml:space="preserve"> 危险废物识别标志设置示例</w:t>
            </w:r>
          </w:p>
          <w:p>
            <w:pPr>
              <w:pStyle w:val="393"/>
              <w:keepNext w:val="0"/>
              <w:keepLines w:val="0"/>
              <w:pageBreakBefore w:val="0"/>
              <w:widowControl w:val="0"/>
              <w:kinsoku/>
              <w:wordWrap/>
              <w:overflowPunct/>
              <w:topLinePunct w:val="0"/>
              <w:autoSpaceDE/>
              <w:autoSpaceDN/>
              <w:bidi w:val="0"/>
              <w:adjustRightInd/>
              <w:snapToGrid/>
              <w:spacing w:before="0"/>
              <w:ind w:firstLine="482"/>
              <w:textAlignment w:val="auto"/>
              <w:rPr>
                <w:color w:val="auto"/>
                <w:spacing w:val="0"/>
              </w:rPr>
            </w:pPr>
            <w:r>
              <w:rPr>
                <w:rFonts w:hint="eastAsia"/>
                <w:b/>
                <w:bCs/>
                <w:color w:val="auto"/>
                <w:spacing w:val="0"/>
              </w:rPr>
              <w:t>4.3</w:t>
            </w:r>
            <w:r>
              <w:rPr>
                <w:rFonts w:hint="eastAsia"/>
                <w:b/>
                <w:bCs/>
                <w:color w:val="auto"/>
                <w:spacing w:val="0"/>
                <w:lang w:eastAsia="zh-CN"/>
              </w:rPr>
              <w:t>危废贮存点</w:t>
            </w:r>
            <w:r>
              <w:rPr>
                <w:b/>
                <w:bCs/>
                <w:color w:val="auto"/>
                <w:spacing w:val="0"/>
              </w:rPr>
              <w:t>分析</w:t>
            </w:r>
          </w:p>
          <w:p>
            <w:pPr>
              <w:pStyle w:val="393"/>
              <w:keepNext w:val="0"/>
              <w:keepLines w:val="0"/>
              <w:pageBreakBefore w:val="0"/>
              <w:widowControl w:val="0"/>
              <w:kinsoku/>
              <w:wordWrap/>
              <w:overflowPunct/>
              <w:topLinePunct w:val="0"/>
              <w:autoSpaceDE/>
              <w:autoSpaceDN/>
              <w:bidi w:val="0"/>
              <w:adjustRightInd/>
              <w:snapToGrid/>
              <w:spacing w:before="0"/>
              <w:ind w:firstLine="480"/>
              <w:textAlignment w:val="auto"/>
              <w:rPr>
                <w:color w:val="auto"/>
                <w:spacing w:val="0"/>
              </w:rPr>
            </w:pPr>
            <w:r>
              <w:rPr>
                <w:color w:val="auto"/>
                <w:spacing w:val="0"/>
              </w:rPr>
              <w:t>企业于</w:t>
            </w:r>
            <w:r>
              <w:rPr>
                <w:rFonts w:hint="eastAsia"/>
                <w:color w:val="auto"/>
                <w:spacing w:val="0"/>
                <w:lang w:val="en-US" w:eastAsia="zh-CN"/>
              </w:rPr>
              <w:t>厂区南</w:t>
            </w:r>
            <w:r>
              <w:rPr>
                <w:rFonts w:hint="eastAsia"/>
                <w:color w:val="auto"/>
                <w:spacing w:val="0"/>
                <w:highlight w:val="none"/>
              </w:rPr>
              <w:t>侧</w:t>
            </w:r>
            <w:r>
              <w:rPr>
                <w:color w:val="auto"/>
                <w:spacing w:val="0"/>
                <w:highlight w:val="none"/>
              </w:rPr>
              <w:t>设置一座</w:t>
            </w:r>
            <w:r>
              <w:rPr>
                <w:rFonts w:hint="eastAsia"/>
                <w:color w:val="auto"/>
                <w:spacing w:val="0"/>
                <w:highlight w:val="none"/>
                <w:lang w:eastAsia="zh-CN"/>
              </w:rPr>
              <w:t>危废贮存点</w:t>
            </w:r>
            <w:r>
              <w:rPr>
                <w:color w:val="auto"/>
                <w:spacing w:val="0"/>
                <w:highlight w:val="none"/>
              </w:rPr>
              <w:t>（</w:t>
            </w:r>
            <w:r>
              <w:rPr>
                <w:rFonts w:hint="eastAsia"/>
                <w:color w:val="auto"/>
                <w:spacing w:val="0"/>
                <w:highlight w:val="none"/>
                <w:lang w:val="en-US" w:eastAsia="zh-CN"/>
              </w:rPr>
              <w:t>5</w:t>
            </w:r>
            <w:r>
              <w:rPr>
                <w:color w:val="auto"/>
                <w:spacing w:val="0"/>
                <w:highlight w:val="none"/>
              </w:rPr>
              <w:t>m</w:t>
            </w:r>
            <w:r>
              <w:rPr>
                <w:color w:val="auto"/>
                <w:spacing w:val="0"/>
                <w:highlight w:val="none"/>
                <w:vertAlign w:val="superscript"/>
              </w:rPr>
              <w:t>2</w:t>
            </w:r>
            <w:r>
              <w:rPr>
                <w:color w:val="auto"/>
                <w:spacing w:val="0"/>
                <w:highlight w:val="none"/>
              </w:rPr>
              <w:t>）</w:t>
            </w:r>
            <w:r>
              <w:rPr>
                <w:color w:val="auto"/>
                <w:spacing w:val="0"/>
              </w:rPr>
              <w:t>，其所在位置地质结构稳定；</w:t>
            </w:r>
            <w:r>
              <w:rPr>
                <w:rFonts w:hint="eastAsia"/>
                <w:color w:val="auto"/>
                <w:spacing w:val="0"/>
              </w:rPr>
              <w:t>危废贮存点</w:t>
            </w:r>
            <w:r>
              <w:rPr>
                <w:color w:val="auto"/>
                <w:spacing w:val="0"/>
              </w:rPr>
              <w:t>底部高于地下水最高水位；</w:t>
            </w:r>
            <w:r>
              <w:rPr>
                <w:rFonts w:hint="eastAsia"/>
                <w:color w:val="auto"/>
                <w:spacing w:val="0"/>
                <w:lang w:eastAsia="zh-CN"/>
              </w:rPr>
              <w:t>危废贮存点</w:t>
            </w:r>
            <w:r>
              <w:rPr>
                <w:color w:val="auto"/>
                <w:spacing w:val="0"/>
              </w:rPr>
              <w:t>选址不在溶洞及易遭受严重自然灾害的区域，不在易燃易爆危险品仓库及高压输电线路防护区域内，且基础按《危险废物贮存污染控制标准》</w:t>
            </w:r>
            <w:r>
              <w:rPr>
                <w:rFonts w:hint="eastAsia"/>
                <w:color w:val="auto"/>
                <w:spacing w:val="0"/>
                <w:lang w:eastAsia="zh-CN"/>
              </w:rPr>
              <w:t>（</w:t>
            </w:r>
            <w:r>
              <w:rPr>
                <w:color w:val="auto"/>
                <w:spacing w:val="0"/>
              </w:rPr>
              <w:t>GB18597-2023</w:t>
            </w:r>
            <w:r>
              <w:rPr>
                <w:rFonts w:hint="eastAsia"/>
                <w:color w:val="auto"/>
                <w:spacing w:val="0"/>
                <w:lang w:eastAsia="zh-CN"/>
              </w:rPr>
              <w:t>）</w:t>
            </w:r>
            <w:r>
              <w:rPr>
                <w:color w:val="auto"/>
                <w:spacing w:val="0"/>
              </w:rPr>
              <w:t>要求防渗处理。综上，</w:t>
            </w:r>
            <w:r>
              <w:rPr>
                <w:rFonts w:hint="eastAsia"/>
                <w:color w:val="auto"/>
                <w:spacing w:val="0"/>
                <w:lang w:val="en-US" w:eastAsia="zh-CN"/>
              </w:rPr>
              <w:t>危废贮存点</w:t>
            </w:r>
            <w:r>
              <w:rPr>
                <w:color w:val="auto"/>
                <w:spacing w:val="0"/>
              </w:rPr>
              <w:t>选址可行。</w:t>
            </w:r>
          </w:p>
          <w:p>
            <w:pPr>
              <w:pStyle w:val="393"/>
              <w:keepNext w:val="0"/>
              <w:keepLines w:val="0"/>
              <w:pageBreakBefore w:val="0"/>
              <w:widowControl w:val="0"/>
              <w:kinsoku/>
              <w:wordWrap/>
              <w:overflowPunct/>
              <w:topLinePunct w:val="0"/>
              <w:autoSpaceDE/>
              <w:autoSpaceDN/>
              <w:bidi w:val="0"/>
              <w:adjustRightInd/>
              <w:snapToGrid/>
              <w:spacing w:before="0"/>
              <w:ind w:firstLine="480"/>
              <w:textAlignment w:val="auto"/>
              <w:rPr>
                <w:color w:val="auto"/>
                <w:spacing w:val="0"/>
              </w:rPr>
            </w:pPr>
            <w:r>
              <w:rPr>
                <w:color w:val="auto"/>
                <w:spacing w:val="0"/>
              </w:rPr>
              <w:t>项目</w:t>
            </w:r>
            <w:r>
              <w:rPr>
                <w:rFonts w:hint="eastAsia"/>
                <w:color w:val="auto"/>
                <w:spacing w:val="0"/>
                <w:lang w:eastAsia="zh-CN"/>
              </w:rPr>
              <w:t>危废贮存点</w:t>
            </w:r>
            <w:r>
              <w:rPr>
                <w:color w:val="auto"/>
                <w:spacing w:val="0"/>
              </w:rPr>
              <w:t>基本情况见表4-</w:t>
            </w:r>
            <w:r>
              <w:rPr>
                <w:rFonts w:hint="eastAsia"/>
                <w:color w:val="auto"/>
                <w:spacing w:val="0"/>
              </w:rPr>
              <w:t>1</w:t>
            </w:r>
            <w:r>
              <w:rPr>
                <w:rFonts w:hint="eastAsia"/>
                <w:color w:val="auto"/>
                <w:spacing w:val="0"/>
                <w:lang w:val="en-US" w:eastAsia="zh-CN"/>
              </w:rPr>
              <w:t>4</w:t>
            </w:r>
            <w:r>
              <w:rPr>
                <w:color w:val="auto"/>
                <w:spacing w:val="0"/>
              </w:rPr>
              <w:t>。</w:t>
            </w:r>
          </w:p>
          <w:p>
            <w:pPr>
              <w:adjustRightInd/>
              <w:snapToGrid/>
              <w:ind w:firstLine="0" w:firstLineChars="0"/>
              <w:jc w:val="center"/>
              <w:rPr>
                <w:rFonts w:ascii="Times New Roman" w:hAnsi="Times New Roman" w:eastAsia="宋体" w:cs="Times New Roman"/>
                <w:b/>
                <w:bCs/>
                <w:color w:val="auto"/>
                <w:spacing w:val="0"/>
                <w:sz w:val="21"/>
              </w:rPr>
            </w:pPr>
            <w:r>
              <w:rPr>
                <w:rFonts w:ascii="Times New Roman" w:hAnsi="Times New Roman" w:eastAsia="宋体" w:cs="Times New Roman"/>
                <w:b/>
                <w:bCs/>
                <w:color w:val="auto"/>
                <w:spacing w:val="0"/>
                <w:sz w:val="21"/>
              </w:rPr>
              <w:t>表4-</w:t>
            </w:r>
            <w:r>
              <w:rPr>
                <w:rFonts w:hint="eastAsia" w:ascii="Times New Roman" w:hAnsi="Times New Roman" w:eastAsia="宋体" w:cs="Times New Roman"/>
                <w:b/>
                <w:bCs/>
                <w:color w:val="auto"/>
                <w:spacing w:val="0"/>
                <w:sz w:val="21"/>
              </w:rPr>
              <w:t>1</w:t>
            </w:r>
            <w:r>
              <w:rPr>
                <w:rFonts w:hint="eastAsia" w:ascii="Times New Roman" w:hAnsi="Times New Roman" w:eastAsia="宋体" w:cs="Times New Roman"/>
                <w:b/>
                <w:bCs/>
                <w:color w:val="auto"/>
                <w:spacing w:val="0"/>
                <w:sz w:val="21"/>
                <w:lang w:val="en-US" w:eastAsia="zh-CN"/>
              </w:rPr>
              <w:t>4</w:t>
            </w:r>
            <w:r>
              <w:rPr>
                <w:rFonts w:hint="eastAsia" w:ascii="Times New Roman" w:hAnsi="Times New Roman" w:eastAsia="宋体" w:cs="Times New Roman"/>
                <w:b/>
                <w:bCs/>
                <w:color w:val="auto"/>
                <w:spacing w:val="0"/>
                <w:sz w:val="21"/>
              </w:rPr>
              <w:t xml:space="preserve"> </w:t>
            </w:r>
            <w:r>
              <w:rPr>
                <w:rFonts w:ascii="Times New Roman" w:hAnsi="Times New Roman" w:eastAsia="宋体" w:cs="Times New Roman"/>
                <w:b/>
                <w:bCs/>
                <w:color w:val="auto"/>
                <w:spacing w:val="0"/>
                <w:sz w:val="21"/>
              </w:rPr>
              <w:t>厂区</w:t>
            </w:r>
            <w:r>
              <w:rPr>
                <w:rFonts w:hint="eastAsia" w:ascii="Times New Roman" w:hAnsi="Times New Roman" w:eastAsia="宋体" w:cs="Times New Roman"/>
                <w:b/>
                <w:bCs/>
                <w:color w:val="auto"/>
                <w:spacing w:val="0"/>
                <w:sz w:val="21"/>
                <w:lang w:eastAsia="zh-CN"/>
              </w:rPr>
              <w:t>危废贮存点</w:t>
            </w:r>
            <w:r>
              <w:rPr>
                <w:rFonts w:hint="eastAsia" w:ascii="Times New Roman" w:hAnsi="Times New Roman" w:eastAsia="宋体" w:cs="Times New Roman"/>
                <w:b/>
                <w:bCs/>
                <w:color w:val="auto"/>
                <w:spacing w:val="0"/>
                <w:sz w:val="21"/>
              </w:rPr>
              <w:t>基本情况表</w:t>
            </w:r>
          </w:p>
          <w:tbl>
            <w:tblPr>
              <w:tblStyle w:val="55"/>
              <w:tblW w:w="4997"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736"/>
              <w:gridCol w:w="711"/>
              <w:gridCol w:w="755"/>
              <w:gridCol w:w="1080"/>
              <w:gridCol w:w="640"/>
              <w:gridCol w:w="722"/>
              <w:gridCol w:w="529"/>
              <w:gridCol w:w="174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trPr>
              <w:tc>
                <w:tcPr>
                  <w:tcW w:w="1126"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废物名称</w:t>
                  </w:r>
                </w:p>
              </w:tc>
              <w:tc>
                <w:tcPr>
                  <w:tcW w:w="479"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位置</w:t>
                  </w:r>
                </w:p>
              </w:tc>
              <w:tc>
                <w:tcPr>
                  <w:tcW w:w="507"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占地面积（m</w:t>
                  </w:r>
                  <w:r>
                    <w:rPr>
                      <w:rFonts w:ascii="Times New Roman" w:hAnsi="Times New Roman" w:eastAsia="宋体" w:cs="Times New Roman"/>
                      <w:color w:val="auto"/>
                      <w:spacing w:val="0"/>
                      <w:sz w:val="21"/>
                      <w:vertAlign w:val="superscript"/>
                    </w:rPr>
                    <w:t>2</w:t>
                  </w:r>
                  <w:r>
                    <w:rPr>
                      <w:rFonts w:ascii="Times New Roman" w:hAnsi="Times New Roman" w:eastAsia="宋体" w:cs="Times New Roman"/>
                      <w:color w:val="auto"/>
                      <w:spacing w:val="0"/>
                      <w:sz w:val="21"/>
                    </w:rPr>
                    <w:t>）</w:t>
                  </w:r>
                </w:p>
              </w:tc>
              <w:tc>
                <w:tcPr>
                  <w:tcW w:w="712"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贮存方式</w:t>
                  </w:r>
                </w:p>
              </w:tc>
              <w:tc>
                <w:tcPr>
                  <w:tcW w:w="403"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产生量（t/a）</w:t>
                  </w:r>
                </w:p>
              </w:tc>
              <w:tc>
                <w:tcPr>
                  <w:tcW w:w="486"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贮存能力（t）</w:t>
                  </w:r>
                </w:p>
              </w:tc>
              <w:tc>
                <w:tcPr>
                  <w:tcW w:w="364"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贮存周期</w:t>
                  </w:r>
                </w:p>
              </w:tc>
              <w:tc>
                <w:tcPr>
                  <w:tcW w:w="920"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防渗要求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126"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rPr>
                    <w:t>废油桶</w:t>
                  </w:r>
                </w:p>
              </w:tc>
              <w:tc>
                <w:tcPr>
                  <w:tcW w:w="479" w:type="pct"/>
                  <w:vMerge w:val="restart"/>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lang w:val="en-US" w:eastAsia="zh-CN"/>
                    </w:rPr>
                    <w:t>厂区南</w:t>
                  </w:r>
                  <w:r>
                    <w:rPr>
                      <w:rFonts w:hint="eastAsia" w:ascii="Times New Roman" w:hAnsi="Times New Roman" w:eastAsia="宋体" w:cs="Times New Roman"/>
                      <w:color w:val="auto"/>
                      <w:spacing w:val="0"/>
                      <w:sz w:val="21"/>
                    </w:rPr>
                    <w:t>侧</w:t>
                  </w:r>
                </w:p>
              </w:tc>
              <w:tc>
                <w:tcPr>
                  <w:tcW w:w="507" w:type="pct"/>
                  <w:vMerge w:val="restart"/>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5</w:t>
                  </w:r>
                </w:p>
              </w:tc>
              <w:tc>
                <w:tcPr>
                  <w:tcW w:w="712"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rPr>
                    <w:t>堆放</w:t>
                  </w:r>
                </w:p>
              </w:tc>
              <w:tc>
                <w:tcPr>
                  <w:tcW w:w="403" w:type="pct"/>
                  <w:shd w:val="clear" w:color="auto" w:fill="auto"/>
                  <w:vAlign w:val="center"/>
                </w:tcPr>
                <w:p>
                  <w:pPr>
                    <w:pStyle w:val="2"/>
                    <w:spacing w:line="240" w:lineRule="auto"/>
                    <w:ind w:firstLine="0" w:firstLineChars="0"/>
                    <w:jc w:val="center"/>
                    <w:rPr>
                      <w:rFonts w:hint="default"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bidi="ar-SA"/>
                    </w:rPr>
                    <w:t>0.01</w:t>
                  </w:r>
                </w:p>
              </w:tc>
              <w:tc>
                <w:tcPr>
                  <w:tcW w:w="486" w:type="pct"/>
                  <w:vMerge w:val="restart"/>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5</w:t>
                  </w:r>
                </w:p>
              </w:tc>
              <w:tc>
                <w:tcPr>
                  <w:tcW w:w="364" w:type="pct"/>
                  <w:vMerge w:val="restart"/>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12个月</w:t>
                  </w:r>
                  <w:r>
                    <w:rPr>
                      <w:rFonts w:ascii="Times New Roman" w:hAnsi="Times New Roman" w:eastAsia="宋体" w:cs="Times New Roman"/>
                      <w:color w:val="auto"/>
                      <w:spacing w:val="0"/>
                      <w:sz w:val="21"/>
                    </w:rPr>
                    <w:t>/批</w:t>
                  </w:r>
                </w:p>
              </w:tc>
              <w:tc>
                <w:tcPr>
                  <w:tcW w:w="920" w:type="pct"/>
                  <w:vMerge w:val="restar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《危险废物贮存污染控制标准》</w:t>
                  </w:r>
                  <w:r>
                    <w:rPr>
                      <w:rFonts w:hint="eastAsia" w:ascii="Times New Roman" w:hAnsi="Times New Roman" w:eastAsia="宋体" w:cs="Times New Roman"/>
                      <w:color w:val="auto"/>
                      <w:spacing w:val="0"/>
                      <w:sz w:val="21"/>
                      <w:lang w:eastAsia="zh-CN"/>
                    </w:rPr>
                    <w:t>（</w:t>
                  </w:r>
                  <w:r>
                    <w:rPr>
                      <w:rFonts w:ascii="Times New Roman" w:hAnsi="Times New Roman" w:eastAsia="宋体" w:cs="Times New Roman"/>
                      <w:color w:val="auto"/>
                      <w:spacing w:val="0"/>
                      <w:sz w:val="21"/>
                    </w:rPr>
                    <w:t>GB18597-2023</w:t>
                  </w:r>
                  <w:r>
                    <w:rPr>
                      <w:rFonts w:hint="eastAsia" w:ascii="Times New Roman" w:hAnsi="Times New Roman" w:eastAsia="宋体" w:cs="Times New Roman"/>
                      <w:color w:val="auto"/>
                      <w:spacing w:val="0"/>
                      <w:sz w:val="21"/>
                      <w:lang w:eastAsia="zh-CN"/>
                    </w:rPr>
                    <w:t>）</w:t>
                  </w:r>
                  <w:r>
                    <w:rPr>
                      <w:rFonts w:ascii="Times New Roman" w:hAnsi="Times New Roman" w:eastAsia="宋体" w:cs="Times New Roman"/>
                      <w:color w:val="auto"/>
                      <w:spacing w:val="0"/>
                      <w:sz w:val="21"/>
                    </w:rPr>
                    <w:t>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trPr>
              <w:tc>
                <w:tcPr>
                  <w:tcW w:w="1126"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rPr>
                    <w:t>废</w:t>
                  </w:r>
                  <w:r>
                    <w:rPr>
                      <w:rFonts w:hint="eastAsia" w:ascii="Times New Roman" w:hAnsi="Times New Roman" w:eastAsia="宋体" w:cs="Times New Roman"/>
                      <w:color w:val="auto"/>
                      <w:spacing w:val="0"/>
                      <w:sz w:val="21"/>
                      <w:lang w:val="en-US" w:eastAsia="zh-CN"/>
                    </w:rPr>
                    <w:t>机油</w:t>
                  </w:r>
                </w:p>
              </w:tc>
              <w:tc>
                <w:tcPr>
                  <w:tcW w:w="479" w:type="pct"/>
                  <w:vMerge w:val="continue"/>
                  <w:vAlign w:val="center"/>
                </w:tcPr>
                <w:p>
                  <w:pPr>
                    <w:spacing w:line="240" w:lineRule="auto"/>
                    <w:ind w:firstLine="0" w:firstLineChars="0"/>
                    <w:jc w:val="center"/>
                    <w:rPr>
                      <w:rFonts w:hint="eastAsia" w:ascii="Times New Roman" w:hAnsi="Times New Roman" w:eastAsia="宋体" w:cs="Times New Roman"/>
                      <w:color w:val="auto"/>
                      <w:spacing w:val="0"/>
                      <w:sz w:val="21"/>
                    </w:rPr>
                  </w:pPr>
                </w:p>
              </w:tc>
              <w:tc>
                <w:tcPr>
                  <w:tcW w:w="507" w:type="pct"/>
                  <w:vMerge w:val="continue"/>
                  <w:vAlign w:val="center"/>
                </w:tcPr>
                <w:p>
                  <w:pPr>
                    <w:spacing w:line="240" w:lineRule="auto"/>
                    <w:ind w:firstLine="0" w:firstLineChars="0"/>
                    <w:jc w:val="center"/>
                    <w:rPr>
                      <w:rFonts w:hint="eastAsia" w:ascii="Times New Roman" w:hAnsi="Times New Roman" w:eastAsia="宋体" w:cs="Times New Roman"/>
                      <w:color w:val="auto"/>
                      <w:spacing w:val="0"/>
                      <w:sz w:val="21"/>
                    </w:rPr>
                  </w:pPr>
                </w:p>
              </w:tc>
              <w:tc>
                <w:tcPr>
                  <w:tcW w:w="712"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rPr>
                    <w:t>专用</w:t>
                  </w:r>
                  <w:r>
                    <w:rPr>
                      <w:rFonts w:ascii="Times New Roman" w:hAnsi="Times New Roman" w:eastAsia="宋体" w:cs="Times New Roman"/>
                      <w:color w:val="auto"/>
                      <w:spacing w:val="0"/>
                      <w:sz w:val="21"/>
                    </w:rPr>
                    <w:t>容器</w:t>
                  </w:r>
                </w:p>
              </w:tc>
              <w:tc>
                <w:tcPr>
                  <w:tcW w:w="403" w:type="pct"/>
                  <w:shd w:val="clear" w:color="auto" w:fill="auto"/>
                  <w:vAlign w:val="center"/>
                </w:tcPr>
                <w:p>
                  <w:pPr>
                    <w:pStyle w:val="2"/>
                    <w:spacing w:line="240" w:lineRule="auto"/>
                    <w:ind w:firstLine="0" w:firstLineChars="0"/>
                    <w:jc w:val="center"/>
                    <w:rPr>
                      <w:rFonts w:hint="default"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bidi="ar-SA"/>
                    </w:rPr>
                    <w:t>0.1</w:t>
                  </w:r>
                </w:p>
              </w:tc>
              <w:tc>
                <w:tcPr>
                  <w:tcW w:w="486" w:type="pct"/>
                  <w:vMerge w:val="continue"/>
                  <w:vAlign w:val="center"/>
                </w:tcPr>
                <w:p>
                  <w:pPr>
                    <w:spacing w:line="240" w:lineRule="auto"/>
                    <w:ind w:firstLine="0" w:firstLineChars="0"/>
                    <w:jc w:val="center"/>
                    <w:rPr>
                      <w:rFonts w:hint="eastAsia" w:ascii="Times New Roman" w:hAnsi="Times New Roman" w:eastAsia="宋体" w:cs="Times New Roman"/>
                      <w:color w:val="auto"/>
                      <w:spacing w:val="0"/>
                      <w:sz w:val="21"/>
                    </w:rPr>
                  </w:pPr>
                </w:p>
              </w:tc>
              <w:tc>
                <w:tcPr>
                  <w:tcW w:w="364" w:type="pct"/>
                  <w:vMerge w:val="continue"/>
                  <w:vAlign w:val="center"/>
                </w:tcPr>
                <w:p>
                  <w:pPr>
                    <w:spacing w:line="240" w:lineRule="auto"/>
                    <w:ind w:firstLine="0" w:firstLineChars="0"/>
                    <w:jc w:val="center"/>
                    <w:rPr>
                      <w:rFonts w:hint="eastAsia" w:ascii="Times New Roman" w:hAnsi="Times New Roman" w:eastAsia="宋体" w:cs="Times New Roman"/>
                      <w:color w:val="auto"/>
                      <w:spacing w:val="0"/>
                      <w:sz w:val="21"/>
                    </w:rPr>
                  </w:pPr>
                </w:p>
              </w:tc>
              <w:tc>
                <w:tcPr>
                  <w:tcW w:w="920" w:type="pct"/>
                  <w:vMerge w:val="continue"/>
                  <w:vAlign w:val="center"/>
                </w:tcPr>
                <w:p>
                  <w:pPr>
                    <w:spacing w:line="240" w:lineRule="auto"/>
                    <w:ind w:firstLine="0" w:firstLineChars="0"/>
                    <w:jc w:val="center"/>
                    <w:rPr>
                      <w:rFonts w:ascii="Times New Roman" w:hAnsi="Times New Roman" w:eastAsia="宋体" w:cs="Times New Roman"/>
                      <w:color w:val="auto"/>
                      <w:spacing w:val="0"/>
                      <w:sz w:val="21"/>
                    </w:rPr>
                  </w:pPr>
                </w:p>
              </w:tc>
            </w:tr>
          </w:tbl>
          <w:p>
            <w:pPr>
              <w:keepNext w:val="0"/>
              <w:keepLines w:val="0"/>
              <w:pageBreakBefore w:val="0"/>
              <w:kinsoku/>
              <w:wordWrap/>
              <w:overflowPunct/>
              <w:topLinePunct w:val="0"/>
              <w:bidi w:val="0"/>
              <w:adjustRightInd/>
              <w:snapToGrid/>
              <w:ind w:firstLine="482"/>
              <w:textAlignment w:val="auto"/>
              <w:rPr>
                <w:rFonts w:ascii="Times New Roman" w:hAnsi="Times New Roman" w:eastAsia="宋体" w:cs="Times New Roman"/>
                <w:color w:val="auto"/>
                <w:spacing w:val="0"/>
                <w:sz w:val="24"/>
                <w:szCs w:val="24"/>
              </w:rPr>
            </w:pPr>
            <w:r>
              <w:rPr>
                <w:rFonts w:hint="eastAsia" w:ascii="Times New Roman" w:hAnsi="Times New Roman" w:eastAsia="宋体" w:cs="Times New Roman"/>
                <w:b/>
                <w:bCs/>
                <w:color w:val="auto"/>
                <w:spacing w:val="0"/>
                <w:sz w:val="24"/>
                <w:szCs w:val="24"/>
              </w:rPr>
              <w:t>4.4固体废物影响分析</w:t>
            </w:r>
          </w:p>
          <w:p>
            <w:pPr>
              <w:keepNext w:val="0"/>
              <w:keepLines w:val="0"/>
              <w:pageBreakBefore w:val="0"/>
              <w:kinsoku/>
              <w:wordWrap/>
              <w:overflowPunct/>
              <w:topLinePunct w:val="0"/>
              <w:bidi w:val="0"/>
              <w:adjustRightInd/>
              <w:snapToGrid/>
              <w:ind w:firstLine="480"/>
              <w:textAlignment w:val="auto"/>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rPr>
              <w:t>危险废物暂存于</w:t>
            </w:r>
            <w:r>
              <w:rPr>
                <w:rFonts w:hint="eastAsia" w:ascii="Times New Roman" w:hAnsi="Times New Roman" w:eastAsia="宋体" w:cs="Times New Roman"/>
                <w:color w:val="auto"/>
                <w:spacing w:val="0"/>
                <w:sz w:val="24"/>
                <w:szCs w:val="24"/>
                <w:lang w:eastAsia="zh-CN"/>
              </w:rPr>
              <w:t>危废贮存点</w:t>
            </w:r>
            <w:r>
              <w:rPr>
                <w:rFonts w:hint="eastAsia" w:ascii="Times New Roman" w:hAnsi="Times New Roman" w:eastAsia="宋体" w:cs="Times New Roman"/>
                <w:color w:val="auto"/>
                <w:spacing w:val="0"/>
                <w:sz w:val="24"/>
                <w:szCs w:val="24"/>
              </w:rPr>
              <w:t>，定期交有资质单位处置；生活垃圾交由环卫部门清运。</w:t>
            </w:r>
            <w:r>
              <w:rPr>
                <w:rFonts w:hint="eastAsia" w:ascii="Times New Roman" w:hAnsi="Times New Roman" w:eastAsia="宋体" w:cs="Times New Roman"/>
                <w:color w:val="auto"/>
                <w:spacing w:val="0"/>
                <w:sz w:val="24"/>
                <w:szCs w:val="24"/>
                <w:lang w:val="en-US" w:eastAsia="zh-CN"/>
              </w:rPr>
              <w:t>本项目建设单位不自行外运、转移，</w:t>
            </w:r>
            <w:r>
              <w:rPr>
                <w:rFonts w:hint="eastAsia" w:ascii="Times New Roman" w:hAnsi="Times New Roman" w:eastAsia="宋体" w:cs="Times New Roman"/>
                <w:color w:val="auto"/>
                <w:spacing w:val="0"/>
                <w:sz w:val="24"/>
                <w:szCs w:val="24"/>
              </w:rPr>
              <w:t>建议企业委托距离较近的危废处置单位处置本项目产生的危险废物，不会对周边环境产生明显影响。</w:t>
            </w:r>
          </w:p>
          <w:p>
            <w:pPr>
              <w:keepNext w:val="0"/>
              <w:keepLines w:val="0"/>
              <w:pageBreakBefore w:val="0"/>
              <w:kinsoku/>
              <w:wordWrap/>
              <w:overflowPunct/>
              <w:topLinePunct w:val="0"/>
              <w:bidi w:val="0"/>
              <w:adjustRightInd/>
              <w:snapToGrid/>
              <w:ind w:firstLine="480"/>
              <w:textAlignment w:val="auto"/>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szCs w:val="24"/>
              </w:rPr>
              <w:t>综上所述，项目产生的固体废物均得到综合利用和妥善处置，不会对周围环境产生明显影响。</w:t>
            </w:r>
          </w:p>
          <w:p>
            <w:pPr>
              <w:keepNext w:val="0"/>
              <w:keepLines w:val="0"/>
              <w:pageBreakBefore w:val="0"/>
              <w:kinsoku/>
              <w:wordWrap/>
              <w:overflowPunct/>
              <w:topLinePunct w:val="0"/>
              <w:bidi w:val="0"/>
              <w:adjustRightInd/>
              <w:snapToGrid/>
              <w:ind w:firstLine="482"/>
              <w:contextualSpacing/>
              <w:textAlignment w:val="auto"/>
              <w:rPr>
                <w:rFonts w:ascii="Times New Roman" w:hAnsi="Times New Roman" w:eastAsia="宋体" w:cs="Times New Roman"/>
                <w:b/>
                <w:bCs/>
                <w:color w:val="auto"/>
                <w:spacing w:val="0"/>
                <w:sz w:val="24"/>
                <w:szCs w:val="24"/>
              </w:rPr>
            </w:pPr>
            <w:r>
              <w:rPr>
                <w:rFonts w:ascii="Times New Roman" w:hAnsi="Times New Roman" w:eastAsia="宋体" w:cs="Times New Roman"/>
                <w:b/>
                <w:bCs/>
                <w:color w:val="auto"/>
                <w:spacing w:val="0"/>
                <w:sz w:val="24"/>
                <w:szCs w:val="24"/>
              </w:rPr>
              <w:t>5</w:t>
            </w:r>
            <w:r>
              <w:rPr>
                <w:rFonts w:hint="eastAsia" w:ascii="Times New Roman" w:hAnsi="Times New Roman" w:eastAsia="宋体" w:cs="Times New Roman"/>
                <w:b/>
                <w:bCs/>
                <w:color w:val="auto"/>
                <w:spacing w:val="0"/>
                <w:sz w:val="24"/>
                <w:szCs w:val="24"/>
              </w:rPr>
              <w:t>、土壤、地下水</w:t>
            </w:r>
          </w:p>
          <w:p>
            <w:pPr>
              <w:keepNext w:val="0"/>
              <w:keepLines w:val="0"/>
              <w:pageBreakBefore w:val="0"/>
              <w:widowControl/>
              <w:kinsoku/>
              <w:wordWrap/>
              <w:overflowPunct/>
              <w:topLinePunct w:val="0"/>
              <w:autoSpaceDE w:val="0"/>
              <w:autoSpaceDN w:val="0"/>
              <w:bidi w:val="0"/>
              <w:adjustRightInd/>
              <w:snapToGrid/>
              <w:spacing w:after="0" w:line="360" w:lineRule="auto"/>
              <w:ind w:left="0" w:right="0" w:firstLine="480" w:firstLineChars="200"/>
              <w:jc w:val="both"/>
              <w:textAlignment w:val="auto"/>
              <w:rPr>
                <w:rFonts w:hint="default"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5.1污染物类型和污染途径</w:t>
            </w:r>
          </w:p>
          <w:p>
            <w:pPr>
              <w:keepNext w:val="0"/>
              <w:keepLines w:val="0"/>
              <w:pageBreakBefore w:val="0"/>
              <w:widowControl/>
              <w:kinsoku/>
              <w:wordWrap/>
              <w:overflowPunct/>
              <w:topLinePunct w:val="0"/>
              <w:autoSpaceDE w:val="0"/>
              <w:autoSpaceDN w:val="0"/>
              <w:bidi w:val="0"/>
              <w:adjustRightInd/>
              <w:snapToGrid/>
              <w:spacing w:after="0" w:line="360" w:lineRule="auto"/>
              <w:ind w:left="0" w:right="0" w:firstLine="480" w:firstLineChars="200"/>
              <w:jc w:val="both"/>
              <w:textAlignment w:val="auto"/>
              <w:rPr>
                <w:rFonts w:hint="default" w:ascii="Times New Roman" w:hAnsi="Times New Roman" w:eastAsia="宋体" w:cs="Times New Roman"/>
                <w:color w:val="auto"/>
                <w:spacing w:val="4"/>
                <w:sz w:val="24"/>
                <w:szCs w:val="24"/>
                <w:highlight w:val="none"/>
                <w:lang w:val="en-US" w:eastAsia="zh-CN" w:bidi="ar-SA"/>
              </w:rPr>
            </w:pPr>
            <w:r>
              <w:rPr>
                <w:rFonts w:hint="eastAsia" w:ascii="宋体" w:hAnsi="宋体" w:eastAsia="宋体" w:cs="宋体"/>
                <w:b w:val="0"/>
                <w:bCs w:val="0"/>
                <w:color w:val="auto"/>
                <w:sz w:val="24"/>
                <w:szCs w:val="24"/>
                <w:lang w:val="en-US" w:eastAsia="zh-CN"/>
              </w:rPr>
              <w:t>本</w:t>
            </w:r>
            <w:r>
              <w:rPr>
                <w:rFonts w:hint="eastAsia" w:ascii="宋体" w:hAnsi="宋体" w:eastAsia="宋体" w:cs="宋体"/>
                <w:b w:val="0"/>
                <w:bCs w:val="0"/>
                <w:color w:val="auto"/>
                <w:sz w:val="24"/>
                <w:szCs w:val="24"/>
                <w:lang w:eastAsia="zh-CN"/>
              </w:rPr>
              <w:t>项目环境影响类型为“污染影响型”，项目废气</w:t>
            </w:r>
            <w:r>
              <w:rPr>
                <w:rFonts w:hint="eastAsia" w:ascii="宋体" w:hAnsi="宋体" w:eastAsia="宋体" w:cs="宋体"/>
                <w:b w:val="0"/>
                <w:bCs w:val="0"/>
                <w:color w:val="auto"/>
                <w:sz w:val="24"/>
                <w:szCs w:val="24"/>
                <w:lang w:val="en-US" w:eastAsia="zh-CN"/>
              </w:rPr>
              <w:t>污染源主要为</w:t>
            </w:r>
            <w:r>
              <w:rPr>
                <w:rFonts w:hint="eastAsia" w:ascii="Times New Roman" w:hAnsi="Times New Roman" w:cs="Times New Roman" w:eastAsiaTheme="minorEastAsia"/>
                <w:bCs w:val="0"/>
                <w:color w:val="auto"/>
                <w:spacing w:val="0"/>
                <w:sz w:val="24"/>
                <w:szCs w:val="24"/>
                <w:lang w:val="en-US" w:eastAsia="zh-CN"/>
              </w:rPr>
              <w:t>颚破、渣土筛分、风选、反击破、成品筛分等工序产生的有组织废气和物料</w:t>
            </w:r>
            <w:r>
              <w:rPr>
                <w:rFonts w:hint="eastAsia" w:ascii="Times New Roman" w:hAnsi="Times New Roman" w:cs="Times New Roman" w:eastAsiaTheme="minorEastAsia"/>
                <w:b w:val="0"/>
                <w:bCs w:val="0"/>
                <w:color w:val="auto"/>
                <w:spacing w:val="0"/>
                <w:sz w:val="24"/>
                <w:szCs w:val="24"/>
                <w:lang w:val="en-US" w:eastAsia="zh-CN"/>
              </w:rPr>
              <w:t>卸料、堆</w:t>
            </w:r>
            <w:r>
              <w:rPr>
                <w:rFonts w:hint="eastAsia" w:ascii="Times New Roman" w:hAnsi="Times New Roman" w:eastAsia="宋体" w:cs="Times New Roman"/>
                <w:color w:val="auto"/>
                <w:spacing w:val="4"/>
                <w:sz w:val="24"/>
                <w:szCs w:val="24"/>
                <w:highlight w:val="none"/>
                <w:lang w:val="en-US" w:eastAsia="zh-CN" w:bidi="ar-SA"/>
              </w:rPr>
              <w:t>存、成品出料、装车粉尘以及车辆运输过程中产生的无组织废气，污染物为颗粒物，无含重金属等有毒有害物质的粉尘；不涉及大气沉降影响。项目运行过程中可能对周边地下水/土壤环境产生影响的情形主要为非正常状况下，沉淀池发生破损、生产废水渗漏导致污染物下渗对周围地下水造成污染，以及危废贮存点暂存的危废泄漏对地下水或土壤造成污染，污染途径主要是通过土壤上部土层孔隙缓慢渗流进入地下水，若渗漏不能被及时发现和修复，会进一步向深层地下水蔓延，进而污染深层及下游地下水。渗漏污染方向与地下水径流方向一致。</w:t>
            </w:r>
          </w:p>
          <w:p>
            <w:pPr>
              <w:keepNext w:val="0"/>
              <w:keepLines w:val="0"/>
              <w:pageBreakBefore w:val="0"/>
              <w:widowControl/>
              <w:kinsoku/>
              <w:wordWrap/>
              <w:overflowPunct/>
              <w:topLinePunct w:val="0"/>
              <w:autoSpaceDE w:val="0"/>
              <w:autoSpaceDN w:val="0"/>
              <w:bidi w:val="0"/>
              <w:adjustRightInd/>
              <w:snapToGrid/>
              <w:spacing w:after="0" w:line="360" w:lineRule="auto"/>
              <w:ind w:left="0" w:right="0" w:firstLine="496" w:firstLineChars="200"/>
              <w:jc w:val="both"/>
              <w:textAlignment w:val="auto"/>
              <w:rPr>
                <w:rFonts w:hint="eastAsia" w:ascii="Times New Roman" w:hAnsi="Times New Roman" w:eastAsia="宋体" w:cs="Times New Roman"/>
                <w:color w:val="auto"/>
                <w:spacing w:val="4"/>
                <w:sz w:val="24"/>
                <w:szCs w:val="24"/>
                <w:highlight w:val="none"/>
                <w:lang w:val="en-US" w:eastAsia="zh-CN" w:bidi="ar-SA"/>
              </w:rPr>
            </w:pPr>
            <w:r>
              <w:rPr>
                <w:rFonts w:hint="eastAsia" w:ascii="Times New Roman" w:hAnsi="Times New Roman" w:eastAsia="宋体" w:cs="Times New Roman"/>
                <w:color w:val="auto"/>
                <w:spacing w:val="4"/>
                <w:sz w:val="24"/>
                <w:szCs w:val="24"/>
                <w:highlight w:val="none"/>
                <w:lang w:val="en-US" w:eastAsia="zh-CN" w:bidi="ar-SA"/>
              </w:rPr>
              <w:t>5.2 地下水污染控制措施</w:t>
            </w:r>
          </w:p>
          <w:p>
            <w:pPr>
              <w:keepNext w:val="0"/>
              <w:keepLines w:val="0"/>
              <w:pageBreakBefore w:val="0"/>
              <w:widowControl/>
              <w:kinsoku/>
              <w:wordWrap/>
              <w:overflowPunct/>
              <w:topLinePunct w:val="0"/>
              <w:autoSpaceDE w:val="0"/>
              <w:autoSpaceDN w:val="0"/>
              <w:bidi w:val="0"/>
              <w:adjustRightInd/>
              <w:snapToGrid/>
              <w:spacing w:after="0" w:line="360" w:lineRule="auto"/>
              <w:ind w:left="0" w:right="0" w:firstLine="496" w:firstLineChars="200"/>
              <w:jc w:val="both"/>
              <w:textAlignment w:val="auto"/>
              <w:rPr>
                <w:rFonts w:hint="eastAsia" w:ascii="Times New Roman" w:hAnsi="Times New Roman" w:eastAsia="宋体" w:cs="Times New Roman"/>
                <w:color w:val="auto"/>
                <w:spacing w:val="4"/>
                <w:sz w:val="24"/>
                <w:szCs w:val="24"/>
                <w:highlight w:val="none"/>
                <w:lang w:val="en-US" w:eastAsia="zh-CN" w:bidi="ar-SA"/>
              </w:rPr>
            </w:pPr>
            <w:r>
              <w:rPr>
                <w:rFonts w:hint="eastAsia" w:ascii="Times New Roman" w:hAnsi="Times New Roman" w:eastAsia="宋体" w:cs="Times New Roman"/>
                <w:color w:val="auto"/>
                <w:spacing w:val="4"/>
                <w:sz w:val="24"/>
                <w:szCs w:val="24"/>
                <w:highlight w:val="none"/>
                <w:lang w:val="en-US" w:eastAsia="zh-CN" w:bidi="ar-SA"/>
              </w:rPr>
              <w:t>本项目地处查干诺尔乡东南农业水污染重点管控区，厂区西侧临近开都河外缘控制线56m，区域地下水整体由东向西径流排泄补给开都河；一旦厂区发生防渗破损，渗漏污染物会顺着地下水流向向西迁移，存在间接汇入开都河、叠加区域农业面源污染风险。因此地下水、土壤防控除落实常规源头控制、分区防渗外，增加临河专项强化管控，阻断污染物沿地表、地下侧向迁移进入开都河水系风险。</w:t>
            </w:r>
          </w:p>
          <w:p>
            <w:pPr>
              <w:keepNext w:val="0"/>
              <w:keepLines w:val="0"/>
              <w:pageBreakBefore w:val="0"/>
              <w:widowControl/>
              <w:kinsoku/>
              <w:wordWrap/>
              <w:overflowPunct/>
              <w:topLinePunct w:val="0"/>
              <w:autoSpaceDE w:val="0"/>
              <w:autoSpaceDN w:val="0"/>
              <w:bidi w:val="0"/>
              <w:adjustRightInd/>
              <w:snapToGrid/>
              <w:spacing w:after="0" w:line="360" w:lineRule="auto"/>
              <w:ind w:left="0" w:right="0" w:firstLine="496" w:firstLineChars="200"/>
              <w:jc w:val="both"/>
              <w:textAlignment w:val="auto"/>
              <w:rPr>
                <w:rFonts w:hint="eastAsia" w:ascii="Times New Roman" w:hAnsi="Times New Roman" w:eastAsia="宋体" w:cs="Times New Roman"/>
                <w:color w:val="auto"/>
                <w:spacing w:val="4"/>
                <w:sz w:val="24"/>
                <w:szCs w:val="24"/>
                <w:highlight w:val="none"/>
                <w:lang w:val="en-US" w:eastAsia="zh-CN" w:bidi="ar-SA"/>
              </w:rPr>
            </w:pPr>
            <w:r>
              <w:rPr>
                <w:rFonts w:hint="eastAsia" w:ascii="Times New Roman" w:hAnsi="Times New Roman" w:eastAsia="宋体" w:cs="Times New Roman"/>
                <w:color w:val="auto"/>
                <w:spacing w:val="4"/>
                <w:sz w:val="24"/>
                <w:szCs w:val="24"/>
                <w:highlight w:val="none"/>
                <w:lang w:val="en-US" w:eastAsia="zh-CN" w:bidi="ar-SA"/>
              </w:rPr>
              <w:t>（1）源头控制措施</w:t>
            </w:r>
          </w:p>
          <w:p>
            <w:pPr>
              <w:keepNext w:val="0"/>
              <w:keepLines w:val="0"/>
              <w:pageBreakBefore w:val="0"/>
              <w:widowControl/>
              <w:kinsoku/>
              <w:wordWrap/>
              <w:overflowPunct/>
              <w:topLinePunct w:val="0"/>
              <w:autoSpaceDE w:val="0"/>
              <w:autoSpaceDN w:val="0"/>
              <w:bidi w:val="0"/>
              <w:adjustRightInd/>
              <w:snapToGrid/>
              <w:spacing w:after="0" w:line="360" w:lineRule="auto"/>
              <w:ind w:left="0" w:right="0" w:firstLine="496" w:firstLineChars="200"/>
              <w:jc w:val="both"/>
              <w:textAlignment w:val="auto"/>
              <w:rPr>
                <w:rFonts w:hint="eastAsia" w:ascii="Times New Roman" w:hAnsi="Times New Roman" w:eastAsia="宋体" w:cs="Times New Roman"/>
                <w:color w:val="auto"/>
                <w:spacing w:val="4"/>
                <w:sz w:val="24"/>
                <w:szCs w:val="24"/>
                <w:highlight w:val="none"/>
                <w:lang w:val="en-US" w:eastAsia="zh-CN" w:bidi="ar-SA"/>
              </w:rPr>
            </w:pPr>
            <w:r>
              <w:rPr>
                <w:rFonts w:hint="eastAsia" w:ascii="Times New Roman" w:hAnsi="Times New Roman" w:eastAsia="宋体" w:cs="Times New Roman"/>
                <w:color w:val="auto"/>
                <w:spacing w:val="4"/>
                <w:sz w:val="24"/>
                <w:szCs w:val="24"/>
                <w:highlight w:val="none"/>
                <w:lang w:val="en-US" w:eastAsia="zh-CN" w:bidi="ar-SA"/>
              </w:rPr>
              <w:t xml:space="preserve">①项目应根据国家现行相关规范加强环境管理，采取防止和降低污染物跑、冒、滴、漏的措施。正常生产过程中应加强巡检及时处理污染物跑、冒、滴、漏，同时应加强对防渗工程的检查，若发现防渗密封材料老化或损坏，应及时维修更换；重点加强厂区西侧临近开都河一侧各防渗构筑物（原料库、沉淀池、危废贮存点）巡检频次，汛期加密巡检，第一时间发现防渗破损隐患，避免渗漏污染物顺着地下水水力梯度向西迁移补给开都河。 </w:t>
            </w:r>
          </w:p>
          <w:p>
            <w:pPr>
              <w:keepNext w:val="0"/>
              <w:keepLines w:val="0"/>
              <w:pageBreakBefore w:val="0"/>
              <w:widowControl/>
              <w:kinsoku/>
              <w:wordWrap/>
              <w:overflowPunct/>
              <w:topLinePunct w:val="0"/>
              <w:autoSpaceDE w:val="0"/>
              <w:autoSpaceDN w:val="0"/>
              <w:bidi w:val="0"/>
              <w:adjustRightInd/>
              <w:snapToGrid/>
              <w:spacing w:after="0" w:line="360" w:lineRule="auto"/>
              <w:ind w:left="0" w:right="0" w:firstLine="496" w:firstLineChars="200"/>
              <w:jc w:val="both"/>
              <w:textAlignment w:val="auto"/>
              <w:rPr>
                <w:rFonts w:hint="eastAsia" w:ascii="Times New Roman" w:hAnsi="Times New Roman" w:eastAsia="宋体" w:cs="Times New Roman"/>
                <w:color w:val="auto"/>
                <w:spacing w:val="4"/>
                <w:sz w:val="24"/>
                <w:szCs w:val="24"/>
                <w:highlight w:val="none"/>
                <w:lang w:val="en-US" w:eastAsia="zh-CN" w:bidi="ar-SA"/>
              </w:rPr>
            </w:pPr>
            <w:r>
              <w:rPr>
                <w:rFonts w:hint="eastAsia" w:ascii="Times New Roman" w:hAnsi="Times New Roman" w:eastAsia="宋体" w:cs="Times New Roman"/>
                <w:color w:val="auto"/>
                <w:spacing w:val="4"/>
                <w:sz w:val="24"/>
                <w:szCs w:val="24"/>
                <w:highlight w:val="none"/>
                <w:lang w:val="en-US" w:eastAsia="zh-CN" w:bidi="ar-SA"/>
              </w:rPr>
              <w:t>②对工艺、管道、设备采取控制措施，选用耐腐蚀耐高温材料管材，防止污染物的跑、冒、滴、漏，将污染物泄漏的环境风险事故降到最低限度。</w:t>
            </w:r>
          </w:p>
          <w:p>
            <w:pPr>
              <w:keepNext w:val="0"/>
              <w:keepLines w:val="0"/>
              <w:pageBreakBefore w:val="0"/>
              <w:widowControl/>
              <w:kinsoku/>
              <w:wordWrap/>
              <w:overflowPunct/>
              <w:topLinePunct w:val="0"/>
              <w:autoSpaceDE w:val="0"/>
              <w:autoSpaceDN w:val="0"/>
              <w:bidi w:val="0"/>
              <w:adjustRightInd/>
              <w:snapToGrid/>
              <w:spacing w:after="0" w:line="360" w:lineRule="auto"/>
              <w:ind w:left="0" w:right="0" w:firstLine="496" w:firstLineChars="200"/>
              <w:jc w:val="both"/>
              <w:textAlignment w:val="auto"/>
              <w:rPr>
                <w:rFonts w:hint="eastAsia" w:ascii="Times New Roman" w:hAnsi="Times New Roman" w:eastAsia="宋体" w:cs="Times New Roman"/>
                <w:color w:val="auto"/>
                <w:spacing w:val="4"/>
                <w:sz w:val="24"/>
                <w:szCs w:val="24"/>
                <w:highlight w:val="none"/>
                <w:lang w:val="en-US" w:eastAsia="zh-CN" w:bidi="ar-SA"/>
              </w:rPr>
            </w:pPr>
            <w:r>
              <w:rPr>
                <w:rFonts w:hint="eastAsia" w:ascii="Times New Roman" w:hAnsi="Times New Roman" w:eastAsia="宋体" w:cs="Times New Roman"/>
                <w:color w:val="auto"/>
                <w:spacing w:val="4"/>
                <w:sz w:val="24"/>
                <w:szCs w:val="24"/>
                <w:highlight w:val="none"/>
                <w:lang w:val="en-US" w:eastAsia="zh-CN" w:bidi="ar-SA"/>
              </w:rPr>
              <w:t>③严禁在厂区西侧临河区域堆放原料、渣土、废金属、轻物质等固体废物，防止固废直接接触临河地表土壤。</w:t>
            </w:r>
          </w:p>
          <w:p>
            <w:pPr>
              <w:keepNext w:val="0"/>
              <w:keepLines w:val="0"/>
              <w:pageBreakBefore w:val="0"/>
              <w:widowControl/>
              <w:kinsoku/>
              <w:wordWrap/>
              <w:overflowPunct/>
              <w:topLinePunct w:val="0"/>
              <w:autoSpaceDE w:val="0"/>
              <w:autoSpaceDN w:val="0"/>
              <w:bidi w:val="0"/>
              <w:adjustRightInd/>
              <w:snapToGrid/>
              <w:spacing w:beforeAutospacing="0" w:after="0" w:afterAutospacing="0" w:line="360" w:lineRule="auto"/>
              <w:ind w:left="0" w:right="0" w:firstLine="496" w:firstLineChars="200"/>
              <w:jc w:val="both"/>
              <w:textAlignment w:val="auto"/>
              <w:rPr>
                <w:rFonts w:hint="eastAsia" w:ascii="Times New Roman" w:hAnsi="Times New Roman" w:eastAsia="宋体" w:cs="Times New Roman"/>
                <w:color w:val="auto"/>
                <w:spacing w:val="4"/>
                <w:sz w:val="24"/>
                <w:szCs w:val="24"/>
                <w:highlight w:val="none"/>
                <w:lang w:val="en-US" w:eastAsia="zh-CN" w:bidi="ar-SA"/>
              </w:rPr>
            </w:pPr>
            <w:r>
              <w:rPr>
                <w:rFonts w:hint="eastAsia" w:ascii="Times New Roman" w:hAnsi="Times New Roman" w:eastAsia="宋体" w:cs="Times New Roman"/>
                <w:color w:val="auto"/>
                <w:spacing w:val="4"/>
                <w:sz w:val="24"/>
                <w:szCs w:val="24"/>
                <w:highlight w:val="none"/>
                <w:lang w:val="en-US" w:eastAsia="zh-CN" w:bidi="ar-SA"/>
              </w:rPr>
              <w:t>（</w:t>
            </w:r>
            <w:r>
              <w:rPr>
                <w:rFonts w:hint="default" w:ascii="Times New Roman" w:hAnsi="Times New Roman" w:eastAsia="宋体" w:cs="Times New Roman"/>
                <w:color w:val="auto"/>
                <w:spacing w:val="4"/>
                <w:sz w:val="24"/>
                <w:szCs w:val="24"/>
                <w:highlight w:val="none"/>
                <w:lang w:val="en-US" w:eastAsia="zh-CN" w:bidi="ar-SA"/>
              </w:rPr>
              <w:t>2</w:t>
            </w:r>
            <w:r>
              <w:rPr>
                <w:rFonts w:hint="eastAsia" w:ascii="Times New Roman" w:hAnsi="Times New Roman" w:eastAsia="宋体" w:cs="Times New Roman"/>
                <w:color w:val="auto"/>
                <w:spacing w:val="4"/>
                <w:sz w:val="24"/>
                <w:szCs w:val="24"/>
                <w:highlight w:val="none"/>
                <w:lang w:val="en-US" w:eastAsia="zh-CN" w:bidi="ar-SA"/>
              </w:rPr>
              <w:t>）分区防治措施</w:t>
            </w:r>
          </w:p>
          <w:p>
            <w:pPr>
              <w:pStyle w:val="50"/>
              <w:keepNext w:val="0"/>
              <w:keepLines w:val="0"/>
              <w:pageBreakBefore w:val="0"/>
              <w:widowControl/>
              <w:suppressLineNumbers w:val="0"/>
              <w:kinsoku/>
              <w:wordWrap/>
              <w:overflowPunct/>
              <w:topLinePunct w:val="0"/>
              <w:bidi w:val="0"/>
              <w:adjustRightInd/>
              <w:snapToGrid/>
              <w:spacing w:before="0" w:beforeAutospacing="0" w:afterAutospacing="0"/>
              <w:jc w:val="both"/>
              <w:textAlignment w:val="auto"/>
              <w:rPr>
                <w:rFonts w:hint="eastAsia" w:ascii="Times New Roman" w:hAnsi="Times New Roman" w:eastAsia="宋体" w:cs="Times New Roman"/>
                <w:color w:val="auto"/>
                <w:spacing w:val="4"/>
                <w:sz w:val="24"/>
                <w:szCs w:val="24"/>
                <w:highlight w:val="none"/>
                <w:lang w:val="en-US" w:eastAsia="zh-CN" w:bidi="ar-SA"/>
              </w:rPr>
            </w:pPr>
            <w:r>
              <w:rPr>
                <w:rFonts w:hint="eastAsia" w:ascii="Times New Roman" w:hAnsi="Times New Roman" w:eastAsia="宋体" w:cs="Times New Roman"/>
                <w:color w:val="auto"/>
                <w:spacing w:val="4"/>
                <w:sz w:val="24"/>
                <w:szCs w:val="24"/>
                <w:highlight w:val="none"/>
                <w:lang w:val="en-US" w:eastAsia="zh-CN" w:bidi="ar-SA"/>
              </w:rPr>
              <w:t>根据厂区平面布置，结合地下水流向，将厂区划分为污染区和非污染区；对位于地下水流向下游（厂区西侧，临近开都河）的防渗构筑物在原有防渗等级基础上，增加接缝、边角加强防渗处理，防止侧向渗漏。对于厂区道路、公共区、办公区划为非污染区，可采取非铺砌地坪或普通混凝土地坪，不设置专门的防渗层；将污染区划分为一般污染防治区和重点污染防治区，对不同级别的污染防治区分别采取不同等级的防渗方案，防渗分区明细具体如下：</w:t>
            </w:r>
          </w:p>
          <w:p>
            <w:pPr>
              <w:pStyle w:val="50"/>
              <w:keepNext w:val="0"/>
              <w:keepLines w:val="0"/>
              <w:pageBreakBefore w:val="0"/>
              <w:widowControl/>
              <w:suppressLineNumbers w:val="0"/>
              <w:kinsoku/>
              <w:wordWrap/>
              <w:overflowPunct/>
              <w:topLinePunct w:val="0"/>
              <w:bidi w:val="0"/>
              <w:adjustRightInd/>
              <w:snapToGrid/>
              <w:spacing w:before="0" w:beforeAutospacing="0" w:afterAutospacing="0"/>
              <w:jc w:val="both"/>
              <w:textAlignment w:val="auto"/>
              <w:rPr>
                <w:rFonts w:hint="eastAsia" w:ascii="Times New Roman" w:hAnsi="Times New Roman" w:eastAsia="宋体" w:cs="Times New Roman"/>
                <w:color w:val="auto"/>
                <w:spacing w:val="4"/>
                <w:sz w:val="24"/>
                <w:szCs w:val="24"/>
                <w:highlight w:val="none"/>
                <w:lang w:val="en-US" w:eastAsia="zh-CN" w:bidi="ar-SA"/>
              </w:rPr>
            </w:pPr>
            <w:r>
              <w:rPr>
                <w:rFonts w:hint="eastAsia" w:ascii="Times New Roman" w:hAnsi="Times New Roman" w:eastAsia="宋体" w:cs="Times New Roman"/>
                <w:color w:val="auto"/>
                <w:spacing w:val="4"/>
                <w:sz w:val="24"/>
                <w:szCs w:val="24"/>
                <w:highlight w:val="none"/>
                <w:lang w:val="en-US" w:eastAsia="zh-CN" w:bidi="ar-SA"/>
              </w:rPr>
              <w:t>①重点防渗区：危废贮存点（厂区西侧，处于地下水流向下游）。该区域防渗技术要求：等效黏土防渗层Mb≥6.0m，2mmHDPE防渗膜+防渗混凝土，渗透系数K≤1×10</w:t>
            </w:r>
            <w:r>
              <w:rPr>
                <w:rFonts w:hint="eastAsia" w:ascii="Times New Roman" w:hAnsi="Times New Roman" w:eastAsia="宋体" w:cs="Times New Roman"/>
                <w:color w:val="auto"/>
                <w:spacing w:val="4"/>
                <w:sz w:val="24"/>
                <w:szCs w:val="24"/>
                <w:highlight w:val="none"/>
                <w:vertAlign w:val="superscript"/>
                <w:lang w:val="en-US" w:eastAsia="zh-CN" w:bidi="ar-SA"/>
              </w:rPr>
              <w:noBreakHyphen/>
            </w:r>
            <w:r>
              <w:rPr>
                <w:rFonts w:hint="eastAsia" w:ascii="Times New Roman" w:hAnsi="Times New Roman" w:eastAsia="宋体" w:cs="Times New Roman"/>
                <w:color w:val="auto"/>
                <w:spacing w:val="4"/>
                <w:sz w:val="24"/>
                <w:szCs w:val="24"/>
                <w:highlight w:val="none"/>
                <w:vertAlign w:val="superscript"/>
                <w:lang w:val="en-US" w:eastAsia="zh-CN" w:bidi="ar-SA"/>
              </w:rPr>
              <w:t>7</w:t>
            </w:r>
            <w:r>
              <w:rPr>
                <w:rFonts w:hint="eastAsia" w:ascii="Times New Roman" w:hAnsi="Times New Roman" w:eastAsia="宋体" w:cs="Times New Roman"/>
                <w:color w:val="auto"/>
                <w:spacing w:val="4"/>
                <w:sz w:val="24"/>
                <w:szCs w:val="24"/>
                <w:highlight w:val="none"/>
                <w:lang w:val="en-US" w:eastAsia="zh-CN" w:bidi="ar-SA"/>
              </w:rPr>
              <w:t>cm/s；危废贮存点设置防渗围堰，危废贮存点西侧（朝向开都河一侧）防渗膜增加50cm宽搭接加强层，所有施工接缝采用双焊缝检测，完工后做防渗完整性检测；危废贮存点依靠防渗围堰拦截废机油泄漏物，防止油品下渗后向西迁移。或参照GB18598执行。</w:t>
            </w:r>
          </w:p>
          <w:p>
            <w:pPr>
              <w:pStyle w:val="50"/>
              <w:keepNext w:val="0"/>
              <w:keepLines w:val="0"/>
              <w:pageBreakBefore w:val="0"/>
              <w:widowControl/>
              <w:suppressLineNumbers w:val="0"/>
              <w:kinsoku/>
              <w:wordWrap/>
              <w:overflowPunct/>
              <w:topLinePunct w:val="0"/>
              <w:bidi w:val="0"/>
              <w:adjustRightInd/>
              <w:snapToGrid/>
              <w:spacing w:before="0" w:beforeAutospacing="0" w:afterAutospacing="0"/>
              <w:jc w:val="both"/>
              <w:textAlignment w:val="auto"/>
              <w:rPr>
                <w:rFonts w:hint="eastAsia" w:ascii="Times New Roman" w:hAnsi="Times New Roman" w:eastAsia="宋体" w:cs="Times New Roman"/>
                <w:color w:val="auto"/>
                <w:spacing w:val="4"/>
                <w:sz w:val="24"/>
                <w:szCs w:val="24"/>
                <w:highlight w:val="none"/>
                <w:lang w:val="en-US" w:eastAsia="zh-CN" w:bidi="ar-SA"/>
              </w:rPr>
            </w:pPr>
            <w:r>
              <w:rPr>
                <w:rFonts w:hint="eastAsia" w:ascii="Times New Roman" w:hAnsi="Times New Roman" w:eastAsia="宋体" w:cs="Times New Roman"/>
                <w:color w:val="auto"/>
                <w:spacing w:val="4"/>
                <w:sz w:val="24"/>
                <w:szCs w:val="24"/>
                <w:highlight w:val="none"/>
                <w:lang w:val="en-US" w:eastAsia="zh-CN" w:bidi="ar-SA"/>
              </w:rPr>
              <w:t>②一般防渗区：化粪池、沉淀池、生产车间；以上设施部分处于厂区西侧地下水径流下游，除执行等效黏土防渗层Mb≥1.5m，P6抗渗混凝土+1.5mmHDPE防渗土工膜，K≤1×10</w:t>
            </w:r>
            <w:r>
              <w:rPr>
                <w:rFonts w:hint="eastAsia" w:ascii="Times New Roman" w:hAnsi="Times New Roman" w:eastAsia="宋体" w:cs="Times New Roman"/>
                <w:color w:val="auto"/>
                <w:spacing w:val="4"/>
                <w:sz w:val="24"/>
                <w:szCs w:val="24"/>
                <w:highlight w:val="none"/>
                <w:vertAlign w:val="superscript"/>
                <w:lang w:val="en-US" w:eastAsia="zh-CN" w:bidi="ar-SA"/>
              </w:rPr>
              <w:noBreakHyphen/>
            </w:r>
            <w:r>
              <w:rPr>
                <w:rFonts w:hint="eastAsia" w:ascii="Times New Roman" w:hAnsi="Times New Roman" w:eastAsia="宋体" w:cs="Times New Roman"/>
                <w:color w:val="auto"/>
                <w:spacing w:val="4"/>
                <w:sz w:val="24"/>
                <w:szCs w:val="24"/>
                <w:highlight w:val="none"/>
                <w:vertAlign w:val="superscript"/>
                <w:lang w:val="en-US" w:eastAsia="zh-CN" w:bidi="ar-SA"/>
              </w:rPr>
              <w:t>7</w:t>
            </w:r>
            <w:r>
              <w:rPr>
                <w:rFonts w:hint="eastAsia" w:ascii="Times New Roman" w:hAnsi="Times New Roman" w:eastAsia="宋体" w:cs="Times New Roman"/>
                <w:color w:val="auto"/>
                <w:spacing w:val="4"/>
                <w:sz w:val="24"/>
                <w:szCs w:val="24"/>
                <w:highlight w:val="none"/>
                <w:lang w:val="en-US" w:eastAsia="zh-CN" w:bidi="ar-SA"/>
              </w:rPr>
              <w:t>cm/s要求外；沉淀池靠近开都河的西侧池壁/地坪增加土工膜搭接加强处理；所有池体西侧设置侧向截渗导排，一旦出现微量渗漏，可在厂区内部导排收集，避免向开都河方向侧向渗透。或参照GB16889执行。</w:t>
            </w:r>
          </w:p>
          <w:p>
            <w:pPr>
              <w:pStyle w:val="50"/>
              <w:keepNext w:val="0"/>
              <w:keepLines w:val="0"/>
              <w:pageBreakBefore w:val="0"/>
              <w:widowControl/>
              <w:suppressLineNumbers w:val="0"/>
              <w:kinsoku/>
              <w:wordWrap/>
              <w:overflowPunct/>
              <w:topLinePunct w:val="0"/>
              <w:bidi w:val="0"/>
              <w:adjustRightInd/>
              <w:snapToGrid/>
              <w:spacing w:before="0" w:beforeAutospacing="0" w:afterAutospacing="0"/>
              <w:jc w:val="both"/>
              <w:textAlignment w:val="auto"/>
              <w:rPr>
                <w:rFonts w:hint="eastAsia" w:ascii="Times New Roman" w:hAnsi="Times New Roman" w:eastAsia="宋体" w:cs="Times New Roman"/>
                <w:color w:val="auto"/>
                <w:spacing w:val="4"/>
                <w:sz w:val="24"/>
                <w:szCs w:val="24"/>
                <w:highlight w:val="none"/>
                <w:lang w:val="en-US" w:eastAsia="zh-CN" w:bidi="ar-SA"/>
              </w:rPr>
            </w:pPr>
            <w:r>
              <w:rPr>
                <w:rFonts w:hint="eastAsia" w:ascii="Times New Roman" w:hAnsi="Times New Roman" w:eastAsia="宋体" w:cs="Times New Roman"/>
                <w:color w:val="auto"/>
                <w:spacing w:val="4"/>
                <w:sz w:val="24"/>
                <w:szCs w:val="24"/>
                <w:highlight w:val="none"/>
                <w:lang w:val="en-US" w:eastAsia="zh-CN" w:bidi="ar-SA"/>
              </w:rPr>
              <w:t>③简单防渗区：门卫、厂区路面。该区域防渗技术要求：20cm普通硬化地面；厂区西侧临近开都河的硬化地面增设伸缩缝密封处理，防止雨水、少量物料污水沿裂缝下渗。</w:t>
            </w:r>
          </w:p>
          <w:p>
            <w:pPr>
              <w:pStyle w:val="50"/>
              <w:keepNext w:val="0"/>
              <w:keepLines w:val="0"/>
              <w:pageBreakBefore w:val="0"/>
              <w:widowControl/>
              <w:suppressLineNumbers w:val="0"/>
              <w:kinsoku/>
              <w:wordWrap/>
              <w:overflowPunct/>
              <w:topLinePunct w:val="0"/>
              <w:bidi w:val="0"/>
              <w:adjustRightInd/>
              <w:snapToGrid/>
              <w:spacing w:before="0" w:beforeAutospacing="0" w:afterAutospacing="0"/>
              <w:jc w:val="both"/>
              <w:textAlignment w:val="auto"/>
              <w:rPr>
                <w:rFonts w:hint="eastAsia" w:ascii="Times New Roman" w:hAnsi="Times New Roman" w:eastAsia="宋体" w:cs="Times New Roman"/>
                <w:color w:val="auto"/>
                <w:spacing w:val="4"/>
                <w:sz w:val="24"/>
                <w:szCs w:val="24"/>
                <w:highlight w:val="none"/>
                <w:lang w:val="en-US" w:eastAsia="zh-CN" w:bidi="ar-SA"/>
              </w:rPr>
            </w:pPr>
            <w:r>
              <w:rPr>
                <w:rFonts w:hint="eastAsia" w:ascii="Times New Roman" w:hAnsi="Times New Roman" w:eastAsia="宋体" w:cs="Times New Roman"/>
                <w:color w:val="auto"/>
                <w:spacing w:val="4"/>
                <w:sz w:val="24"/>
                <w:szCs w:val="24"/>
                <w:highlight w:val="none"/>
                <w:lang w:val="en-US" w:eastAsia="zh-CN" w:bidi="ar-SA"/>
              </w:rPr>
              <w:t>5.3 影响分析</w:t>
            </w:r>
          </w:p>
          <w:p>
            <w:pPr>
              <w:keepNext w:val="0"/>
              <w:keepLines w:val="0"/>
              <w:pageBreakBefore w:val="0"/>
              <w:widowControl/>
              <w:kinsoku/>
              <w:wordWrap/>
              <w:overflowPunct/>
              <w:topLinePunct w:val="0"/>
              <w:autoSpaceDE w:val="0"/>
              <w:autoSpaceDN w:val="0"/>
              <w:bidi w:val="0"/>
              <w:adjustRightInd/>
              <w:snapToGrid/>
              <w:spacing w:beforeAutospacing="0" w:after="0" w:afterAutospacing="0" w:line="360" w:lineRule="auto"/>
              <w:ind w:left="0" w:right="0" w:firstLine="496" w:firstLineChars="200"/>
              <w:jc w:val="both"/>
              <w:textAlignment w:val="auto"/>
              <w:rPr>
                <w:rFonts w:hint="eastAsia" w:ascii="Times New Roman" w:hAnsi="Times New Roman" w:eastAsia="宋体" w:cs="Times New Roman"/>
                <w:color w:val="auto"/>
                <w:spacing w:val="4"/>
                <w:sz w:val="24"/>
                <w:szCs w:val="24"/>
                <w:highlight w:val="none"/>
                <w:lang w:val="en-US" w:eastAsia="zh-CN" w:bidi="ar-SA"/>
              </w:rPr>
            </w:pPr>
            <w:r>
              <w:rPr>
                <w:rFonts w:hint="eastAsia" w:ascii="Times New Roman" w:hAnsi="Times New Roman" w:eastAsia="宋体" w:cs="Times New Roman"/>
                <w:color w:val="auto"/>
                <w:spacing w:val="4"/>
                <w:sz w:val="24"/>
                <w:szCs w:val="24"/>
                <w:highlight w:val="none"/>
                <w:lang w:val="en-US" w:eastAsia="zh-CN" w:bidi="ar-SA"/>
              </w:rPr>
              <w:t>项目在严格落实防渗施工要求并加强临河区域专项巡检巡视前提下，可最大限度减少渗漏发生概率，通过采取对应的污染防治措施，将有效预防污染扩散对土壤/地下水的不利影响；通过西侧构筑物防渗加强、侧向导排，阻断污染物顺着地下水水力梯度向西迁移汇入开都河的路径，满足农业水污染重点管控区管控要求。</w:t>
            </w:r>
          </w:p>
          <w:p>
            <w:pPr>
              <w:keepNext w:val="0"/>
              <w:keepLines w:val="0"/>
              <w:pageBreakBefore w:val="0"/>
              <w:kinsoku/>
              <w:wordWrap/>
              <w:overflowPunct/>
              <w:topLinePunct w:val="0"/>
              <w:bidi w:val="0"/>
              <w:adjustRightInd/>
              <w:snapToGrid/>
              <w:ind w:firstLine="482"/>
              <w:textAlignment w:val="auto"/>
              <w:rPr>
                <w:rFonts w:ascii="Times New Roman" w:hAnsi="Times New Roman" w:eastAsia="宋体" w:cs="Times New Roman"/>
                <w:b/>
                <w:bCs/>
                <w:color w:val="auto"/>
                <w:spacing w:val="0"/>
                <w:sz w:val="24"/>
                <w:szCs w:val="24"/>
              </w:rPr>
            </w:pPr>
            <w:r>
              <w:rPr>
                <w:rFonts w:hint="eastAsia" w:ascii="Times New Roman" w:hAnsi="Times New Roman" w:eastAsia="宋体" w:cs="Times New Roman"/>
                <w:b/>
                <w:bCs/>
                <w:color w:val="auto"/>
                <w:spacing w:val="0"/>
                <w:sz w:val="24"/>
                <w:szCs w:val="24"/>
              </w:rPr>
              <w:t>6</w:t>
            </w:r>
            <w:r>
              <w:rPr>
                <w:rFonts w:ascii="Times New Roman" w:hAnsi="Times New Roman" w:eastAsia="宋体" w:cs="Times New Roman"/>
                <w:b/>
                <w:bCs/>
                <w:color w:val="auto"/>
                <w:spacing w:val="0"/>
                <w:sz w:val="24"/>
                <w:szCs w:val="24"/>
              </w:rPr>
              <w:t>、生态环境</w:t>
            </w:r>
          </w:p>
          <w:p>
            <w:pPr>
              <w:pStyle w:val="393"/>
              <w:keepNext w:val="0"/>
              <w:keepLines w:val="0"/>
              <w:pageBreakBefore w:val="0"/>
              <w:widowControl w:val="0"/>
              <w:kinsoku/>
              <w:wordWrap/>
              <w:overflowPunct/>
              <w:topLinePunct w:val="0"/>
              <w:bidi w:val="0"/>
              <w:adjustRightInd/>
              <w:snapToGrid/>
              <w:spacing w:before="0"/>
              <w:ind w:firstLine="482"/>
              <w:textAlignment w:val="auto"/>
              <w:rPr>
                <w:rFonts w:hint="eastAsia"/>
                <w:color w:val="auto"/>
                <w:highlight w:val="none"/>
                <w:lang w:val="en-US" w:eastAsia="zh-CN"/>
              </w:rPr>
            </w:pPr>
            <w:r>
              <w:rPr>
                <w:rFonts w:hint="eastAsia"/>
                <w:color w:val="auto"/>
                <w:highlight w:val="none"/>
                <w:lang w:val="en-US" w:eastAsia="zh-CN"/>
              </w:rPr>
              <w:t>根据现场踏勘，项目区域内无重点保护的动植物资源、古树名木、自然保护区和需要重点保护的栖息地以及其他生态敏感点。项目建成后，通过地面绿化、硬化工程，控制水土流失，并美化环境，在一定程度上提高周边的环境质量，对恢复植被、景观、生态建设呈正面影响。在严格落实相关水保措施后，项目对区域生态影响较小。</w:t>
            </w:r>
          </w:p>
          <w:p>
            <w:pPr>
              <w:pStyle w:val="393"/>
              <w:keepNext w:val="0"/>
              <w:keepLines w:val="0"/>
              <w:pageBreakBefore w:val="0"/>
              <w:widowControl w:val="0"/>
              <w:kinsoku/>
              <w:wordWrap/>
              <w:overflowPunct/>
              <w:topLinePunct w:val="0"/>
              <w:bidi w:val="0"/>
              <w:adjustRightInd/>
              <w:snapToGrid/>
              <w:spacing w:before="0"/>
              <w:ind w:firstLine="482"/>
              <w:textAlignment w:val="auto"/>
              <w:rPr>
                <w:b/>
                <w:bCs/>
                <w:color w:val="auto"/>
                <w:spacing w:val="0"/>
              </w:rPr>
            </w:pPr>
            <w:r>
              <w:rPr>
                <w:rFonts w:hint="eastAsia"/>
                <w:b/>
                <w:bCs/>
                <w:color w:val="auto"/>
                <w:spacing w:val="0"/>
              </w:rPr>
              <w:t>7</w:t>
            </w:r>
            <w:r>
              <w:rPr>
                <w:b/>
                <w:bCs/>
                <w:color w:val="auto"/>
                <w:spacing w:val="0"/>
              </w:rPr>
              <w:t>、</w:t>
            </w:r>
            <w:r>
              <w:rPr>
                <w:rFonts w:hint="eastAsia"/>
                <w:b/>
                <w:bCs/>
                <w:color w:val="auto"/>
                <w:spacing w:val="0"/>
              </w:rPr>
              <w:t>环境风险分析</w:t>
            </w:r>
          </w:p>
          <w:p>
            <w:pPr>
              <w:keepNext w:val="0"/>
              <w:keepLines w:val="0"/>
              <w:pageBreakBefore w:val="0"/>
              <w:kinsoku/>
              <w:wordWrap/>
              <w:overflowPunct/>
              <w:topLinePunct w:val="0"/>
              <w:bidi w:val="0"/>
              <w:adjustRightInd/>
              <w:snapToGrid/>
              <w:ind w:firstLine="482"/>
              <w:textAlignment w:val="auto"/>
              <w:rPr>
                <w:rFonts w:ascii="Times New Roman" w:hAnsi="Times New Roman" w:eastAsia="宋体" w:cs="Times New Roman"/>
                <w:b/>
                <w:bCs/>
                <w:color w:val="auto"/>
                <w:spacing w:val="0"/>
                <w:kern w:val="1"/>
                <w:sz w:val="24"/>
                <w:szCs w:val="24"/>
              </w:rPr>
            </w:pPr>
            <w:r>
              <w:rPr>
                <w:rFonts w:hint="eastAsia" w:ascii="Times New Roman" w:hAnsi="Times New Roman" w:eastAsia="宋体" w:cs="Times New Roman"/>
                <w:b/>
                <w:bCs/>
                <w:color w:val="auto"/>
                <w:spacing w:val="0"/>
                <w:kern w:val="1"/>
                <w:sz w:val="24"/>
                <w:szCs w:val="24"/>
              </w:rPr>
              <w:t>7.1风险调查</w:t>
            </w:r>
          </w:p>
          <w:p>
            <w:pPr>
              <w:pStyle w:val="50"/>
              <w:keepNext w:val="0"/>
              <w:keepLines w:val="0"/>
              <w:pageBreakBefore w:val="0"/>
              <w:kinsoku/>
              <w:wordWrap/>
              <w:overflowPunct/>
              <w:topLinePunct w:val="0"/>
              <w:bidi w:val="0"/>
              <w:adjustRightInd/>
              <w:snapToGrid/>
              <w:spacing w:before="0" w:beforeAutospacing="0" w:after="0" w:afterAutospacing="0"/>
              <w:ind w:firstLine="480"/>
              <w:jc w:val="both"/>
              <w:textAlignment w:val="auto"/>
              <w:rPr>
                <w:rFonts w:hint="default" w:ascii="Times New Roman" w:hAnsi="Times New Roman" w:eastAsia="宋体" w:cs="Times New Roman"/>
                <w:color w:val="auto"/>
                <w:spacing w:val="0"/>
                <w:lang w:val="en-US" w:eastAsia="zh-CN"/>
              </w:rPr>
            </w:pPr>
            <w:r>
              <w:rPr>
                <w:rFonts w:ascii="Times New Roman" w:hAnsi="Times New Roman" w:eastAsia="宋体" w:cs="Times New Roman"/>
                <w:color w:val="auto"/>
                <w:spacing w:val="0"/>
                <w:kern w:val="1"/>
              </w:rPr>
              <w:t>根据《建设项目环境风险评价技术导则》（HJ169-2018）和《企业突发环境事件风险分级方法》（H</w:t>
            </w:r>
            <w:r>
              <w:rPr>
                <w:rFonts w:ascii="Times New Roman" w:hAnsi="Times New Roman" w:eastAsia="宋体" w:cs="Times New Roman"/>
                <w:color w:val="auto"/>
                <w:spacing w:val="0"/>
              </w:rPr>
              <w:t>J941-2018）要求，经识别，本项目涉及的风险物质主要为</w:t>
            </w:r>
            <w:r>
              <w:rPr>
                <w:rFonts w:hint="eastAsia" w:ascii="Times New Roman" w:hAnsi="Times New Roman" w:eastAsia="宋体" w:cs="Times New Roman"/>
                <w:color w:val="auto"/>
                <w:spacing w:val="0"/>
              </w:rPr>
              <w:t>危险废物</w:t>
            </w:r>
            <w:r>
              <w:rPr>
                <w:rFonts w:hint="eastAsia" w:ascii="Times New Roman" w:hAnsi="Times New Roman" w:eastAsia="宋体" w:cs="Times New Roman"/>
                <w:color w:val="auto"/>
                <w:spacing w:val="0"/>
                <w:lang w:val="en-US" w:eastAsia="zh-CN"/>
              </w:rPr>
              <w:t>（废机油）。</w:t>
            </w:r>
          </w:p>
          <w:p>
            <w:pPr>
              <w:keepNext w:val="0"/>
              <w:keepLines w:val="0"/>
              <w:pageBreakBefore w:val="0"/>
              <w:kinsoku/>
              <w:wordWrap/>
              <w:overflowPunct/>
              <w:topLinePunct w:val="0"/>
              <w:bidi w:val="0"/>
              <w:adjustRightInd/>
              <w:snapToGrid/>
              <w:ind w:firstLine="480"/>
              <w:textAlignment w:val="auto"/>
              <w:rPr>
                <w:rFonts w:ascii="Times New Roman" w:hAnsi="Times New Roman" w:eastAsia="宋体" w:cs="Times New Roman"/>
                <w:color w:val="auto"/>
                <w:spacing w:val="0"/>
                <w:kern w:val="1"/>
                <w:sz w:val="24"/>
                <w:szCs w:val="24"/>
              </w:rPr>
            </w:pPr>
            <w:r>
              <w:rPr>
                <w:rFonts w:ascii="Times New Roman" w:hAnsi="Times New Roman" w:eastAsia="宋体" w:cs="Times New Roman"/>
                <w:color w:val="auto"/>
                <w:spacing w:val="0"/>
                <w:kern w:val="1"/>
                <w:sz w:val="24"/>
                <w:szCs w:val="24"/>
              </w:rPr>
              <w:t>本项目风险源调查情况具体见下表。</w:t>
            </w:r>
          </w:p>
          <w:p>
            <w:pPr>
              <w:pStyle w:val="2"/>
              <w:adjustRightInd/>
              <w:snapToGrid/>
              <w:spacing w:line="360" w:lineRule="auto"/>
              <w:ind w:firstLine="0" w:firstLineChars="0"/>
              <w:jc w:val="center"/>
              <w:textAlignment w:val="auto"/>
              <w:rPr>
                <w:rFonts w:ascii="Times New Roman" w:hAnsi="Times New Roman" w:eastAsia="宋体" w:cs="Times New Roman"/>
                <w:b/>
                <w:bCs/>
                <w:color w:val="auto"/>
                <w:spacing w:val="0"/>
                <w:sz w:val="21"/>
              </w:rPr>
            </w:pPr>
            <w:r>
              <w:rPr>
                <w:rFonts w:ascii="Times New Roman" w:hAnsi="Times New Roman" w:eastAsia="宋体" w:cs="Times New Roman"/>
                <w:b/>
                <w:bCs/>
                <w:color w:val="auto"/>
                <w:spacing w:val="0"/>
                <w:sz w:val="21"/>
              </w:rPr>
              <w:t>表4-</w:t>
            </w:r>
            <w:r>
              <w:rPr>
                <w:rFonts w:hint="eastAsia" w:ascii="Times New Roman" w:hAnsi="Times New Roman" w:eastAsia="宋体" w:cs="Times New Roman"/>
                <w:b/>
                <w:bCs/>
                <w:color w:val="auto"/>
                <w:spacing w:val="0"/>
                <w:sz w:val="21"/>
              </w:rPr>
              <w:t>1</w:t>
            </w:r>
            <w:r>
              <w:rPr>
                <w:rFonts w:hint="eastAsia" w:ascii="Times New Roman" w:hAnsi="Times New Roman" w:eastAsia="宋体" w:cs="Times New Roman"/>
                <w:b/>
                <w:bCs/>
                <w:color w:val="auto"/>
                <w:spacing w:val="0"/>
                <w:sz w:val="21"/>
                <w:lang w:val="en-US" w:eastAsia="zh-CN"/>
              </w:rPr>
              <w:t>5</w:t>
            </w:r>
            <w:r>
              <w:rPr>
                <w:rFonts w:hint="eastAsia" w:ascii="Times New Roman" w:hAnsi="Times New Roman" w:eastAsia="宋体" w:cs="Times New Roman"/>
                <w:b/>
                <w:bCs/>
                <w:color w:val="auto"/>
                <w:spacing w:val="0"/>
                <w:sz w:val="21"/>
              </w:rPr>
              <w:t xml:space="preserve"> </w:t>
            </w:r>
            <w:r>
              <w:rPr>
                <w:rFonts w:ascii="Times New Roman" w:hAnsi="Times New Roman" w:eastAsia="宋体" w:cs="Times New Roman"/>
                <w:b/>
                <w:bCs/>
                <w:color w:val="auto"/>
                <w:spacing w:val="0"/>
                <w:sz w:val="21"/>
              </w:rPr>
              <w:t>本项目风险源调查情况一览表</w:t>
            </w:r>
          </w:p>
          <w:tbl>
            <w:tblPr>
              <w:tblStyle w:val="55"/>
              <w:tblW w:w="499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791"/>
              <w:gridCol w:w="1924"/>
              <w:gridCol w:w="1164"/>
              <w:gridCol w:w="1286"/>
              <w:gridCol w:w="1368"/>
              <w:gridCol w:w="138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0" w:hRule="atLeast"/>
                <w:jc w:val="center"/>
              </w:trPr>
              <w:tc>
                <w:tcPr>
                  <w:tcW w:w="500" w:type="pct"/>
                  <w:tcBorders>
                    <w:tl2br w:val="nil"/>
                    <w:tr2bl w:val="nil"/>
                  </w:tcBorders>
                  <w:vAlign w:val="center"/>
                </w:tcPr>
                <w:p>
                  <w:pPr>
                    <w:pStyle w:val="322"/>
                    <w:autoSpaceDE/>
                    <w:autoSpaceDN/>
                    <w:spacing w:line="240" w:lineRule="auto"/>
                    <w:ind w:firstLine="0" w:firstLineChars="0"/>
                    <w:jc w:val="center"/>
                    <w:rPr>
                      <w:rFonts w:ascii="Times New Roman" w:hAnsi="Times New Roman" w:eastAsia="宋体" w:cs="Times New Roman"/>
                      <w:color w:val="auto"/>
                      <w:spacing w:val="0"/>
                      <w:sz w:val="21"/>
                      <w:szCs w:val="21"/>
                    </w:rPr>
                  </w:pPr>
                  <w:r>
                    <w:rPr>
                      <w:rFonts w:ascii="Times New Roman" w:hAnsi="Times New Roman" w:eastAsia="宋体" w:cs="Times New Roman"/>
                      <w:color w:val="auto"/>
                      <w:spacing w:val="0"/>
                      <w:sz w:val="21"/>
                      <w:szCs w:val="21"/>
                    </w:rPr>
                    <w:t>序号</w:t>
                  </w:r>
                </w:p>
              </w:tc>
              <w:tc>
                <w:tcPr>
                  <w:tcW w:w="1216" w:type="pct"/>
                  <w:tcBorders>
                    <w:tl2br w:val="nil"/>
                    <w:tr2bl w:val="nil"/>
                  </w:tcBorders>
                  <w:vAlign w:val="center"/>
                </w:tcPr>
                <w:p>
                  <w:pPr>
                    <w:pStyle w:val="322"/>
                    <w:autoSpaceDE/>
                    <w:autoSpaceDN/>
                    <w:spacing w:line="240" w:lineRule="auto"/>
                    <w:ind w:firstLine="0" w:firstLineChars="0"/>
                    <w:jc w:val="center"/>
                    <w:rPr>
                      <w:rFonts w:ascii="Times New Roman" w:hAnsi="Times New Roman" w:eastAsia="宋体" w:cs="Times New Roman"/>
                      <w:color w:val="auto"/>
                      <w:spacing w:val="0"/>
                      <w:sz w:val="21"/>
                      <w:szCs w:val="21"/>
                    </w:rPr>
                  </w:pPr>
                  <w:r>
                    <w:rPr>
                      <w:rFonts w:ascii="Times New Roman" w:hAnsi="Times New Roman" w:eastAsia="宋体" w:cs="Times New Roman"/>
                      <w:color w:val="auto"/>
                      <w:spacing w:val="0"/>
                      <w:kern w:val="2"/>
                      <w:sz w:val="21"/>
                      <w:szCs w:val="21"/>
                    </w:rPr>
                    <w:t>危险物质名称</w:t>
                  </w:r>
                </w:p>
              </w:tc>
              <w:tc>
                <w:tcPr>
                  <w:tcW w:w="735" w:type="pct"/>
                  <w:tcBorders>
                    <w:tl2br w:val="nil"/>
                    <w:tr2bl w:val="nil"/>
                  </w:tcBorders>
                  <w:vAlign w:val="center"/>
                </w:tcPr>
                <w:p>
                  <w:pPr>
                    <w:pStyle w:val="322"/>
                    <w:autoSpaceDE/>
                    <w:autoSpaceDN/>
                    <w:spacing w:line="240" w:lineRule="auto"/>
                    <w:ind w:firstLine="0" w:firstLineChars="0"/>
                    <w:jc w:val="center"/>
                    <w:rPr>
                      <w:rFonts w:ascii="Times New Roman" w:hAnsi="Times New Roman" w:eastAsia="宋体" w:cs="Times New Roman"/>
                      <w:color w:val="auto"/>
                      <w:spacing w:val="0"/>
                      <w:kern w:val="2"/>
                      <w:sz w:val="21"/>
                      <w:szCs w:val="21"/>
                    </w:rPr>
                  </w:pPr>
                  <w:r>
                    <w:rPr>
                      <w:rFonts w:ascii="Times New Roman" w:hAnsi="Times New Roman" w:eastAsia="宋体" w:cs="Times New Roman"/>
                      <w:color w:val="auto"/>
                      <w:spacing w:val="0"/>
                      <w:kern w:val="2"/>
                      <w:sz w:val="21"/>
                      <w:szCs w:val="21"/>
                    </w:rPr>
                    <w:t>分布单元</w:t>
                  </w:r>
                </w:p>
              </w:tc>
              <w:tc>
                <w:tcPr>
                  <w:tcW w:w="812" w:type="pct"/>
                  <w:tcBorders>
                    <w:tl2br w:val="nil"/>
                    <w:tr2bl w:val="nil"/>
                  </w:tcBorders>
                  <w:vAlign w:val="center"/>
                </w:tcPr>
                <w:p>
                  <w:pPr>
                    <w:pStyle w:val="322"/>
                    <w:autoSpaceDE/>
                    <w:autoSpaceDN/>
                    <w:spacing w:line="240" w:lineRule="auto"/>
                    <w:ind w:firstLine="0" w:firstLineChars="0"/>
                    <w:jc w:val="center"/>
                    <w:rPr>
                      <w:rFonts w:ascii="Times New Roman" w:hAnsi="Times New Roman" w:eastAsia="宋体" w:cs="Times New Roman"/>
                      <w:color w:val="auto"/>
                      <w:spacing w:val="0"/>
                      <w:sz w:val="21"/>
                      <w:szCs w:val="21"/>
                    </w:rPr>
                  </w:pPr>
                  <w:r>
                    <w:rPr>
                      <w:rFonts w:ascii="Times New Roman" w:hAnsi="Times New Roman" w:eastAsia="宋体" w:cs="Times New Roman"/>
                      <w:color w:val="auto"/>
                      <w:spacing w:val="0"/>
                      <w:sz w:val="21"/>
                      <w:szCs w:val="21"/>
                    </w:rPr>
                    <w:t>临界量/t</w:t>
                  </w:r>
                </w:p>
              </w:tc>
              <w:tc>
                <w:tcPr>
                  <w:tcW w:w="863" w:type="pct"/>
                  <w:tcBorders>
                    <w:tl2br w:val="nil"/>
                    <w:tr2bl w:val="nil"/>
                  </w:tcBorders>
                  <w:vAlign w:val="center"/>
                </w:tcPr>
                <w:p>
                  <w:pPr>
                    <w:pStyle w:val="322"/>
                    <w:autoSpaceDE/>
                    <w:autoSpaceDN/>
                    <w:spacing w:line="240" w:lineRule="auto"/>
                    <w:ind w:firstLine="0" w:firstLineChars="0"/>
                    <w:jc w:val="center"/>
                    <w:rPr>
                      <w:rFonts w:ascii="Times New Roman" w:hAnsi="Times New Roman" w:eastAsia="宋体" w:cs="Times New Roman"/>
                      <w:color w:val="auto"/>
                      <w:spacing w:val="0"/>
                      <w:sz w:val="21"/>
                      <w:szCs w:val="21"/>
                    </w:rPr>
                  </w:pPr>
                  <w:r>
                    <w:rPr>
                      <w:rFonts w:ascii="Times New Roman" w:hAnsi="Times New Roman" w:eastAsia="宋体" w:cs="Times New Roman"/>
                      <w:color w:val="auto"/>
                      <w:spacing w:val="0"/>
                      <w:sz w:val="21"/>
                      <w:szCs w:val="21"/>
                    </w:rPr>
                    <w:t>最大储存量/t</w:t>
                  </w:r>
                </w:p>
              </w:tc>
              <w:tc>
                <w:tcPr>
                  <w:tcW w:w="872" w:type="pct"/>
                  <w:tcBorders>
                    <w:tl2br w:val="nil"/>
                    <w:tr2bl w:val="nil"/>
                  </w:tcBorders>
                  <w:vAlign w:val="center"/>
                </w:tcPr>
                <w:p>
                  <w:pPr>
                    <w:pStyle w:val="322"/>
                    <w:autoSpaceDE/>
                    <w:autoSpaceDN/>
                    <w:spacing w:line="240" w:lineRule="auto"/>
                    <w:ind w:firstLine="0" w:firstLineChars="0"/>
                    <w:jc w:val="center"/>
                    <w:rPr>
                      <w:rFonts w:ascii="Times New Roman" w:hAnsi="Times New Roman" w:eastAsia="宋体" w:cs="Times New Roman"/>
                      <w:color w:val="auto"/>
                      <w:spacing w:val="0"/>
                      <w:sz w:val="21"/>
                      <w:szCs w:val="21"/>
                    </w:rPr>
                  </w:pPr>
                  <w:r>
                    <w:rPr>
                      <w:rFonts w:ascii="Times New Roman" w:hAnsi="Times New Roman" w:eastAsia="宋体" w:cs="Times New Roman"/>
                      <w:color w:val="auto"/>
                      <w:spacing w:val="0"/>
                      <w:sz w:val="21"/>
                      <w:szCs w:val="21"/>
                    </w:rPr>
                    <w:t>Q值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0" w:type="pct"/>
                  <w:tcBorders>
                    <w:tl2br w:val="nil"/>
                    <w:tr2bl w:val="nil"/>
                  </w:tcBorders>
                  <w:vAlign w:val="center"/>
                </w:tcPr>
                <w:p>
                  <w:pPr>
                    <w:pStyle w:val="322"/>
                    <w:autoSpaceDE/>
                    <w:autoSpaceDN/>
                    <w:spacing w:line="240" w:lineRule="auto"/>
                    <w:ind w:firstLine="0" w:firstLineChars="0"/>
                    <w:jc w:val="center"/>
                    <w:rPr>
                      <w:rFonts w:hint="eastAsia"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1</w:t>
                  </w:r>
                </w:p>
              </w:tc>
              <w:tc>
                <w:tcPr>
                  <w:tcW w:w="1216" w:type="pct"/>
                  <w:tcBorders>
                    <w:tl2br w:val="nil"/>
                    <w:tr2bl w:val="nil"/>
                  </w:tcBorders>
                  <w:vAlign w:val="center"/>
                </w:tcPr>
                <w:p>
                  <w:pPr>
                    <w:spacing w:line="240" w:lineRule="auto"/>
                    <w:ind w:firstLine="0" w:firstLineChars="0"/>
                    <w:jc w:val="center"/>
                    <w:rPr>
                      <w:rFonts w:hint="default" w:ascii="Times New Roman" w:hAnsi="Times New Roman" w:eastAsia="宋体" w:cs="Times New Roman"/>
                      <w:color w:val="auto"/>
                      <w:spacing w:val="0"/>
                      <w:sz w:val="21"/>
                      <w:lang w:val="en-US"/>
                    </w:rPr>
                  </w:pPr>
                  <w:r>
                    <w:rPr>
                      <w:rFonts w:hint="eastAsia" w:ascii="Times New Roman" w:hAnsi="Times New Roman" w:eastAsia="宋体" w:cs="Times New Roman"/>
                      <w:color w:val="auto"/>
                      <w:spacing w:val="0"/>
                      <w:sz w:val="21"/>
                      <w:lang w:val="en-US" w:eastAsia="zh-CN"/>
                    </w:rPr>
                    <w:t>废机油</w:t>
                  </w:r>
                </w:p>
              </w:tc>
              <w:tc>
                <w:tcPr>
                  <w:tcW w:w="735" w:type="pct"/>
                  <w:tcBorders>
                    <w:tl2br w:val="nil"/>
                    <w:tr2bl w:val="nil"/>
                  </w:tcBorders>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危废贮存点</w:t>
                  </w:r>
                </w:p>
              </w:tc>
              <w:tc>
                <w:tcPr>
                  <w:tcW w:w="812" w:type="pct"/>
                  <w:tcBorders>
                    <w:tl2br w:val="nil"/>
                    <w:tr2bl w:val="nil"/>
                  </w:tcBorders>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2500</w:t>
                  </w:r>
                </w:p>
              </w:tc>
              <w:tc>
                <w:tcPr>
                  <w:tcW w:w="863" w:type="pct"/>
                  <w:tcBorders>
                    <w:tl2br w:val="nil"/>
                    <w:tr2bl w:val="nil"/>
                  </w:tcBorders>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0.1</w:t>
                  </w:r>
                </w:p>
              </w:tc>
              <w:tc>
                <w:tcPr>
                  <w:tcW w:w="872" w:type="pct"/>
                  <w:tcBorders>
                    <w:tl2br w:val="nil"/>
                    <w:tr2bl w:val="nil"/>
                  </w:tcBorders>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0.00004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0" w:hRule="atLeast"/>
                <w:jc w:val="center"/>
              </w:trPr>
              <w:tc>
                <w:tcPr>
                  <w:tcW w:w="4127" w:type="pct"/>
                  <w:gridSpan w:val="5"/>
                  <w:tcBorders>
                    <w:tl2br w:val="nil"/>
                    <w:tr2bl w:val="nil"/>
                  </w:tcBorders>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合计</w:t>
                  </w:r>
                </w:p>
              </w:tc>
              <w:tc>
                <w:tcPr>
                  <w:tcW w:w="872" w:type="pct"/>
                  <w:tcBorders>
                    <w:tl2br w:val="nil"/>
                    <w:tr2bl w:val="nil"/>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0.00004</w:t>
                  </w:r>
                </w:p>
              </w:tc>
            </w:tr>
          </w:tbl>
          <w:p>
            <w:pPr>
              <w:keepNext w:val="0"/>
              <w:keepLines w:val="0"/>
              <w:pageBreakBefore w:val="0"/>
              <w:widowControl/>
              <w:kinsoku/>
              <w:wordWrap/>
              <w:overflowPunct/>
              <w:topLinePunct w:val="0"/>
              <w:autoSpaceDE/>
              <w:autoSpaceDN/>
              <w:bidi w:val="0"/>
              <w:adjustRightInd/>
              <w:snapToGrid/>
              <w:ind w:firstLine="480"/>
              <w:jc w:val="both"/>
              <w:textAlignment w:val="auto"/>
              <w:rPr>
                <w:rFonts w:ascii="Times New Roman" w:hAnsi="Times New Roman" w:eastAsia="宋体" w:cs="Times New Roman"/>
                <w:color w:val="auto"/>
                <w:spacing w:val="0"/>
                <w:sz w:val="24"/>
                <w:szCs w:val="24"/>
              </w:rPr>
            </w:pPr>
            <w:r>
              <w:rPr>
                <w:rFonts w:ascii="Times New Roman" w:hAnsi="Times New Roman" w:eastAsia="宋体" w:cs="Times New Roman"/>
                <w:color w:val="auto"/>
                <w:spacing w:val="0"/>
                <w:sz w:val="24"/>
                <w:szCs w:val="24"/>
              </w:rPr>
              <w:t>由上表可知，本项目风险物质数量与临界量比值Q</w:t>
            </w:r>
            <w:r>
              <w:rPr>
                <w:rFonts w:hint="eastAsia" w:ascii="Times New Roman" w:hAnsi="Times New Roman" w:eastAsia="宋体" w:cs="Times New Roman"/>
                <w:color w:val="auto"/>
                <w:spacing w:val="0"/>
                <w:sz w:val="24"/>
                <w:szCs w:val="24"/>
              </w:rPr>
              <w:t>=</w:t>
            </w:r>
            <w:r>
              <w:rPr>
                <w:rFonts w:hint="eastAsia" w:ascii="Times New Roman" w:hAnsi="Times New Roman" w:eastAsia="宋体" w:cs="Times New Roman"/>
                <w:color w:val="auto"/>
                <w:spacing w:val="0"/>
                <w:sz w:val="24"/>
                <w:szCs w:val="24"/>
                <w:lang w:val="en-US" w:eastAsia="zh-CN"/>
              </w:rPr>
              <w:t>0.00004</w:t>
            </w:r>
            <w:r>
              <w:rPr>
                <w:rFonts w:ascii="Times New Roman" w:hAnsi="Times New Roman" w:eastAsia="宋体" w:cs="Times New Roman"/>
                <w:color w:val="auto"/>
                <w:spacing w:val="0"/>
                <w:sz w:val="24"/>
                <w:szCs w:val="24"/>
              </w:rPr>
              <w:t>&lt;1。</w:t>
            </w:r>
          </w:p>
          <w:p>
            <w:pPr>
              <w:keepNext w:val="0"/>
              <w:keepLines w:val="0"/>
              <w:pageBreakBefore w:val="0"/>
              <w:kinsoku/>
              <w:wordWrap/>
              <w:overflowPunct/>
              <w:topLinePunct w:val="0"/>
              <w:autoSpaceDE/>
              <w:autoSpaceDN/>
              <w:bidi w:val="0"/>
              <w:adjustRightInd/>
              <w:snapToGrid/>
              <w:ind w:firstLine="482"/>
              <w:jc w:val="both"/>
              <w:textAlignment w:val="auto"/>
              <w:rPr>
                <w:rFonts w:ascii="Times New Roman" w:hAnsi="Times New Roman" w:eastAsia="宋体" w:cs="Times New Roman"/>
                <w:b/>
                <w:bCs/>
                <w:color w:val="auto"/>
                <w:spacing w:val="0"/>
                <w:sz w:val="24"/>
              </w:rPr>
            </w:pPr>
            <w:r>
              <w:rPr>
                <w:rFonts w:ascii="Times New Roman" w:hAnsi="Times New Roman" w:eastAsia="宋体" w:cs="Times New Roman"/>
                <w:b/>
                <w:bCs/>
                <w:color w:val="auto"/>
                <w:spacing w:val="0"/>
                <w:sz w:val="24"/>
              </w:rPr>
              <w:t>7.2环境风险影响途径分析</w:t>
            </w:r>
          </w:p>
          <w:p>
            <w:pPr>
              <w:keepNext w:val="0"/>
              <w:keepLines w:val="0"/>
              <w:pageBreakBefore w:val="0"/>
              <w:kinsoku/>
              <w:wordWrap/>
              <w:overflowPunct/>
              <w:topLinePunct w:val="0"/>
              <w:autoSpaceDE/>
              <w:autoSpaceDN/>
              <w:bidi w:val="0"/>
              <w:adjustRightInd/>
              <w:snapToGrid/>
              <w:ind w:firstLine="480"/>
              <w:jc w:val="both"/>
              <w:textAlignment w:val="auto"/>
              <w:rPr>
                <w:rFonts w:hint="eastAsia" w:ascii="Times New Roman" w:hAnsi="Times New Roman" w:eastAsia="宋体" w:cs="Times New Roman"/>
                <w:color w:val="auto"/>
                <w:spacing w:val="0"/>
                <w:sz w:val="24"/>
                <w:lang w:val="en-US" w:eastAsia="zh-CN"/>
              </w:rPr>
            </w:pPr>
            <w:r>
              <w:rPr>
                <w:rFonts w:hint="eastAsia" w:ascii="Times New Roman" w:hAnsi="Times New Roman" w:eastAsia="宋体" w:cs="Times New Roman"/>
                <w:color w:val="auto"/>
                <w:spacing w:val="0"/>
                <w:sz w:val="24"/>
                <w:lang w:val="en-US" w:eastAsia="zh-CN"/>
              </w:rPr>
              <w:t>危险物质容器发生破损、裂缝挥发进入地下水/土壤环境；液体物料容器桶破裂造成有害物质泄漏，有害物质通过地表径流进入地表水环境，此外还可能通过垂直渗透进入地下水环境或土壤环境。</w:t>
            </w:r>
          </w:p>
          <w:p>
            <w:pPr>
              <w:keepNext w:val="0"/>
              <w:keepLines w:val="0"/>
              <w:pageBreakBefore w:val="0"/>
              <w:kinsoku/>
              <w:wordWrap/>
              <w:overflowPunct/>
              <w:topLinePunct w:val="0"/>
              <w:autoSpaceDE/>
              <w:autoSpaceDN/>
              <w:bidi w:val="0"/>
              <w:adjustRightInd/>
              <w:snapToGrid/>
              <w:ind w:firstLine="480"/>
              <w:jc w:val="both"/>
              <w:textAlignment w:val="auto"/>
              <w:rPr>
                <w:rFonts w:ascii="Times New Roman" w:hAnsi="Times New Roman" w:eastAsia="宋体" w:cs="Times New Roman"/>
                <w:color w:val="auto"/>
                <w:spacing w:val="0"/>
                <w:sz w:val="24"/>
                <w:szCs w:val="24"/>
              </w:rPr>
            </w:pPr>
            <w:r>
              <w:rPr>
                <w:rFonts w:hint="eastAsia" w:ascii="Times New Roman" w:hAnsi="Times New Roman" w:eastAsia="宋体" w:cs="Times New Roman"/>
                <w:color w:val="auto"/>
                <w:spacing w:val="0"/>
                <w:sz w:val="24"/>
                <w:lang w:val="en-US" w:eastAsia="zh-CN"/>
              </w:rPr>
              <w:t>生产过程中因管理不规范、操作不当等造成一般性火灾事故产生次生污染物进入大气环境，在灭火过程中事故消防废水通过地表径流进入地表水环境</w:t>
            </w:r>
            <w:r>
              <w:rPr>
                <w:rFonts w:ascii="Times New Roman" w:hAnsi="Times New Roman" w:eastAsia="宋体" w:cs="Times New Roman"/>
                <w:color w:val="auto"/>
                <w:spacing w:val="0"/>
                <w:sz w:val="24"/>
              </w:rPr>
              <w:t>。</w:t>
            </w:r>
          </w:p>
          <w:p>
            <w:pPr>
              <w:keepNext w:val="0"/>
              <w:keepLines w:val="0"/>
              <w:pageBreakBefore w:val="0"/>
              <w:kinsoku/>
              <w:wordWrap/>
              <w:overflowPunct/>
              <w:topLinePunct w:val="0"/>
              <w:autoSpaceDE/>
              <w:autoSpaceDN/>
              <w:bidi w:val="0"/>
              <w:adjustRightInd/>
              <w:snapToGrid/>
              <w:ind w:firstLine="482"/>
              <w:jc w:val="both"/>
              <w:textAlignment w:val="auto"/>
              <w:rPr>
                <w:rFonts w:hint="eastAsia" w:ascii="Times New Roman" w:hAnsi="Times New Roman" w:eastAsia="宋体" w:cs="Times New Roman"/>
                <w:b/>
                <w:bCs/>
                <w:color w:val="auto"/>
                <w:spacing w:val="0"/>
                <w:sz w:val="24"/>
              </w:rPr>
            </w:pPr>
            <w:r>
              <w:rPr>
                <w:rFonts w:ascii="Times New Roman" w:hAnsi="Times New Roman" w:eastAsia="宋体" w:cs="Times New Roman"/>
                <w:b/>
                <w:bCs/>
                <w:color w:val="auto"/>
                <w:spacing w:val="0"/>
                <w:sz w:val="24"/>
              </w:rPr>
              <w:t>7.3</w:t>
            </w:r>
            <w:r>
              <w:rPr>
                <w:rFonts w:hint="eastAsia" w:ascii="Times New Roman" w:hAnsi="Times New Roman" w:eastAsia="宋体" w:cs="Times New Roman"/>
                <w:b/>
                <w:bCs/>
                <w:color w:val="auto"/>
                <w:spacing w:val="0"/>
                <w:sz w:val="24"/>
              </w:rPr>
              <w:t>环境风险分析</w:t>
            </w:r>
          </w:p>
          <w:p>
            <w:pPr>
              <w:keepNext w:val="0"/>
              <w:keepLines w:val="0"/>
              <w:pageBreakBefore w:val="0"/>
              <w:kinsoku/>
              <w:wordWrap/>
              <w:overflowPunct/>
              <w:topLinePunct w:val="0"/>
              <w:autoSpaceDE/>
              <w:autoSpaceDN/>
              <w:bidi w:val="0"/>
              <w:adjustRightInd/>
              <w:snapToGrid/>
              <w:ind w:firstLine="480"/>
              <w:jc w:val="both"/>
              <w:textAlignment w:val="auto"/>
              <w:rPr>
                <w:rFonts w:hint="eastAsia" w:ascii="Times New Roman" w:hAnsi="Times New Roman" w:eastAsia="宋体" w:cs="Times New Roman"/>
                <w:color w:val="auto"/>
                <w:spacing w:val="0"/>
                <w:sz w:val="24"/>
                <w:lang w:val="en-US" w:eastAsia="zh-CN"/>
              </w:rPr>
            </w:pPr>
            <w:r>
              <w:rPr>
                <w:rFonts w:hint="eastAsia" w:ascii="Times New Roman" w:hAnsi="Times New Roman" w:eastAsia="宋体" w:cs="Times New Roman"/>
                <w:color w:val="auto"/>
                <w:spacing w:val="0"/>
                <w:sz w:val="24"/>
                <w:lang w:val="en-US" w:eastAsia="zh-CN"/>
              </w:rPr>
              <w:t>拟建项目的风险事故主要为：废机油储存过程中，如桶等破损，引发物料泄漏，污染周边土壤、地表水和大气环境；废机油等泄漏遇明火引起火灾，可能造成风险事故。</w:t>
            </w:r>
          </w:p>
          <w:p>
            <w:pPr>
              <w:keepNext w:val="0"/>
              <w:keepLines w:val="0"/>
              <w:pageBreakBefore w:val="0"/>
              <w:kinsoku/>
              <w:wordWrap/>
              <w:overflowPunct/>
              <w:topLinePunct w:val="0"/>
              <w:autoSpaceDE/>
              <w:autoSpaceDN/>
              <w:bidi w:val="0"/>
              <w:adjustRightInd/>
              <w:snapToGrid/>
              <w:ind w:firstLine="480"/>
              <w:jc w:val="both"/>
              <w:textAlignment w:val="auto"/>
              <w:rPr>
                <w:rFonts w:hint="eastAsia" w:ascii="Times New Roman" w:hAnsi="Times New Roman" w:eastAsia="宋体" w:cs="Times New Roman"/>
                <w:color w:val="auto"/>
                <w:spacing w:val="0"/>
                <w:sz w:val="24"/>
                <w:lang w:val="en-US" w:eastAsia="zh-CN"/>
              </w:rPr>
            </w:pPr>
            <w:r>
              <w:rPr>
                <w:rFonts w:hint="eastAsia" w:ascii="Times New Roman" w:hAnsi="Times New Roman" w:eastAsia="宋体" w:cs="Times New Roman"/>
                <w:color w:val="auto"/>
                <w:spacing w:val="0"/>
                <w:sz w:val="24"/>
                <w:lang w:val="en-US" w:eastAsia="zh-CN"/>
              </w:rPr>
              <w:t>（1）大气环境风险分析</w:t>
            </w:r>
          </w:p>
          <w:p>
            <w:pPr>
              <w:keepNext w:val="0"/>
              <w:keepLines w:val="0"/>
              <w:pageBreakBefore w:val="0"/>
              <w:kinsoku/>
              <w:wordWrap/>
              <w:overflowPunct/>
              <w:topLinePunct w:val="0"/>
              <w:autoSpaceDE/>
              <w:autoSpaceDN/>
              <w:bidi w:val="0"/>
              <w:adjustRightInd/>
              <w:snapToGrid/>
              <w:ind w:firstLine="480"/>
              <w:jc w:val="both"/>
              <w:textAlignment w:val="auto"/>
              <w:rPr>
                <w:rFonts w:hint="eastAsia" w:ascii="Times New Roman" w:hAnsi="Times New Roman" w:eastAsia="宋体" w:cs="Times New Roman"/>
                <w:color w:val="auto"/>
                <w:spacing w:val="0"/>
                <w:sz w:val="24"/>
                <w:lang w:val="en-US" w:eastAsia="zh-CN"/>
              </w:rPr>
            </w:pPr>
            <w:r>
              <w:rPr>
                <w:rFonts w:hint="eastAsia" w:ascii="Times New Roman" w:hAnsi="Times New Roman" w:eastAsia="宋体" w:cs="Times New Roman"/>
                <w:color w:val="auto"/>
                <w:spacing w:val="0"/>
                <w:sz w:val="24"/>
                <w:lang w:val="en-US" w:eastAsia="zh-CN"/>
              </w:rPr>
              <w:t>项目主要危险有害因素为火灾因素，废机油等物质遇明火燃烧，发生火灾时产生的烟尘、CO等次生污染物对大气环境的污染影响。</w:t>
            </w:r>
          </w:p>
          <w:p>
            <w:pPr>
              <w:keepNext w:val="0"/>
              <w:keepLines w:val="0"/>
              <w:pageBreakBefore w:val="0"/>
              <w:kinsoku/>
              <w:wordWrap/>
              <w:overflowPunct/>
              <w:topLinePunct w:val="0"/>
              <w:autoSpaceDE/>
              <w:autoSpaceDN/>
              <w:bidi w:val="0"/>
              <w:adjustRightInd/>
              <w:snapToGrid/>
              <w:ind w:firstLine="480"/>
              <w:jc w:val="both"/>
              <w:textAlignment w:val="auto"/>
              <w:rPr>
                <w:rFonts w:hint="eastAsia" w:ascii="Times New Roman" w:hAnsi="Times New Roman" w:eastAsia="宋体" w:cs="Times New Roman"/>
                <w:color w:val="auto"/>
                <w:spacing w:val="0"/>
                <w:sz w:val="24"/>
                <w:lang w:val="en-US" w:eastAsia="zh-CN"/>
              </w:rPr>
            </w:pPr>
            <w:r>
              <w:rPr>
                <w:rFonts w:hint="eastAsia" w:ascii="Times New Roman" w:hAnsi="Times New Roman" w:eastAsia="宋体" w:cs="Times New Roman"/>
                <w:color w:val="auto"/>
                <w:spacing w:val="0"/>
                <w:sz w:val="24"/>
                <w:lang w:val="en-US" w:eastAsia="zh-CN"/>
              </w:rPr>
              <w:t>（2）泄漏环境风险分析</w:t>
            </w:r>
          </w:p>
          <w:p>
            <w:pPr>
              <w:keepNext w:val="0"/>
              <w:keepLines w:val="0"/>
              <w:pageBreakBefore w:val="0"/>
              <w:kinsoku/>
              <w:wordWrap/>
              <w:overflowPunct/>
              <w:topLinePunct w:val="0"/>
              <w:autoSpaceDE/>
              <w:autoSpaceDN/>
              <w:bidi w:val="0"/>
              <w:adjustRightInd/>
              <w:snapToGrid/>
              <w:ind w:firstLine="480"/>
              <w:jc w:val="both"/>
              <w:textAlignment w:val="auto"/>
              <w:rPr>
                <w:rFonts w:hint="eastAsia" w:ascii="Times New Roman" w:hAnsi="Times New Roman" w:eastAsia="宋体" w:cs="Times New Roman"/>
                <w:color w:val="auto"/>
                <w:spacing w:val="0"/>
                <w:sz w:val="24"/>
                <w:lang w:val="en-US" w:eastAsia="zh-CN"/>
              </w:rPr>
            </w:pPr>
            <w:r>
              <w:rPr>
                <w:rFonts w:hint="eastAsia" w:ascii="Times New Roman" w:hAnsi="Times New Roman" w:eastAsia="宋体" w:cs="Times New Roman"/>
                <w:color w:val="auto"/>
                <w:spacing w:val="0"/>
                <w:sz w:val="24"/>
                <w:lang w:val="en-US" w:eastAsia="zh-CN"/>
              </w:rPr>
              <w:t>废机油的物料泄漏外溢到厂外，污染周边土壤和地下水环境或者通过雨水管道排入周边水体污染地表水环境。</w:t>
            </w:r>
          </w:p>
          <w:p>
            <w:pPr>
              <w:keepNext w:val="0"/>
              <w:keepLines w:val="0"/>
              <w:pageBreakBefore w:val="0"/>
              <w:kinsoku/>
              <w:wordWrap/>
              <w:overflowPunct/>
              <w:topLinePunct w:val="0"/>
              <w:autoSpaceDE/>
              <w:autoSpaceDN/>
              <w:bidi w:val="0"/>
              <w:adjustRightInd/>
              <w:snapToGrid/>
              <w:ind w:firstLine="482"/>
              <w:jc w:val="both"/>
              <w:textAlignment w:val="auto"/>
              <w:rPr>
                <w:rFonts w:ascii="Times New Roman" w:hAnsi="Times New Roman" w:eastAsia="宋体" w:cs="Times New Roman"/>
                <w:b/>
                <w:bCs/>
                <w:color w:val="auto"/>
                <w:spacing w:val="0"/>
                <w:sz w:val="24"/>
              </w:rPr>
            </w:pPr>
            <w:r>
              <w:rPr>
                <w:rFonts w:hint="eastAsia" w:ascii="Times New Roman" w:hAnsi="Times New Roman" w:eastAsia="宋体" w:cs="Times New Roman"/>
                <w:b/>
                <w:bCs/>
                <w:color w:val="auto"/>
                <w:spacing w:val="0"/>
                <w:sz w:val="24"/>
                <w:lang w:val="en-US" w:eastAsia="zh-CN"/>
              </w:rPr>
              <w:t>7.4</w:t>
            </w:r>
            <w:r>
              <w:rPr>
                <w:rFonts w:ascii="Times New Roman" w:hAnsi="Times New Roman" w:eastAsia="宋体" w:cs="Times New Roman"/>
                <w:b/>
                <w:bCs/>
                <w:color w:val="auto"/>
                <w:spacing w:val="0"/>
                <w:sz w:val="24"/>
              </w:rPr>
              <w:t>环境风险防范措施</w:t>
            </w:r>
          </w:p>
          <w:p>
            <w:pPr>
              <w:keepNext w:val="0"/>
              <w:keepLines w:val="0"/>
              <w:pageBreakBefore w:val="0"/>
              <w:kinsoku/>
              <w:wordWrap/>
              <w:overflowPunct/>
              <w:topLinePunct w:val="0"/>
              <w:autoSpaceDE/>
              <w:autoSpaceDN/>
              <w:bidi w:val="0"/>
              <w:adjustRightInd/>
              <w:snapToGrid/>
              <w:ind w:firstLine="480"/>
              <w:jc w:val="both"/>
              <w:textAlignment w:val="auto"/>
              <w:rPr>
                <w:rFonts w:hint="eastAsia" w:ascii="Times New Roman" w:hAnsi="Times New Roman" w:eastAsia="宋体" w:cs="Times New Roman"/>
                <w:color w:val="auto"/>
                <w:spacing w:val="0"/>
                <w:sz w:val="24"/>
                <w:lang w:val="en-US" w:eastAsia="zh-CN"/>
              </w:rPr>
            </w:pPr>
            <w:r>
              <w:rPr>
                <w:rFonts w:hint="eastAsia" w:ascii="Times New Roman" w:hAnsi="Times New Roman" w:eastAsia="宋体" w:cs="Times New Roman"/>
                <w:color w:val="auto"/>
                <w:spacing w:val="0"/>
                <w:sz w:val="24"/>
                <w:lang w:val="en-US" w:eastAsia="zh-CN"/>
              </w:rPr>
              <w:t>为了使环境风险减小到最低限度，必须加强劳动环境风险管理，制定完善、有效的环境风险防范措施，尽可能降低本项目环境风险事故发生的频率。企业拟采取的环境风险防范措施如下：①加强管理，防止因管理不善而导致生产区火灾：对员工进行上岗培训，使其了解日常作业中应该注意的具体事项，特别是不允许抽烟，生产车间和危废贮存点区域设置必要消防设备，应配置干粉灭火器（推车式、手提式）和灭火毯。②化粪池、沉淀池均为地下、半地下式池体，加强化粪池和沉淀池的预防监控，定期巡检、调节、保养、维修，及时发现有可能引起泄漏的异常运行苗头，消除隐患。</w:t>
            </w:r>
          </w:p>
          <w:p>
            <w:pPr>
              <w:keepNext w:val="0"/>
              <w:keepLines w:val="0"/>
              <w:pageBreakBefore w:val="0"/>
              <w:kinsoku/>
              <w:wordWrap/>
              <w:overflowPunct/>
              <w:topLinePunct w:val="0"/>
              <w:autoSpaceDE/>
              <w:autoSpaceDN/>
              <w:bidi w:val="0"/>
              <w:adjustRightInd/>
              <w:snapToGrid/>
              <w:ind w:firstLine="480"/>
              <w:jc w:val="both"/>
              <w:textAlignment w:val="auto"/>
              <w:rPr>
                <w:rFonts w:hint="eastAsia" w:ascii="Times New Roman" w:hAnsi="Times New Roman" w:eastAsia="宋体" w:cs="Times New Roman"/>
                <w:color w:val="auto"/>
                <w:spacing w:val="0"/>
                <w:sz w:val="24"/>
                <w:lang w:val="en-US" w:eastAsia="zh-CN"/>
              </w:rPr>
            </w:pPr>
            <w:r>
              <w:rPr>
                <w:rFonts w:hint="eastAsia" w:ascii="Times New Roman" w:hAnsi="Times New Roman" w:eastAsia="宋体" w:cs="Times New Roman"/>
                <w:color w:val="auto"/>
                <w:spacing w:val="0"/>
                <w:sz w:val="24"/>
                <w:lang w:val="en-US" w:eastAsia="zh-CN"/>
              </w:rPr>
              <w:t>③地下水、土壤环境风险防范</w:t>
            </w:r>
          </w:p>
          <w:p>
            <w:pPr>
              <w:keepNext w:val="0"/>
              <w:keepLines w:val="0"/>
              <w:pageBreakBefore w:val="0"/>
              <w:kinsoku/>
              <w:wordWrap/>
              <w:overflowPunct/>
              <w:topLinePunct w:val="0"/>
              <w:autoSpaceDE/>
              <w:autoSpaceDN/>
              <w:bidi w:val="0"/>
              <w:adjustRightInd/>
              <w:snapToGrid/>
              <w:ind w:firstLine="480"/>
              <w:jc w:val="both"/>
              <w:textAlignment w:val="auto"/>
              <w:rPr>
                <w:rFonts w:hint="eastAsia" w:ascii="Times New Roman" w:hAnsi="Times New Roman" w:eastAsia="宋体" w:cs="Times New Roman"/>
                <w:color w:val="auto"/>
                <w:spacing w:val="0"/>
                <w:sz w:val="24"/>
                <w:lang w:val="en-US" w:eastAsia="zh-CN"/>
              </w:rPr>
            </w:pPr>
            <w:r>
              <w:rPr>
                <w:rFonts w:hint="eastAsia" w:ascii="Times New Roman" w:hAnsi="Times New Roman" w:eastAsia="宋体" w:cs="Times New Roman"/>
                <w:color w:val="auto"/>
                <w:spacing w:val="0"/>
                <w:sz w:val="24"/>
                <w:lang w:val="en-US" w:eastAsia="zh-CN"/>
              </w:rPr>
              <w:t>按照《危险废物贮存污染控制标准》（GB18597</w:t>
            </w:r>
            <w:r>
              <w:rPr>
                <w:rFonts w:hint="eastAsia" w:ascii="Times New Roman" w:hAnsi="Times New Roman" w:eastAsia="宋体" w:cs="Times New Roman"/>
                <w:color w:val="auto"/>
                <w:spacing w:val="0"/>
                <w:sz w:val="24"/>
                <w:lang w:val="en-US" w:eastAsia="zh-CN"/>
              </w:rPr>
              <w:noBreakHyphen/>
            </w:r>
            <w:r>
              <w:rPr>
                <w:rFonts w:hint="eastAsia" w:ascii="Times New Roman" w:hAnsi="Times New Roman" w:eastAsia="宋体" w:cs="Times New Roman"/>
                <w:color w:val="auto"/>
                <w:spacing w:val="0"/>
                <w:sz w:val="24"/>
                <w:lang w:val="en-US" w:eastAsia="zh-CN"/>
              </w:rPr>
              <w:t>2023）和《环境影响评价技术导则地下水环境》（HJ610</w:t>
            </w:r>
            <w:r>
              <w:rPr>
                <w:rFonts w:hint="eastAsia" w:ascii="Times New Roman" w:hAnsi="Times New Roman" w:eastAsia="宋体" w:cs="Times New Roman"/>
                <w:color w:val="auto"/>
                <w:spacing w:val="0"/>
                <w:sz w:val="24"/>
                <w:lang w:val="en-US" w:eastAsia="zh-CN"/>
              </w:rPr>
              <w:noBreakHyphen/>
            </w:r>
            <w:r>
              <w:rPr>
                <w:rFonts w:hint="eastAsia" w:ascii="Times New Roman" w:hAnsi="Times New Roman" w:eastAsia="宋体" w:cs="Times New Roman"/>
                <w:color w:val="auto"/>
                <w:spacing w:val="0"/>
                <w:sz w:val="24"/>
                <w:lang w:val="en-US" w:eastAsia="zh-CN"/>
              </w:rPr>
              <w:t>2016）的要求做好分区防控，一般情况下应以水平防渗为主，对难以采取水平防渗的场地，可采用垂直防渗为主，局部水平防渗为辅的防控措施。加强环境管理。加强厂区巡检，对跑冒滴漏做到及时发现、及时控制；做好厂区危废贮存点地面防渗层的管理，防渗层破裂后及时补救、更换。</w:t>
            </w:r>
          </w:p>
          <w:p>
            <w:pPr>
              <w:keepNext w:val="0"/>
              <w:keepLines w:val="0"/>
              <w:pageBreakBefore w:val="0"/>
              <w:kinsoku/>
              <w:wordWrap/>
              <w:overflowPunct/>
              <w:topLinePunct w:val="0"/>
              <w:autoSpaceDE/>
              <w:autoSpaceDN/>
              <w:bidi w:val="0"/>
              <w:adjustRightInd/>
              <w:snapToGrid/>
              <w:ind w:firstLine="480"/>
              <w:jc w:val="both"/>
              <w:textAlignment w:val="auto"/>
              <w:rPr>
                <w:rFonts w:hint="eastAsia" w:ascii="Times New Roman" w:hAnsi="Times New Roman" w:eastAsia="宋体" w:cs="Times New Roman"/>
                <w:color w:val="auto"/>
                <w:spacing w:val="0"/>
                <w:sz w:val="24"/>
                <w:lang w:val="en-US" w:eastAsia="zh-CN"/>
              </w:rPr>
            </w:pPr>
            <w:r>
              <w:rPr>
                <w:rFonts w:hint="eastAsia" w:ascii="Times New Roman" w:hAnsi="Times New Roman" w:eastAsia="宋体" w:cs="Times New Roman"/>
                <w:color w:val="auto"/>
                <w:spacing w:val="0"/>
                <w:sz w:val="24"/>
                <w:lang w:val="en-US" w:eastAsia="zh-CN"/>
              </w:rPr>
              <w:t>④地表水环境风险防范措施</w:t>
            </w:r>
          </w:p>
          <w:p>
            <w:pPr>
              <w:keepNext w:val="0"/>
              <w:keepLines w:val="0"/>
              <w:pageBreakBefore w:val="0"/>
              <w:kinsoku/>
              <w:wordWrap/>
              <w:overflowPunct/>
              <w:topLinePunct w:val="0"/>
              <w:autoSpaceDE/>
              <w:autoSpaceDN/>
              <w:bidi w:val="0"/>
              <w:adjustRightInd/>
              <w:snapToGrid/>
              <w:ind w:firstLine="480"/>
              <w:jc w:val="both"/>
              <w:textAlignment w:val="auto"/>
              <w:rPr>
                <w:rFonts w:hint="eastAsia" w:ascii="Times New Roman" w:hAnsi="Times New Roman" w:eastAsia="宋体" w:cs="Times New Roman"/>
                <w:color w:val="auto"/>
                <w:spacing w:val="0"/>
                <w:sz w:val="24"/>
                <w:lang w:val="en-US" w:eastAsia="zh-CN"/>
              </w:rPr>
            </w:pPr>
            <w:r>
              <w:rPr>
                <w:rFonts w:hint="eastAsia" w:ascii="Times New Roman" w:hAnsi="Times New Roman" w:eastAsia="宋体" w:cs="Times New Roman"/>
                <w:color w:val="auto"/>
                <w:spacing w:val="0"/>
                <w:sz w:val="24"/>
                <w:lang w:val="en-US" w:eastAsia="zh-CN"/>
              </w:rPr>
              <w:t>危废贮存点内部设置防渗围堰；当危废贮存点发生物料和危废泄漏时，泄漏物被防渗围堰截留在危废贮存点内部，立即采取吸附棉、吸油毡等材料进行吸附，启用移动式应急抽油泵将泄漏废液抽入移动式密闭储存罐，以防泄漏至厂区外。厂区发生火灾事故时，因厂区可燃物只有废机油，工作人员采取灭火器进行灭火，无消防废水产生，无废水流出厂外污染地表水环境。</w:t>
            </w:r>
          </w:p>
          <w:p>
            <w:pPr>
              <w:keepNext w:val="0"/>
              <w:keepLines w:val="0"/>
              <w:pageBreakBefore w:val="0"/>
              <w:kinsoku/>
              <w:wordWrap/>
              <w:overflowPunct/>
              <w:topLinePunct w:val="0"/>
              <w:autoSpaceDE/>
              <w:autoSpaceDN/>
              <w:bidi w:val="0"/>
              <w:adjustRightInd/>
              <w:snapToGrid/>
              <w:ind w:firstLine="480"/>
              <w:jc w:val="both"/>
              <w:textAlignment w:val="auto"/>
              <w:rPr>
                <w:rFonts w:hint="eastAsia" w:ascii="Times New Roman" w:hAnsi="Times New Roman" w:eastAsia="宋体" w:cs="Times New Roman"/>
                <w:color w:val="auto"/>
                <w:spacing w:val="0"/>
                <w:sz w:val="24"/>
                <w:lang w:val="en-US" w:eastAsia="zh-CN"/>
              </w:rPr>
            </w:pPr>
            <w:r>
              <w:rPr>
                <w:rFonts w:hint="eastAsia" w:ascii="Times New Roman" w:hAnsi="Times New Roman" w:eastAsia="宋体" w:cs="Times New Roman"/>
                <w:color w:val="auto"/>
                <w:spacing w:val="0"/>
                <w:sz w:val="24"/>
                <w:lang w:val="en-US" w:eastAsia="zh-CN"/>
              </w:rPr>
              <w:t>⑤制定各项安全生产管理制度，并要求全体员工严格执行，具体制度如下：安全教育培训制度、工艺操作安全管理制度、生产要害岗位及重大危险源管理制度、物资储存管理制度、安全装置和防护用品管理制度、安全检修管理制度。</w:t>
            </w:r>
          </w:p>
          <w:p>
            <w:pPr>
              <w:keepNext w:val="0"/>
              <w:keepLines w:val="0"/>
              <w:pageBreakBefore w:val="0"/>
              <w:kinsoku/>
              <w:wordWrap/>
              <w:overflowPunct/>
              <w:topLinePunct w:val="0"/>
              <w:autoSpaceDE/>
              <w:autoSpaceDN/>
              <w:bidi w:val="0"/>
              <w:adjustRightInd/>
              <w:snapToGrid/>
              <w:ind w:firstLine="480"/>
              <w:jc w:val="both"/>
              <w:textAlignment w:val="auto"/>
              <w:rPr>
                <w:rFonts w:hint="eastAsia" w:ascii="Times New Roman" w:hAnsi="Times New Roman" w:eastAsia="宋体" w:cs="Times New Roman"/>
                <w:color w:val="auto"/>
                <w:spacing w:val="0"/>
                <w:sz w:val="24"/>
                <w:lang w:val="en-US" w:eastAsia="zh-CN"/>
              </w:rPr>
            </w:pPr>
            <w:r>
              <w:rPr>
                <w:rFonts w:hint="eastAsia" w:ascii="Times New Roman" w:hAnsi="Times New Roman" w:eastAsia="宋体" w:cs="Times New Roman"/>
                <w:color w:val="auto"/>
                <w:spacing w:val="0"/>
                <w:sz w:val="24"/>
                <w:lang w:val="en-US" w:eastAsia="zh-CN"/>
              </w:rPr>
              <w:t>⑥针对危废大量泄漏、堆场持续暴雨泥水外溢等重大事故情景，配套多级硬质阻隔、应急导排、移动式应急储存抽排工程，形成“源头封闭</w:t>
            </w:r>
            <w:r>
              <w:rPr>
                <w:rFonts w:hint="eastAsia" w:ascii="Times New Roman" w:hAnsi="Times New Roman" w:eastAsia="宋体" w:cs="Times New Roman"/>
                <w:color w:val="auto"/>
                <w:spacing w:val="0"/>
                <w:sz w:val="24"/>
                <w:lang w:val="en-US" w:eastAsia="zh-CN"/>
              </w:rPr>
              <w:noBreakHyphen/>
            </w:r>
            <w:r>
              <w:rPr>
                <w:rFonts w:hint="eastAsia" w:ascii="Times New Roman" w:hAnsi="Times New Roman" w:eastAsia="宋体" w:cs="Times New Roman"/>
                <w:color w:val="auto"/>
                <w:spacing w:val="0"/>
                <w:sz w:val="24"/>
                <w:lang w:val="en-US" w:eastAsia="zh-CN"/>
              </w:rPr>
              <w:t>中途截挡</w:t>
            </w:r>
            <w:r>
              <w:rPr>
                <w:rFonts w:hint="eastAsia" w:ascii="Times New Roman" w:hAnsi="Times New Roman" w:eastAsia="宋体" w:cs="Times New Roman"/>
                <w:color w:val="auto"/>
                <w:spacing w:val="0"/>
                <w:sz w:val="24"/>
                <w:lang w:val="en-US" w:eastAsia="zh-CN"/>
              </w:rPr>
              <w:noBreakHyphen/>
            </w:r>
            <w:r>
              <w:rPr>
                <w:rFonts w:hint="eastAsia" w:ascii="Times New Roman" w:hAnsi="Times New Roman" w:eastAsia="宋体" w:cs="Times New Roman"/>
                <w:color w:val="auto"/>
                <w:spacing w:val="0"/>
                <w:sz w:val="24"/>
                <w:lang w:val="en-US" w:eastAsia="zh-CN"/>
              </w:rPr>
              <w:t>末端移动式应急储存</w:t>
            </w:r>
            <w:r>
              <w:rPr>
                <w:rFonts w:hint="eastAsia" w:ascii="Times New Roman" w:hAnsi="Times New Roman" w:eastAsia="宋体" w:cs="Times New Roman"/>
                <w:color w:val="auto"/>
                <w:spacing w:val="0"/>
                <w:sz w:val="24"/>
                <w:lang w:val="en-US" w:eastAsia="zh-CN"/>
              </w:rPr>
              <w:noBreakHyphen/>
            </w:r>
            <w:r>
              <w:rPr>
                <w:rFonts w:hint="eastAsia" w:ascii="Times New Roman" w:hAnsi="Times New Roman" w:eastAsia="宋体" w:cs="Times New Roman"/>
                <w:color w:val="auto"/>
                <w:spacing w:val="0"/>
                <w:sz w:val="24"/>
                <w:lang w:val="en-US" w:eastAsia="zh-CN"/>
              </w:rPr>
              <w:t>应急抽排外运”四级闭环防控，防止污染物远距离扩散至开都河：</w:t>
            </w:r>
          </w:p>
          <w:p>
            <w:pPr>
              <w:keepNext w:val="0"/>
              <w:keepLines w:val="0"/>
              <w:pageBreakBefore w:val="0"/>
              <w:kinsoku/>
              <w:wordWrap/>
              <w:overflowPunct/>
              <w:topLinePunct w:val="0"/>
              <w:autoSpaceDE/>
              <w:autoSpaceDN/>
              <w:bidi w:val="0"/>
              <w:adjustRightInd/>
              <w:snapToGrid/>
              <w:ind w:firstLine="480"/>
              <w:jc w:val="both"/>
              <w:textAlignment w:val="auto"/>
              <w:rPr>
                <w:rFonts w:hint="eastAsia" w:ascii="Times New Roman" w:hAnsi="Times New Roman" w:eastAsia="宋体" w:cs="Times New Roman"/>
                <w:color w:val="auto"/>
                <w:spacing w:val="0"/>
                <w:sz w:val="24"/>
                <w:lang w:val="en-US" w:eastAsia="zh-CN"/>
              </w:rPr>
            </w:pPr>
            <w:r>
              <w:rPr>
                <w:rFonts w:hint="eastAsia" w:ascii="Times New Roman" w:hAnsi="Times New Roman" w:eastAsia="宋体" w:cs="Times New Roman"/>
                <w:color w:val="auto"/>
                <w:spacing w:val="0"/>
                <w:sz w:val="24"/>
                <w:lang w:val="en-US" w:eastAsia="zh-CN"/>
              </w:rPr>
              <w:t>1）厂区西侧物理隔离屏障：厂区临开都河一侧建设1.0m高硬质防渗挡水堤，基底设置防渗土工膜，作为全厂最后一道物理阻隔屏障；无论堆场、沉淀池、危废贮存点发生溢流、泄漏，污染物被挡水堤拦截在厂区用地红线内，阻止污染物向西扩散进入开都河56m缓冲带。</w:t>
            </w:r>
          </w:p>
          <w:p>
            <w:pPr>
              <w:keepNext w:val="0"/>
              <w:keepLines w:val="0"/>
              <w:pageBreakBefore w:val="0"/>
              <w:kinsoku/>
              <w:wordWrap/>
              <w:overflowPunct/>
              <w:topLinePunct w:val="0"/>
              <w:autoSpaceDE/>
              <w:autoSpaceDN/>
              <w:bidi w:val="0"/>
              <w:adjustRightInd/>
              <w:snapToGrid/>
              <w:ind w:firstLine="480"/>
              <w:jc w:val="both"/>
              <w:textAlignment w:val="auto"/>
              <w:rPr>
                <w:rFonts w:hint="eastAsia" w:ascii="Times New Roman" w:hAnsi="Times New Roman" w:eastAsia="宋体" w:cs="Times New Roman"/>
                <w:color w:val="auto"/>
                <w:spacing w:val="0"/>
                <w:sz w:val="24"/>
                <w:lang w:val="en-US" w:eastAsia="zh-CN"/>
              </w:rPr>
            </w:pPr>
            <w:r>
              <w:rPr>
                <w:rFonts w:hint="eastAsia" w:ascii="Times New Roman" w:hAnsi="Times New Roman" w:eastAsia="宋体" w:cs="Times New Roman"/>
                <w:color w:val="auto"/>
                <w:spacing w:val="0"/>
                <w:sz w:val="24"/>
                <w:lang w:val="en-US" w:eastAsia="zh-CN"/>
              </w:rPr>
              <w:t>2）重大事故专项应急物资配置：配置吸油毡、防渗沙袋、防渗薄膜、移动式应急抽水泵、防汛沙袋、移动式密闭储存罐等应急物资；物资定点存放、建立物资台账，每季度盘点，消耗物资72h内补齐。</w:t>
            </w:r>
          </w:p>
          <w:p>
            <w:pPr>
              <w:keepNext w:val="0"/>
              <w:keepLines w:val="0"/>
              <w:pageBreakBefore w:val="0"/>
              <w:kinsoku/>
              <w:wordWrap/>
              <w:overflowPunct/>
              <w:topLinePunct w:val="0"/>
              <w:autoSpaceDE/>
              <w:autoSpaceDN/>
              <w:bidi w:val="0"/>
              <w:adjustRightInd/>
              <w:snapToGrid/>
              <w:ind w:firstLine="480"/>
              <w:jc w:val="both"/>
              <w:textAlignment w:val="auto"/>
              <w:rPr>
                <w:rFonts w:hint="eastAsia" w:ascii="Times New Roman" w:hAnsi="Times New Roman" w:eastAsia="宋体" w:cs="Times New Roman"/>
                <w:color w:val="auto"/>
                <w:spacing w:val="0"/>
                <w:sz w:val="24"/>
                <w:lang w:val="en-US" w:eastAsia="zh-CN"/>
              </w:rPr>
            </w:pPr>
            <w:r>
              <w:rPr>
                <w:rFonts w:hint="eastAsia" w:ascii="Times New Roman" w:hAnsi="Times New Roman" w:eastAsia="宋体" w:cs="Times New Roman"/>
                <w:color w:val="auto"/>
                <w:spacing w:val="0"/>
                <w:sz w:val="24"/>
                <w:lang w:val="en-US" w:eastAsia="zh-CN"/>
              </w:rPr>
              <w:t>3）落实农业水污染重点管控单元专项管控要求：企业建立入湖风险专项台账，完整记录沉淀池运行、防渗层检修、汛期巡检、应急演练等资料；严格落实管控单元入湖防控硬性指标，确保厂区各类废水、泄漏物全部截留在厂区管控范围内，防止污染物汇入开都河进而输入博斯腾湖，防范工业污染源与区域农业面源污染形成叠加影响。</w:t>
            </w:r>
          </w:p>
          <w:p>
            <w:pPr>
              <w:keepNext w:val="0"/>
              <w:keepLines w:val="0"/>
              <w:pageBreakBefore w:val="0"/>
              <w:kinsoku/>
              <w:wordWrap/>
              <w:overflowPunct/>
              <w:topLinePunct w:val="0"/>
              <w:autoSpaceDE/>
              <w:autoSpaceDN/>
              <w:bidi w:val="0"/>
              <w:adjustRightInd/>
              <w:snapToGrid/>
              <w:ind w:firstLine="482"/>
              <w:jc w:val="both"/>
              <w:textAlignment w:val="auto"/>
              <w:rPr>
                <w:rFonts w:ascii="Times New Roman" w:hAnsi="Times New Roman" w:eastAsia="宋体" w:cs="Times New Roman"/>
                <w:b/>
                <w:bCs/>
                <w:color w:val="auto"/>
                <w:spacing w:val="0"/>
                <w:sz w:val="24"/>
              </w:rPr>
            </w:pPr>
            <w:r>
              <w:rPr>
                <w:rFonts w:hint="eastAsia" w:ascii="Times New Roman" w:hAnsi="Times New Roman" w:eastAsia="宋体" w:cs="Times New Roman"/>
                <w:b/>
                <w:bCs/>
                <w:color w:val="auto"/>
                <w:spacing w:val="0"/>
                <w:sz w:val="24"/>
                <w:lang w:val="en-US" w:eastAsia="zh-CN"/>
              </w:rPr>
              <w:t>7.5</w:t>
            </w:r>
            <w:r>
              <w:rPr>
                <w:rFonts w:hint="eastAsia" w:ascii="Times New Roman" w:hAnsi="Times New Roman" w:eastAsia="宋体" w:cs="Times New Roman"/>
                <w:b/>
                <w:bCs/>
                <w:color w:val="auto"/>
                <w:spacing w:val="0"/>
                <w:sz w:val="24"/>
              </w:rPr>
              <w:t>突发环境事件应急预案</w:t>
            </w:r>
          </w:p>
          <w:p>
            <w:pPr>
              <w:keepNext w:val="0"/>
              <w:keepLines w:val="0"/>
              <w:pageBreakBefore w:val="0"/>
              <w:kinsoku/>
              <w:wordWrap/>
              <w:overflowPunct/>
              <w:topLinePunct w:val="0"/>
              <w:autoSpaceDE/>
              <w:autoSpaceDN/>
              <w:bidi w:val="0"/>
              <w:adjustRightInd/>
              <w:snapToGrid/>
              <w:ind w:firstLine="482"/>
              <w:jc w:val="both"/>
              <w:textAlignment w:val="auto"/>
              <w:rPr>
                <w:rFonts w:ascii="Times New Roman" w:hAnsi="Times New Roman" w:eastAsia="宋体" w:cs="Times New Roman"/>
                <w:b w:val="0"/>
                <w:bCs w:val="0"/>
                <w:color w:val="auto"/>
                <w:spacing w:val="0"/>
                <w:sz w:val="24"/>
              </w:rPr>
            </w:pPr>
            <w:r>
              <w:rPr>
                <w:rFonts w:hint="eastAsia" w:ascii="Times New Roman" w:hAnsi="Times New Roman" w:eastAsia="宋体" w:cs="Times New Roman"/>
                <w:b w:val="0"/>
                <w:bCs w:val="0"/>
                <w:color w:val="auto"/>
                <w:spacing w:val="0"/>
                <w:sz w:val="24"/>
              </w:rPr>
              <w:t>为了在发生突发环境事件时，能够及时、有序、高效地实施抢险救援工作，最大限度地减少人员伤亡和财产损失，尽快恢复正常工作秩序，建设单位应完善全厂突发环境事件应急预案，并进行备案，并定期进行培训演练。</w:t>
            </w:r>
          </w:p>
          <w:p>
            <w:pPr>
              <w:pStyle w:val="454"/>
              <w:keepNext w:val="0"/>
              <w:keepLines w:val="0"/>
              <w:pageBreakBefore w:val="0"/>
              <w:kinsoku/>
              <w:wordWrap/>
              <w:overflowPunct/>
              <w:topLinePunct w:val="0"/>
              <w:autoSpaceDE/>
              <w:autoSpaceDN/>
              <w:bidi w:val="0"/>
              <w:adjustRightInd/>
              <w:snapToGrid/>
              <w:jc w:val="both"/>
              <w:textAlignment w:val="auto"/>
              <w:rPr>
                <w:rFonts w:hint="eastAsia"/>
                <w:color w:val="auto"/>
                <w:highlight w:val="none"/>
              </w:rPr>
            </w:pPr>
            <w:r>
              <w:rPr>
                <w:rFonts w:hint="eastAsia"/>
                <w:color w:val="auto"/>
                <w:highlight w:val="none"/>
              </w:rPr>
              <w:t>应急预案的主要内容见表</w:t>
            </w:r>
            <w:r>
              <w:rPr>
                <w:rFonts w:hint="eastAsia"/>
                <w:color w:val="auto"/>
                <w:highlight w:val="none"/>
                <w:lang w:val="en-US" w:eastAsia="zh-CN"/>
              </w:rPr>
              <w:t>4-16</w:t>
            </w:r>
            <w:r>
              <w:rPr>
                <w:rFonts w:hint="eastAsia"/>
                <w:color w:val="auto"/>
                <w:highlight w:val="none"/>
              </w:rPr>
              <w:t>。</w:t>
            </w:r>
          </w:p>
          <w:p>
            <w:pPr>
              <w:pStyle w:val="163"/>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宋体" w:cs="Times New Roman"/>
                <w:b/>
                <w:bCs/>
                <w:color w:val="auto"/>
                <w:spacing w:val="0"/>
                <w:sz w:val="21"/>
                <w:szCs w:val="21"/>
                <w:lang w:val="en-US" w:eastAsia="zh-CN" w:bidi="ar-SA"/>
              </w:rPr>
            </w:pPr>
            <w:r>
              <w:rPr>
                <w:rFonts w:hint="eastAsia" w:ascii="Times New Roman" w:hAnsi="Times New Roman" w:eastAsia="宋体" w:cs="Times New Roman"/>
                <w:b/>
                <w:bCs/>
                <w:color w:val="auto"/>
                <w:spacing w:val="0"/>
                <w:sz w:val="21"/>
                <w:szCs w:val="21"/>
                <w:lang w:val="en-US" w:eastAsia="zh-CN" w:bidi="ar-SA"/>
              </w:rPr>
              <w:t>表4-16  应急预案内容</w:t>
            </w:r>
          </w:p>
          <w:tbl>
            <w:tblPr>
              <w:tblStyle w:val="42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04"/>
              <w:gridCol w:w="1611"/>
              <w:gridCol w:w="5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81" w:type="pct"/>
                  <w:noWrap w:val="0"/>
                  <w:vAlign w:val="center"/>
                </w:tcPr>
                <w:p>
                  <w:pPr>
                    <w:pStyle w:val="460"/>
                    <w:bidi w:val="0"/>
                    <w:rPr>
                      <w:color w:val="auto"/>
                      <w:highlight w:val="none"/>
                      <w:lang w:val="en-US" w:eastAsia="en-US"/>
                    </w:rPr>
                  </w:pPr>
                  <w:r>
                    <w:rPr>
                      <w:color w:val="auto"/>
                      <w:highlight w:val="none"/>
                      <w:lang w:val="en-US" w:eastAsia="en-US"/>
                    </w:rPr>
                    <w:t>序号</w:t>
                  </w:r>
                </w:p>
              </w:tc>
              <w:tc>
                <w:tcPr>
                  <w:tcW w:w="1016" w:type="pct"/>
                  <w:noWrap w:val="0"/>
                  <w:vAlign w:val="center"/>
                </w:tcPr>
                <w:p>
                  <w:pPr>
                    <w:pStyle w:val="460"/>
                    <w:bidi w:val="0"/>
                    <w:rPr>
                      <w:color w:val="auto"/>
                      <w:highlight w:val="none"/>
                      <w:lang w:val="en-US" w:eastAsia="en-US"/>
                    </w:rPr>
                  </w:pPr>
                  <w:r>
                    <w:rPr>
                      <w:color w:val="auto"/>
                      <w:highlight w:val="none"/>
                      <w:lang w:val="en-US" w:eastAsia="en-US"/>
                    </w:rPr>
                    <w:t>项目</w:t>
                  </w:r>
                </w:p>
              </w:tc>
              <w:tc>
                <w:tcPr>
                  <w:tcW w:w="3602" w:type="pct"/>
                  <w:noWrap w:val="0"/>
                  <w:vAlign w:val="center"/>
                </w:tcPr>
                <w:p>
                  <w:pPr>
                    <w:pStyle w:val="460"/>
                    <w:bidi w:val="0"/>
                    <w:rPr>
                      <w:color w:val="auto"/>
                      <w:highlight w:val="none"/>
                      <w:lang w:val="en-US" w:eastAsia="en-US"/>
                    </w:rPr>
                  </w:pPr>
                  <w:r>
                    <w:rPr>
                      <w:color w:val="auto"/>
                      <w:highlight w:val="none"/>
                      <w:lang w:val="en-US" w:eastAsia="en-US"/>
                    </w:rPr>
                    <w:t>内容及要求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1" w:type="pct"/>
                  <w:noWrap w:val="0"/>
                  <w:vAlign w:val="center"/>
                </w:tcPr>
                <w:p>
                  <w:pPr>
                    <w:pStyle w:val="460"/>
                    <w:bidi w:val="0"/>
                    <w:rPr>
                      <w:color w:val="auto"/>
                      <w:highlight w:val="none"/>
                      <w:lang w:eastAsia="en-US"/>
                    </w:rPr>
                  </w:pPr>
                  <w:r>
                    <w:rPr>
                      <w:color w:val="auto"/>
                      <w:highlight w:val="none"/>
                      <w:lang w:eastAsia="en-US"/>
                    </w:rPr>
                    <w:t>1</w:t>
                  </w:r>
                </w:p>
              </w:tc>
              <w:tc>
                <w:tcPr>
                  <w:tcW w:w="1016" w:type="pct"/>
                  <w:noWrap w:val="0"/>
                  <w:vAlign w:val="center"/>
                </w:tcPr>
                <w:p>
                  <w:pPr>
                    <w:pStyle w:val="460"/>
                    <w:bidi w:val="0"/>
                    <w:rPr>
                      <w:color w:val="auto"/>
                      <w:highlight w:val="none"/>
                      <w:lang w:val="en-US" w:eastAsia="en-US"/>
                    </w:rPr>
                  </w:pPr>
                  <w:r>
                    <w:rPr>
                      <w:color w:val="auto"/>
                      <w:highlight w:val="none"/>
                      <w:lang w:val="en-US" w:eastAsia="en-US"/>
                    </w:rPr>
                    <w:t>应急计划区</w:t>
                  </w:r>
                </w:p>
              </w:tc>
              <w:tc>
                <w:tcPr>
                  <w:tcW w:w="3602" w:type="pct"/>
                  <w:noWrap w:val="0"/>
                  <w:vAlign w:val="center"/>
                </w:tcPr>
                <w:p>
                  <w:pPr>
                    <w:pStyle w:val="460"/>
                    <w:bidi w:val="0"/>
                    <w:rPr>
                      <w:color w:val="auto"/>
                      <w:highlight w:val="none"/>
                      <w:lang w:val="en-US" w:eastAsia="en-US"/>
                    </w:rPr>
                  </w:pPr>
                  <w:r>
                    <w:rPr>
                      <w:color w:val="auto"/>
                      <w:highlight w:val="none"/>
                      <w:lang w:val="en-US" w:eastAsia="en-US"/>
                    </w:rPr>
                    <w:t>危险目标：生产厂区</w:t>
                  </w:r>
                </w:p>
                <w:p>
                  <w:pPr>
                    <w:pStyle w:val="460"/>
                    <w:bidi w:val="0"/>
                    <w:rPr>
                      <w:rFonts w:hint="eastAsia" w:eastAsia="宋体"/>
                      <w:color w:val="auto"/>
                      <w:highlight w:val="none"/>
                      <w:lang w:val="en-US" w:eastAsia="zh-CN"/>
                    </w:rPr>
                  </w:pPr>
                  <w:r>
                    <w:rPr>
                      <w:color w:val="auto"/>
                      <w:highlight w:val="none"/>
                      <w:lang w:val="en-US" w:eastAsia="en-US"/>
                    </w:rPr>
                    <w:t>环境保护目标：</w:t>
                  </w:r>
                  <w:r>
                    <w:rPr>
                      <w:rFonts w:hint="eastAsia"/>
                      <w:color w:val="auto"/>
                      <w:highlight w:val="none"/>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1" w:type="pct"/>
                  <w:noWrap w:val="0"/>
                  <w:vAlign w:val="center"/>
                </w:tcPr>
                <w:p>
                  <w:pPr>
                    <w:pStyle w:val="460"/>
                    <w:bidi w:val="0"/>
                    <w:rPr>
                      <w:color w:val="auto"/>
                      <w:highlight w:val="none"/>
                      <w:lang w:eastAsia="en-US"/>
                    </w:rPr>
                  </w:pPr>
                  <w:r>
                    <w:rPr>
                      <w:color w:val="auto"/>
                      <w:highlight w:val="none"/>
                      <w:lang w:eastAsia="en-US"/>
                    </w:rPr>
                    <w:t>2</w:t>
                  </w:r>
                </w:p>
              </w:tc>
              <w:tc>
                <w:tcPr>
                  <w:tcW w:w="1016" w:type="pct"/>
                  <w:noWrap w:val="0"/>
                  <w:vAlign w:val="center"/>
                </w:tcPr>
                <w:p>
                  <w:pPr>
                    <w:pStyle w:val="460"/>
                    <w:bidi w:val="0"/>
                    <w:rPr>
                      <w:color w:val="auto"/>
                      <w:highlight w:val="none"/>
                      <w:lang w:val="en-US" w:eastAsia="en-US"/>
                    </w:rPr>
                  </w:pPr>
                  <w:r>
                    <w:rPr>
                      <w:color w:val="auto"/>
                      <w:highlight w:val="none"/>
                      <w:lang w:val="en-US" w:eastAsia="en-US"/>
                    </w:rPr>
                    <w:t>应急组织机构、人员</w:t>
                  </w:r>
                </w:p>
              </w:tc>
              <w:tc>
                <w:tcPr>
                  <w:tcW w:w="3602" w:type="pct"/>
                  <w:noWrap w:val="0"/>
                  <w:vAlign w:val="center"/>
                </w:tcPr>
                <w:p>
                  <w:pPr>
                    <w:pStyle w:val="460"/>
                    <w:bidi w:val="0"/>
                    <w:rPr>
                      <w:color w:val="auto"/>
                      <w:highlight w:val="none"/>
                      <w:lang w:val="en-US" w:eastAsia="en-US"/>
                    </w:rPr>
                  </w:pPr>
                  <w:r>
                    <w:rPr>
                      <w:color w:val="auto"/>
                      <w:highlight w:val="none"/>
                      <w:lang w:val="en-US" w:eastAsia="en-US"/>
                    </w:rPr>
                    <w:t>公司设置应急组织机构，厂长为总负责人，各部门和基层单位应急负责人为本单位为应急计划、协调第一责任人，应急人员必须为培训上岗熟练工；区域应急组织结构由当地政府、相关行业专家、卫生安全相关单位组成，并由当地政府进行统一调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81" w:type="pct"/>
                  <w:noWrap w:val="0"/>
                  <w:vAlign w:val="center"/>
                </w:tcPr>
                <w:p>
                  <w:pPr>
                    <w:pStyle w:val="460"/>
                    <w:bidi w:val="0"/>
                    <w:rPr>
                      <w:color w:val="auto"/>
                      <w:highlight w:val="none"/>
                      <w:lang w:eastAsia="en-US"/>
                    </w:rPr>
                  </w:pPr>
                  <w:r>
                    <w:rPr>
                      <w:color w:val="auto"/>
                      <w:highlight w:val="none"/>
                      <w:lang w:eastAsia="en-US"/>
                    </w:rPr>
                    <w:t>3</w:t>
                  </w:r>
                </w:p>
              </w:tc>
              <w:tc>
                <w:tcPr>
                  <w:tcW w:w="1016" w:type="pct"/>
                  <w:noWrap w:val="0"/>
                  <w:vAlign w:val="center"/>
                </w:tcPr>
                <w:p>
                  <w:pPr>
                    <w:pStyle w:val="460"/>
                    <w:bidi w:val="0"/>
                    <w:rPr>
                      <w:color w:val="auto"/>
                      <w:highlight w:val="none"/>
                      <w:lang w:val="en-US" w:eastAsia="en-US"/>
                    </w:rPr>
                  </w:pPr>
                  <w:r>
                    <w:rPr>
                      <w:color w:val="auto"/>
                      <w:highlight w:val="none"/>
                      <w:lang w:val="en-US" w:eastAsia="en-US"/>
                    </w:rPr>
                    <w:t>预案分级响应条件</w:t>
                  </w:r>
                </w:p>
              </w:tc>
              <w:tc>
                <w:tcPr>
                  <w:tcW w:w="3602" w:type="pct"/>
                  <w:noWrap w:val="0"/>
                  <w:vAlign w:val="center"/>
                </w:tcPr>
                <w:p>
                  <w:pPr>
                    <w:pStyle w:val="460"/>
                    <w:bidi w:val="0"/>
                    <w:rPr>
                      <w:color w:val="auto"/>
                      <w:highlight w:val="none"/>
                      <w:lang w:val="en-US" w:eastAsia="en-US"/>
                    </w:rPr>
                  </w:pPr>
                  <w:r>
                    <w:rPr>
                      <w:color w:val="auto"/>
                      <w:highlight w:val="none"/>
                      <w:lang w:val="en-US" w:eastAsia="en-US"/>
                    </w:rPr>
                    <w:t>根据事故险情的严重程度制定相应级别的应急预案及适合的处理措施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81" w:type="pct"/>
                  <w:noWrap w:val="0"/>
                  <w:vAlign w:val="center"/>
                </w:tcPr>
                <w:p>
                  <w:pPr>
                    <w:pStyle w:val="460"/>
                    <w:bidi w:val="0"/>
                    <w:rPr>
                      <w:color w:val="auto"/>
                      <w:highlight w:val="none"/>
                      <w:lang w:eastAsia="en-US"/>
                    </w:rPr>
                  </w:pPr>
                  <w:r>
                    <w:rPr>
                      <w:color w:val="auto"/>
                      <w:highlight w:val="none"/>
                      <w:lang w:eastAsia="en-US"/>
                    </w:rPr>
                    <w:t>4</w:t>
                  </w:r>
                </w:p>
              </w:tc>
              <w:tc>
                <w:tcPr>
                  <w:tcW w:w="1016" w:type="pct"/>
                  <w:noWrap w:val="0"/>
                  <w:vAlign w:val="center"/>
                </w:tcPr>
                <w:p>
                  <w:pPr>
                    <w:pStyle w:val="460"/>
                    <w:bidi w:val="0"/>
                    <w:rPr>
                      <w:color w:val="auto"/>
                      <w:highlight w:val="none"/>
                      <w:lang w:val="en-US" w:eastAsia="en-US"/>
                    </w:rPr>
                  </w:pPr>
                  <w:r>
                    <w:rPr>
                      <w:color w:val="auto"/>
                      <w:highlight w:val="none"/>
                      <w:lang w:val="en-US" w:eastAsia="en-US"/>
                    </w:rPr>
                    <w:t>应急救援保障</w:t>
                  </w:r>
                </w:p>
              </w:tc>
              <w:tc>
                <w:tcPr>
                  <w:tcW w:w="3602" w:type="pct"/>
                  <w:noWrap w:val="0"/>
                  <w:vAlign w:val="center"/>
                </w:tcPr>
                <w:p>
                  <w:pPr>
                    <w:pStyle w:val="460"/>
                    <w:bidi w:val="0"/>
                    <w:rPr>
                      <w:color w:val="auto"/>
                      <w:highlight w:val="none"/>
                      <w:lang w:val="en-US" w:eastAsia="en-US"/>
                    </w:rPr>
                  </w:pPr>
                  <w:r>
                    <w:rPr>
                      <w:color w:val="auto"/>
                      <w:highlight w:val="none"/>
                      <w:lang w:val="en-US" w:eastAsia="en-US"/>
                    </w:rPr>
                    <w:t>各装置应配备相应数量的基本的灭火器等，凡是与有毒气体相关的装置配备了氧呼或空呼设备。应急设备设施的管理具体执行《生产车间应急装备物资管理规定》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81" w:type="pct"/>
                  <w:noWrap w:val="0"/>
                  <w:vAlign w:val="center"/>
                </w:tcPr>
                <w:p>
                  <w:pPr>
                    <w:pStyle w:val="460"/>
                    <w:bidi w:val="0"/>
                    <w:rPr>
                      <w:color w:val="auto"/>
                      <w:highlight w:val="none"/>
                      <w:lang w:eastAsia="en-US"/>
                    </w:rPr>
                  </w:pPr>
                  <w:r>
                    <w:rPr>
                      <w:color w:val="auto"/>
                      <w:highlight w:val="none"/>
                      <w:lang w:eastAsia="en-US"/>
                    </w:rPr>
                    <w:t>5</w:t>
                  </w:r>
                </w:p>
              </w:tc>
              <w:tc>
                <w:tcPr>
                  <w:tcW w:w="1016" w:type="pct"/>
                  <w:noWrap w:val="0"/>
                  <w:vAlign w:val="center"/>
                </w:tcPr>
                <w:p>
                  <w:pPr>
                    <w:pStyle w:val="460"/>
                    <w:bidi w:val="0"/>
                    <w:rPr>
                      <w:color w:val="auto"/>
                      <w:highlight w:val="none"/>
                      <w:lang w:val="en-US" w:eastAsia="en-US"/>
                    </w:rPr>
                  </w:pPr>
                  <w:r>
                    <w:rPr>
                      <w:color w:val="auto"/>
                      <w:highlight w:val="none"/>
                      <w:lang w:val="en-US" w:eastAsia="en-US"/>
                    </w:rPr>
                    <w:t>报警、通讯联络方式</w:t>
                  </w:r>
                </w:p>
              </w:tc>
              <w:tc>
                <w:tcPr>
                  <w:tcW w:w="3602" w:type="pct"/>
                  <w:noWrap w:val="0"/>
                  <w:vAlign w:val="center"/>
                </w:tcPr>
                <w:p>
                  <w:pPr>
                    <w:pStyle w:val="460"/>
                    <w:bidi w:val="0"/>
                    <w:rPr>
                      <w:color w:val="auto"/>
                      <w:highlight w:val="none"/>
                      <w:lang w:val="en-US" w:eastAsia="en-US"/>
                    </w:rPr>
                  </w:pPr>
                  <w:r>
                    <w:rPr>
                      <w:color w:val="auto"/>
                      <w:highlight w:val="none"/>
                      <w:lang w:val="en-US" w:eastAsia="en-US"/>
                    </w:rPr>
                    <w:t>逐一细化应急状态下各主要负责部门的报警通讯方式、地点、电话号码以及相关配套的交通保障、管制、消防联络方法，及时通报事故处理情况，以获得区域性支援。同时充分重视并发挥</w:t>
                  </w:r>
                  <w:r>
                    <w:rPr>
                      <w:rFonts w:hint="eastAsia"/>
                      <w:color w:val="auto"/>
                      <w:highlight w:val="none"/>
                      <w:lang w:val="en-US" w:eastAsia="zh-CN"/>
                    </w:rPr>
                    <w:t>媒体</w:t>
                  </w:r>
                  <w:r>
                    <w:rPr>
                      <w:color w:val="auto"/>
                      <w:highlight w:val="none"/>
                      <w:lang w:val="en-US" w:eastAsia="en-US"/>
                    </w:rPr>
                    <w:t>的作用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81" w:type="pct"/>
                  <w:noWrap w:val="0"/>
                  <w:vAlign w:val="center"/>
                </w:tcPr>
                <w:p>
                  <w:pPr>
                    <w:pStyle w:val="460"/>
                    <w:bidi w:val="0"/>
                    <w:rPr>
                      <w:color w:val="auto"/>
                      <w:highlight w:val="none"/>
                      <w:lang w:eastAsia="en-US"/>
                    </w:rPr>
                  </w:pPr>
                  <w:r>
                    <w:rPr>
                      <w:color w:val="auto"/>
                      <w:highlight w:val="none"/>
                      <w:lang w:eastAsia="en-US"/>
                    </w:rPr>
                    <w:t>6</w:t>
                  </w:r>
                </w:p>
              </w:tc>
              <w:tc>
                <w:tcPr>
                  <w:tcW w:w="1016" w:type="pct"/>
                  <w:noWrap w:val="0"/>
                  <w:vAlign w:val="center"/>
                </w:tcPr>
                <w:p>
                  <w:pPr>
                    <w:pStyle w:val="460"/>
                    <w:bidi w:val="0"/>
                    <w:rPr>
                      <w:color w:val="auto"/>
                      <w:highlight w:val="none"/>
                      <w:lang w:val="en-US" w:eastAsia="en-US"/>
                    </w:rPr>
                  </w:pPr>
                  <w:r>
                    <w:rPr>
                      <w:color w:val="auto"/>
                      <w:highlight w:val="none"/>
                      <w:lang w:val="en-US" w:eastAsia="en-US"/>
                    </w:rPr>
                    <w:t>应急环境监测、抢险、救援及控制措施</w:t>
                  </w:r>
                </w:p>
              </w:tc>
              <w:tc>
                <w:tcPr>
                  <w:tcW w:w="3602" w:type="pct"/>
                  <w:noWrap w:val="0"/>
                  <w:vAlign w:val="center"/>
                </w:tcPr>
                <w:p>
                  <w:pPr>
                    <w:pStyle w:val="460"/>
                    <w:bidi w:val="0"/>
                    <w:rPr>
                      <w:color w:val="auto"/>
                      <w:highlight w:val="none"/>
                      <w:lang w:val="en-US" w:eastAsia="en-US"/>
                    </w:rPr>
                  </w:pPr>
                  <w:r>
                    <w:rPr>
                      <w:color w:val="auto"/>
                      <w:highlight w:val="none"/>
                      <w:lang w:val="en-US" w:eastAsia="en-US"/>
                    </w:rPr>
                    <w:t>组织专业队伍负责对事故现场进行侦察监测，对事故性质、参数与后果进行评估</w:t>
                  </w:r>
                  <w:r>
                    <w:rPr>
                      <w:rFonts w:hint="eastAsia"/>
                      <w:color w:val="auto"/>
                      <w:highlight w:val="none"/>
                      <w:lang w:val="en-US" w:eastAsia="zh-CN"/>
                    </w:rPr>
                    <w:t>，</w:t>
                  </w:r>
                  <w:r>
                    <w:rPr>
                      <w:color w:val="auto"/>
                      <w:highlight w:val="none"/>
                      <w:lang w:val="en-US" w:eastAsia="en-US"/>
                    </w:rPr>
                    <w:t>为指挥部门提供决策依据。严格规定事故多发区、事故现场、邻近区域、控制防火区域设置控制和清除污染措施及相应设备的数量、使用方法、使用人员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81" w:type="pct"/>
                  <w:noWrap w:val="0"/>
                  <w:vAlign w:val="center"/>
                </w:tcPr>
                <w:p>
                  <w:pPr>
                    <w:pStyle w:val="460"/>
                    <w:bidi w:val="0"/>
                    <w:rPr>
                      <w:color w:val="auto"/>
                      <w:highlight w:val="none"/>
                      <w:lang w:eastAsia="en-US"/>
                    </w:rPr>
                  </w:pPr>
                  <w:r>
                    <w:rPr>
                      <w:color w:val="auto"/>
                      <w:highlight w:val="none"/>
                      <w:lang w:eastAsia="en-US"/>
                    </w:rPr>
                    <w:t>7</w:t>
                  </w:r>
                </w:p>
              </w:tc>
              <w:tc>
                <w:tcPr>
                  <w:tcW w:w="1016" w:type="pct"/>
                  <w:noWrap w:val="0"/>
                  <w:vAlign w:val="center"/>
                </w:tcPr>
                <w:p>
                  <w:pPr>
                    <w:pStyle w:val="460"/>
                    <w:bidi w:val="0"/>
                    <w:rPr>
                      <w:color w:val="auto"/>
                      <w:highlight w:val="none"/>
                      <w:lang w:val="en-US" w:eastAsia="en-US"/>
                    </w:rPr>
                  </w:pPr>
                  <w:r>
                    <w:rPr>
                      <w:color w:val="auto"/>
                      <w:highlight w:val="none"/>
                      <w:lang w:val="en-US" w:eastAsia="en-US"/>
                    </w:rPr>
                    <w:t>应急检测、防护措施、清除泄漏措施和器材</w:t>
                  </w:r>
                </w:p>
              </w:tc>
              <w:tc>
                <w:tcPr>
                  <w:tcW w:w="3602" w:type="pct"/>
                  <w:noWrap w:val="0"/>
                  <w:vAlign w:val="center"/>
                </w:tcPr>
                <w:p>
                  <w:pPr>
                    <w:pStyle w:val="460"/>
                    <w:bidi w:val="0"/>
                    <w:rPr>
                      <w:color w:val="auto"/>
                      <w:highlight w:val="none"/>
                      <w:lang w:val="en-US" w:eastAsia="en-US"/>
                    </w:rPr>
                  </w:pPr>
                  <w:r>
                    <w:rPr>
                      <w:color w:val="auto"/>
                      <w:highlight w:val="none"/>
                      <w:lang w:val="en-US" w:eastAsia="en-US"/>
                    </w:rPr>
                    <w:t>事故现场、邻近区域、控制防火区域，控制和清除污染措施及相应设备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81" w:type="pct"/>
                  <w:noWrap w:val="0"/>
                  <w:vAlign w:val="center"/>
                </w:tcPr>
                <w:p>
                  <w:pPr>
                    <w:pStyle w:val="460"/>
                    <w:bidi w:val="0"/>
                    <w:rPr>
                      <w:color w:val="auto"/>
                      <w:highlight w:val="none"/>
                      <w:lang w:eastAsia="en-US"/>
                    </w:rPr>
                  </w:pPr>
                  <w:r>
                    <w:rPr>
                      <w:color w:val="auto"/>
                      <w:highlight w:val="none"/>
                      <w:lang w:eastAsia="en-US"/>
                    </w:rPr>
                    <w:t>8</w:t>
                  </w:r>
                </w:p>
              </w:tc>
              <w:tc>
                <w:tcPr>
                  <w:tcW w:w="1016" w:type="pct"/>
                  <w:noWrap w:val="0"/>
                  <w:vAlign w:val="center"/>
                </w:tcPr>
                <w:p>
                  <w:pPr>
                    <w:pStyle w:val="460"/>
                    <w:bidi w:val="0"/>
                    <w:rPr>
                      <w:color w:val="auto"/>
                      <w:highlight w:val="none"/>
                      <w:lang w:val="en-US" w:eastAsia="en-US"/>
                    </w:rPr>
                  </w:pPr>
                  <w:r>
                    <w:rPr>
                      <w:color w:val="auto"/>
                      <w:highlight w:val="none"/>
                      <w:lang w:val="en-US" w:eastAsia="en-US"/>
                    </w:rPr>
                    <w:t>人员紧急撤离、疏散，应急剂量控制、撤离组织计划</w:t>
                  </w:r>
                </w:p>
              </w:tc>
              <w:tc>
                <w:tcPr>
                  <w:tcW w:w="3602" w:type="pct"/>
                  <w:noWrap w:val="0"/>
                  <w:vAlign w:val="center"/>
                </w:tcPr>
                <w:p>
                  <w:pPr>
                    <w:pStyle w:val="460"/>
                    <w:bidi w:val="0"/>
                    <w:rPr>
                      <w:color w:val="auto"/>
                      <w:highlight w:val="none"/>
                      <w:lang w:val="en-US" w:eastAsia="en-US"/>
                    </w:rPr>
                  </w:pPr>
                  <w:r>
                    <w:rPr>
                      <w:color w:val="auto"/>
                      <w:highlight w:val="none"/>
                      <w:lang w:val="en-US" w:eastAsia="en-US"/>
                    </w:rPr>
                    <w:t>事故现场、工厂邻近</w:t>
                  </w:r>
                  <w:r>
                    <w:rPr>
                      <w:rFonts w:hint="eastAsia"/>
                      <w:color w:val="auto"/>
                      <w:highlight w:val="none"/>
                      <w:lang w:val="en-US" w:eastAsia="zh-CN"/>
                    </w:rPr>
                    <w:t>区域</w:t>
                  </w:r>
                  <w:r>
                    <w:rPr>
                      <w:color w:val="auto"/>
                      <w:highlight w:val="none"/>
                      <w:lang w:val="en-US" w:eastAsia="en-US"/>
                    </w:rPr>
                    <w:t>、受事故影响的区域人员及公众对有毒有害物质应急剂量控制规定，制定紧急撤离组织计划和救护，医疗救护与公众健康。根据厂内风向标，判断事故气体扩散的方向，制定逃生路线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81" w:type="pct"/>
                  <w:noWrap w:val="0"/>
                  <w:vAlign w:val="center"/>
                </w:tcPr>
                <w:p>
                  <w:pPr>
                    <w:pStyle w:val="460"/>
                    <w:bidi w:val="0"/>
                    <w:rPr>
                      <w:color w:val="auto"/>
                      <w:highlight w:val="none"/>
                      <w:lang w:eastAsia="en-US"/>
                    </w:rPr>
                  </w:pPr>
                  <w:r>
                    <w:rPr>
                      <w:color w:val="auto"/>
                      <w:highlight w:val="none"/>
                      <w:lang w:eastAsia="en-US"/>
                    </w:rPr>
                    <w:t>9</w:t>
                  </w:r>
                </w:p>
              </w:tc>
              <w:tc>
                <w:tcPr>
                  <w:tcW w:w="1016" w:type="pct"/>
                  <w:noWrap w:val="0"/>
                  <w:vAlign w:val="center"/>
                </w:tcPr>
                <w:p>
                  <w:pPr>
                    <w:pStyle w:val="460"/>
                    <w:bidi w:val="0"/>
                    <w:rPr>
                      <w:color w:val="auto"/>
                      <w:highlight w:val="none"/>
                      <w:lang w:val="en-US" w:eastAsia="en-US"/>
                    </w:rPr>
                  </w:pPr>
                  <w:r>
                    <w:rPr>
                      <w:color w:val="auto"/>
                      <w:highlight w:val="none"/>
                      <w:lang w:val="en-US" w:eastAsia="en-US"/>
                    </w:rPr>
                    <w:t>事故应急救援关闭程序与恢复措施</w:t>
                  </w:r>
                </w:p>
              </w:tc>
              <w:tc>
                <w:tcPr>
                  <w:tcW w:w="3602" w:type="pct"/>
                  <w:noWrap w:val="0"/>
                  <w:vAlign w:val="center"/>
                </w:tcPr>
                <w:p>
                  <w:pPr>
                    <w:pStyle w:val="460"/>
                    <w:bidi w:val="0"/>
                    <w:rPr>
                      <w:color w:val="auto"/>
                      <w:highlight w:val="none"/>
                      <w:lang w:val="en-US" w:eastAsia="en-US"/>
                    </w:rPr>
                  </w:pPr>
                  <w:r>
                    <w:rPr>
                      <w:color w:val="auto"/>
                      <w:highlight w:val="none"/>
                      <w:lang w:val="en-US" w:eastAsia="en-US"/>
                    </w:rPr>
                    <w:t>制定相关应急状态终止程序，事故现场、受影响范围内的善后处理、恢复措施，邻近区域解除事故警戒及善后恢复措施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81" w:type="pct"/>
                  <w:noWrap w:val="0"/>
                  <w:vAlign w:val="center"/>
                </w:tcPr>
                <w:p>
                  <w:pPr>
                    <w:pStyle w:val="460"/>
                    <w:bidi w:val="0"/>
                    <w:rPr>
                      <w:color w:val="auto"/>
                      <w:highlight w:val="none"/>
                      <w:lang w:eastAsia="en-US"/>
                    </w:rPr>
                  </w:pPr>
                  <w:r>
                    <w:rPr>
                      <w:color w:val="auto"/>
                      <w:highlight w:val="none"/>
                      <w:lang w:eastAsia="en-US"/>
                    </w:rPr>
                    <w:t>10</w:t>
                  </w:r>
                </w:p>
              </w:tc>
              <w:tc>
                <w:tcPr>
                  <w:tcW w:w="1016" w:type="pct"/>
                  <w:noWrap w:val="0"/>
                  <w:vAlign w:val="center"/>
                </w:tcPr>
                <w:p>
                  <w:pPr>
                    <w:pStyle w:val="460"/>
                    <w:bidi w:val="0"/>
                    <w:rPr>
                      <w:color w:val="auto"/>
                      <w:highlight w:val="none"/>
                      <w:lang w:val="en-US" w:eastAsia="en-US"/>
                    </w:rPr>
                  </w:pPr>
                  <w:r>
                    <w:rPr>
                      <w:color w:val="auto"/>
                      <w:highlight w:val="none"/>
                      <w:lang w:val="en-US" w:eastAsia="en-US"/>
                    </w:rPr>
                    <w:t>应急培训计划</w:t>
                  </w:r>
                </w:p>
              </w:tc>
              <w:tc>
                <w:tcPr>
                  <w:tcW w:w="3602" w:type="pct"/>
                  <w:noWrap w:val="0"/>
                  <w:vAlign w:val="center"/>
                </w:tcPr>
                <w:p>
                  <w:pPr>
                    <w:pStyle w:val="460"/>
                    <w:bidi w:val="0"/>
                    <w:rPr>
                      <w:color w:val="auto"/>
                      <w:highlight w:val="none"/>
                      <w:lang w:val="en-US" w:eastAsia="en-US"/>
                    </w:rPr>
                  </w:pPr>
                  <w:r>
                    <w:rPr>
                      <w:color w:val="auto"/>
                      <w:highlight w:val="none"/>
                      <w:lang w:val="en-US" w:eastAsia="en-US"/>
                    </w:rPr>
                    <w:t>定期安排有关人员进行培训与演练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81" w:type="pct"/>
                  <w:noWrap w:val="0"/>
                  <w:vAlign w:val="center"/>
                </w:tcPr>
                <w:p>
                  <w:pPr>
                    <w:pStyle w:val="460"/>
                    <w:bidi w:val="0"/>
                    <w:rPr>
                      <w:color w:val="auto"/>
                      <w:highlight w:val="none"/>
                      <w:lang w:eastAsia="en-US"/>
                    </w:rPr>
                  </w:pPr>
                  <w:r>
                    <w:rPr>
                      <w:color w:val="auto"/>
                      <w:highlight w:val="none"/>
                      <w:lang w:eastAsia="en-US"/>
                    </w:rPr>
                    <w:t>11</w:t>
                  </w:r>
                </w:p>
              </w:tc>
              <w:tc>
                <w:tcPr>
                  <w:tcW w:w="1016" w:type="pct"/>
                  <w:noWrap w:val="0"/>
                  <w:vAlign w:val="center"/>
                </w:tcPr>
                <w:p>
                  <w:pPr>
                    <w:pStyle w:val="460"/>
                    <w:bidi w:val="0"/>
                    <w:rPr>
                      <w:color w:val="auto"/>
                      <w:highlight w:val="none"/>
                      <w:lang w:val="en-US" w:eastAsia="en-US"/>
                    </w:rPr>
                  </w:pPr>
                  <w:r>
                    <w:rPr>
                      <w:color w:val="auto"/>
                      <w:highlight w:val="none"/>
                      <w:lang w:val="en-US" w:eastAsia="en-US"/>
                    </w:rPr>
                    <w:t>公众教育和信息</w:t>
                  </w:r>
                </w:p>
              </w:tc>
              <w:tc>
                <w:tcPr>
                  <w:tcW w:w="3602" w:type="pct"/>
                  <w:noWrap w:val="0"/>
                  <w:vAlign w:val="center"/>
                </w:tcPr>
                <w:p>
                  <w:pPr>
                    <w:pStyle w:val="460"/>
                    <w:bidi w:val="0"/>
                    <w:rPr>
                      <w:color w:val="auto"/>
                      <w:highlight w:val="none"/>
                      <w:lang w:val="en-US" w:eastAsia="en-US"/>
                    </w:rPr>
                  </w:pPr>
                  <w:r>
                    <w:rPr>
                      <w:color w:val="auto"/>
                      <w:highlight w:val="none"/>
                      <w:lang w:val="en-US" w:eastAsia="en-US"/>
                    </w:rPr>
                    <w:t>对工厂邻近地区开展公众教育、培训和发布有关信息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81" w:type="pct"/>
                  <w:noWrap w:val="0"/>
                  <w:vAlign w:val="center"/>
                </w:tcPr>
                <w:p>
                  <w:pPr>
                    <w:pStyle w:val="460"/>
                    <w:bidi w:val="0"/>
                    <w:rPr>
                      <w:color w:val="auto"/>
                      <w:highlight w:val="none"/>
                      <w:lang w:eastAsia="en-US"/>
                    </w:rPr>
                  </w:pPr>
                  <w:r>
                    <w:rPr>
                      <w:color w:val="auto"/>
                      <w:highlight w:val="none"/>
                      <w:lang w:eastAsia="en-US"/>
                    </w:rPr>
                    <w:t>12</w:t>
                  </w:r>
                </w:p>
              </w:tc>
              <w:tc>
                <w:tcPr>
                  <w:tcW w:w="1016" w:type="pct"/>
                  <w:noWrap w:val="0"/>
                  <w:vAlign w:val="center"/>
                </w:tcPr>
                <w:p>
                  <w:pPr>
                    <w:pStyle w:val="460"/>
                    <w:bidi w:val="0"/>
                    <w:rPr>
                      <w:color w:val="auto"/>
                      <w:highlight w:val="none"/>
                      <w:lang w:val="en-US" w:eastAsia="en-US"/>
                    </w:rPr>
                  </w:pPr>
                  <w:r>
                    <w:rPr>
                      <w:color w:val="auto"/>
                      <w:highlight w:val="none"/>
                      <w:lang w:val="en-US" w:eastAsia="en-US"/>
                    </w:rPr>
                    <w:t>事故恢复措施</w:t>
                  </w:r>
                </w:p>
              </w:tc>
              <w:tc>
                <w:tcPr>
                  <w:tcW w:w="3602" w:type="pct"/>
                  <w:noWrap w:val="0"/>
                  <w:vAlign w:val="center"/>
                </w:tcPr>
                <w:p>
                  <w:pPr>
                    <w:pStyle w:val="460"/>
                    <w:bidi w:val="0"/>
                    <w:rPr>
                      <w:color w:val="auto"/>
                      <w:highlight w:val="none"/>
                      <w:lang w:val="en-US" w:eastAsia="en-US"/>
                    </w:rPr>
                  </w:pPr>
                  <w:r>
                    <w:rPr>
                      <w:color w:val="auto"/>
                      <w:highlight w:val="none"/>
                      <w:lang w:val="en-US" w:eastAsia="en-US"/>
                    </w:rPr>
                    <w:t>组织专业人员对事故后的环境变化进行监测，对事故应急措施的环境可行性进行后影响评价。</w:t>
                  </w:r>
                </w:p>
              </w:tc>
            </w:tr>
          </w:tbl>
          <w:p>
            <w:pPr>
              <w:keepNext w:val="0"/>
              <w:keepLines w:val="0"/>
              <w:pageBreakBefore w:val="0"/>
              <w:kinsoku/>
              <w:wordWrap/>
              <w:overflowPunct/>
              <w:topLinePunct w:val="0"/>
              <w:autoSpaceDE/>
              <w:autoSpaceDN/>
              <w:bidi w:val="0"/>
              <w:adjustRightInd/>
              <w:snapToGrid/>
              <w:ind w:firstLine="482"/>
              <w:jc w:val="both"/>
              <w:textAlignment w:val="auto"/>
              <w:rPr>
                <w:rFonts w:hint="eastAsia" w:ascii="Times New Roman" w:hAnsi="Times New Roman" w:eastAsia="宋体" w:cs="Times New Roman"/>
                <w:b/>
                <w:bCs/>
                <w:color w:val="auto"/>
                <w:spacing w:val="0"/>
                <w:sz w:val="24"/>
              </w:rPr>
            </w:pPr>
            <w:r>
              <w:rPr>
                <w:rFonts w:hint="eastAsia" w:ascii="Times New Roman" w:hAnsi="Times New Roman" w:eastAsia="宋体" w:cs="Times New Roman"/>
                <w:b/>
                <w:bCs/>
                <w:color w:val="auto"/>
                <w:spacing w:val="0"/>
                <w:sz w:val="24"/>
              </w:rPr>
              <w:t>临河开都河污染风险专项应急要求</w:t>
            </w:r>
          </w:p>
          <w:p>
            <w:pPr>
              <w:keepNext w:val="0"/>
              <w:keepLines w:val="0"/>
              <w:pageBreakBefore w:val="0"/>
              <w:kinsoku/>
              <w:wordWrap/>
              <w:overflowPunct/>
              <w:topLinePunct w:val="0"/>
              <w:autoSpaceDE/>
              <w:autoSpaceDN/>
              <w:bidi w:val="0"/>
              <w:adjustRightInd/>
              <w:snapToGrid/>
              <w:ind w:firstLine="482"/>
              <w:jc w:val="both"/>
              <w:textAlignment w:val="auto"/>
              <w:rPr>
                <w:rFonts w:hint="eastAsia" w:ascii="Times New Roman" w:hAnsi="Times New Roman" w:eastAsia="宋体" w:cs="Times New Roman"/>
                <w:b w:val="0"/>
                <w:bCs w:val="0"/>
                <w:color w:val="auto"/>
                <w:spacing w:val="0"/>
                <w:sz w:val="24"/>
              </w:rPr>
            </w:pPr>
            <w:r>
              <w:rPr>
                <w:rFonts w:hint="eastAsia" w:ascii="Times New Roman" w:hAnsi="Times New Roman" w:eastAsia="宋体" w:cs="Times New Roman"/>
                <w:b w:val="0"/>
                <w:bCs w:val="0"/>
                <w:color w:val="auto"/>
                <w:spacing w:val="0"/>
                <w:sz w:val="24"/>
              </w:rPr>
              <w:t>本项目临近开都河，地处农业水污染重点管控单元，存在危废泄漏、暴雨淋溶泥水溢流造成污染物向开都河迁移的水环境风险，企业编制应急预案时，必须单独设置临近开都河突发水环境污染专项处置章节，明确专项应急演练方案、应急物资清单、泄漏处置流程，不得仅做框架性描述。</w:t>
            </w:r>
          </w:p>
          <w:p>
            <w:pPr>
              <w:keepNext w:val="0"/>
              <w:keepLines w:val="0"/>
              <w:pageBreakBefore w:val="0"/>
              <w:kinsoku/>
              <w:wordWrap/>
              <w:overflowPunct/>
              <w:topLinePunct w:val="0"/>
              <w:autoSpaceDE/>
              <w:autoSpaceDN/>
              <w:bidi w:val="0"/>
              <w:adjustRightInd/>
              <w:snapToGrid/>
              <w:ind w:firstLine="482"/>
              <w:jc w:val="both"/>
              <w:textAlignment w:val="auto"/>
              <w:rPr>
                <w:rFonts w:hint="eastAsia" w:ascii="Times New Roman" w:hAnsi="Times New Roman" w:eastAsia="宋体" w:cs="Times New Roman"/>
                <w:b w:val="0"/>
                <w:bCs w:val="0"/>
                <w:color w:val="auto"/>
                <w:spacing w:val="0"/>
                <w:sz w:val="24"/>
              </w:rPr>
            </w:pPr>
            <w:r>
              <w:rPr>
                <w:rFonts w:hint="eastAsia" w:ascii="Times New Roman" w:hAnsi="Times New Roman" w:eastAsia="宋体" w:cs="Times New Roman"/>
                <w:b w:val="0"/>
                <w:bCs w:val="0"/>
                <w:color w:val="auto"/>
                <w:spacing w:val="0"/>
                <w:sz w:val="24"/>
              </w:rPr>
              <w:t>（1）临河开都河污染专项应急演练方案</w:t>
            </w:r>
          </w:p>
          <w:p>
            <w:pPr>
              <w:keepNext w:val="0"/>
              <w:keepLines w:val="0"/>
              <w:pageBreakBefore w:val="0"/>
              <w:kinsoku/>
              <w:wordWrap/>
              <w:overflowPunct/>
              <w:topLinePunct w:val="0"/>
              <w:autoSpaceDE/>
              <w:autoSpaceDN/>
              <w:bidi w:val="0"/>
              <w:adjustRightInd/>
              <w:snapToGrid/>
              <w:ind w:firstLine="482"/>
              <w:jc w:val="both"/>
              <w:textAlignment w:val="auto"/>
              <w:rPr>
                <w:rFonts w:hint="eastAsia" w:ascii="Times New Roman" w:hAnsi="Times New Roman" w:eastAsia="宋体" w:cs="Times New Roman"/>
                <w:b w:val="0"/>
                <w:bCs w:val="0"/>
                <w:color w:val="auto"/>
                <w:spacing w:val="0"/>
                <w:sz w:val="24"/>
              </w:rPr>
            </w:pPr>
            <w:r>
              <w:rPr>
                <w:rFonts w:hint="eastAsia" w:ascii="Times New Roman" w:hAnsi="Times New Roman" w:eastAsia="宋体" w:cs="Times New Roman"/>
                <w:b w:val="0"/>
                <w:bCs w:val="0"/>
                <w:color w:val="auto"/>
                <w:spacing w:val="0"/>
                <w:sz w:val="24"/>
              </w:rPr>
              <w:t>1）演练目的：检验厂区截排水沟、应急池、挡水堤、抽排设备、吸油物资有效性；检验人员对危废油品泄漏、暴雨泥水溢流两类临河风险的处置能力；验证阻断污染物向开都河扩散的响应流程。</w:t>
            </w:r>
          </w:p>
          <w:p>
            <w:pPr>
              <w:keepNext w:val="0"/>
              <w:keepLines w:val="0"/>
              <w:pageBreakBefore w:val="0"/>
              <w:kinsoku/>
              <w:wordWrap/>
              <w:overflowPunct/>
              <w:topLinePunct w:val="0"/>
              <w:autoSpaceDE/>
              <w:autoSpaceDN/>
              <w:bidi w:val="0"/>
              <w:adjustRightInd/>
              <w:snapToGrid/>
              <w:ind w:firstLine="482"/>
              <w:jc w:val="both"/>
              <w:textAlignment w:val="auto"/>
              <w:rPr>
                <w:rFonts w:hint="eastAsia" w:ascii="Times New Roman" w:hAnsi="Times New Roman" w:eastAsia="宋体" w:cs="Times New Roman"/>
                <w:b w:val="0"/>
                <w:bCs w:val="0"/>
                <w:color w:val="auto"/>
                <w:spacing w:val="0"/>
                <w:sz w:val="24"/>
              </w:rPr>
            </w:pPr>
            <w:r>
              <w:rPr>
                <w:rFonts w:hint="eastAsia" w:ascii="Times New Roman" w:hAnsi="Times New Roman" w:eastAsia="宋体" w:cs="Times New Roman"/>
                <w:b w:val="0"/>
                <w:bCs w:val="0"/>
                <w:color w:val="auto"/>
                <w:spacing w:val="0"/>
                <w:sz w:val="24"/>
              </w:rPr>
              <w:t>2）演练频次：每年汛期（4</w:t>
            </w:r>
            <w:r>
              <w:rPr>
                <w:rFonts w:hint="eastAsia" w:ascii="Times New Roman" w:hAnsi="Times New Roman" w:eastAsia="宋体" w:cs="Times New Roman"/>
                <w:b w:val="0"/>
                <w:bCs w:val="0"/>
                <w:color w:val="auto"/>
                <w:spacing w:val="0"/>
                <w:sz w:val="24"/>
              </w:rPr>
              <w:noBreakHyphen/>
            </w:r>
            <w:r>
              <w:rPr>
                <w:rFonts w:hint="eastAsia" w:ascii="Times New Roman" w:hAnsi="Times New Roman" w:eastAsia="宋体" w:cs="Times New Roman"/>
                <w:b w:val="0"/>
                <w:bCs w:val="0"/>
                <w:color w:val="auto"/>
                <w:spacing w:val="0"/>
                <w:sz w:val="24"/>
              </w:rPr>
              <w:t>5月）组织不少于1次临河水环境污染专项实战演练；演练结</w:t>
            </w:r>
            <w:r>
              <w:rPr>
                <w:rFonts w:hint="eastAsia" w:ascii="Times New Roman" w:hAnsi="Times New Roman" w:eastAsia="宋体" w:cs="Times New Roman"/>
                <w:b w:val="0"/>
                <w:bCs w:val="0"/>
                <w:color w:val="auto"/>
                <w:spacing w:val="0"/>
                <w:sz w:val="24"/>
                <w:lang w:eastAsia="zh-CN"/>
              </w:rPr>
              <w:t>束后</w:t>
            </w:r>
            <w:r>
              <w:rPr>
                <w:rFonts w:hint="eastAsia" w:ascii="Times New Roman" w:hAnsi="Times New Roman" w:eastAsia="宋体" w:cs="Times New Roman"/>
                <w:b w:val="0"/>
                <w:bCs w:val="0"/>
                <w:color w:val="auto"/>
                <w:spacing w:val="0"/>
                <w:sz w:val="24"/>
              </w:rPr>
              <w:t>形成演练记录，包含演练签到、过程照片、问题清单、整改闭环记录，台账归档留存，生态环境主管部门可随时核查。</w:t>
            </w:r>
          </w:p>
          <w:p>
            <w:pPr>
              <w:keepNext w:val="0"/>
              <w:keepLines w:val="0"/>
              <w:pageBreakBefore w:val="0"/>
              <w:kinsoku/>
              <w:wordWrap/>
              <w:overflowPunct/>
              <w:topLinePunct w:val="0"/>
              <w:autoSpaceDE/>
              <w:autoSpaceDN/>
              <w:bidi w:val="0"/>
              <w:adjustRightInd/>
              <w:snapToGrid/>
              <w:ind w:firstLine="482"/>
              <w:jc w:val="both"/>
              <w:textAlignment w:val="auto"/>
              <w:rPr>
                <w:rFonts w:hint="eastAsia" w:ascii="Times New Roman" w:hAnsi="Times New Roman" w:eastAsia="宋体" w:cs="Times New Roman"/>
                <w:b w:val="0"/>
                <w:bCs w:val="0"/>
                <w:color w:val="auto"/>
                <w:spacing w:val="0"/>
                <w:sz w:val="24"/>
              </w:rPr>
            </w:pPr>
            <w:r>
              <w:rPr>
                <w:rFonts w:hint="eastAsia" w:ascii="Times New Roman" w:hAnsi="Times New Roman" w:eastAsia="宋体" w:cs="Times New Roman"/>
                <w:b w:val="0"/>
                <w:bCs w:val="0"/>
                <w:color w:val="auto"/>
                <w:spacing w:val="0"/>
                <w:sz w:val="24"/>
              </w:rPr>
              <w:t>3）演练设置场景：</w:t>
            </w:r>
          </w:p>
          <w:p>
            <w:pPr>
              <w:keepNext w:val="0"/>
              <w:keepLines w:val="0"/>
              <w:pageBreakBefore w:val="0"/>
              <w:kinsoku/>
              <w:wordWrap/>
              <w:overflowPunct/>
              <w:topLinePunct w:val="0"/>
              <w:autoSpaceDE/>
              <w:autoSpaceDN/>
              <w:bidi w:val="0"/>
              <w:adjustRightInd/>
              <w:snapToGrid/>
              <w:ind w:firstLine="482"/>
              <w:jc w:val="both"/>
              <w:textAlignment w:val="auto"/>
              <w:rPr>
                <w:rFonts w:hint="eastAsia" w:ascii="Times New Roman" w:hAnsi="Times New Roman" w:eastAsia="宋体" w:cs="Times New Roman"/>
                <w:b w:val="0"/>
                <w:bCs w:val="0"/>
                <w:color w:val="auto"/>
                <w:spacing w:val="0"/>
                <w:sz w:val="24"/>
              </w:rPr>
            </w:pPr>
            <w:r>
              <w:rPr>
                <w:rFonts w:hint="eastAsia" w:ascii="Times New Roman" w:hAnsi="Times New Roman" w:eastAsia="宋体" w:cs="Times New Roman"/>
                <w:b w:val="0"/>
                <w:bCs w:val="0"/>
                <w:color w:val="auto"/>
                <w:spacing w:val="0"/>
                <w:sz w:val="24"/>
              </w:rPr>
              <w:t>场景A：</w:t>
            </w:r>
            <w:r>
              <w:rPr>
                <w:rFonts w:hint="eastAsia" w:ascii="Times New Roman" w:hAnsi="Times New Roman" w:eastAsia="宋体" w:cs="Times New Roman"/>
                <w:b w:val="0"/>
                <w:bCs w:val="0"/>
                <w:color w:val="auto"/>
                <w:spacing w:val="0"/>
                <w:sz w:val="24"/>
                <w:lang w:eastAsia="zh-CN"/>
              </w:rPr>
              <w:t>危废贮存点</w:t>
            </w:r>
            <w:r>
              <w:rPr>
                <w:rFonts w:hint="eastAsia" w:ascii="Times New Roman" w:hAnsi="Times New Roman" w:eastAsia="宋体" w:cs="Times New Roman"/>
                <w:b w:val="0"/>
                <w:bCs w:val="0"/>
                <w:color w:val="auto"/>
                <w:spacing w:val="0"/>
                <w:sz w:val="24"/>
              </w:rPr>
              <w:t>废机油桶破损泄漏专项演练；模拟废机油泄漏，检验应急池收集、吸油毡吸附、抽油泵转运、防止油类向西漫流向开都河的全流程处置。</w:t>
            </w:r>
          </w:p>
          <w:p>
            <w:pPr>
              <w:keepNext w:val="0"/>
              <w:keepLines w:val="0"/>
              <w:pageBreakBefore w:val="0"/>
              <w:numPr>
                <w:ilvl w:val="0"/>
                <w:numId w:val="0"/>
              </w:numPr>
              <w:kinsoku/>
              <w:wordWrap/>
              <w:overflowPunct/>
              <w:topLinePunct w:val="0"/>
              <w:autoSpaceDE/>
              <w:autoSpaceDN/>
              <w:bidi w:val="0"/>
              <w:adjustRightInd/>
              <w:snapToGrid/>
              <w:ind w:firstLine="480" w:firstLineChars="200"/>
              <w:jc w:val="both"/>
              <w:textAlignment w:val="auto"/>
              <w:rPr>
                <w:rFonts w:hint="eastAsia" w:ascii="Times New Roman" w:hAnsi="Times New Roman" w:eastAsia="宋体" w:cs="Times New Roman"/>
                <w:b w:val="0"/>
                <w:bCs w:val="0"/>
                <w:color w:val="auto"/>
                <w:spacing w:val="0"/>
                <w:sz w:val="24"/>
              </w:rPr>
            </w:pPr>
            <w:r>
              <w:rPr>
                <w:rFonts w:hint="eastAsia" w:ascii="Times New Roman" w:hAnsi="Times New Roman" w:eastAsia="宋体" w:cs="Times New Roman"/>
                <w:b w:val="0"/>
                <w:bCs w:val="0"/>
                <w:color w:val="auto"/>
                <w:spacing w:val="0"/>
                <w:sz w:val="24"/>
                <w:szCs w:val="21"/>
                <w:lang w:val="en-US" w:eastAsia="zh-CN" w:bidi="ar-SA"/>
              </w:rPr>
              <w:t>4）</w:t>
            </w:r>
            <w:r>
              <w:rPr>
                <w:rFonts w:hint="eastAsia" w:ascii="Times New Roman" w:hAnsi="Times New Roman" w:eastAsia="宋体" w:cs="Times New Roman"/>
                <w:b w:val="0"/>
                <w:bCs w:val="0"/>
                <w:color w:val="auto"/>
                <w:spacing w:val="0"/>
                <w:sz w:val="24"/>
              </w:rPr>
              <w:t>演练评估与改进：演练完成后开展复盘评估，对演练暴露出物资不足、设备故障、人员操作不熟练等问题，形成问题整改清单，限期完成整改，更新修订应急预案相关内容。</w:t>
            </w:r>
          </w:p>
          <w:p>
            <w:pPr>
              <w:keepNext w:val="0"/>
              <w:keepLines w:val="0"/>
              <w:pageBreakBefore w:val="0"/>
              <w:numPr>
                <w:ilvl w:val="0"/>
                <w:numId w:val="0"/>
              </w:numPr>
              <w:kinsoku/>
              <w:wordWrap/>
              <w:overflowPunct/>
              <w:topLinePunct w:val="0"/>
              <w:autoSpaceDE/>
              <w:autoSpaceDN/>
              <w:bidi w:val="0"/>
              <w:adjustRightInd/>
              <w:snapToGrid/>
              <w:ind w:firstLine="480" w:firstLineChars="200"/>
              <w:jc w:val="both"/>
              <w:textAlignment w:val="auto"/>
              <w:rPr>
                <w:rFonts w:hint="eastAsia" w:ascii="Times New Roman" w:hAnsi="Times New Roman" w:eastAsia="宋体" w:cs="Times New Roman"/>
                <w:b w:val="0"/>
                <w:bCs w:val="0"/>
                <w:color w:val="auto"/>
                <w:spacing w:val="0"/>
                <w:sz w:val="24"/>
              </w:rPr>
            </w:pPr>
            <w:r>
              <w:rPr>
                <w:rFonts w:hint="eastAsia" w:ascii="Times New Roman" w:hAnsi="Times New Roman" w:eastAsia="宋体" w:cs="Times New Roman"/>
                <w:b w:val="0"/>
                <w:bCs w:val="0"/>
                <w:color w:val="auto"/>
                <w:spacing w:val="0"/>
                <w:sz w:val="24"/>
              </w:rPr>
              <w:t>5）联动要求：发生真实突发临河污染事件，企业第一时间内部处置，同时上报博湖县生态环境局，必要时请求属地政府应急力量支援。</w:t>
            </w:r>
          </w:p>
          <w:p>
            <w:pPr>
              <w:keepNext w:val="0"/>
              <w:keepLines w:val="0"/>
              <w:pageBreakBefore w:val="0"/>
              <w:kinsoku/>
              <w:wordWrap/>
              <w:overflowPunct/>
              <w:topLinePunct w:val="0"/>
              <w:autoSpaceDE/>
              <w:autoSpaceDN/>
              <w:bidi w:val="0"/>
              <w:adjustRightInd/>
              <w:snapToGrid/>
              <w:ind w:firstLine="482"/>
              <w:jc w:val="both"/>
              <w:textAlignment w:val="auto"/>
              <w:rPr>
                <w:rFonts w:hint="default" w:ascii="Times New Roman" w:hAnsi="Times New Roman" w:eastAsia="宋体" w:cs="Times New Roman"/>
                <w:b w:val="0"/>
                <w:bCs w:val="0"/>
                <w:color w:val="auto"/>
                <w:spacing w:val="0"/>
                <w:sz w:val="24"/>
                <w:lang w:val="en-US" w:eastAsia="zh-CN"/>
              </w:rPr>
            </w:pPr>
            <w:r>
              <w:rPr>
                <w:rFonts w:hint="eastAsia" w:ascii="Times New Roman" w:hAnsi="Times New Roman" w:eastAsia="宋体" w:cs="Times New Roman"/>
                <w:b w:val="0"/>
                <w:bCs w:val="0"/>
                <w:color w:val="auto"/>
                <w:spacing w:val="0"/>
                <w:sz w:val="24"/>
                <w:lang w:val="en-US" w:eastAsia="zh-CN"/>
              </w:rPr>
              <w:t>（2）</w:t>
            </w:r>
            <w:r>
              <w:rPr>
                <w:rFonts w:ascii="宋体" w:hAnsi="宋体" w:eastAsia="宋体" w:cs="宋体"/>
                <w:color w:val="auto"/>
                <w:sz w:val="24"/>
                <w:szCs w:val="24"/>
              </w:rPr>
              <w:t>临河风险专项应急物资清单（纳入应急预案附件，物资定点存放、专人管理，定期盘点补充）</w:t>
            </w:r>
          </w:p>
          <w:p>
            <w:pPr>
              <w:pStyle w:val="163"/>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宋体" w:cs="Times New Roman"/>
                <w:b/>
                <w:bCs/>
                <w:color w:val="auto"/>
                <w:spacing w:val="0"/>
                <w:sz w:val="21"/>
                <w:szCs w:val="21"/>
                <w:lang w:val="en-US" w:eastAsia="zh-CN" w:bidi="ar-SA"/>
              </w:rPr>
            </w:pPr>
            <w:r>
              <w:rPr>
                <w:rFonts w:hint="eastAsia" w:ascii="Times New Roman" w:hAnsi="Times New Roman" w:eastAsia="宋体" w:cs="Times New Roman"/>
                <w:b/>
                <w:bCs/>
                <w:color w:val="auto"/>
                <w:spacing w:val="0"/>
                <w:sz w:val="21"/>
                <w:szCs w:val="21"/>
                <w:lang w:val="en-US" w:eastAsia="zh-CN" w:bidi="ar-SA"/>
              </w:rPr>
              <w:t>表4-17  临河风险专项应急物资清单</w:t>
            </w:r>
          </w:p>
          <w:tbl>
            <w:tblPr>
              <w:tblStyle w:val="4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03"/>
              <w:gridCol w:w="1611"/>
              <w:gridCol w:w="1679"/>
              <w:gridCol w:w="40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80" w:type="pct"/>
                  <w:noWrap w:val="0"/>
                  <w:vAlign w:val="center"/>
                </w:tcPr>
                <w:p>
                  <w:pPr>
                    <w:pStyle w:val="460"/>
                    <w:bidi w:val="0"/>
                    <w:rPr>
                      <w:rFonts w:hint="eastAsia" w:eastAsia="宋体"/>
                      <w:color w:val="auto"/>
                      <w:highlight w:val="none"/>
                      <w:lang w:val="en-US" w:eastAsia="zh-CN"/>
                    </w:rPr>
                  </w:pPr>
                  <w:r>
                    <w:rPr>
                      <w:rFonts w:hint="eastAsia"/>
                      <w:color w:val="auto"/>
                      <w:highlight w:val="none"/>
                      <w:lang w:val="en-US" w:eastAsia="zh-CN"/>
                    </w:rPr>
                    <w:t>序号</w:t>
                  </w:r>
                </w:p>
              </w:tc>
              <w:tc>
                <w:tcPr>
                  <w:tcW w:w="1016" w:type="pct"/>
                  <w:noWrap w:val="0"/>
                  <w:vAlign w:val="center"/>
                </w:tcPr>
                <w:p>
                  <w:pPr>
                    <w:pStyle w:val="460"/>
                    <w:bidi w:val="0"/>
                    <w:rPr>
                      <w:rFonts w:hint="eastAsia" w:eastAsia="宋体"/>
                      <w:color w:val="auto"/>
                      <w:highlight w:val="none"/>
                      <w:lang w:val="en-US" w:eastAsia="zh-CN"/>
                    </w:rPr>
                  </w:pPr>
                  <w:r>
                    <w:rPr>
                      <w:rFonts w:hint="eastAsia"/>
                      <w:color w:val="auto"/>
                      <w:highlight w:val="none"/>
                      <w:lang w:val="en-US" w:eastAsia="zh-CN"/>
                    </w:rPr>
                    <w:t>物资名称</w:t>
                  </w:r>
                </w:p>
              </w:tc>
              <w:tc>
                <w:tcPr>
                  <w:tcW w:w="1059" w:type="pct"/>
                  <w:noWrap w:val="0"/>
                  <w:vAlign w:val="center"/>
                </w:tcPr>
                <w:p>
                  <w:pPr>
                    <w:pStyle w:val="460"/>
                    <w:bidi w:val="0"/>
                    <w:rPr>
                      <w:rFonts w:hint="default" w:eastAsia="宋体"/>
                      <w:color w:val="auto"/>
                      <w:highlight w:val="none"/>
                      <w:lang w:val="en-US" w:eastAsia="zh-CN"/>
                    </w:rPr>
                  </w:pPr>
                  <w:r>
                    <w:rPr>
                      <w:rFonts w:hint="eastAsia"/>
                      <w:color w:val="auto"/>
                      <w:highlight w:val="none"/>
                      <w:lang w:val="en-US" w:eastAsia="zh-CN"/>
                    </w:rPr>
                    <w:t>规格/数量</w:t>
                  </w:r>
                </w:p>
              </w:tc>
              <w:tc>
                <w:tcPr>
                  <w:tcW w:w="2544" w:type="pct"/>
                  <w:noWrap w:val="0"/>
                  <w:vAlign w:val="center"/>
                </w:tcPr>
                <w:p>
                  <w:pPr>
                    <w:pStyle w:val="460"/>
                    <w:bidi w:val="0"/>
                    <w:rPr>
                      <w:rFonts w:hint="eastAsia" w:eastAsia="宋体"/>
                      <w:color w:val="auto"/>
                      <w:highlight w:val="none"/>
                      <w:lang w:val="en-US" w:eastAsia="zh-CN"/>
                    </w:rPr>
                  </w:pPr>
                  <w:r>
                    <w:rPr>
                      <w:rFonts w:hint="eastAsia"/>
                      <w:color w:val="auto"/>
                      <w:highlight w:val="none"/>
                      <w:lang w:val="en-US" w:eastAsia="zh-CN"/>
                    </w:rPr>
                    <w:t>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0" w:type="pct"/>
                  <w:noWrap w:val="0"/>
                  <w:vAlign w:val="center"/>
                </w:tcPr>
                <w:p>
                  <w:pPr>
                    <w:pStyle w:val="460"/>
                    <w:bidi w:val="0"/>
                    <w:rPr>
                      <w:rFonts w:hint="eastAsia"/>
                      <w:color w:val="auto"/>
                      <w:highlight w:val="none"/>
                      <w:lang w:val="en-US" w:eastAsia="zh-CN"/>
                    </w:rPr>
                  </w:pPr>
                  <w:r>
                    <w:rPr>
                      <w:rFonts w:hint="eastAsia"/>
                      <w:color w:val="auto"/>
                      <w:highlight w:val="none"/>
                      <w:lang w:val="en-US" w:eastAsia="zh-CN"/>
                    </w:rPr>
                    <w:t>1</w:t>
                  </w:r>
                </w:p>
              </w:tc>
              <w:tc>
                <w:tcPr>
                  <w:tcW w:w="1016" w:type="pct"/>
                  <w:noWrap w:val="0"/>
                  <w:vAlign w:val="center"/>
                </w:tcPr>
                <w:p>
                  <w:pPr>
                    <w:pStyle w:val="460"/>
                    <w:bidi w:val="0"/>
                    <w:rPr>
                      <w:rFonts w:hint="eastAsia"/>
                      <w:color w:val="auto"/>
                      <w:highlight w:val="none"/>
                      <w:lang w:val="en-US" w:eastAsia="en-US"/>
                    </w:rPr>
                  </w:pPr>
                  <w:r>
                    <w:rPr>
                      <w:rFonts w:hint="eastAsia"/>
                      <w:color w:val="auto"/>
                      <w:highlight w:val="none"/>
                      <w:lang w:val="en-US" w:eastAsia="zh-CN"/>
                    </w:rPr>
                    <w:t>吸油毡、吸油棉</w:t>
                  </w:r>
                </w:p>
              </w:tc>
              <w:tc>
                <w:tcPr>
                  <w:tcW w:w="1059" w:type="pct"/>
                  <w:noWrap w:val="0"/>
                  <w:vAlign w:val="center"/>
                </w:tcPr>
                <w:p>
                  <w:pPr>
                    <w:pStyle w:val="460"/>
                    <w:bidi w:val="0"/>
                    <w:rPr>
                      <w:rFonts w:hint="eastAsia"/>
                      <w:color w:val="auto"/>
                      <w:highlight w:val="none"/>
                      <w:lang w:val="en-US" w:eastAsia="zh-CN"/>
                    </w:rPr>
                  </w:pPr>
                  <w:r>
                    <w:rPr>
                      <w:rFonts w:hint="eastAsia"/>
                      <w:color w:val="auto"/>
                      <w:highlight w:val="none"/>
                      <w:lang w:val="en-US" w:eastAsia="zh-CN"/>
                    </w:rPr>
                    <w:t>≥100kg</w:t>
                  </w:r>
                </w:p>
              </w:tc>
              <w:tc>
                <w:tcPr>
                  <w:tcW w:w="2544" w:type="pct"/>
                  <w:noWrap w:val="0"/>
                  <w:vAlign w:val="center"/>
                </w:tcPr>
                <w:p>
                  <w:pPr>
                    <w:pStyle w:val="460"/>
                    <w:bidi w:val="0"/>
                    <w:rPr>
                      <w:rFonts w:hint="eastAsia"/>
                      <w:color w:val="auto"/>
                      <w:highlight w:val="none"/>
                      <w:lang w:val="en-US" w:eastAsia="zh-CN"/>
                    </w:rPr>
                  </w:pPr>
                  <w:r>
                    <w:rPr>
                      <w:rFonts w:hint="eastAsia"/>
                      <w:color w:val="auto"/>
                      <w:highlight w:val="none"/>
                      <w:lang w:val="en-US" w:eastAsia="zh-CN"/>
                    </w:rPr>
                    <w:t>吸附废机油等液态油类泄漏物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80" w:type="pct"/>
                  <w:noWrap w:val="0"/>
                  <w:vAlign w:val="center"/>
                </w:tcPr>
                <w:p>
                  <w:pPr>
                    <w:pStyle w:val="460"/>
                    <w:bidi w:val="0"/>
                    <w:rPr>
                      <w:rFonts w:hint="eastAsia" w:eastAsia="宋体"/>
                      <w:color w:val="auto"/>
                      <w:highlight w:val="none"/>
                      <w:lang w:val="en-US" w:eastAsia="zh-CN"/>
                    </w:rPr>
                  </w:pPr>
                  <w:r>
                    <w:rPr>
                      <w:rFonts w:hint="eastAsia"/>
                      <w:color w:val="auto"/>
                      <w:highlight w:val="none"/>
                      <w:lang w:val="en-US" w:eastAsia="zh-CN"/>
                    </w:rPr>
                    <w:t>2</w:t>
                  </w:r>
                </w:p>
              </w:tc>
              <w:tc>
                <w:tcPr>
                  <w:tcW w:w="1016" w:type="pct"/>
                  <w:noWrap w:val="0"/>
                  <w:vAlign w:val="center"/>
                </w:tcPr>
                <w:p>
                  <w:pPr>
                    <w:pStyle w:val="460"/>
                    <w:bidi w:val="0"/>
                    <w:rPr>
                      <w:rFonts w:hint="eastAsia"/>
                      <w:color w:val="auto"/>
                      <w:highlight w:val="none"/>
                      <w:lang w:val="en-US" w:eastAsia="en-US"/>
                    </w:rPr>
                  </w:pPr>
                  <w:r>
                    <w:rPr>
                      <w:rFonts w:hint="eastAsia"/>
                      <w:color w:val="auto"/>
                      <w:highlight w:val="none"/>
                      <w:lang w:val="en-US" w:eastAsia="zh-CN"/>
                    </w:rPr>
                    <w:t>移动式抽油泵（含软管）</w:t>
                  </w:r>
                </w:p>
              </w:tc>
              <w:tc>
                <w:tcPr>
                  <w:tcW w:w="1059" w:type="pct"/>
                  <w:noWrap w:val="0"/>
                  <w:vAlign w:val="center"/>
                </w:tcPr>
                <w:p>
                  <w:pPr>
                    <w:pStyle w:val="460"/>
                    <w:bidi w:val="0"/>
                    <w:rPr>
                      <w:rFonts w:hint="eastAsia"/>
                      <w:color w:val="auto"/>
                      <w:highlight w:val="none"/>
                      <w:lang w:val="en-US" w:eastAsia="en-US"/>
                    </w:rPr>
                  </w:pPr>
                  <w:r>
                    <w:rPr>
                      <w:rFonts w:hint="eastAsia"/>
                      <w:color w:val="auto"/>
                      <w:highlight w:val="none"/>
                      <w:lang w:val="en-US" w:eastAsia="zh-CN"/>
                    </w:rPr>
                    <w:t>2台</w:t>
                  </w:r>
                </w:p>
              </w:tc>
              <w:tc>
                <w:tcPr>
                  <w:tcW w:w="2544" w:type="pct"/>
                  <w:noWrap w:val="0"/>
                  <w:vAlign w:val="center"/>
                </w:tcPr>
                <w:p>
                  <w:pPr>
                    <w:pStyle w:val="460"/>
                    <w:bidi w:val="0"/>
                    <w:rPr>
                      <w:rFonts w:hint="eastAsia"/>
                      <w:color w:val="auto"/>
                      <w:highlight w:val="none"/>
                      <w:lang w:val="en-US" w:eastAsia="en-US"/>
                    </w:rPr>
                  </w:pPr>
                  <w:r>
                    <w:rPr>
                      <w:rFonts w:hint="eastAsia"/>
                      <w:color w:val="auto"/>
                      <w:highlight w:val="none"/>
                      <w:lang w:val="en-US" w:eastAsia="zh-CN"/>
                    </w:rPr>
                    <w:t>泄漏废液、淋溶废水抽排至密闭容器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80" w:type="pct"/>
                  <w:noWrap w:val="0"/>
                  <w:vAlign w:val="center"/>
                </w:tcPr>
                <w:p>
                  <w:pPr>
                    <w:pStyle w:val="460"/>
                    <w:bidi w:val="0"/>
                    <w:rPr>
                      <w:rFonts w:hint="eastAsia" w:eastAsia="宋体"/>
                      <w:color w:val="auto"/>
                      <w:highlight w:val="none"/>
                      <w:lang w:val="en-US" w:eastAsia="zh-CN"/>
                    </w:rPr>
                  </w:pPr>
                  <w:r>
                    <w:rPr>
                      <w:rFonts w:hint="eastAsia"/>
                      <w:color w:val="auto"/>
                      <w:highlight w:val="none"/>
                      <w:lang w:val="en-US" w:eastAsia="zh-CN"/>
                    </w:rPr>
                    <w:t>3</w:t>
                  </w:r>
                </w:p>
              </w:tc>
              <w:tc>
                <w:tcPr>
                  <w:tcW w:w="1016" w:type="pct"/>
                  <w:noWrap w:val="0"/>
                  <w:vAlign w:val="center"/>
                </w:tcPr>
                <w:p>
                  <w:pPr>
                    <w:pStyle w:val="460"/>
                    <w:bidi w:val="0"/>
                    <w:rPr>
                      <w:rFonts w:hint="eastAsia"/>
                      <w:color w:val="auto"/>
                      <w:highlight w:val="none"/>
                      <w:lang w:val="en-US" w:eastAsia="en-US"/>
                    </w:rPr>
                  </w:pPr>
                  <w:r>
                    <w:rPr>
                      <w:rFonts w:hint="eastAsia"/>
                      <w:color w:val="auto"/>
                      <w:highlight w:val="none"/>
                      <w:lang w:val="en-US" w:eastAsia="zh-CN"/>
                    </w:rPr>
                    <w:t>密闭应急储存罐</w:t>
                  </w:r>
                </w:p>
              </w:tc>
              <w:tc>
                <w:tcPr>
                  <w:tcW w:w="1059" w:type="pct"/>
                  <w:noWrap w:val="0"/>
                  <w:vAlign w:val="center"/>
                </w:tcPr>
                <w:p>
                  <w:pPr>
                    <w:pStyle w:val="460"/>
                    <w:bidi w:val="0"/>
                    <w:rPr>
                      <w:rFonts w:hint="default"/>
                      <w:color w:val="auto"/>
                      <w:highlight w:val="none"/>
                      <w:lang w:val="en-US" w:eastAsia="en-US"/>
                    </w:rPr>
                  </w:pPr>
                  <w:r>
                    <w:rPr>
                      <w:rFonts w:hint="eastAsia"/>
                      <w:color w:val="auto"/>
                      <w:highlight w:val="none"/>
                      <w:lang w:val="en-US" w:eastAsia="zh-CN"/>
                    </w:rPr>
                    <w:t>2个，5m</w:t>
                  </w:r>
                  <w:r>
                    <w:rPr>
                      <w:rFonts w:hint="eastAsia"/>
                      <w:color w:val="auto"/>
                      <w:highlight w:val="none"/>
                      <w:vertAlign w:val="superscript"/>
                      <w:lang w:val="en-US" w:eastAsia="zh-CN"/>
                    </w:rPr>
                    <w:t>3</w:t>
                  </w:r>
                </w:p>
              </w:tc>
              <w:tc>
                <w:tcPr>
                  <w:tcW w:w="2544" w:type="pct"/>
                  <w:noWrap w:val="0"/>
                  <w:vAlign w:val="center"/>
                </w:tcPr>
                <w:p>
                  <w:pPr>
                    <w:pStyle w:val="460"/>
                    <w:bidi w:val="0"/>
                    <w:rPr>
                      <w:rFonts w:hint="eastAsia"/>
                      <w:color w:val="auto"/>
                      <w:highlight w:val="none"/>
                      <w:lang w:val="en-US" w:eastAsia="en-US"/>
                    </w:rPr>
                  </w:pPr>
                  <w:r>
                    <w:rPr>
                      <w:rFonts w:hint="eastAsia"/>
                      <w:color w:val="auto"/>
                      <w:highlight w:val="none"/>
                      <w:lang w:val="en-US" w:eastAsia="zh-CN"/>
                    </w:rPr>
                    <w:t>临时储存泄漏废机油、高 SS 淋溶废水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80" w:type="pct"/>
                  <w:noWrap w:val="0"/>
                  <w:vAlign w:val="center"/>
                </w:tcPr>
                <w:p>
                  <w:pPr>
                    <w:pStyle w:val="460"/>
                    <w:bidi w:val="0"/>
                    <w:rPr>
                      <w:rFonts w:hint="eastAsia" w:eastAsia="宋体"/>
                      <w:color w:val="auto"/>
                      <w:highlight w:val="none"/>
                      <w:lang w:val="en-US" w:eastAsia="zh-CN"/>
                    </w:rPr>
                  </w:pPr>
                  <w:r>
                    <w:rPr>
                      <w:rFonts w:hint="eastAsia"/>
                      <w:color w:val="auto"/>
                      <w:highlight w:val="none"/>
                      <w:lang w:val="en-US" w:eastAsia="zh-CN"/>
                    </w:rPr>
                    <w:t>4</w:t>
                  </w:r>
                </w:p>
              </w:tc>
              <w:tc>
                <w:tcPr>
                  <w:tcW w:w="1016" w:type="pct"/>
                  <w:noWrap w:val="0"/>
                  <w:vAlign w:val="center"/>
                </w:tcPr>
                <w:p>
                  <w:pPr>
                    <w:pStyle w:val="460"/>
                    <w:bidi w:val="0"/>
                    <w:rPr>
                      <w:rFonts w:hint="eastAsia"/>
                      <w:color w:val="auto"/>
                      <w:highlight w:val="none"/>
                      <w:lang w:val="en-US" w:eastAsia="en-US"/>
                    </w:rPr>
                  </w:pPr>
                  <w:r>
                    <w:rPr>
                      <w:rFonts w:hint="eastAsia"/>
                      <w:color w:val="auto"/>
                      <w:highlight w:val="none"/>
                      <w:lang w:val="en-US" w:eastAsia="zh-CN"/>
                    </w:rPr>
                    <w:t>防汛防渗沙袋</w:t>
                  </w:r>
                </w:p>
              </w:tc>
              <w:tc>
                <w:tcPr>
                  <w:tcW w:w="1059" w:type="pct"/>
                  <w:noWrap w:val="0"/>
                  <w:vAlign w:val="center"/>
                </w:tcPr>
                <w:p>
                  <w:pPr>
                    <w:pStyle w:val="460"/>
                    <w:bidi w:val="0"/>
                    <w:rPr>
                      <w:rFonts w:hint="eastAsia"/>
                      <w:color w:val="auto"/>
                      <w:highlight w:val="none"/>
                      <w:lang w:val="en-US" w:eastAsia="en-US"/>
                    </w:rPr>
                  </w:pPr>
                  <w:r>
                    <w:rPr>
                      <w:rFonts w:hint="eastAsia"/>
                      <w:color w:val="auto"/>
                      <w:highlight w:val="none"/>
                      <w:lang w:val="en-US" w:eastAsia="zh-CN"/>
                    </w:rPr>
                    <w:t>≥300袋</w:t>
                  </w:r>
                </w:p>
              </w:tc>
              <w:tc>
                <w:tcPr>
                  <w:tcW w:w="2544" w:type="pct"/>
                  <w:noWrap w:val="0"/>
                  <w:vAlign w:val="center"/>
                </w:tcPr>
                <w:p>
                  <w:pPr>
                    <w:pStyle w:val="460"/>
                    <w:bidi w:val="0"/>
                    <w:rPr>
                      <w:rFonts w:hint="eastAsia"/>
                      <w:color w:val="auto"/>
                      <w:highlight w:val="none"/>
                      <w:lang w:val="en-US" w:eastAsia="en-US"/>
                    </w:rPr>
                  </w:pPr>
                  <w:r>
                    <w:rPr>
                      <w:rFonts w:hint="eastAsia"/>
                      <w:color w:val="auto"/>
                      <w:highlight w:val="none"/>
                      <w:lang w:val="en-US" w:eastAsia="zh-CN"/>
                    </w:rPr>
                    <w:t>构筑临时挡水围堰，阻挡向西流向开都河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80" w:type="pct"/>
                  <w:noWrap w:val="0"/>
                  <w:vAlign w:val="center"/>
                </w:tcPr>
                <w:p>
                  <w:pPr>
                    <w:pStyle w:val="460"/>
                    <w:bidi w:val="0"/>
                    <w:rPr>
                      <w:rFonts w:hint="eastAsia" w:eastAsia="宋体"/>
                      <w:color w:val="auto"/>
                      <w:highlight w:val="none"/>
                      <w:lang w:val="en-US" w:eastAsia="zh-CN"/>
                    </w:rPr>
                  </w:pPr>
                  <w:r>
                    <w:rPr>
                      <w:rFonts w:hint="eastAsia"/>
                      <w:color w:val="auto"/>
                      <w:highlight w:val="none"/>
                      <w:lang w:val="en-US" w:eastAsia="zh-CN"/>
                    </w:rPr>
                    <w:t>5</w:t>
                  </w:r>
                </w:p>
              </w:tc>
              <w:tc>
                <w:tcPr>
                  <w:tcW w:w="1016" w:type="pct"/>
                  <w:noWrap w:val="0"/>
                  <w:vAlign w:val="center"/>
                </w:tcPr>
                <w:p>
                  <w:pPr>
                    <w:pStyle w:val="460"/>
                    <w:bidi w:val="0"/>
                    <w:rPr>
                      <w:rFonts w:hint="eastAsia"/>
                      <w:color w:val="auto"/>
                      <w:highlight w:val="none"/>
                      <w:lang w:val="en-US" w:eastAsia="en-US"/>
                    </w:rPr>
                  </w:pPr>
                  <w:r>
                    <w:rPr>
                      <w:rFonts w:hint="eastAsia"/>
                      <w:color w:val="auto"/>
                      <w:highlight w:val="none"/>
                      <w:lang w:val="en-US" w:eastAsia="zh-CN"/>
                    </w:rPr>
                    <w:t>防渗土工膜（应急卷）</w:t>
                  </w:r>
                </w:p>
              </w:tc>
              <w:tc>
                <w:tcPr>
                  <w:tcW w:w="1059" w:type="pct"/>
                  <w:noWrap w:val="0"/>
                  <w:vAlign w:val="center"/>
                </w:tcPr>
                <w:p>
                  <w:pPr>
                    <w:pStyle w:val="460"/>
                    <w:bidi w:val="0"/>
                    <w:rPr>
                      <w:rFonts w:hint="eastAsia"/>
                      <w:color w:val="auto"/>
                      <w:highlight w:val="none"/>
                      <w:lang w:val="en-US" w:eastAsia="en-US"/>
                    </w:rPr>
                  </w:pPr>
                  <w:r>
                    <w:rPr>
                      <w:rFonts w:hint="eastAsia"/>
                      <w:color w:val="auto"/>
                      <w:highlight w:val="none"/>
                      <w:lang w:val="en-US" w:eastAsia="zh-CN"/>
                    </w:rPr>
                    <w:t>2卷，宽度4m</w:t>
                  </w:r>
                </w:p>
              </w:tc>
              <w:tc>
                <w:tcPr>
                  <w:tcW w:w="2544" w:type="pct"/>
                  <w:noWrap w:val="0"/>
                  <w:vAlign w:val="center"/>
                </w:tcPr>
                <w:p>
                  <w:pPr>
                    <w:pStyle w:val="460"/>
                    <w:bidi w:val="0"/>
                    <w:rPr>
                      <w:rFonts w:hint="eastAsia"/>
                      <w:color w:val="auto"/>
                      <w:highlight w:val="none"/>
                      <w:lang w:val="en-US" w:eastAsia="en-US"/>
                    </w:rPr>
                  </w:pPr>
                  <w:r>
                    <w:rPr>
                      <w:rFonts w:hint="eastAsia"/>
                      <w:color w:val="auto"/>
                      <w:highlight w:val="none"/>
                      <w:lang w:val="en-US" w:eastAsia="zh-CN"/>
                    </w:rPr>
                    <w:t>现场铺设构筑临时防渗拦截屏障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80" w:type="pct"/>
                  <w:noWrap w:val="0"/>
                  <w:vAlign w:val="center"/>
                </w:tcPr>
                <w:p>
                  <w:pPr>
                    <w:pStyle w:val="460"/>
                    <w:bidi w:val="0"/>
                    <w:rPr>
                      <w:rFonts w:hint="eastAsia" w:eastAsia="宋体"/>
                      <w:color w:val="auto"/>
                      <w:highlight w:val="none"/>
                      <w:lang w:val="en-US" w:eastAsia="zh-CN"/>
                    </w:rPr>
                  </w:pPr>
                  <w:r>
                    <w:rPr>
                      <w:rFonts w:hint="eastAsia"/>
                      <w:color w:val="auto"/>
                      <w:highlight w:val="none"/>
                      <w:lang w:val="en-US" w:eastAsia="zh-CN"/>
                    </w:rPr>
                    <w:t>6</w:t>
                  </w:r>
                </w:p>
              </w:tc>
              <w:tc>
                <w:tcPr>
                  <w:tcW w:w="1016" w:type="pct"/>
                  <w:noWrap w:val="0"/>
                  <w:vAlign w:val="center"/>
                </w:tcPr>
                <w:p>
                  <w:pPr>
                    <w:pStyle w:val="460"/>
                    <w:bidi w:val="0"/>
                    <w:rPr>
                      <w:rFonts w:hint="eastAsia"/>
                      <w:color w:val="auto"/>
                      <w:highlight w:val="none"/>
                      <w:lang w:val="en-US" w:eastAsia="en-US"/>
                    </w:rPr>
                  </w:pPr>
                  <w:r>
                    <w:rPr>
                      <w:rFonts w:hint="eastAsia"/>
                      <w:color w:val="auto"/>
                      <w:highlight w:val="none"/>
                      <w:lang w:val="en-US" w:eastAsia="zh-CN"/>
                    </w:rPr>
                    <w:t>移动式防渗围堰</w:t>
                  </w:r>
                </w:p>
              </w:tc>
              <w:tc>
                <w:tcPr>
                  <w:tcW w:w="1059" w:type="pct"/>
                  <w:noWrap w:val="0"/>
                  <w:vAlign w:val="center"/>
                </w:tcPr>
                <w:p>
                  <w:pPr>
                    <w:pStyle w:val="460"/>
                    <w:bidi w:val="0"/>
                    <w:rPr>
                      <w:rFonts w:hint="eastAsia"/>
                      <w:color w:val="auto"/>
                      <w:highlight w:val="none"/>
                      <w:lang w:val="en-US" w:eastAsia="en-US"/>
                    </w:rPr>
                  </w:pPr>
                  <w:r>
                    <w:rPr>
                      <w:rFonts w:hint="eastAsia"/>
                      <w:color w:val="auto"/>
                      <w:highlight w:val="none"/>
                      <w:lang w:val="en-US" w:eastAsia="zh-CN"/>
                    </w:rPr>
                    <w:t>1套</w:t>
                  </w:r>
                </w:p>
              </w:tc>
              <w:tc>
                <w:tcPr>
                  <w:tcW w:w="2544" w:type="pct"/>
                  <w:noWrap w:val="0"/>
                  <w:vAlign w:val="center"/>
                </w:tcPr>
                <w:p>
                  <w:pPr>
                    <w:pStyle w:val="460"/>
                    <w:bidi w:val="0"/>
                    <w:rPr>
                      <w:rFonts w:hint="eastAsia"/>
                      <w:color w:val="auto"/>
                      <w:highlight w:val="none"/>
                      <w:lang w:val="en-US" w:eastAsia="en-US"/>
                    </w:rPr>
                  </w:pPr>
                  <w:r>
                    <w:rPr>
                      <w:rFonts w:hint="eastAsia"/>
                      <w:color w:val="auto"/>
                      <w:highlight w:val="none"/>
                      <w:lang w:val="en-US" w:eastAsia="zh-CN"/>
                    </w:rPr>
                    <w:t>危废贮存点周边快速构筑二次拦截圈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80" w:type="pct"/>
                  <w:noWrap w:val="0"/>
                  <w:vAlign w:val="center"/>
                </w:tcPr>
                <w:p>
                  <w:pPr>
                    <w:pStyle w:val="460"/>
                    <w:bidi w:val="0"/>
                    <w:rPr>
                      <w:rFonts w:hint="eastAsia" w:eastAsia="宋体"/>
                      <w:color w:val="auto"/>
                      <w:highlight w:val="none"/>
                      <w:lang w:val="en-US" w:eastAsia="zh-CN"/>
                    </w:rPr>
                  </w:pPr>
                  <w:r>
                    <w:rPr>
                      <w:rFonts w:hint="eastAsia"/>
                      <w:color w:val="auto"/>
                      <w:highlight w:val="none"/>
                      <w:lang w:val="en-US" w:eastAsia="zh-CN"/>
                    </w:rPr>
                    <w:t>7</w:t>
                  </w:r>
                </w:p>
              </w:tc>
              <w:tc>
                <w:tcPr>
                  <w:tcW w:w="1016" w:type="pct"/>
                  <w:shd w:val="clear" w:color="auto" w:fill="auto"/>
                  <w:noWrap w:val="0"/>
                  <w:vAlign w:val="center"/>
                </w:tcPr>
                <w:p>
                  <w:pPr>
                    <w:pStyle w:val="460"/>
                    <w:bidi w:val="0"/>
                    <w:rPr>
                      <w:rFonts w:hint="eastAsia" w:ascii="Times New Roman" w:hAnsi="Times New Roman" w:eastAsia="宋体" w:cs="Times New Roman"/>
                      <w:color w:val="auto"/>
                      <w:sz w:val="21"/>
                      <w:szCs w:val="21"/>
                      <w:highlight w:val="none"/>
                      <w:lang w:val="en-US" w:eastAsia="en-US" w:bidi="ar-SA"/>
                    </w:rPr>
                  </w:pPr>
                  <w:r>
                    <w:rPr>
                      <w:rFonts w:hint="eastAsia"/>
                      <w:color w:val="auto"/>
                      <w:highlight w:val="none"/>
                      <w:lang w:val="en-US" w:eastAsia="zh-CN"/>
                    </w:rPr>
                    <w:t>便携式pH、石油类快速检测试剂盒</w:t>
                  </w:r>
                </w:p>
              </w:tc>
              <w:tc>
                <w:tcPr>
                  <w:tcW w:w="1059" w:type="pct"/>
                  <w:shd w:val="clear" w:color="auto" w:fill="auto"/>
                  <w:noWrap w:val="0"/>
                  <w:vAlign w:val="center"/>
                </w:tcPr>
                <w:p>
                  <w:pPr>
                    <w:pStyle w:val="460"/>
                    <w:bidi w:val="0"/>
                    <w:rPr>
                      <w:rFonts w:hint="eastAsia" w:ascii="Times New Roman" w:hAnsi="Times New Roman" w:eastAsia="宋体" w:cs="Times New Roman"/>
                      <w:color w:val="auto"/>
                      <w:sz w:val="21"/>
                      <w:szCs w:val="21"/>
                      <w:highlight w:val="none"/>
                      <w:lang w:val="en-US" w:eastAsia="en-US" w:bidi="ar-SA"/>
                    </w:rPr>
                  </w:pPr>
                  <w:r>
                    <w:rPr>
                      <w:rFonts w:hint="eastAsia"/>
                      <w:color w:val="auto"/>
                      <w:highlight w:val="none"/>
                      <w:lang w:val="en-US" w:eastAsia="zh-CN"/>
                    </w:rPr>
                    <w:t>1套</w:t>
                  </w:r>
                </w:p>
              </w:tc>
              <w:tc>
                <w:tcPr>
                  <w:tcW w:w="2544" w:type="pct"/>
                  <w:shd w:val="clear" w:color="auto" w:fill="auto"/>
                  <w:noWrap w:val="0"/>
                  <w:vAlign w:val="center"/>
                </w:tcPr>
                <w:p>
                  <w:pPr>
                    <w:pStyle w:val="460"/>
                    <w:bidi w:val="0"/>
                    <w:rPr>
                      <w:rFonts w:hint="eastAsia" w:ascii="Times New Roman" w:hAnsi="Times New Roman" w:eastAsia="宋体" w:cs="Times New Roman"/>
                      <w:color w:val="auto"/>
                      <w:sz w:val="21"/>
                      <w:szCs w:val="21"/>
                      <w:highlight w:val="none"/>
                      <w:lang w:val="en-US" w:eastAsia="en-US" w:bidi="ar-SA"/>
                    </w:rPr>
                  </w:pPr>
                  <w:r>
                    <w:rPr>
                      <w:rFonts w:hint="eastAsia"/>
                      <w:color w:val="auto"/>
                      <w:highlight w:val="none"/>
                      <w:lang w:val="en-US" w:eastAsia="zh-CN"/>
                    </w:rPr>
                    <w:t>现场快速筛查泄漏污水污染指标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80" w:type="pct"/>
                  <w:noWrap w:val="0"/>
                  <w:vAlign w:val="center"/>
                </w:tcPr>
                <w:p>
                  <w:pPr>
                    <w:pStyle w:val="460"/>
                    <w:bidi w:val="0"/>
                    <w:rPr>
                      <w:rFonts w:hint="eastAsia" w:eastAsia="宋体"/>
                      <w:color w:val="auto"/>
                      <w:highlight w:val="none"/>
                      <w:lang w:val="en-US" w:eastAsia="zh-CN"/>
                    </w:rPr>
                  </w:pPr>
                  <w:r>
                    <w:rPr>
                      <w:rFonts w:hint="eastAsia"/>
                      <w:color w:val="auto"/>
                      <w:highlight w:val="none"/>
                      <w:lang w:val="en-US" w:eastAsia="zh-CN"/>
                    </w:rPr>
                    <w:t>8</w:t>
                  </w:r>
                </w:p>
              </w:tc>
              <w:tc>
                <w:tcPr>
                  <w:tcW w:w="1016" w:type="pct"/>
                  <w:shd w:val="clear" w:color="auto" w:fill="auto"/>
                  <w:noWrap w:val="0"/>
                  <w:vAlign w:val="center"/>
                </w:tcPr>
                <w:p>
                  <w:pPr>
                    <w:pStyle w:val="460"/>
                    <w:bidi w:val="0"/>
                    <w:rPr>
                      <w:rFonts w:hint="eastAsia" w:ascii="Times New Roman" w:hAnsi="Times New Roman" w:eastAsia="宋体" w:cs="Times New Roman"/>
                      <w:color w:val="auto"/>
                      <w:sz w:val="21"/>
                      <w:szCs w:val="21"/>
                      <w:highlight w:val="none"/>
                      <w:lang w:val="en-US" w:eastAsia="en-US" w:bidi="ar-SA"/>
                    </w:rPr>
                  </w:pPr>
                  <w:r>
                    <w:rPr>
                      <w:rFonts w:hint="eastAsia"/>
                      <w:color w:val="auto"/>
                      <w:highlight w:val="none"/>
                      <w:lang w:val="en-US" w:eastAsia="zh-CN"/>
                    </w:rPr>
                    <w:t>警示带、警戒标识</w:t>
                  </w:r>
                </w:p>
              </w:tc>
              <w:tc>
                <w:tcPr>
                  <w:tcW w:w="1059" w:type="pct"/>
                  <w:shd w:val="clear" w:color="auto" w:fill="auto"/>
                  <w:noWrap w:val="0"/>
                  <w:vAlign w:val="center"/>
                </w:tcPr>
                <w:p>
                  <w:pPr>
                    <w:pStyle w:val="460"/>
                    <w:bidi w:val="0"/>
                    <w:rPr>
                      <w:rFonts w:hint="eastAsia" w:ascii="Times New Roman" w:hAnsi="Times New Roman" w:eastAsia="宋体" w:cs="Times New Roman"/>
                      <w:color w:val="auto"/>
                      <w:sz w:val="21"/>
                      <w:szCs w:val="21"/>
                      <w:highlight w:val="none"/>
                      <w:lang w:val="en-US" w:eastAsia="en-US" w:bidi="ar-SA"/>
                    </w:rPr>
                  </w:pPr>
                  <w:r>
                    <w:rPr>
                      <w:rFonts w:hint="eastAsia"/>
                      <w:color w:val="auto"/>
                      <w:highlight w:val="none"/>
                      <w:lang w:val="en-US" w:eastAsia="zh-CN"/>
                    </w:rPr>
                    <w:t>若干</w:t>
                  </w:r>
                </w:p>
              </w:tc>
              <w:tc>
                <w:tcPr>
                  <w:tcW w:w="2544" w:type="pct"/>
                  <w:shd w:val="clear" w:color="auto" w:fill="auto"/>
                  <w:noWrap w:val="0"/>
                  <w:vAlign w:val="center"/>
                </w:tcPr>
                <w:p>
                  <w:pPr>
                    <w:pStyle w:val="460"/>
                    <w:bidi w:val="0"/>
                    <w:rPr>
                      <w:rFonts w:hint="eastAsia" w:ascii="Times New Roman" w:hAnsi="Times New Roman" w:eastAsia="宋体" w:cs="Times New Roman"/>
                      <w:color w:val="auto"/>
                      <w:sz w:val="21"/>
                      <w:szCs w:val="21"/>
                      <w:highlight w:val="none"/>
                      <w:lang w:val="en-US" w:eastAsia="en-US" w:bidi="ar-SA"/>
                    </w:rPr>
                  </w:pPr>
                  <w:r>
                    <w:rPr>
                      <w:rFonts w:hint="eastAsia"/>
                      <w:color w:val="auto"/>
                      <w:highlight w:val="none"/>
                      <w:lang w:val="en-US" w:eastAsia="zh-CN"/>
                    </w:rPr>
                    <w:t>事故现场划定警戒区域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80" w:type="pct"/>
                  <w:noWrap w:val="0"/>
                  <w:vAlign w:val="center"/>
                </w:tcPr>
                <w:p>
                  <w:pPr>
                    <w:pStyle w:val="460"/>
                    <w:bidi w:val="0"/>
                    <w:rPr>
                      <w:rFonts w:hint="eastAsia" w:eastAsia="宋体"/>
                      <w:color w:val="auto"/>
                      <w:highlight w:val="none"/>
                      <w:lang w:val="en-US" w:eastAsia="zh-CN"/>
                    </w:rPr>
                  </w:pPr>
                  <w:r>
                    <w:rPr>
                      <w:rFonts w:hint="eastAsia"/>
                      <w:color w:val="auto"/>
                      <w:highlight w:val="none"/>
                      <w:lang w:val="en-US" w:eastAsia="zh-CN"/>
                    </w:rPr>
                    <w:t>9</w:t>
                  </w:r>
                </w:p>
              </w:tc>
              <w:tc>
                <w:tcPr>
                  <w:tcW w:w="1016" w:type="pct"/>
                  <w:shd w:val="clear" w:color="auto" w:fill="auto"/>
                  <w:noWrap w:val="0"/>
                  <w:vAlign w:val="center"/>
                </w:tcPr>
                <w:p>
                  <w:pPr>
                    <w:pStyle w:val="460"/>
                    <w:bidi w:val="0"/>
                    <w:rPr>
                      <w:rFonts w:hint="eastAsia" w:ascii="Times New Roman" w:hAnsi="Times New Roman" w:eastAsia="宋体" w:cs="Times New Roman"/>
                      <w:color w:val="auto"/>
                      <w:sz w:val="21"/>
                      <w:szCs w:val="21"/>
                      <w:highlight w:val="none"/>
                      <w:lang w:val="en-US" w:eastAsia="en-US" w:bidi="ar-SA"/>
                    </w:rPr>
                  </w:pPr>
                  <w:r>
                    <w:rPr>
                      <w:rFonts w:hint="eastAsia"/>
                      <w:color w:val="auto"/>
                      <w:highlight w:val="none"/>
                      <w:lang w:val="en-US" w:eastAsia="zh-CN"/>
                    </w:rPr>
                    <w:t>铁锹、镐头、切割工具</w:t>
                  </w:r>
                </w:p>
              </w:tc>
              <w:tc>
                <w:tcPr>
                  <w:tcW w:w="1059" w:type="pct"/>
                  <w:shd w:val="clear" w:color="auto" w:fill="auto"/>
                  <w:noWrap w:val="0"/>
                  <w:vAlign w:val="center"/>
                </w:tcPr>
                <w:p>
                  <w:pPr>
                    <w:pStyle w:val="460"/>
                    <w:bidi w:val="0"/>
                    <w:rPr>
                      <w:rFonts w:hint="eastAsia" w:ascii="Times New Roman" w:hAnsi="Times New Roman" w:eastAsia="宋体" w:cs="Times New Roman"/>
                      <w:color w:val="auto"/>
                      <w:sz w:val="21"/>
                      <w:szCs w:val="21"/>
                      <w:highlight w:val="none"/>
                      <w:lang w:val="en-US" w:eastAsia="en-US" w:bidi="ar-SA"/>
                    </w:rPr>
                  </w:pPr>
                  <w:r>
                    <w:rPr>
                      <w:rFonts w:hint="eastAsia"/>
                      <w:color w:val="auto"/>
                      <w:highlight w:val="none"/>
                      <w:lang w:val="en-US" w:eastAsia="zh-CN"/>
                    </w:rPr>
                    <w:t>若干</w:t>
                  </w:r>
                </w:p>
              </w:tc>
              <w:tc>
                <w:tcPr>
                  <w:tcW w:w="2544" w:type="pct"/>
                  <w:shd w:val="clear" w:color="auto" w:fill="auto"/>
                  <w:noWrap w:val="0"/>
                  <w:vAlign w:val="center"/>
                </w:tcPr>
                <w:p>
                  <w:pPr>
                    <w:pStyle w:val="460"/>
                    <w:bidi w:val="0"/>
                    <w:rPr>
                      <w:rFonts w:hint="eastAsia" w:ascii="Times New Roman" w:hAnsi="Times New Roman" w:eastAsia="宋体" w:cs="Times New Roman"/>
                      <w:color w:val="auto"/>
                      <w:sz w:val="21"/>
                      <w:szCs w:val="21"/>
                      <w:highlight w:val="none"/>
                      <w:lang w:val="en-US" w:eastAsia="en-US" w:bidi="ar-SA"/>
                    </w:rPr>
                  </w:pPr>
                  <w:r>
                    <w:rPr>
                      <w:rFonts w:hint="eastAsia"/>
                      <w:color w:val="auto"/>
                      <w:highlight w:val="none"/>
                      <w:lang w:val="en-US" w:eastAsia="zh-CN"/>
                    </w:rPr>
                    <w:t>抢险作业</w:t>
                  </w:r>
                </w:p>
              </w:tc>
            </w:tr>
          </w:tbl>
          <w:p>
            <w:pPr>
              <w:keepNext w:val="0"/>
              <w:keepLines w:val="0"/>
              <w:pageBreakBefore w:val="0"/>
              <w:kinsoku/>
              <w:wordWrap/>
              <w:overflowPunct/>
              <w:topLinePunct w:val="0"/>
              <w:autoSpaceDE/>
              <w:autoSpaceDN/>
              <w:bidi w:val="0"/>
              <w:adjustRightInd/>
              <w:snapToGrid/>
              <w:ind w:firstLine="482"/>
              <w:jc w:val="both"/>
              <w:textAlignment w:val="auto"/>
              <w:rPr>
                <w:rFonts w:hint="default" w:ascii="Times New Roman" w:hAnsi="Times New Roman" w:eastAsia="宋体" w:cs="Times New Roman"/>
                <w:b w:val="0"/>
                <w:bCs w:val="0"/>
                <w:color w:val="auto"/>
                <w:spacing w:val="0"/>
                <w:sz w:val="24"/>
                <w:lang w:val="en-US" w:eastAsia="zh-CN"/>
              </w:rPr>
            </w:pPr>
            <w:r>
              <w:rPr>
                <w:rFonts w:hint="eastAsia" w:ascii="Times New Roman" w:hAnsi="Times New Roman" w:eastAsia="宋体" w:cs="Times New Roman"/>
                <w:b w:val="0"/>
                <w:bCs w:val="0"/>
                <w:color w:val="auto"/>
                <w:spacing w:val="0"/>
                <w:sz w:val="24"/>
              </w:rPr>
              <w:t>管理要求：建立物资台账，每季度盘点；消耗物资72小时内完成补充更换；设备类物资每月通电试机，保证完好可用。</w:t>
            </w:r>
          </w:p>
          <w:p>
            <w:pPr>
              <w:keepNext w:val="0"/>
              <w:keepLines w:val="0"/>
              <w:pageBreakBefore w:val="0"/>
              <w:kinsoku/>
              <w:wordWrap/>
              <w:overflowPunct/>
              <w:topLinePunct w:val="0"/>
              <w:autoSpaceDE/>
              <w:autoSpaceDN/>
              <w:bidi w:val="0"/>
              <w:adjustRightInd/>
              <w:snapToGrid/>
              <w:ind w:firstLine="482"/>
              <w:jc w:val="both"/>
              <w:textAlignment w:val="auto"/>
              <w:rPr>
                <w:rFonts w:hint="eastAsia" w:ascii="Times New Roman" w:hAnsi="Times New Roman" w:eastAsia="宋体" w:cs="Times New Roman"/>
                <w:b w:val="0"/>
                <w:bCs w:val="0"/>
                <w:color w:val="auto"/>
                <w:spacing w:val="0"/>
                <w:sz w:val="24"/>
              </w:rPr>
            </w:pPr>
            <w:r>
              <w:rPr>
                <w:rFonts w:hint="eastAsia" w:ascii="Times New Roman" w:hAnsi="Times New Roman" w:eastAsia="宋体" w:cs="Times New Roman"/>
                <w:b w:val="0"/>
                <w:bCs w:val="0"/>
                <w:color w:val="auto"/>
                <w:spacing w:val="0"/>
                <w:sz w:val="24"/>
              </w:rPr>
              <w:t>（3）危废泄漏处置流程</w:t>
            </w:r>
          </w:p>
          <w:p>
            <w:pPr>
              <w:keepNext w:val="0"/>
              <w:keepLines w:val="0"/>
              <w:pageBreakBefore w:val="0"/>
              <w:kinsoku/>
              <w:wordWrap/>
              <w:overflowPunct/>
              <w:topLinePunct w:val="0"/>
              <w:autoSpaceDE/>
              <w:autoSpaceDN/>
              <w:bidi w:val="0"/>
              <w:adjustRightInd/>
              <w:snapToGrid/>
              <w:ind w:firstLine="482"/>
              <w:jc w:val="both"/>
              <w:textAlignment w:val="auto"/>
              <w:rPr>
                <w:rFonts w:hint="eastAsia" w:ascii="Times New Roman" w:hAnsi="Times New Roman" w:eastAsia="宋体" w:cs="Times New Roman"/>
                <w:b w:val="0"/>
                <w:bCs w:val="0"/>
                <w:color w:val="auto"/>
                <w:spacing w:val="0"/>
                <w:sz w:val="24"/>
              </w:rPr>
            </w:pPr>
            <w:r>
              <w:rPr>
                <w:rFonts w:hint="eastAsia" w:ascii="Times New Roman" w:hAnsi="Times New Roman" w:eastAsia="宋体" w:cs="Times New Roman"/>
                <w:b w:val="0"/>
                <w:bCs w:val="0"/>
                <w:color w:val="auto"/>
                <w:spacing w:val="0"/>
                <w:sz w:val="24"/>
              </w:rPr>
              <w:t>突发泄漏事件处置流程：①发现报警：现场巡检人员发现危废机油泄漏→第一时间现场呼喊报警，现场人员第一时间停止生产作业；</w:t>
            </w:r>
          </w:p>
          <w:p>
            <w:pPr>
              <w:keepNext w:val="0"/>
              <w:keepLines w:val="0"/>
              <w:pageBreakBefore w:val="0"/>
              <w:kinsoku/>
              <w:wordWrap/>
              <w:overflowPunct/>
              <w:topLinePunct w:val="0"/>
              <w:autoSpaceDE/>
              <w:autoSpaceDN/>
              <w:bidi w:val="0"/>
              <w:adjustRightInd/>
              <w:snapToGrid/>
              <w:ind w:firstLine="482"/>
              <w:jc w:val="both"/>
              <w:textAlignment w:val="auto"/>
              <w:rPr>
                <w:rFonts w:hint="eastAsia" w:ascii="Times New Roman" w:hAnsi="Times New Roman" w:eastAsia="宋体" w:cs="Times New Roman"/>
                <w:b w:val="0"/>
                <w:bCs w:val="0"/>
                <w:color w:val="auto"/>
                <w:spacing w:val="0"/>
                <w:sz w:val="24"/>
              </w:rPr>
            </w:pPr>
            <w:r>
              <w:rPr>
                <w:rFonts w:hint="eastAsia" w:ascii="Times New Roman" w:hAnsi="Times New Roman" w:eastAsia="宋体" w:cs="Times New Roman"/>
                <w:b w:val="0"/>
                <w:bCs w:val="0"/>
                <w:color w:val="auto"/>
                <w:spacing w:val="0"/>
                <w:sz w:val="24"/>
              </w:rPr>
              <w:t>②初步隔离：人员佩戴防护用品，利用沙袋、移动式防渗围堰，在泄漏点西侧（朝向开都河方向）快速构筑临时拦截围堰，阻断污染物向西地表漫流；</w:t>
            </w:r>
          </w:p>
          <w:p>
            <w:pPr>
              <w:keepNext w:val="0"/>
              <w:keepLines w:val="0"/>
              <w:pageBreakBefore w:val="0"/>
              <w:kinsoku/>
              <w:wordWrap/>
              <w:overflowPunct/>
              <w:topLinePunct w:val="0"/>
              <w:autoSpaceDE/>
              <w:autoSpaceDN/>
              <w:bidi w:val="0"/>
              <w:adjustRightInd/>
              <w:snapToGrid/>
              <w:ind w:firstLine="482"/>
              <w:jc w:val="both"/>
              <w:textAlignment w:val="auto"/>
              <w:rPr>
                <w:rFonts w:hint="eastAsia" w:ascii="Times New Roman" w:hAnsi="Times New Roman" w:eastAsia="宋体" w:cs="Times New Roman"/>
                <w:b w:val="0"/>
                <w:bCs w:val="0"/>
                <w:color w:val="auto"/>
                <w:spacing w:val="0"/>
                <w:sz w:val="24"/>
              </w:rPr>
            </w:pPr>
            <w:r>
              <w:rPr>
                <w:rFonts w:hint="eastAsia" w:ascii="Times New Roman" w:hAnsi="Times New Roman" w:eastAsia="宋体" w:cs="Times New Roman"/>
                <w:b w:val="0"/>
                <w:bCs w:val="0"/>
                <w:color w:val="auto"/>
                <w:spacing w:val="0"/>
                <w:sz w:val="24"/>
              </w:rPr>
              <w:t>③收集控污：油品泄漏：铺放吸油毡吸附，启动抽油泵将泄漏废液抽入密闭应急储存罐；</w:t>
            </w:r>
          </w:p>
          <w:p>
            <w:pPr>
              <w:keepNext w:val="0"/>
              <w:keepLines w:val="0"/>
              <w:pageBreakBefore w:val="0"/>
              <w:kinsoku/>
              <w:wordWrap/>
              <w:overflowPunct/>
              <w:topLinePunct w:val="0"/>
              <w:autoSpaceDE/>
              <w:autoSpaceDN/>
              <w:bidi w:val="0"/>
              <w:adjustRightInd/>
              <w:snapToGrid/>
              <w:ind w:firstLine="482"/>
              <w:jc w:val="both"/>
              <w:textAlignment w:val="auto"/>
              <w:rPr>
                <w:rFonts w:hint="eastAsia" w:ascii="Times New Roman" w:hAnsi="Times New Roman" w:eastAsia="宋体" w:cs="Times New Roman"/>
                <w:b w:val="0"/>
                <w:bCs w:val="0"/>
                <w:color w:val="auto"/>
                <w:spacing w:val="0"/>
                <w:sz w:val="24"/>
              </w:rPr>
            </w:pPr>
            <w:r>
              <w:rPr>
                <w:rFonts w:hint="eastAsia" w:ascii="Times New Roman" w:hAnsi="Times New Roman" w:eastAsia="宋体" w:cs="Times New Roman"/>
                <w:b w:val="0"/>
                <w:bCs w:val="0"/>
                <w:color w:val="auto"/>
                <w:spacing w:val="0"/>
                <w:sz w:val="24"/>
              </w:rPr>
              <w:t>④厂区内溯源处置：查找破损点，切断泄漏源；危废桶更换；</w:t>
            </w:r>
          </w:p>
          <w:p>
            <w:pPr>
              <w:keepNext w:val="0"/>
              <w:keepLines w:val="0"/>
              <w:pageBreakBefore w:val="0"/>
              <w:kinsoku/>
              <w:wordWrap/>
              <w:overflowPunct/>
              <w:topLinePunct w:val="0"/>
              <w:autoSpaceDE/>
              <w:autoSpaceDN/>
              <w:bidi w:val="0"/>
              <w:adjustRightInd/>
              <w:snapToGrid/>
              <w:ind w:firstLine="482"/>
              <w:jc w:val="both"/>
              <w:textAlignment w:val="auto"/>
              <w:rPr>
                <w:rFonts w:hint="eastAsia" w:ascii="Times New Roman" w:hAnsi="Times New Roman" w:eastAsia="宋体" w:cs="Times New Roman"/>
                <w:b w:val="0"/>
                <w:bCs w:val="0"/>
                <w:color w:val="auto"/>
                <w:spacing w:val="0"/>
                <w:sz w:val="24"/>
              </w:rPr>
            </w:pPr>
            <w:r>
              <w:rPr>
                <w:rFonts w:hint="eastAsia" w:ascii="Times New Roman" w:hAnsi="Times New Roman" w:eastAsia="宋体" w:cs="Times New Roman"/>
                <w:b w:val="0"/>
                <w:bCs w:val="0"/>
                <w:color w:val="auto"/>
                <w:spacing w:val="0"/>
                <w:sz w:val="24"/>
              </w:rPr>
              <w:t>⑤风险判别：判断污染物是否存在越过厂区挡水堤向开都河外泄风险；   若污染物全部被厂区设施拦截，无入河风险：厂区内全部收集处置，持续监测现场，做好记录；</w:t>
            </w:r>
          </w:p>
          <w:p>
            <w:pPr>
              <w:keepNext w:val="0"/>
              <w:keepLines w:val="0"/>
              <w:pageBreakBefore w:val="0"/>
              <w:kinsoku/>
              <w:wordWrap/>
              <w:overflowPunct/>
              <w:topLinePunct w:val="0"/>
              <w:autoSpaceDE/>
              <w:autoSpaceDN/>
              <w:bidi w:val="0"/>
              <w:adjustRightInd/>
              <w:snapToGrid/>
              <w:ind w:firstLine="482"/>
              <w:jc w:val="both"/>
              <w:textAlignment w:val="auto"/>
              <w:rPr>
                <w:rFonts w:hint="eastAsia" w:ascii="Times New Roman" w:hAnsi="Times New Roman" w:eastAsia="宋体" w:cs="Times New Roman"/>
                <w:b w:val="0"/>
                <w:bCs w:val="0"/>
                <w:color w:val="auto"/>
                <w:spacing w:val="0"/>
                <w:sz w:val="24"/>
              </w:rPr>
            </w:pPr>
            <w:r>
              <w:rPr>
                <w:rFonts w:hint="eastAsia" w:ascii="Times New Roman" w:hAnsi="Times New Roman" w:eastAsia="宋体" w:cs="Times New Roman"/>
                <w:b w:val="0"/>
                <w:bCs w:val="0"/>
                <w:color w:val="auto"/>
                <w:spacing w:val="0"/>
                <w:sz w:val="24"/>
              </w:rPr>
              <w:t>若存在污染物有可能外泄至开都河风险：立即上报博湖县生态环境局，启动临河污染专项响应；</w:t>
            </w:r>
          </w:p>
          <w:p>
            <w:pPr>
              <w:keepNext w:val="0"/>
              <w:keepLines w:val="0"/>
              <w:pageBreakBefore w:val="0"/>
              <w:kinsoku/>
              <w:wordWrap/>
              <w:overflowPunct/>
              <w:topLinePunct w:val="0"/>
              <w:autoSpaceDE/>
              <w:autoSpaceDN/>
              <w:bidi w:val="0"/>
              <w:adjustRightInd/>
              <w:snapToGrid/>
              <w:ind w:firstLine="482"/>
              <w:jc w:val="both"/>
              <w:textAlignment w:val="auto"/>
              <w:rPr>
                <w:rFonts w:hint="eastAsia" w:ascii="Times New Roman" w:hAnsi="Times New Roman" w:eastAsia="宋体" w:cs="Times New Roman"/>
                <w:b w:val="0"/>
                <w:bCs w:val="0"/>
                <w:color w:val="auto"/>
                <w:spacing w:val="0"/>
                <w:sz w:val="24"/>
              </w:rPr>
            </w:pPr>
            <w:r>
              <w:rPr>
                <w:rFonts w:hint="eastAsia" w:ascii="Times New Roman" w:hAnsi="Times New Roman" w:eastAsia="宋体" w:cs="Times New Roman"/>
                <w:b w:val="0"/>
                <w:bCs w:val="0"/>
                <w:color w:val="auto"/>
                <w:spacing w:val="0"/>
                <w:sz w:val="24"/>
              </w:rPr>
              <w:t>⑥后续处置：泄漏废物全部交由有资质单位处置；清理现场；</w:t>
            </w:r>
          </w:p>
          <w:p>
            <w:pPr>
              <w:keepNext w:val="0"/>
              <w:keepLines w:val="0"/>
              <w:pageBreakBefore w:val="0"/>
              <w:kinsoku/>
              <w:wordWrap/>
              <w:overflowPunct/>
              <w:topLinePunct w:val="0"/>
              <w:autoSpaceDE/>
              <w:autoSpaceDN/>
              <w:bidi w:val="0"/>
              <w:adjustRightInd/>
              <w:snapToGrid/>
              <w:ind w:firstLine="482"/>
              <w:jc w:val="both"/>
              <w:textAlignment w:val="auto"/>
              <w:rPr>
                <w:rFonts w:hint="eastAsia" w:ascii="Times New Roman" w:hAnsi="Times New Roman" w:eastAsia="宋体" w:cs="Times New Roman"/>
                <w:b w:val="0"/>
                <w:bCs w:val="0"/>
                <w:color w:val="auto"/>
                <w:spacing w:val="0"/>
                <w:sz w:val="24"/>
              </w:rPr>
            </w:pPr>
            <w:r>
              <w:rPr>
                <w:rFonts w:hint="eastAsia" w:ascii="Times New Roman" w:hAnsi="Times New Roman" w:eastAsia="宋体" w:cs="Times New Roman"/>
                <w:b w:val="0"/>
                <w:bCs w:val="0"/>
                <w:color w:val="auto"/>
                <w:spacing w:val="0"/>
                <w:sz w:val="24"/>
              </w:rPr>
              <w:t>⑦复盘归档：完成事件处置，编制事件处置报告，完善预案与物资配置。</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7.6突发事故下污染物迁移至开都河时长及环境影响分析</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本项目紧邻开都河外缘控制线（法定岸线）56m，厂区地形西低东缓倾斜坡面，平均坡度1.2%。结合本项目风险源识别，选取最大可信事故开展入河风险定量分析：情景</w:t>
            </w: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eastAsia="zh-CN"/>
              </w:rPr>
              <w:t>危废贮存点</w:t>
            </w:r>
            <w:r>
              <w:rPr>
                <w:rFonts w:hint="default" w:ascii="Times New Roman" w:hAnsi="Times New Roman" w:eastAsia="宋体" w:cs="Times New Roman"/>
                <w:color w:val="auto"/>
                <w:sz w:val="24"/>
                <w:szCs w:val="24"/>
              </w:rPr>
              <w:t>废机油桶破损泄漏。分别对防护设施全部失效极端裸地工况（理论最不利，本项目实际不会发生）、本项目工程防护全部完好的实际工况两套情景进行源强、迁移时长、入河量、受纳水体稀释定量核算。</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情景</w:t>
            </w:r>
            <w:r>
              <w:rPr>
                <w:rFonts w:hint="eastAsia" w:ascii="Times New Roman" w:hAnsi="Times New Roman" w:eastAsia="宋体" w:cs="Times New Roman"/>
                <w:color w:val="auto"/>
                <w:sz w:val="24"/>
                <w:szCs w:val="24"/>
                <w:lang w:val="en-US" w:eastAsia="zh-CN"/>
              </w:rPr>
              <w:t>一</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eastAsia="zh-CN"/>
              </w:rPr>
              <w:t>危废贮存点</w:t>
            </w:r>
            <w:r>
              <w:rPr>
                <w:rFonts w:hint="default" w:ascii="Times New Roman" w:hAnsi="Times New Roman" w:eastAsia="宋体" w:cs="Times New Roman"/>
                <w:color w:val="auto"/>
                <w:sz w:val="24"/>
                <w:szCs w:val="24"/>
              </w:rPr>
              <w:t>废机油桶破损泄漏（最大可信事故：单只废机油桶全部泄漏，泄漏量0.1t，密度0.85t/m³，泄漏体积0.118m³）</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①极端裸地假想情景：</w:t>
            </w:r>
            <w:r>
              <w:rPr>
                <w:rFonts w:hint="eastAsia" w:ascii="Times New Roman" w:hAnsi="Times New Roman" w:eastAsia="宋体" w:cs="Times New Roman"/>
                <w:color w:val="auto"/>
                <w:sz w:val="24"/>
                <w:szCs w:val="24"/>
                <w:lang w:eastAsia="zh-CN"/>
              </w:rPr>
              <w:t>危废贮存点</w:t>
            </w:r>
            <w:r>
              <w:rPr>
                <w:rFonts w:hint="default" w:ascii="Times New Roman" w:hAnsi="Times New Roman" w:eastAsia="宋体" w:cs="Times New Roman"/>
                <w:color w:val="auto"/>
                <w:sz w:val="24"/>
                <w:szCs w:val="24"/>
              </w:rPr>
              <w:t>环形应急池、围堰、防渗层全部损毁，无任何收集</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废机油液态泄漏，沿厂区1.2%坡度向西地表漫流至开都河岸线56m；地表油膜漫流速度取0.15m/s；迁移抵达河岸时间</w:t>
            </w:r>
            <w:r>
              <w:rPr>
                <w:rFonts w:hint="eastAsia" w:ascii="Times New Roman" w:hAnsi="Times New Roman" w:eastAsia="宋体" w:cs="Times New Roman"/>
                <w:color w:val="auto"/>
                <w:sz w:val="24"/>
                <w:szCs w:val="24"/>
                <w:lang w:val="en-US" w:eastAsia="zh-CN"/>
              </w:rPr>
              <w:t>373S</w:t>
            </w:r>
            <w:r>
              <w:rPr>
                <w:rFonts w:hint="default" w:ascii="Times New Roman" w:hAnsi="Times New Roman" w:eastAsia="宋体" w:cs="Times New Roman"/>
                <w:color w:val="auto"/>
                <w:sz w:val="24"/>
                <w:szCs w:val="24"/>
              </w:rPr>
              <w:t>（约6.2分钟），0.1t废机油全部进入开都河。开都河22m</w:t>
            </w:r>
            <w:r>
              <w:rPr>
                <w:rFonts w:hint="eastAsia"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rPr>
              <w:t>/s流量瞬时混合估算，石油类本底取0.02mg/L；</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定量结论：假想全部防护失效条件下，0.1t废机油入河，会造成局部河段石油类指标短时严重超标，油膜向下漂移输入博斯腾湖，对河道、湖泊水生生物产生毒害风险。该情景需要</w:t>
            </w:r>
            <w:r>
              <w:rPr>
                <w:rFonts w:hint="eastAsia" w:ascii="Times New Roman" w:hAnsi="Times New Roman" w:eastAsia="宋体" w:cs="Times New Roman"/>
                <w:color w:val="auto"/>
                <w:sz w:val="24"/>
                <w:szCs w:val="24"/>
                <w:lang w:eastAsia="zh-CN"/>
              </w:rPr>
              <w:t>危废贮存点</w:t>
            </w:r>
            <w:r>
              <w:rPr>
                <w:rFonts w:hint="default" w:ascii="Times New Roman" w:hAnsi="Times New Roman" w:eastAsia="宋体" w:cs="Times New Roman"/>
                <w:color w:val="auto"/>
                <w:sz w:val="24"/>
                <w:szCs w:val="24"/>
              </w:rPr>
              <w:t>围堰、应急池、防渗</w:t>
            </w:r>
            <w:r>
              <w:rPr>
                <w:rFonts w:hint="eastAsia" w:ascii="Times New Roman" w:hAnsi="Times New Roman" w:eastAsia="宋体" w:cs="Times New Roman"/>
                <w:color w:val="auto"/>
                <w:sz w:val="24"/>
                <w:szCs w:val="24"/>
                <w:lang w:eastAsia="zh-CN"/>
              </w:rPr>
              <w:t>层等</w:t>
            </w:r>
            <w:r>
              <w:rPr>
                <w:rFonts w:hint="default" w:ascii="Times New Roman" w:hAnsi="Times New Roman" w:eastAsia="宋体" w:cs="Times New Roman"/>
                <w:color w:val="auto"/>
                <w:sz w:val="24"/>
                <w:szCs w:val="24"/>
              </w:rPr>
              <w:t>多重设施同时损毁，属于极小概率假想事故。</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②本项目实际建设工况（</w:t>
            </w:r>
            <w:r>
              <w:rPr>
                <w:rFonts w:hint="eastAsia" w:ascii="Times New Roman" w:hAnsi="Times New Roman" w:eastAsia="宋体" w:cs="Times New Roman"/>
                <w:color w:val="auto"/>
                <w:sz w:val="24"/>
                <w:szCs w:val="24"/>
                <w:lang w:eastAsia="zh-CN"/>
              </w:rPr>
              <w:t>危废贮存点</w:t>
            </w:r>
            <w:r>
              <w:rPr>
                <w:rFonts w:hint="default" w:ascii="Times New Roman" w:hAnsi="Times New Roman" w:eastAsia="宋体" w:cs="Times New Roman"/>
                <w:color w:val="auto"/>
                <w:sz w:val="24"/>
                <w:szCs w:val="24"/>
              </w:rPr>
              <w:t>防渗围堰、防渗层完好）</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泄漏的0.118m</w:t>
            </w:r>
            <w:r>
              <w:rPr>
                <w:rFonts w:hint="eastAsia"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rPr>
              <w:t>废机油被</w:t>
            </w:r>
            <w:r>
              <w:rPr>
                <w:rFonts w:hint="eastAsia" w:ascii="Times New Roman" w:hAnsi="Times New Roman" w:eastAsia="宋体" w:cs="Times New Roman"/>
                <w:color w:val="auto"/>
                <w:sz w:val="24"/>
                <w:szCs w:val="24"/>
                <w:lang w:eastAsia="zh-CN"/>
              </w:rPr>
              <w:t>危废贮存点</w:t>
            </w:r>
            <w:r>
              <w:rPr>
                <w:rFonts w:hint="default" w:ascii="Times New Roman" w:hAnsi="Times New Roman" w:eastAsia="宋体" w:cs="Times New Roman"/>
                <w:color w:val="auto"/>
                <w:sz w:val="24"/>
                <w:szCs w:val="24"/>
              </w:rPr>
              <w:t>内部防渗围堰约束在</w:t>
            </w:r>
            <w:r>
              <w:rPr>
                <w:rFonts w:hint="eastAsia" w:ascii="Times New Roman" w:hAnsi="Times New Roman" w:eastAsia="宋体" w:cs="Times New Roman"/>
                <w:color w:val="auto"/>
                <w:sz w:val="24"/>
                <w:szCs w:val="24"/>
                <w:lang w:eastAsia="zh-CN"/>
              </w:rPr>
              <w:t>危废贮存点</w:t>
            </w:r>
            <w:r>
              <w:rPr>
                <w:rFonts w:hint="default" w:ascii="Times New Roman" w:hAnsi="Times New Roman" w:eastAsia="宋体" w:cs="Times New Roman"/>
                <w:color w:val="auto"/>
                <w:sz w:val="24"/>
                <w:szCs w:val="24"/>
              </w:rPr>
              <w:t>内部区域；现场启用吸油毡吸附、移动式应急抽油泵，将泄漏废液快速抽入移动式密闭储存罐内处置。</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定量核算：实际工况下泄漏废机油被围堰约束在</w:t>
            </w:r>
            <w:r>
              <w:rPr>
                <w:rFonts w:hint="eastAsia" w:ascii="Times New Roman" w:hAnsi="Times New Roman" w:eastAsia="宋体" w:cs="Times New Roman"/>
                <w:color w:val="auto"/>
                <w:sz w:val="24"/>
                <w:szCs w:val="24"/>
                <w:lang w:eastAsia="zh-CN"/>
              </w:rPr>
              <w:t>危废贮存点</w:t>
            </w:r>
            <w:r>
              <w:rPr>
                <w:rFonts w:hint="default" w:ascii="Times New Roman" w:hAnsi="Times New Roman" w:eastAsia="宋体" w:cs="Times New Roman"/>
                <w:color w:val="auto"/>
                <w:sz w:val="24"/>
                <w:szCs w:val="24"/>
              </w:rPr>
              <w:t>内部，通过应急物资快速收集处置，入河废机油量0，不存在废机油进入开都河风险。</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综合入河风险定量结论</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1、项目实际建设，全套防渗、截排、应急设施完好运行条件下：</w:t>
            </w:r>
            <w:r>
              <w:rPr>
                <w:rFonts w:hint="eastAsia" w:ascii="Times New Roman" w:hAnsi="Times New Roman" w:eastAsia="宋体" w:cs="Times New Roman"/>
                <w:color w:val="auto"/>
                <w:sz w:val="24"/>
                <w:szCs w:val="24"/>
                <w:lang w:eastAsia="zh-CN"/>
              </w:rPr>
              <w:t>危废贮存点</w:t>
            </w:r>
            <w:r>
              <w:rPr>
                <w:rFonts w:hint="default" w:ascii="Times New Roman" w:hAnsi="Times New Roman" w:eastAsia="宋体" w:cs="Times New Roman"/>
                <w:color w:val="auto"/>
                <w:sz w:val="24"/>
                <w:szCs w:val="24"/>
              </w:rPr>
              <w:t>废机油泄漏，依靠</w:t>
            </w:r>
            <w:r>
              <w:rPr>
                <w:rFonts w:hint="eastAsia" w:ascii="Times New Roman" w:hAnsi="Times New Roman" w:eastAsia="宋体" w:cs="Times New Roman"/>
                <w:color w:val="auto"/>
                <w:sz w:val="24"/>
                <w:szCs w:val="24"/>
                <w:lang w:eastAsia="zh-CN"/>
              </w:rPr>
              <w:t>危废贮存点</w:t>
            </w:r>
            <w:r>
              <w:rPr>
                <w:rFonts w:hint="default" w:ascii="Times New Roman" w:hAnsi="Times New Roman" w:eastAsia="宋体" w:cs="Times New Roman"/>
                <w:color w:val="auto"/>
                <w:sz w:val="24"/>
                <w:szCs w:val="24"/>
              </w:rPr>
              <w:t>防渗围堰约束，配合现场应急物资快速收集处置，污染物入河量均为0，不会向开都河新增石油类污染负荷，不会加重博斯腾湖水生生物毒害风险。</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2、风险管控底线：必须落实运维管理，定期巡检沉淀池、</w:t>
            </w:r>
            <w:r>
              <w:rPr>
                <w:rFonts w:hint="eastAsia" w:ascii="Times New Roman" w:hAnsi="Times New Roman" w:eastAsia="宋体" w:cs="Times New Roman"/>
                <w:color w:val="auto"/>
                <w:sz w:val="24"/>
                <w:szCs w:val="24"/>
                <w:lang w:eastAsia="zh-CN"/>
              </w:rPr>
              <w:t>危废贮存点</w:t>
            </w:r>
            <w:r>
              <w:rPr>
                <w:rFonts w:hint="default" w:ascii="Times New Roman" w:hAnsi="Times New Roman" w:eastAsia="宋体" w:cs="Times New Roman"/>
                <w:color w:val="auto"/>
                <w:sz w:val="24"/>
                <w:szCs w:val="24"/>
              </w:rPr>
              <w:t>防渗围堰、防渗层；一旦出现构筑物破损，立即停产修复，防止向开都河的污染物外泄通道。</w:t>
            </w:r>
          </w:p>
          <w:p>
            <w:pPr>
              <w:keepNext w:val="0"/>
              <w:keepLines w:val="0"/>
              <w:pageBreakBefore w:val="0"/>
              <w:widowControl w:val="0"/>
              <w:kinsoku/>
              <w:wordWrap/>
              <w:overflowPunct/>
              <w:topLinePunct w:val="0"/>
              <w:autoSpaceDE/>
              <w:autoSpaceDN/>
              <w:bidi w:val="0"/>
              <w:adjustRightInd/>
              <w:snapToGrid/>
              <w:ind w:firstLine="482"/>
              <w:textAlignment w:val="auto"/>
              <w:rPr>
                <w:rFonts w:ascii="Times New Roman" w:hAnsi="Times New Roman" w:eastAsia="宋体" w:cs="Times New Roman"/>
                <w:b/>
                <w:bCs/>
                <w:color w:val="auto"/>
                <w:spacing w:val="0"/>
                <w:sz w:val="24"/>
              </w:rPr>
            </w:pPr>
            <w:r>
              <w:rPr>
                <w:rFonts w:ascii="Times New Roman" w:hAnsi="Times New Roman" w:eastAsia="宋体" w:cs="Times New Roman"/>
                <w:b/>
                <w:bCs/>
                <w:color w:val="auto"/>
                <w:spacing w:val="0"/>
                <w:sz w:val="24"/>
              </w:rPr>
              <w:t>7.</w:t>
            </w:r>
            <w:r>
              <w:rPr>
                <w:rFonts w:hint="eastAsia" w:ascii="Times New Roman" w:hAnsi="Times New Roman" w:eastAsia="宋体" w:cs="Times New Roman"/>
                <w:b/>
                <w:bCs/>
                <w:color w:val="auto"/>
                <w:spacing w:val="0"/>
                <w:sz w:val="24"/>
                <w:lang w:val="en-US" w:eastAsia="zh-CN"/>
              </w:rPr>
              <w:t>7</w:t>
            </w:r>
            <w:r>
              <w:rPr>
                <w:rFonts w:ascii="Times New Roman" w:hAnsi="Times New Roman" w:eastAsia="宋体" w:cs="Times New Roman"/>
                <w:b/>
                <w:bCs/>
                <w:color w:val="auto"/>
                <w:spacing w:val="0"/>
                <w:sz w:val="24"/>
              </w:rPr>
              <w:t>环境风险评价结论</w:t>
            </w:r>
          </w:p>
          <w:p>
            <w:pPr>
              <w:keepNext w:val="0"/>
              <w:keepLines w:val="0"/>
              <w:pageBreakBefore w:val="0"/>
              <w:widowControl w:val="0"/>
              <w:kinsoku/>
              <w:wordWrap/>
              <w:overflowPunct/>
              <w:topLinePunct w:val="0"/>
              <w:autoSpaceDE/>
              <w:autoSpaceDN/>
              <w:bidi w:val="0"/>
              <w:adjustRightInd/>
              <w:snapToGrid/>
              <w:ind w:firstLine="480"/>
              <w:textAlignment w:val="auto"/>
              <w:rPr>
                <w:rFonts w:ascii="Arial" w:hAnsi="Arial" w:eastAsia="宋体"/>
                <w:b/>
                <w:color w:val="auto"/>
                <w:spacing w:val="0"/>
                <w:sz w:val="28"/>
              </w:rPr>
            </w:pPr>
            <w:r>
              <w:rPr>
                <w:rFonts w:ascii="Times New Roman" w:hAnsi="Times New Roman" w:eastAsia="宋体" w:cs="Times New Roman"/>
                <w:color w:val="auto"/>
                <w:spacing w:val="0"/>
                <w:sz w:val="24"/>
              </w:rPr>
              <w:t>综上分析结果得知，采取风险防范措施，能大大减少事故发生概率，并且一旦发生事故，能迅速采取有力措施，减少对环境的污染，项目潜在的事故风险是可以防范的。项目建设对周围环境危害程度较小，风险值是可以接受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8" w:type="pct"/>
            <w:tcMar>
              <w:left w:w="28" w:type="dxa"/>
              <w:right w:w="28" w:type="dxa"/>
            </w:tcMar>
            <w:vAlign w:val="center"/>
          </w:tcPr>
          <w:p>
            <w:pPr>
              <w:spacing w:line="240" w:lineRule="auto"/>
              <w:ind w:firstLine="0" w:firstLineChars="0"/>
              <w:jc w:val="center"/>
              <w:rPr>
                <w:rFonts w:hint="eastAsia" w:ascii="Times New Roman" w:hAnsi="Times New Roman" w:eastAsia="宋体" w:cs="Times New Roman"/>
                <w:color w:val="auto"/>
                <w:spacing w:val="0"/>
                <w:sz w:val="24"/>
                <w:szCs w:val="24"/>
                <w:lang w:val="en-US" w:eastAsia="zh-CN"/>
              </w:rPr>
            </w:pPr>
            <w:r>
              <w:rPr>
                <w:rFonts w:hint="eastAsia" w:ascii="Times New Roman" w:hAnsi="Times New Roman" w:eastAsia="宋体" w:cs="Times New Roman"/>
                <w:color w:val="auto"/>
                <w:spacing w:val="0"/>
                <w:sz w:val="24"/>
                <w:szCs w:val="24"/>
                <w:lang w:val="en-US" w:eastAsia="zh-CN"/>
              </w:rPr>
              <w:t>其他</w:t>
            </w:r>
          </w:p>
        </w:tc>
        <w:tc>
          <w:tcPr>
            <w:tcW w:w="4811" w:type="pct"/>
            <w:vAlign w:val="center"/>
          </w:tcPr>
          <w:p>
            <w:pPr>
              <w:pStyle w:val="454"/>
              <w:bidi w:val="0"/>
              <w:rPr>
                <w:rFonts w:hint="eastAsia"/>
                <w:b/>
                <w:bCs/>
                <w:color w:val="auto"/>
                <w:highlight w:val="none"/>
                <w:lang w:val="en-US" w:eastAsia="zh-CN"/>
              </w:rPr>
            </w:pPr>
            <w:r>
              <w:rPr>
                <w:rFonts w:hint="eastAsia"/>
                <w:b/>
                <w:bCs/>
                <w:color w:val="auto"/>
                <w:highlight w:val="none"/>
                <w:lang w:val="en-US" w:eastAsia="zh-CN"/>
              </w:rPr>
              <w:t>1.环保投资估算</w:t>
            </w:r>
          </w:p>
          <w:p>
            <w:pPr>
              <w:pStyle w:val="454"/>
              <w:bidi w:val="0"/>
              <w:rPr>
                <w:rFonts w:hint="eastAsia"/>
                <w:color w:val="auto"/>
                <w:highlight w:val="none"/>
              </w:rPr>
            </w:pPr>
            <w:r>
              <w:rPr>
                <w:rFonts w:hint="eastAsia"/>
                <w:color w:val="auto"/>
                <w:highlight w:val="none"/>
              </w:rPr>
              <w:t>本项目总投资为</w:t>
            </w:r>
            <w:r>
              <w:rPr>
                <w:rFonts w:hint="eastAsia"/>
                <w:color w:val="auto"/>
                <w:highlight w:val="none"/>
                <w:lang w:val="en-US" w:eastAsia="zh-CN"/>
              </w:rPr>
              <w:t>2500</w:t>
            </w:r>
            <w:r>
              <w:rPr>
                <w:rFonts w:hint="eastAsia"/>
                <w:color w:val="auto"/>
                <w:highlight w:val="none"/>
              </w:rPr>
              <w:t>万元，环保投资为</w:t>
            </w:r>
            <w:r>
              <w:rPr>
                <w:rFonts w:hint="eastAsia"/>
                <w:color w:val="auto"/>
                <w:highlight w:val="none"/>
                <w:lang w:val="en-US" w:eastAsia="zh-CN"/>
              </w:rPr>
              <w:t>41</w:t>
            </w:r>
            <w:r>
              <w:rPr>
                <w:rFonts w:hint="eastAsia"/>
                <w:color w:val="auto"/>
                <w:highlight w:val="none"/>
              </w:rPr>
              <w:t>万元，占总投资的</w:t>
            </w:r>
            <w:r>
              <w:rPr>
                <w:rFonts w:hint="eastAsia"/>
                <w:color w:val="auto"/>
                <w:highlight w:val="none"/>
                <w:lang w:val="en-US" w:eastAsia="zh-CN"/>
              </w:rPr>
              <w:t>1.64</w:t>
            </w:r>
            <w:r>
              <w:rPr>
                <w:rFonts w:hint="eastAsia"/>
                <w:color w:val="auto"/>
                <w:highlight w:val="none"/>
              </w:rPr>
              <w:t>%。环保</w:t>
            </w:r>
            <w:r>
              <w:rPr>
                <w:rFonts w:hint="eastAsia"/>
                <w:color w:val="auto"/>
                <w:highlight w:val="none"/>
                <w:lang w:val="en-US" w:eastAsia="zh-CN"/>
              </w:rPr>
              <w:t>工程一览</w:t>
            </w:r>
            <w:r>
              <w:rPr>
                <w:rFonts w:hint="eastAsia"/>
                <w:color w:val="auto"/>
                <w:highlight w:val="none"/>
              </w:rPr>
              <w:t>见表</w:t>
            </w:r>
            <w:r>
              <w:rPr>
                <w:rFonts w:hint="eastAsia"/>
                <w:color w:val="auto"/>
                <w:highlight w:val="none"/>
                <w:lang w:val="en-US" w:eastAsia="zh-CN"/>
              </w:rPr>
              <w:t>4-18</w:t>
            </w:r>
            <w:r>
              <w:rPr>
                <w:rFonts w:hint="eastAsia"/>
                <w:color w:val="auto"/>
                <w:highlight w:val="none"/>
              </w:rPr>
              <w:t>。</w:t>
            </w:r>
          </w:p>
          <w:p>
            <w:pPr>
              <w:pStyle w:val="163"/>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宋体" w:cs="Times New Roman"/>
                <w:b/>
                <w:bCs/>
                <w:color w:val="auto"/>
                <w:spacing w:val="0"/>
                <w:sz w:val="24"/>
                <w:szCs w:val="24"/>
                <w:lang w:val="en-US" w:eastAsia="zh-CN" w:bidi="ar-SA"/>
              </w:rPr>
            </w:pPr>
            <w:r>
              <w:rPr>
                <w:rFonts w:hint="eastAsia" w:ascii="Times New Roman" w:hAnsi="Times New Roman" w:eastAsia="宋体" w:cs="Times New Roman"/>
                <w:b/>
                <w:bCs/>
                <w:color w:val="auto"/>
                <w:spacing w:val="0"/>
                <w:sz w:val="21"/>
                <w:szCs w:val="21"/>
                <w:lang w:val="en-US" w:eastAsia="zh-CN" w:bidi="ar-SA"/>
              </w:rPr>
              <w:t>表4-18  环保工程一览表</w:t>
            </w:r>
          </w:p>
          <w:tbl>
            <w:tblPr>
              <w:tblStyle w:val="427"/>
              <w:tblW w:w="78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54"/>
              <w:gridCol w:w="824"/>
              <w:gridCol w:w="1254"/>
              <w:gridCol w:w="4137"/>
              <w:gridCol w:w="5"/>
              <w:gridCol w:w="9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654" w:type="dxa"/>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内容</w:t>
                  </w:r>
                </w:p>
              </w:tc>
              <w:tc>
                <w:tcPr>
                  <w:tcW w:w="824" w:type="dxa"/>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项目</w:t>
                  </w:r>
                </w:p>
              </w:tc>
              <w:tc>
                <w:tcPr>
                  <w:tcW w:w="1254" w:type="dxa"/>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污染物名称</w:t>
                  </w:r>
                </w:p>
              </w:tc>
              <w:tc>
                <w:tcPr>
                  <w:tcW w:w="4137" w:type="dxa"/>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治理措施</w:t>
                  </w:r>
                </w:p>
              </w:tc>
              <w:tc>
                <w:tcPr>
                  <w:tcW w:w="963" w:type="dxa"/>
                  <w:gridSpan w:val="2"/>
                  <w:noWrap w:val="0"/>
                  <w:tcMar>
                    <w:top w:w="0" w:type="dxa"/>
                    <w:left w:w="57" w:type="dxa"/>
                    <w:bottom w:w="0" w:type="dxa"/>
                    <w:right w:w="57" w:type="dxa"/>
                  </w:tcMar>
                  <w:vAlign w:val="center"/>
                </w:tcPr>
                <w:p>
                  <w:pPr>
                    <w:pStyle w:val="460"/>
                    <w:bidi w:val="0"/>
                    <w:rPr>
                      <w:rFonts w:hint="eastAsia" w:eastAsia="宋体"/>
                      <w:color w:val="auto"/>
                      <w:highlight w:val="none"/>
                      <w:lang w:val="en-US" w:eastAsia="zh-CN"/>
                    </w:rPr>
                  </w:pPr>
                  <w:r>
                    <w:rPr>
                      <w:rFonts w:hint="eastAsia"/>
                      <w:color w:val="auto"/>
                      <w:highlight w:val="none"/>
                      <w:lang w:val="en-US" w:eastAsia="zh-CN"/>
                    </w:rPr>
                    <w:t>环保投资额（万元）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54" w:type="dxa"/>
                  <w:vMerge w:val="restart"/>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施工期</w:t>
                  </w:r>
                </w:p>
              </w:tc>
              <w:tc>
                <w:tcPr>
                  <w:tcW w:w="824" w:type="dxa"/>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废气治理</w:t>
                  </w:r>
                </w:p>
              </w:tc>
              <w:tc>
                <w:tcPr>
                  <w:tcW w:w="1254" w:type="dxa"/>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扬尘、废气</w:t>
                  </w:r>
                </w:p>
              </w:tc>
              <w:tc>
                <w:tcPr>
                  <w:tcW w:w="4137" w:type="dxa"/>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洒水降尘，及时清扫路面尘土使用商用混凝土；及时维护设备，提高燃料使用效率；合理规划，文明施工</w:t>
                  </w:r>
                </w:p>
              </w:tc>
              <w:tc>
                <w:tcPr>
                  <w:tcW w:w="963" w:type="dxa"/>
                  <w:gridSpan w:val="2"/>
                  <w:noWrap w:val="0"/>
                  <w:tcMar>
                    <w:top w:w="0" w:type="dxa"/>
                    <w:left w:w="57" w:type="dxa"/>
                    <w:bottom w:w="0" w:type="dxa"/>
                    <w:right w:w="57" w:type="dxa"/>
                  </w:tcMar>
                  <w:vAlign w:val="center"/>
                </w:tcPr>
                <w:p>
                  <w:pPr>
                    <w:pStyle w:val="460"/>
                    <w:bidi w:val="0"/>
                    <w:rPr>
                      <w:rFonts w:hint="default" w:eastAsia="宋体"/>
                      <w:color w:val="auto"/>
                      <w:highlight w:val="none"/>
                      <w:lang w:val="en-US" w:eastAsia="zh-CN"/>
                    </w:rPr>
                  </w:pPr>
                  <w:r>
                    <w:rPr>
                      <w:rFonts w:hint="eastAsia"/>
                      <w:color w:val="auto"/>
                      <w:highlight w:val="none"/>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5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824" w:type="dxa"/>
                  <w:vMerge w:val="restart"/>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废水治理</w:t>
                  </w:r>
                </w:p>
              </w:tc>
              <w:tc>
                <w:tcPr>
                  <w:tcW w:w="1254" w:type="dxa"/>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施工废水</w:t>
                  </w:r>
                </w:p>
              </w:tc>
              <w:tc>
                <w:tcPr>
                  <w:tcW w:w="4137" w:type="dxa"/>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临时修建施工废水</w:t>
                  </w:r>
                  <w:r>
                    <w:rPr>
                      <w:rFonts w:hint="eastAsia"/>
                      <w:color w:val="auto"/>
                      <w:highlight w:val="none"/>
                      <w:lang w:val="en-US" w:eastAsia="zh-CN"/>
                    </w:rPr>
                    <w:t>临时</w:t>
                  </w:r>
                  <w:r>
                    <w:rPr>
                      <w:color w:val="auto"/>
                      <w:highlight w:val="none"/>
                      <w:lang w:val="en-US" w:eastAsia="en-US"/>
                    </w:rPr>
                    <w:t>沉淀池，施工废水经</w:t>
                  </w:r>
                  <w:r>
                    <w:rPr>
                      <w:rFonts w:hint="eastAsia"/>
                      <w:color w:val="auto"/>
                      <w:highlight w:val="none"/>
                      <w:lang w:val="en-US" w:eastAsia="zh-CN"/>
                    </w:rPr>
                    <w:t>沉淀</w:t>
                  </w:r>
                  <w:r>
                    <w:rPr>
                      <w:color w:val="auto"/>
                      <w:highlight w:val="none"/>
                      <w:lang w:val="en-US" w:eastAsia="en-US"/>
                    </w:rPr>
                    <w:t>处理后上清液回用，不外排</w:t>
                  </w:r>
                </w:p>
              </w:tc>
              <w:tc>
                <w:tcPr>
                  <w:tcW w:w="963" w:type="dxa"/>
                  <w:gridSpan w:val="2"/>
                  <w:noWrap w:val="0"/>
                  <w:tcMar>
                    <w:top w:w="0" w:type="dxa"/>
                    <w:left w:w="57" w:type="dxa"/>
                    <w:bottom w:w="0" w:type="dxa"/>
                    <w:right w:w="57" w:type="dxa"/>
                  </w:tcMar>
                  <w:vAlign w:val="center"/>
                </w:tcPr>
                <w:p>
                  <w:pPr>
                    <w:pStyle w:val="460"/>
                    <w:bidi w:val="0"/>
                    <w:rPr>
                      <w:rFonts w:hint="default" w:eastAsia="宋体"/>
                      <w:color w:val="auto"/>
                      <w:highlight w:val="none"/>
                      <w:lang w:val="en-US" w:eastAsia="zh-CN"/>
                    </w:rPr>
                  </w:pPr>
                  <w:r>
                    <w:rPr>
                      <w:rFonts w:hint="eastAsia"/>
                      <w:color w:val="auto"/>
                      <w:highlight w:val="no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65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82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1254" w:type="dxa"/>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生活污水</w:t>
                  </w:r>
                </w:p>
              </w:tc>
              <w:tc>
                <w:tcPr>
                  <w:tcW w:w="4137" w:type="dxa"/>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依托</w:t>
                  </w:r>
                  <w:r>
                    <w:rPr>
                      <w:rFonts w:hint="eastAsia"/>
                      <w:color w:val="auto"/>
                      <w:highlight w:val="none"/>
                      <w:lang w:val="en-US" w:eastAsia="zh-CN"/>
                    </w:rPr>
                    <w:t>博湖县本布图镇</w:t>
                  </w:r>
                  <w:r>
                    <w:rPr>
                      <w:color w:val="auto"/>
                      <w:highlight w:val="none"/>
                      <w:lang w:val="en-US" w:eastAsia="en-US"/>
                    </w:rPr>
                    <w:t>既有</w:t>
                  </w:r>
                  <w:r>
                    <w:rPr>
                      <w:rFonts w:hint="eastAsia"/>
                      <w:color w:val="auto"/>
                      <w:highlight w:val="none"/>
                      <w:lang w:val="en-US" w:eastAsia="zh-CN"/>
                    </w:rPr>
                    <w:t>生活</w:t>
                  </w:r>
                  <w:r>
                    <w:rPr>
                      <w:color w:val="auto"/>
                      <w:highlight w:val="none"/>
                      <w:lang w:val="en-US" w:eastAsia="en-US"/>
                    </w:rPr>
                    <w:t>设施</w:t>
                  </w:r>
                </w:p>
              </w:tc>
              <w:tc>
                <w:tcPr>
                  <w:tcW w:w="963" w:type="dxa"/>
                  <w:gridSpan w:val="2"/>
                  <w:noWrap w:val="0"/>
                  <w:tcMar>
                    <w:top w:w="0" w:type="dxa"/>
                    <w:left w:w="57" w:type="dxa"/>
                    <w:bottom w:w="0" w:type="dxa"/>
                    <w:right w:w="57" w:type="dxa"/>
                  </w:tcMar>
                  <w:vAlign w:val="center"/>
                </w:tcPr>
                <w:p>
                  <w:pPr>
                    <w:pStyle w:val="460"/>
                    <w:bidi w:val="0"/>
                    <w:rPr>
                      <w:rFonts w:hint="eastAsia" w:eastAsia="宋体"/>
                      <w:color w:val="auto"/>
                      <w:highlight w:val="none"/>
                      <w:lang w:val="en-US" w:eastAsia="zh-CN"/>
                    </w:rPr>
                  </w:pPr>
                  <w:r>
                    <w:rPr>
                      <w:rFonts w:hint="eastAsia"/>
                      <w:color w:val="auto"/>
                      <w:highlight w:val="no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65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824" w:type="dxa"/>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噪声治理</w:t>
                  </w:r>
                </w:p>
              </w:tc>
              <w:tc>
                <w:tcPr>
                  <w:tcW w:w="1254" w:type="dxa"/>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施工噪声</w:t>
                  </w:r>
                </w:p>
              </w:tc>
              <w:tc>
                <w:tcPr>
                  <w:tcW w:w="4137" w:type="dxa"/>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合理布置施工机械和安排施工时间，夜间禁止施工；合理规划运输路线，安装减振装置等</w:t>
                  </w:r>
                </w:p>
              </w:tc>
              <w:tc>
                <w:tcPr>
                  <w:tcW w:w="963" w:type="dxa"/>
                  <w:gridSpan w:val="2"/>
                  <w:noWrap w:val="0"/>
                  <w:tcMar>
                    <w:top w:w="0" w:type="dxa"/>
                    <w:left w:w="57" w:type="dxa"/>
                    <w:bottom w:w="0" w:type="dxa"/>
                    <w:right w:w="57" w:type="dxa"/>
                  </w:tcMar>
                  <w:vAlign w:val="center"/>
                </w:tcPr>
                <w:p>
                  <w:pPr>
                    <w:pStyle w:val="460"/>
                    <w:bidi w:val="0"/>
                    <w:rPr>
                      <w:rFonts w:hint="default" w:eastAsia="宋体"/>
                      <w:color w:val="auto"/>
                      <w:highlight w:val="none"/>
                      <w:lang w:val="en-US" w:eastAsia="zh-CN"/>
                    </w:rPr>
                  </w:pPr>
                  <w:r>
                    <w:rPr>
                      <w:rFonts w:hint="eastAsia"/>
                      <w:color w:val="auto"/>
                      <w:highlight w:val="none"/>
                      <w:lang w:val="en-US" w:eastAsia="zh-CN"/>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65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824" w:type="dxa"/>
                  <w:vMerge w:val="restart"/>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固体废物处置</w:t>
                  </w:r>
                </w:p>
              </w:tc>
              <w:tc>
                <w:tcPr>
                  <w:tcW w:w="1254" w:type="dxa"/>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建筑弃渣</w:t>
                  </w:r>
                </w:p>
              </w:tc>
              <w:tc>
                <w:tcPr>
                  <w:tcW w:w="4137" w:type="dxa"/>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厂区建设产生的废弃材料尽量回收利用，不能利用的运至建渣消纳场</w:t>
                  </w:r>
                </w:p>
              </w:tc>
              <w:tc>
                <w:tcPr>
                  <w:tcW w:w="963" w:type="dxa"/>
                  <w:gridSpan w:val="2"/>
                  <w:noWrap w:val="0"/>
                  <w:tcMar>
                    <w:top w:w="0" w:type="dxa"/>
                    <w:left w:w="57" w:type="dxa"/>
                    <w:bottom w:w="0" w:type="dxa"/>
                    <w:right w:w="57" w:type="dxa"/>
                  </w:tcMar>
                  <w:vAlign w:val="center"/>
                </w:tcPr>
                <w:p>
                  <w:pPr>
                    <w:pStyle w:val="460"/>
                    <w:bidi w:val="0"/>
                    <w:rPr>
                      <w:rFonts w:hint="default" w:eastAsia="宋体"/>
                      <w:color w:val="auto"/>
                      <w:highlight w:val="none"/>
                      <w:lang w:val="en-US" w:eastAsia="zh-CN"/>
                    </w:rPr>
                  </w:pPr>
                  <w:r>
                    <w:rPr>
                      <w:rFonts w:hint="eastAsia"/>
                      <w:color w:val="auto"/>
                      <w:highlight w:val="none"/>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5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82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1254" w:type="dxa"/>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土石方</w:t>
                  </w:r>
                </w:p>
              </w:tc>
              <w:tc>
                <w:tcPr>
                  <w:tcW w:w="4142" w:type="dxa"/>
                  <w:gridSpan w:val="2"/>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用于回填和绿化，弃土方外运至政府指定地点</w:t>
                  </w:r>
                </w:p>
              </w:tc>
              <w:tc>
                <w:tcPr>
                  <w:tcW w:w="958" w:type="dxa"/>
                  <w:noWrap w:val="0"/>
                  <w:tcMar>
                    <w:top w:w="0" w:type="dxa"/>
                    <w:left w:w="57" w:type="dxa"/>
                    <w:bottom w:w="0" w:type="dxa"/>
                    <w:right w:w="57" w:type="dxa"/>
                  </w:tcMar>
                  <w:vAlign w:val="center"/>
                </w:tcPr>
                <w:p>
                  <w:pPr>
                    <w:pStyle w:val="460"/>
                    <w:bidi w:val="0"/>
                    <w:rPr>
                      <w:rFonts w:hint="default" w:eastAsia="宋体"/>
                      <w:color w:val="auto"/>
                      <w:highlight w:val="none"/>
                      <w:lang w:val="en-US" w:eastAsia="zh-CN"/>
                    </w:rPr>
                  </w:pPr>
                  <w:r>
                    <w:rPr>
                      <w:rFonts w:hint="eastAsia"/>
                      <w:color w:val="auto"/>
                      <w:highlight w:val="none"/>
                      <w:lang w:val="en-US"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65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82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1254" w:type="dxa"/>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生活垃圾</w:t>
                  </w:r>
                </w:p>
              </w:tc>
              <w:tc>
                <w:tcPr>
                  <w:tcW w:w="4142" w:type="dxa"/>
                  <w:gridSpan w:val="2"/>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生活垃圾袋装后由环卫部门统一清运。</w:t>
                  </w:r>
                </w:p>
              </w:tc>
              <w:tc>
                <w:tcPr>
                  <w:tcW w:w="958" w:type="dxa"/>
                  <w:noWrap w:val="0"/>
                  <w:tcMar>
                    <w:top w:w="0" w:type="dxa"/>
                    <w:left w:w="57" w:type="dxa"/>
                    <w:bottom w:w="0" w:type="dxa"/>
                    <w:right w:w="57" w:type="dxa"/>
                  </w:tcMar>
                  <w:vAlign w:val="center"/>
                </w:tcPr>
                <w:p>
                  <w:pPr>
                    <w:pStyle w:val="460"/>
                    <w:bidi w:val="0"/>
                    <w:rPr>
                      <w:rFonts w:hint="default" w:eastAsia="宋体"/>
                      <w:color w:val="auto"/>
                      <w:highlight w:val="none"/>
                      <w:lang w:val="en-US" w:eastAsia="zh-CN"/>
                    </w:rPr>
                  </w:pPr>
                  <w:r>
                    <w:rPr>
                      <w:rFonts w:hint="eastAsia"/>
                      <w:color w:val="auto"/>
                      <w:highlight w:val="none"/>
                      <w:lang w:val="en-US" w:eastAsia="zh-CN"/>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90" w:hRule="atLeast"/>
              </w:trPr>
              <w:tc>
                <w:tcPr>
                  <w:tcW w:w="654" w:type="dxa"/>
                  <w:vMerge w:val="restart"/>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运营期</w:t>
                  </w:r>
                </w:p>
              </w:tc>
              <w:tc>
                <w:tcPr>
                  <w:tcW w:w="824" w:type="dxa"/>
                  <w:vMerge w:val="restart"/>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废气治理</w:t>
                  </w:r>
                </w:p>
              </w:tc>
              <w:tc>
                <w:tcPr>
                  <w:tcW w:w="1254" w:type="dxa"/>
                  <w:noWrap w:val="0"/>
                  <w:tcMar>
                    <w:top w:w="0" w:type="dxa"/>
                    <w:left w:w="57" w:type="dxa"/>
                    <w:bottom w:w="0" w:type="dxa"/>
                    <w:right w:w="57" w:type="dxa"/>
                  </w:tcMar>
                  <w:vAlign w:val="center"/>
                </w:tcPr>
                <w:p>
                  <w:pPr>
                    <w:pStyle w:val="460"/>
                    <w:bidi w:val="0"/>
                    <w:rPr>
                      <w:rFonts w:hint="eastAsia" w:eastAsia="宋体"/>
                      <w:color w:val="auto"/>
                      <w:highlight w:val="none"/>
                      <w:lang w:val="en-US" w:eastAsia="zh-CN"/>
                    </w:rPr>
                  </w:pPr>
                  <w:r>
                    <w:rPr>
                      <w:rFonts w:hint="eastAsia"/>
                      <w:color w:val="auto"/>
                      <w:highlight w:val="none"/>
                      <w:lang w:val="en-US" w:eastAsia="zh-CN"/>
                    </w:rPr>
                    <w:t>有组织粉尘</w:t>
                  </w:r>
                </w:p>
              </w:tc>
              <w:tc>
                <w:tcPr>
                  <w:tcW w:w="4142" w:type="dxa"/>
                  <w:gridSpan w:val="2"/>
                  <w:noWrap w:val="0"/>
                  <w:tcMar>
                    <w:top w:w="0" w:type="dxa"/>
                    <w:left w:w="57" w:type="dxa"/>
                    <w:bottom w:w="0" w:type="dxa"/>
                    <w:right w:w="57" w:type="dxa"/>
                  </w:tcMar>
                  <w:vAlign w:val="center"/>
                </w:tcPr>
                <w:p>
                  <w:pPr>
                    <w:pStyle w:val="460"/>
                    <w:bidi w:val="0"/>
                    <w:rPr>
                      <w:color w:val="auto"/>
                      <w:highlight w:val="none"/>
                      <w:lang w:val="en-US" w:eastAsia="en-US"/>
                    </w:rPr>
                  </w:pPr>
                  <w:r>
                    <w:rPr>
                      <w:rFonts w:hint="default" w:ascii="Times New Roman" w:hAnsi="Times New Roman" w:cs="Times New Roman"/>
                      <w:color w:val="auto"/>
                      <w:highlight w:val="none"/>
                      <w:lang w:val="en-US" w:eastAsia="zh-CN"/>
                    </w:rPr>
                    <w:t>集气罩收集粉尘</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布袋除尘器除尘处理，</w:t>
                  </w:r>
                  <w:r>
                    <w:rPr>
                      <w:rFonts w:hint="eastAsia" w:ascii="Times New Roman" w:hAnsi="Times New Roman" w:cs="Times New Roman"/>
                      <w:color w:val="auto"/>
                      <w:highlight w:val="none"/>
                      <w:lang w:val="en-US" w:eastAsia="zh-CN"/>
                    </w:rPr>
                    <w:t>20</w:t>
                  </w:r>
                  <w:r>
                    <w:rPr>
                      <w:rFonts w:hint="default" w:ascii="Times New Roman" w:hAnsi="Times New Roman" w:cs="Times New Roman"/>
                      <w:color w:val="auto"/>
                      <w:highlight w:val="none"/>
                      <w:lang w:val="en-US" w:eastAsia="zh-CN"/>
                    </w:rPr>
                    <w:t>m高排气筒排放（DA00</w:t>
                  </w:r>
                  <w:r>
                    <w:rPr>
                      <w:rFonts w:hint="eastAsia" w:ascii="Times New Roman" w:hAnsi="Times New Roman" w:cs="Times New Roman"/>
                      <w:color w:val="auto"/>
                      <w:highlight w:val="none"/>
                      <w:lang w:val="en-US" w:eastAsia="zh-CN"/>
                    </w:rPr>
                    <w:t>1</w:t>
                  </w:r>
                  <w:r>
                    <w:rPr>
                      <w:rFonts w:hint="default" w:ascii="Times New Roman" w:hAnsi="Times New Roman" w:cs="Times New Roman"/>
                      <w:color w:val="auto"/>
                      <w:highlight w:val="none"/>
                      <w:lang w:val="en-US" w:eastAsia="zh-CN"/>
                    </w:rPr>
                    <w:t>）</w:t>
                  </w:r>
                </w:p>
              </w:tc>
              <w:tc>
                <w:tcPr>
                  <w:tcW w:w="958" w:type="dxa"/>
                  <w:noWrap w:val="0"/>
                  <w:tcMar>
                    <w:top w:w="0" w:type="dxa"/>
                    <w:left w:w="57" w:type="dxa"/>
                    <w:bottom w:w="0" w:type="dxa"/>
                    <w:right w:w="57" w:type="dxa"/>
                  </w:tcMar>
                  <w:vAlign w:val="center"/>
                </w:tcPr>
                <w:p>
                  <w:pPr>
                    <w:pStyle w:val="460"/>
                    <w:bidi w:val="0"/>
                    <w:rPr>
                      <w:rFonts w:hint="default" w:eastAsia="宋体"/>
                      <w:color w:val="auto"/>
                      <w:highlight w:val="none"/>
                      <w:lang w:val="en-US" w:eastAsia="zh-CN"/>
                    </w:rPr>
                  </w:pPr>
                  <w:r>
                    <w:rPr>
                      <w:rFonts w:hint="eastAsia" w:eastAsia="宋体"/>
                      <w:color w:val="auto"/>
                      <w:highlight w:val="no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54" w:type="dxa"/>
                  <w:vMerge w:val="continue"/>
                  <w:noWrap w:val="0"/>
                  <w:tcMar>
                    <w:top w:w="0" w:type="dxa"/>
                    <w:left w:w="57" w:type="dxa"/>
                    <w:bottom w:w="0" w:type="dxa"/>
                    <w:right w:w="57" w:type="dxa"/>
                  </w:tcMar>
                  <w:vAlign w:val="center"/>
                </w:tcPr>
                <w:p>
                  <w:pPr>
                    <w:pStyle w:val="460"/>
                    <w:bidi w:val="0"/>
                    <w:rPr>
                      <w:color w:val="auto"/>
                      <w:highlight w:val="none"/>
                      <w:lang w:val="en-US" w:eastAsia="en-US"/>
                    </w:rPr>
                  </w:pPr>
                </w:p>
              </w:tc>
              <w:tc>
                <w:tcPr>
                  <w:tcW w:w="824" w:type="dxa"/>
                  <w:vMerge w:val="continue"/>
                  <w:noWrap w:val="0"/>
                  <w:tcMar>
                    <w:top w:w="0" w:type="dxa"/>
                    <w:left w:w="57" w:type="dxa"/>
                    <w:bottom w:w="0" w:type="dxa"/>
                    <w:right w:w="57" w:type="dxa"/>
                  </w:tcMar>
                  <w:vAlign w:val="center"/>
                </w:tcPr>
                <w:p>
                  <w:pPr>
                    <w:pStyle w:val="460"/>
                    <w:bidi w:val="0"/>
                    <w:rPr>
                      <w:color w:val="auto"/>
                      <w:highlight w:val="none"/>
                      <w:lang w:val="en-US" w:eastAsia="en-US"/>
                    </w:rPr>
                  </w:pPr>
                </w:p>
              </w:tc>
              <w:tc>
                <w:tcPr>
                  <w:tcW w:w="1254" w:type="dxa"/>
                  <w:shd w:val="clear" w:color="auto" w:fill="auto"/>
                  <w:noWrap w:val="0"/>
                  <w:tcMar>
                    <w:top w:w="0" w:type="dxa"/>
                    <w:left w:w="57" w:type="dxa"/>
                    <w:bottom w:w="0" w:type="dxa"/>
                    <w:right w:w="57" w:type="dxa"/>
                  </w:tcMar>
                  <w:vAlign w:val="center"/>
                </w:tcPr>
                <w:p>
                  <w:pPr>
                    <w:pStyle w:val="460"/>
                    <w:bidi w:val="0"/>
                    <w:rPr>
                      <w:rFonts w:hint="default" w:ascii="Times New Roman" w:hAnsi="Times New Roman" w:eastAsia="宋体" w:cs="Times New Roman"/>
                      <w:color w:val="auto"/>
                      <w:sz w:val="21"/>
                      <w:szCs w:val="21"/>
                      <w:highlight w:val="none"/>
                      <w:lang w:val="en-US" w:eastAsia="zh-CN" w:bidi="ar-SA"/>
                    </w:rPr>
                  </w:pPr>
                  <w:r>
                    <w:rPr>
                      <w:rFonts w:hint="eastAsia"/>
                      <w:color w:val="auto"/>
                      <w:highlight w:val="none"/>
                      <w:lang w:val="en-US" w:eastAsia="zh-CN"/>
                    </w:rPr>
                    <w:t>无组织粉尘</w:t>
                  </w:r>
                </w:p>
              </w:tc>
              <w:tc>
                <w:tcPr>
                  <w:tcW w:w="4142" w:type="dxa"/>
                  <w:gridSpan w:val="2"/>
                  <w:shd w:val="clear" w:color="auto" w:fill="auto"/>
                  <w:noWrap w:val="0"/>
                  <w:tcMar>
                    <w:top w:w="0" w:type="dxa"/>
                    <w:left w:w="57" w:type="dxa"/>
                    <w:bottom w:w="0" w:type="dxa"/>
                    <w:right w:w="57" w:type="dxa"/>
                  </w:tcMar>
                  <w:vAlign w:val="center"/>
                </w:tcPr>
                <w:p>
                  <w:pPr>
                    <w:pStyle w:val="460"/>
                    <w:bidi w:val="0"/>
                    <w:rPr>
                      <w:rFonts w:hint="eastAsia" w:ascii="Times New Roman" w:hAnsi="Times New Roman" w:eastAsia="宋体" w:cs="Times New Roman"/>
                      <w:color w:val="auto"/>
                      <w:sz w:val="21"/>
                      <w:szCs w:val="21"/>
                      <w:highlight w:val="none"/>
                      <w:lang w:val="en-US" w:eastAsia="zh-CN" w:bidi="ar-SA"/>
                    </w:rPr>
                  </w:pPr>
                  <w:r>
                    <w:rPr>
                      <w:rFonts w:hint="eastAsia"/>
                      <w:color w:val="auto"/>
                      <w:highlight w:val="none"/>
                      <w:lang w:val="en-US" w:eastAsia="zh-CN"/>
                    </w:rPr>
                    <w:t>设置雾炮降尘装置，生产作业、装卸作业、道路洒水降尘</w:t>
                  </w:r>
                </w:p>
              </w:tc>
              <w:tc>
                <w:tcPr>
                  <w:tcW w:w="958" w:type="dxa"/>
                  <w:noWrap w:val="0"/>
                  <w:tcMar>
                    <w:top w:w="0" w:type="dxa"/>
                    <w:left w:w="57" w:type="dxa"/>
                    <w:bottom w:w="0" w:type="dxa"/>
                    <w:right w:w="57" w:type="dxa"/>
                  </w:tcMar>
                  <w:vAlign w:val="center"/>
                </w:tcPr>
                <w:p>
                  <w:pPr>
                    <w:pStyle w:val="460"/>
                    <w:bidi w:val="0"/>
                    <w:rPr>
                      <w:rFonts w:hint="default"/>
                      <w:color w:val="auto"/>
                      <w:highlight w:val="none"/>
                      <w:lang w:val="en-US" w:eastAsia="zh-CN"/>
                    </w:rPr>
                  </w:pPr>
                  <w:r>
                    <w:rPr>
                      <w:rFonts w:hint="eastAsia"/>
                      <w:color w:val="auto"/>
                      <w:highlight w:val="none"/>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5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824" w:type="dxa"/>
                  <w:vMerge w:val="restart"/>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废水治理</w:t>
                  </w:r>
                </w:p>
              </w:tc>
              <w:tc>
                <w:tcPr>
                  <w:tcW w:w="1254" w:type="dxa"/>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生活污水</w:t>
                  </w:r>
                </w:p>
              </w:tc>
              <w:tc>
                <w:tcPr>
                  <w:tcW w:w="4142" w:type="dxa"/>
                  <w:gridSpan w:val="2"/>
                  <w:noWrap w:val="0"/>
                  <w:tcMar>
                    <w:top w:w="0" w:type="dxa"/>
                    <w:left w:w="57" w:type="dxa"/>
                    <w:bottom w:w="0" w:type="dxa"/>
                    <w:right w:w="57" w:type="dxa"/>
                  </w:tcMar>
                  <w:vAlign w:val="center"/>
                </w:tcPr>
                <w:p>
                  <w:pPr>
                    <w:pStyle w:val="460"/>
                    <w:bidi w:val="0"/>
                    <w:rPr>
                      <w:rFonts w:hint="eastAsia" w:eastAsia="宋体"/>
                      <w:color w:val="auto"/>
                      <w:highlight w:val="none"/>
                      <w:lang w:val="en-US" w:eastAsia="zh-CN"/>
                    </w:rPr>
                  </w:pPr>
                  <w:r>
                    <w:rPr>
                      <w:rFonts w:hint="eastAsia"/>
                      <w:color w:val="auto"/>
                      <w:sz w:val="21"/>
                      <w:szCs w:val="21"/>
                      <w:highlight w:val="none"/>
                      <w:lang w:val="en-US" w:eastAsia="zh-CN"/>
                    </w:rPr>
                    <w:t>设置1座</w:t>
                  </w:r>
                  <w:r>
                    <w:rPr>
                      <w:rFonts w:hint="eastAsia"/>
                      <w:color w:val="auto"/>
                      <w:highlight w:val="none"/>
                      <w:lang w:val="en-US" w:eastAsia="zh-CN"/>
                    </w:rPr>
                    <w:t>防渗化粪池</w:t>
                  </w:r>
                </w:p>
              </w:tc>
              <w:tc>
                <w:tcPr>
                  <w:tcW w:w="958" w:type="dxa"/>
                  <w:noWrap w:val="0"/>
                  <w:tcMar>
                    <w:top w:w="0" w:type="dxa"/>
                    <w:left w:w="57" w:type="dxa"/>
                    <w:bottom w:w="0" w:type="dxa"/>
                    <w:right w:w="57" w:type="dxa"/>
                  </w:tcMar>
                  <w:vAlign w:val="center"/>
                </w:tcPr>
                <w:p>
                  <w:pPr>
                    <w:pStyle w:val="460"/>
                    <w:bidi w:val="0"/>
                    <w:rPr>
                      <w:rFonts w:hint="default" w:eastAsia="宋体"/>
                      <w:color w:val="auto"/>
                      <w:highlight w:val="none"/>
                      <w:lang w:val="en-US" w:eastAsia="zh-CN"/>
                    </w:rPr>
                  </w:pPr>
                  <w:r>
                    <w:rPr>
                      <w:rFonts w:hint="eastAsia"/>
                      <w:color w:val="auto"/>
                      <w:highlight w:val="no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5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824" w:type="dxa"/>
                  <w:vMerge w:val="continue"/>
                  <w:noWrap w:val="0"/>
                  <w:tcMar>
                    <w:top w:w="0" w:type="dxa"/>
                    <w:left w:w="57" w:type="dxa"/>
                    <w:bottom w:w="0" w:type="dxa"/>
                    <w:right w:w="57" w:type="dxa"/>
                  </w:tcMar>
                  <w:vAlign w:val="center"/>
                </w:tcPr>
                <w:p>
                  <w:pPr>
                    <w:pStyle w:val="460"/>
                    <w:bidi w:val="0"/>
                    <w:rPr>
                      <w:color w:val="auto"/>
                      <w:highlight w:val="none"/>
                      <w:lang w:val="en-US" w:eastAsia="en-US"/>
                    </w:rPr>
                  </w:pPr>
                </w:p>
              </w:tc>
              <w:tc>
                <w:tcPr>
                  <w:tcW w:w="1254" w:type="dxa"/>
                  <w:noWrap w:val="0"/>
                  <w:tcMar>
                    <w:top w:w="0" w:type="dxa"/>
                    <w:left w:w="57" w:type="dxa"/>
                    <w:bottom w:w="0" w:type="dxa"/>
                    <w:right w:w="57" w:type="dxa"/>
                  </w:tcMar>
                  <w:vAlign w:val="center"/>
                </w:tcPr>
                <w:p>
                  <w:pPr>
                    <w:pStyle w:val="460"/>
                    <w:bidi w:val="0"/>
                    <w:rPr>
                      <w:rFonts w:hint="eastAsia" w:eastAsia="宋体"/>
                      <w:color w:val="auto"/>
                      <w:highlight w:val="none"/>
                      <w:lang w:val="en-US" w:eastAsia="zh-CN"/>
                    </w:rPr>
                  </w:pPr>
                  <w:r>
                    <w:rPr>
                      <w:rFonts w:hint="eastAsia"/>
                      <w:color w:val="auto"/>
                      <w:highlight w:val="none"/>
                      <w:lang w:val="en-US" w:eastAsia="zh-CN"/>
                    </w:rPr>
                    <w:t>生产废水</w:t>
                  </w:r>
                </w:p>
              </w:tc>
              <w:tc>
                <w:tcPr>
                  <w:tcW w:w="4142" w:type="dxa"/>
                  <w:gridSpan w:val="2"/>
                  <w:noWrap w:val="0"/>
                  <w:tcMar>
                    <w:top w:w="0" w:type="dxa"/>
                    <w:left w:w="57" w:type="dxa"/>
                    <w:bottom w:w="0" w:type="dxa"/>
                    <w:right w:w="57" w:type="dxa"/>
                  </w:tcMar>
                  <w:vAlign w:val="center"/>
                </w:tcPr>
                <w:p>
                  <w:pPr>
                    <w:pStyle w:val="460"/>
                    <w:bidi w:val="0"/>
                    <w:rPr>
                      <w:rFonts w:hint="eastAsia" w:cs="宋体"/>
                      <w:color w:val="auto"/>
                      <w:szCs w:val="21"/>
                      <w:highlight w:val="none"/>
                      <w:lang w:val="en-US" w:eastAsia="zh-CN" w:bidi="ar"/>
                    </w:rPr>
                  </w:pPr>
                  <w:r>
                    <w:rPr>
                      <w:rFonts w:hint="eastAsia"/>
                      <w:color w:val="auto"/>
                      <w:sz w:val="21"/>
                      <w:szCs w:val="21"/>
                      <w:highlight w:val="none"/>
                      <w:lang w:val="en-US" w:eastAsia="zh-CN"/>
                    </w:rPr>
                    <w:t>设置1座防渗沉淀池</w:t>
                  </w:r>
                </w:p>
              </w:tc>
              <w:tc>
                <w:tcPr>
                  <w:tcW w:w="958" w:type="dxa"/>
                  <w:noWrap w:val="0"/>
                  <w:tcMar>
                    <w:top w:w="0" w:type="dxa"/>
                    <w:left w:w="57" w:type="dxa"/>
                    <w:bottom w:w="0" w:type="dxa"/>
                    <w:right w:w="57" w:type="dxa"/>
                  </w:tcMar>
                  <w:vAlign w:val="center"/>
                </w:tcPr>
                <w:p>
                  <w:pPr>
                    <w:pStyle w:val="460"/>
                    <w:bidi w:val="0"/>
                    <w:rPr>
                      <w:rFonts w:hint="default"/>
                      <w:color w:val="auto"/>
                      <w:highlight w:val="none"/>
                      <w:lang w:val="en-US" w:eastAsia="zh-CN"/>
                    </w:rPr>
                  </w:pPr>
                  <w:r>
                    <w:rPr>
                      <w:rFonts w:hint="eastAsia"/>
                      <w:color w:val="auto"/>
                      <w:highlight w:val="no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65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824" w:type="dxa"/>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噪声治理</w:t>
                  </w:r>
                </w:p>
              </w:tc>
              <w:tc>
                <w:tcPr>
                  <w:tcW w:w="1254" w:type="dxa"/>
                  <w:noWrap w:val="0"/>
                  <w:tcMar>
                    <w:top w:w="0" w:type="dxa"/>
                    <w:left w:w="57" w:type="dxa"/>
                    <w:bottom w:w="0" w:type="dxa"/>
                    <w:right w:w="57"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en-US"/>
                    </w:rPr>
                  </w:pPr>
                  <w:r>
                    <w:rPr>
                      <w:rFonts w:hint="eastAsia" w:ascii="Times New Roman" w:hAnsi="Times New Roman" w:eastAsia="宋体" w:cs="Times New Roman"/>
                      <w:color w:val="auto"/>
                      <w:spacing w:val="0"/>
                      <w:sz w:val="21"/>
                      <w:lang w:val="en-US" w:eastAsia="en-US"/>
                    </w:rPr>
                    <w:t>设备噪声</w:t>
                  </w:r>
                </w:p>
              </w:tc>
              <w:tc>
                <w:tcPr>
                  <w:tcW w:w="4142" w:type="dxa"/>
                  <w:gridSpan w:val="2"/>
                  <w:noWrap w:val="0"/>
                  <w:tcMar>
                    <w:top w:w="0" w:type="dxa"/>
                    <w:left w:w="57" w:type="dxa"/>
                    <w:bottom w:w="0" w:type="dxa"/>
                    <w:right w:w="57" w:type="dxa"/>
                  </w:tcMar>
                  <w:vAlign w:val="center"/>
                </w:tcPr>
                <w:p>
                  <w:pPr>
                    <w:pStyle w:val="460"/>
                    <w:bidi w:val="0"/>
                    <w:rPr>
                      <w:color w:val="auto"/>
                      <w:highlight w:val="none"/>
                      <w:lang w:val="en-US" w:eastAsia="en-US"/>
                    </w:rPr>
                  </w:pPr>
                  <w:r>
                    <w:rPr>
                      <w:rFonts w:hint="eastAsia"/>
                      <w:color w:val="auto"/>
                      <w:highlight w:val="none"/>
                      <w:lang w:val="en-US" w:eastAsia="en-US"/>
                    </w:rPr>
                    <w:t>选用低噪声设备，设备基础减振，设备合理布置，采取厂房隔音等措施降噪</w:t>
                  </w:r>
                </w:p>
              </w:tc>
              <w:tc>
                <w:tcPr>
                  <w:tcW w:w="958" w:type="dxa"/>
                  <w:noWrap w:val="0"/>
                  <w:tcMar>
                    <w:top w:w="0" w:type="dxa"/>
                    <w:left w:w="57" w:type="dxa"/>
                    <w:bottom w:w="0" w:type="dxa"/>
                    <w:right w:w="57" w:type="dxa"/>
                  </w:tcMar>
                  <w:vAlign w:val="center"/>
                </w:tcPr>
                <w:p>
                  <w:pPr>
                    <w:pStyle w:val="460"/>
                    <w:bidi w:val="0"/>
                    <w:rPr>
                      <w:rFonts w:hint="default" w:eastAsia="宋体"/>
                      <w:color w:val="auto"/>
                      <w:highlight w:val="none"/>
                      <w:lang w:val="en-US" w:eastAsia="zh-CN"/>
                    </w:rPr>
                  </w:pPr>
                  <w:r>
                    <w:rPr>
                      <w:rFonts w:hint="eastAsia"/>
                      <w:color w:val="auto"/>
                      <w:highlight w:val="none"/>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65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824" w:type="dxa"/>
                  <w:vMerge w:val="restart"/>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固体废物处置</w:t>
                  </w:r>
                </w:p>
              </w:tc>
              <w:tc>
                <w:tcPr>
                  <w:tcW w:w="1254" w:type="dxa"/>
                  <w:noWrap w:val="0"/>
                  <w:tcMar>
                    <w:top w:w="0" w:type="dxa"/>
                    <w:left w:w="57" w:type="dxa"/>
                    <w:bottom w:w="0" w:type="dxa"/>
                    <w:right w:w="57" w:type="dxa"/>
                  </w:tcMar>
                  <w:vAlign w:val="top"/>
                </w:tcPr>
                <w:p>
                  <w:pPr>
                    <w:spacing w:line="240" w:lineRule="auto"/>
                    <w:ind w:firstLine="0" w:firstLineChars="0"/>
                    <w:jc w:val="center"/>
                    <w:rPr>
                      <w:rFonts w:hint="eastAsia" w:ascii="Times New Roman" w:hAnsi="Times New Roman" w:eastAsia="宋体" w:cs="Times New Roman"/>
                      <w:color w:val="auto"/>
                      <w:spacing w:val="0"/>
                      <w:sz w:val="21"/>
                      <w:lang w:val="en-US" w:eastAsia="en-US"/>
                    </w:rPr>
                  </w:pPr>
                  <w:r>
                    <w:rPr>
                      <w:rFonts w:hint="eastAsia" w:ascii="Times New Roman" w:hAnsi="Times New Roman" w:eastAsia="宋体" w:cs="Times New Roman"/>
                      <w:color w:val="auto"/>
                      <w:spacing w:val="0"/>
                      <w:sz w:val="21"/>
                      <w:lang w:val="en-US" w:eastAsia="zh-CN"/>
                    </w:rPr>
                    <w:t>车间及除尘系统收集的粉尘</w:t>
                  </w:r>
                </w:p>
              </w:tc>
              <w:tc>
                <w:tcPr>
                  <w:tcW w:w="4142" w:type="dxa"/>
                  <w:gridSpan w:val="2"/>
                  <w:noWrap w:val="0"/>
                  <w:tcMar>
                    <w:top w:w="0" w:type="dxa"/>
                    <w:left w:w="57" w:type="dxa"/>
                    <w:bottom w:w="0" w:type="dxa"/>
                    <w:right w:w="57" w:type="dxa"/>
                  </w:tcMar>
                  <w:vAlign w:val="center"/>
                </w:tcPr>
                <w:p>
                  <w:pPr>
                    <w:pStyle w:val="460"/>
                    <w:bidi w:val="0"/>
                    <w:rPr>
                      <w:color w:val="auto"/>
                      <w:highlight w:val="none"/>
                      <w:lang w:val="en-US" w:eastAsia="en-US"/>
                    </w:rPr>
                  </w:pPr>
                  <w:r>
                    <w:rPr>
                      <w:rFonts w:hint="eastAsia" w:ascii="Times New Roman" w:hAnsi="Times New Roman" w:eastAsia="宋体" w:cs="Times New Roman"/>
                      <w:color w:val="auto"/>
                      <w:spacing w:val="0"/>
                      <w:sz w:val="21"/>
                      <w:lang w:val="en-US" w:eastAsia="zh-CN"/>
                    </w:rPr>
                    <w:t>经收集后混入产品中定期</w:t>
                  </w:r>
                  <w:r>
                    <w:rPr>
                      <w:rFonts w:hint="default" w:ascii="Times New Roman" w:hAnsi="Times New Roman" w:eastAsia="宋体" w:cs="Times New Roman"/>
                      <w:color w:val="auto"/>
                      <w:spacing w:val="0"/>
                      <w:sz w:val="21"/>
                      <w:lang w:val="en-US" w:eastAsia="zh-CN"/>
                    </w:rPr>
                    <w:t>外售</w:t>
                  </w:r>
                  <w:r>
                    <w:rPr>
                      <w:rFonts w:hint="eastAsia" w:ascii="Times New Roman" w:hAnsi="Times New Roman" w:eastAsia="宋体" w:cs="Times New Roman"/>
                      <w:color w:val="auto"/>
                      <w:spacing w:val="0"/>
                      <w:sz w:val="21"/>
                      <w:lang w:val="en-US" w:eastAsia="zh-CN"/>
                    </w:rPr>
                    <w:t>综合利用</w:t>
                  </w:r>
                </w:p>
              </w:tc>
              <w:tc>
                <w:tcPr>
                  <w:tcW w:w="958" w:type="dxa"/>
                  <w:noWrap w:val="0"/>
                  <w:tcMar>
                    <w:top w:w="0" w:type="dxa"/>
                    <w:left w:w="57" w:type="dxa"/>
                    <w:bottom w:w="0" w:type="dxa"/>
                    <w:right w:w="57" w:type="dxa"/>
                  </w:tcMar>
                  <w:vAlign w:val="center"/>
                </w:tcPr>
                <w:p>
                  <w:pPr>
                    <w:pStyle w:val="460"/>
                    <w:bidi w:val="0"/>
                    <w:rPr>
                      <w:rFonts w:hint="default" w:eastAsia="宋体"/>
                      <w:color w:val="auto"/>
                      <w:highlight w:val="none"/>
                      <w:lang w:val="en-US" w:eastAsia="zh-CN"/>
                    </w:rPr>
                  </w:pPr>
                  <w:r>
                    <w:rPr>
                      <w:rFonts w:hint="eastAsia" w:eastAsia="宋体"/>
                      <w:color w:val="auto"/>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5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824" w:type="dxa"/>
                  <w:vMerge w:val="continue"/>
                  <w:noWrap w:val="0"/>
                  <w:tcMar>
                    <w:top w:w="0" w:type="dxa"/>
                    <w:left w:w="57" w:type="dxa"/>
                    <w:bottom w:w="0" w:type="dxa"/>
                    <w:right w:w="57" w:type="dxa"/>
                  </w:tcMar>
                  <w:vAlign w:val="center"/>
                </w:tcPr>
                <w:p>
                  <w:pPr>
                    <w:pStyle w:val="460"/>
                    <w:bidi w:val="0"/>
                    <w:rPr>
                      <w:color w:val="auto"/>
                      <w:highlight w:val="none"/>
                      <w:lang w:val="en-US" w:eastAsia="en-US"/>
                    </w:rPr>
                  </w:pPr>
                </w:p>
              </w:tc>
              <w:tc>
                <w:tcPr>
                  <w:tcW w:w="1254" w:type="dxa"/>
                  <w:noWrap w:val="0"/>
                  <w:tcMar>
                    <w:top w:w="0" w:type="dxa"/>
                    <w:left w:w="57" w:type="dxa"/>
                    <w:bottom w:w="0" w:type="dxa"/>
                    <w:right w:w="57" w:type="dxa"/>
                  </w:tcMar>
                  <w:vAlign w:val="center"/>
                </w:tcPr>
                <w:p>
                  <w:pPr>
                    <w:spacing w:line="240" w:lineRule="auto"/>
                    <w:ind w:firstLine="0" w:firstLineChars="0"/>
                    <w:jc w:val="center"/>
                    <w:rPr>
                      <w:color w:val="auto"/>
                      <w:highlight w:val="none"/>
                      <w:lang w:val="en-US" w:eastAsia="en-US"/>
                    </w:rPr>
                  </w:pPr>
                  <w:r>
                    <w:rPr>
                      <w:rFonts w:hint="eastAsia" w:ascii="Times New Roman" w:hAnsi="Times New Roman" w:eastAsia="宋体" w:cs="Times New Roman"/>
                      <w:color w:val="auto"/>
                      <w:spacing w:val="0"/>
                      <w:sz w:val="21"/>
                      <w:lang w:val="en-US" w:eastAsia="zh-CN"/>
                    </w:rPr>
                    <w:t>废布袋</w:t>
                  </w:r>
                </w:p>
              </w:tc>
              <w:tc>
                <w:tcPr>
                  <w:tcW w:w="4142" w:type="dxa"/>
                  <w:gridSpan w:val="2"/>
                  <w:noWrap w:val="0"/>
                  <w:tcMar>
                    <w:top w:w="0" w:type="dxa"/>
                    <w:left w:w="57" w:type="dxa"/>
                    <w:bottom w:w="0" w:type="dxa"/>
                    <w:right w:w="57" w:type="dxa"/>
                  </w:tcMar>
                  <w:vAlign w:val="center"/>
                </w:tcPr>
                <w:p>
                  <w:pPr>
                    <w:pStyle w:val="2"/>
                    <w:spacing w:line="240" w:lineRule="auto"/>
                    <w:ind w:firstLine="0" w:firstLineChars="0"/>
                    <w:jc w:val="center"/>
                    <w:rPr>
                      <w:rFonts w:hint="eastAsia"/>
                      <w:color w:val="auto"/>
                      <w:highlight w:val="none"/>
                      <w:lang w:val="en-US" w:eastAsia="zh-CN"/>
                    </w:rPr>
                  </w:pPr>
                  <w:r>
                    <w:rPr>
                      <w:rFonts w:hint="eastAsia" w:ascii="Times New Roman" w:hAnsi="Times New Roman" w:eastAsia="宋体" w:cs="Times New Roman"/>
                      <w:color w:val="auto"/>
                      <w:spacing w:val="0"/>
                      <w:kern w:val="2"/>
                      <w:sz w:val="21"/>
                      <w:lang w:val="en-US" w:eastAsia="zh-CN"/>
                    </w:rPr>
                    <w:t>收集后交由厂家进行回收</w:t>
                  </w:r>
                </w:p>
              </w:tc>
              <w:tc>
                <w:tcPr>
                  <w:tcW w:w="958" w:type="dxa"/>
                  <w:noWrap w:val="0"/>
                  <w:tcMar>
                    <w:top w:w="0" w:type="dxa"/>
                    <w:left w:w="57" w:type="dxa"/>
                    <w:bottom w:w="0" w:type="dxa"/>
                    <w:right w:w="57" w:type="dxa"/>
                  </w:tcMar>
                  <w:vAlign w:val="center"/>
                </w:tcPr>
                <w:p>
                  <w:pPr>
                    <w:pStyle w:val="460"/>
                    <w:bidi w:val="0"/>
                    <w:rPr>
                      <w:rFonts w:hint="default"/>
                      <w:color w:val="auto"/>
                      <w:highlight w:val="none"/>
                      <w:lang w:val="en-US" w:eastAsia="zh-CN"/>
                    </w:rPr>
                  </w:pPr>
                  <w:r>
                    <w:rPr>
                      <w:rFonts w:hint="eastAsia"/>
                      <w:color w:val="auto"/>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65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824" w:type="dxa"/>
                  <w:vMerge w:val="continue"/>
                  <w:noWrap w:val="0"/>
                  <w:tcMar>
                    <w:top w:w="0" w:type="dxa"/>
                    <w:left w:w="57" w:type="dxa"/>
                    <w:bottom w:w="0" w:type="dxa"/>
                    <w:right w:w="57" w:type="dxa"/>
                  </w:tcMar>
                  <w:vAlign w:val="center"/>
                </w:tcPr>
                <w:p>
                  <w:pPr>
                    <w:pStyle w:val="460"/>
                    <w:bidi w:val="0"/>
                    <w:rPr>
                      <w:color w:val="auto"/>
                      <w:highlight w:val="none"/>
                      <w:lang w:val="en-US" w:eastAsia="en-US"/>
                    </w:rPr>
                  </w:pPr>
                </w:p>
              </w:tc>
              <w:tc>
                <w:tcPr>
                  <w:tcW w:w="1254" w:type="dxa"/>
                  <w:noWrap w:val="0"/>
                  <w:tcMar>
                    <w:top w:w="0" w:type="dxa"/>
                    <w:left w:w="57" w:type="dxa"/>
                    <w:bottom w:w="0" w:type="dxa"/>
                    <w:right w:w="57" w:type="dxa"/>
                  </w:tcMar>
                  <w:vAlign w:val="center"/>
                </w:tcPr>
                <w:p>
                  <w:pPr>
                    <w:spacing w:line="240" w:lineRule="auto"/>
                    <w:ind w:firstLine="0" w:firstLineChars="0"/>
                    <w:jc w:val="center"/>
                    <w:rPr>
                      <w:color w:val="auto"/>
                      <w:highlight w:val="none"/>
                      <w:lang w:val="en-US" w:eastAsia="en-US"/>
                    </w:rPr>
                  </w:pPr>
                  <w:r>
                    <w:rPr>
                      <w:rFonts w:hint="eastAsia" w:ascii="Times New Roman" w:hAnsi="Times New Roman" w:eastAsia="宋体" w:cs="Times New Roman"/>
                      <w:color w:val="auto"/>
                      <w:spacing w:val="0"/>
                      <w:sz w:val="21"/>
                      <w:lang w:val="en-US" w:eastAsia="zh-CN"/>
                    </w:rPr>
                    <w:t>废金属</w:t>
                  </w:r>
                </w:p>
              </w:tc>
              <w:tc>
                <w:tcPr>
                  <w:tcW w:w="4142" w:type="dxa"/>
                  <w:gridSpan w:val="2"/>
                  <w:noWrap w:val="0"/>
                  <w:tcMar>
                    <w:top w:w="0" w:type="dxa"/>
                    <w:left w:w="57" w:type="dxa"/>
                    <w:bottom w:w="0" w:type="dxa"/>
                    <w:right w:w="57" w:type="dxa"/>
                  </w:tcMar>
                  <w:vAlign w:val="center"/>
                </w:tcPr>
                <w:p>
                  <w:pPr>
                    <w:pStyle w:val="2"/>
                    <w:spacing w:line="240" w:lineRule="auto"/>
                    <w:ind w:firstLine="0" w:firstLineChars="0"/>
                    <w:jc w:val="center"/>
                    <w:rPr>
                      <w:rFonts w:hint="eastAsia"/>
                      <w:color w:val="auto"/>
                      <w:highlight w:val="none"/>
                      <w:lang w:val="en-US" w:eastAsia="zh-CN"/>
                    </w:rPr>
                  </w:pPr>
                  <w:r>
                    <w:rPr>
                      <w:rFonts w:hint="eastAsia" w:ascii="Times New Roman" w:hAnsi="Times New Roman" w:eastAsia="宋体" w:cs="Times New Roman"/>
                      <w:color w:val="auto"/>
                      <w:spacing w:val="0"/>
                      <w:kern w:val="2"/>
                      <w:sz w:val="21"/>
                      <w:lang w:val="en-US" w:eastAsia="zh-CN"/>
                    </w:rPr>
                    <w:t>收集后定期外售于金属回收厂</w:t>
                  </w:r>
                </w:p>
              </w:tc>
              <w:tc>
                <w:tcPr>
                  <w:tcW w:w="958" w:type="dxa"/>
                  <w:noWrap w:val="0"/>
                  <w:tcMar>
                    <w:top w:w="0" w:type="dxa"/>
                    <w:left w:w="57" w:type="dxa"/>
                    <w:bottom w:w="0" w:type="dxa"/>
                    <w:right w:w="57" w:type="dxa"/>
                  </w:tcMar>
                  <w:vAlign w:val="center"/>
                </w:tcPr>
                <w:p>
                  <w:pPr>
                    <w:pStyle w:val="460"/>
                    <w:bidi w:val="0"/>
                    <w:rPr>
                      <w:rFonts w:hint="default"/>
                      <w:color w:val="auto"/>
                      <w:highlight w:val="none"/>
                      <w:lang w:val="en-US" w:eastAsia="zh-CN"/>
                    </w:rPr>
                  </w:pPr>
                  <w:r>
                    <w:rPr>
                      <w:rFonts w:hint="eastAsia"/>
                      <w:color w:val="auto"/>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65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824" w:type="dxa"/>
                  <w:vMerge w:val="continue"/>
                  <w:noWrap w:val="0"/>
                  <w:tcMar>
                    <w:top w:w="0" w:type="dxa"/>
                    <w:left w:w="57" w:type="dxa"/>
                    <w:bottom w:w="0" w:type="dxa"/>
                    <w:right w:w="57" w:type="dxa"/>
                  </w:tcMar>
                  <w:vAlign w:val="center"/>
                </w:tcPr>
                <w:p>
                  <w:pPr>
                    <w:pStyle w:val="460"/>
                    <w:bidi w:val="0"/>
                    <w:rPr>
                      <w:color w:val="auto"/>
                      <w:highlight w:val="none"/>
                      <w:lang w:val="en-US" w:eastAsia="en-US"/>
                    </w:rPr>
                  </w:pPr>
                </w:p>
              </w:tc>
              <w:tc>
                <w:tcPr>
                  <w:tcW w:w="1254" w:type="dxa"/>
                  <w:noWrap w:val="0"/>
                  <w:tcMar>
                    <w:top w:w="0" w:type="dxa"/>
                    <w:left w:w="57" w:type="dxa"/>
                    <w:bottom w:w="0" w:type="dxa"/>
                    <w:right w:w="57" w:type="dxa"/>
                  </w:tcMar>
                  <w:vAlign w:val="center"/>
                </w:tcPr>
                <w:p>
                  <w:pPr>
                    <w:spacing w:line="240" w:lineRule="auto"/>
                    <w:ind w:firstLine="0" w:firstLineChars="0"/>
                    <w:jc w:val="center"/>
                    <w:rPr>
                      <w:color w:val="auto"/>
                      <w:highlight w:val="none"/>
                      <w:lang w:val="en-US" w:eastAsia="en-US"/>
                    </w:rPr>
                  </w:pPr>
                  <w:r>
                    <w:rPr>
                      <w:rFonts w:hint="eastAsia" w:ascii="Times New Roman" w:hAnsi="Times New Roman" w:eastAsia="宋体" w:cs="Times New Roman"/>
                      <w:color w:val="auto"/>
                      <w:spacing w:val="0"/>
                      <w:sz w:val="21"/>
                      <w:lang w:val="en-US" w:eastAsia="zh-CN"/>
                    </w:rPr>
                    <w:t>轻物质</w:t>
                  </w:r>
                </w:p>
              </w:tc>
              <w:tc>
                <w:tcPr>
                  <w:tcW w:w="4142" w:type="dxa"/>
                  <w:gridSpan w:val="2"/>
                  <w:noWrap w:val="0"/>
                  <w:tcMar>
                    <w:top w:w="0" w:type="dxa"/>
                    <w:left w:w="57" w:type="dxa"/>
                    <w:bottom w:w="0" w:type="dxa"/>
                    <w:right w:w="57" w:type="dxa"/>
                  </w:tcMar>
                  <w:vAlign w:val="center"/>
                </w:tcPr>
                <w:p>
                  <w:pPr>
                    <w:pStyle w:val="2"/>
                    <w:spacing w:line="240" w:lineRule="auto"/>
                    <w:ind w:firstLine="0" w:firstLineChars="0"/>
                    <w:jc w:val="center"/>
                    <w:rPr>
                      <w:rFonts w:hint="eastAsia"/>
                      <w:color w:val="auto"/>
                      <w:highlight w:val="none"/>
                      <w:lang w:val="en-US" w:eastAsia="zh-CN"/>
                    </w:rPr>
                  </w:pPr>
                  <w:r>
                    <w:rPr>
                      <w:rFonts w:hint="eastAsia" w:ascii="Times New Roman" w:hAnsi="Times New Roman" w:eastAsia="宋体" w:cs="Times New Roman"/>
                      <w:color w:val="auto"/>
                      <w:spacing w:val="0"/>
                      <w:kern w:val="2"/>
                      <w:sz w:val="21"/>
                      <w:lang w:val="en-US" w:eastAsia="zh-CN"/>
                    </w:rPr>
                    <w:t>集中收集后定期外售综合利用</w:t>
                  </w:r>
                </w:p>
              </w:tc>
              <w:tc>
                <w:tcPr>
                  <w:tcW w:w="958" w:type="dxa"/>
                  <w:noWrap w:val="0"/>
                  <w:tcMar>
                    <w:top w:w="0" w:type="dxa"/>
                    <w:left w:w="57" w:type="dxa"/>
                    <w:bottom w:w="0" w:type="dxa"/>
                    <w:right w:w="57" w:type="dxa"/>
                  </w:tcMar>
                  <w:vAlign w:val="center"/>
                </w:tcPr>
                <w:p>
                  <w:pPr>
                    <w:pStyle w:val="460"/>
                    <w:bidi w:val="0"/>
                    <w:rPr>
                      <w:rFonts w:hint="default"/>
                      <w:color w:val="auto"/>
                      <w:highlight w:val="none"/>
                      <w:lang w:val="en-US" w:eastAsia="zh-CN"/>
                    </w:rPr>
                  </w:pPr>
                  <w:r>
                    <w:rPr>
                      <w:rFonts w:hint="eastAsia"/>
                      <w:color w:val="auto"/>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65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824" w:type="dxa"/>
                  <w:vMerge w:val="continue"/>
                  <w:noWrap w:val="0"/>
                  <w:tcMar>
                    <w:top w:w="0" w:type="dxa"/>
                    <w:left w:w="57" w:type="dxa"/>
                    <w:bottom w:w="0" w:type="dxa"/>
                    <w:right w:w="57" w:type="dxa"/>
                  </w:tcMar>
                  <w:vAlign w:val="center"/>
                </w:tcPr>
                <w:p>
                  <w:pPr>
                    <w:pStyle w:val="460"/>
                    <w:bidi w:val="0"/>
                    <w:rPr>
                      <w:color w:val="auto"/>
                      <w:highlight w:val="none"/>
                      <w:lang w:val="en-US" w:eastAsia="en-US"/>
                    </w:rPr>
                  </w:pPr>
                </w:p>
              </w:tc>
              <w:tc>
                <w:tcPr>
                  <w:tcW w:w="1254" w:type="dxa"/>
                  <w:shd w:val="clear" w:color="auto" w:fill="auto"/>
                  <w:noWrap w:val="0"/>
                  <w:tcMar>
                    <w:top w:w="0" w:type="dxa"/>
                    <w:left w:w="57" w:type="dxa"/>
                    <w:bottom w:w="0" w:type="dxa"/>
                    <w:right w:w="57"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渣土</w:t>
                  </w:r>
                </w:p>
              </w:tc>
              <w:tc>
                <w:tcPr>
                  <w:tcW w:w="4142" w:type="dxa"/>
                  <w:gridSpan w:val="2"/>
                  <w:shd w:val="clear" w:color="auto" w:fill="auto"/>
                  <w:noWrap w:val="0"/>
                  <w:tcMar>
                    <w:top w:w="0" w:type="dxa"/>
                    <w:left w:w="57" w:type="dxa"/>
                    <w:bottom w:w="0" w:type="dxa"/>
                    <w:right w:w="57" w:type="dxa"/>
                  </w:tcMar>
                  <w:vAlign w:val="center"/>
                </w:tcPr>
                <w:p>
                  <w:pPr>
                    <w:pStyle w:val="2"/>
                    <w:spacing w:line="240" w:lineRule="auto"/>
                    <w:ind w:firstLine="0" w:firstLineChars="0"/>
                    <w:jc w:val="center"/>
                    <w:rPr>
                      <w:rFonts w:hint="eastAsia" w:ascii="Times New Roman" w:hAnsi="Times New Roman" w:eastAsia="宋体" w:cs="Times New Roman"/>
                      <w:color w:val="auto"/>
                      <w:spacing w:val="0"/>
                      <w:kern w:val="2"/>
                      <w:sz w:val="21"/>
                      <w:szCs w:val="21"/>
                      <w:lang w:val="en-US" w:eastAsia="zh-CN" w:bidi="ar-SA"/>
                    </w:rPr>
                  </w:pPr>
                  <w:r>
                    <w:rPr>
                      <w:rFonts w:hint="eastAsia" w:ascii="Times New Roman" w:hAnsi="Times New Roman" w:eastAsia="宋体" w:cs="Times New Roman"/>
                      <w:color w:val="auto"/>
                      <w:spacing w:val="0"/>
                      <w:kern w:val="2"/>
                      <w:sz w:val="21"/>
                      <w:lang w:val="en-US" w:eastAsia="zh-CN"/>
                    </w:rPr>
                    <w:t>收集后定期外售综合利用</w:t>
                  </w:r>
                </w:p>
              </w:tc>
              <w:tc>
                <w:tcPr>
                  <w:tcW w:w="958" w:type="dxa"/>
                  <w:noWrap w:val="0"/>
                  <w:tcMar>
                    <w:top w:w="0" w:type="dxa"/>
                    <w:left w:w="57" w:type="dxa"/>
                    <w:bottom w:w="0" w:type="dxa"/>
                    <w:right w:w="57" w:type="dxa"/>
                  </w:tcMar>
                  <w:vAlign w:val="center"/>
                </w:tcPr>
                <w:p>
                  <w:pPr>
                    <w:pStyle w:val="460"/>
                    <w:bidi w:val="0"/>
                    <w:rPr>
                      <w:rFonts w:hint="default"/>
                      <w:color w:val="auto"/>
                      <w:highlight w:val="none"/>
                      <w:lang w:val="en-US" w:eastAsia="zh-CN"/>
                    </w:rPr>
                  </w:pPr>
                  <w:r>
                    <w:rPr>
                      <w:rFonts w:hint="eastAsia"/>
                      <w:color w:val="auto"/>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65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824" w:type="dxa"/>
                  <w:vMerge w:val="continue"/>
                  <w:noWrap w:val="0"/>
                  <w:tcMar>
                    <w:top w:w="0" w:type="dxa"/>
                    <w:left w:w="57" w:type="dxa"/>
                    <w:bottom w:w="0" w:type="dxa"/>
                    <w:right w:w="57" w:type="dxa"/>
                  </w:tcMar>
                  <w:vAlign w:val="center"/>
                </w:tcPr>
                <w:p>
                  <w:pPr>
                    <w:pStyle w:val="460"/>
                    <w:bidi w:val="0"/>
                    <w:rPr>
                      <w:color w:val="auto"/>
                      <w:highlight w:val="none"/>
                      <w:lang w:val="en-US" w:eastAsia="en-US"/>
                    </w:rPr>
                  </w:pPr>
                </w:p>
              </w:tc>
              <w:tc>
                <w:tcPr>
                  <w:tcW w:w="1254" w:type="dxa"/>
                  <w:shd w:val="clear" w:color="auto" w:fill="auto"/>
                  <w:noWrap w:val="0"/>
                  <w:tcMar>
                    <w:top w:w="0" w:type="dxa"/>
                    <w:left w:w="57" w:type="dxa"/>
                    <w:bottom w:w="0" w:type="dxa"/>
                    <w:right w:w="57" w:type="dxa"/>
                  </w:tcMar>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沉淀池沉渣</w:t>
                  </w:r>
                </w:p>
              </w:tc>
              <w:tc>
                <w:tcPr>
                  <w:tcW w:w="4142" w:type="dxa"/>
                  <w:gridSpan w:val="2"/>
                  <w:shd w:val="clear" w:color="auto" w:fill="auto"/>
                  <w:noWrap w:val="0"/>
                  <w:tcMar>
                    <w:top w:w="0" w:type="dxa"/>
                    <w:left w:w="57" w:type="dxa"/>
                    <w:bottom w:w="0" w:type="dxa"/>
                    <w:right w:w="57" w:type="dxa"/>
                  </w:tcMar>
                  <w:vAlign w:val="center"/>
                </w:tcPr>
                <w:p>
                  <w:pPr>
                    <w:pStyle w:val="2"/>
                    <w:spacing w:line="240" w:lineRule="auto"/>
                    <w:ind w:firstLine="0" w:firstLineChars="0"/>
                    <w:jc w:val="center"/>
                    <w:rPr>
                      <w:rFonts w:hint="eastAsia" w:ascii="Times New Roman" w:hAnsi="Times New Roman" w:eastAsia="宋体" w:cs="Times New Roman"/>
                      <w:color w:val="auto"/>
                      <w:spacing w:val="0"/>
                      <w:kern w:val="2"/>
                      <w:sz w:val="21"/>
                      <w:szCs w:val="21"/>
                      <w:lang w:val="en-US" w:eastAsia="zh-CN" w:bidi="ar-SA"/>
                    </w:rPr>
                  </w:pPr>
                  <w:r>
                    <w:rPr>
                      <w:rFonts w:hint="eastAsia" w:ascii="Times New Roman" w:hAnsi="Times New Roman" w:eastAsia="宋体" w:cs="Times New Roman"/>
                      <w:color w:val="auto"/>
                      <w:spacing w:val="0"/>
                      <w:kern w:val="2"/>
                      <w:sz w:val="21"/>
                      <w:lang w:val="en-US" w:eastAsia="zh-CN"/>
                    </w:rPr>
                    <w:t>定期清掏外运综合利用</w:t>
                  </w:r>
                </w:p>
              </w:tc>
              <w:tc>
                <w:tcPr>
                  <w:tcW w:w="958" w:type="dxa"/>
                  <w:noWrap w:val="0"/>
                  <w:tcMar>
                    <w:top w:w="0" w:type="dxa"/>
                    <w:left w:w="57" w:type="dxa"/>
                    <w:bottom w:w="0" w:type="dxa"/>
                    <w:right w:w="57" w:type="dxa"/>
                  </w:tcMar>
                  <w:vAlign w:val="center"/>
                </w:tcPr>
                <w:p>
                  <w:pPr>
                    <w:pStyle w:val="460"/>
                    <w:bidi w:val="0"/>
                    <w:rPr>
                      <w:rFonts w:hint="default"/>
                      <w:color w:val="auto"/>
                      <w:highlight w:val="none"/>
                      <w:lang w:val="en-US" w:eastAsia="zh-CN"/>
                    </w:rPr>
                  </w:pPr>
                  <w:r>
                    <w:rPr>
                      <w:rFonts w:hint="eastAsia"/>
                      <w:color w:val="auto"/>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5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824" w:type="dxa"/>
                  <w:vMerge w:val="continue"/>
                  <w:noWrap w:val="0"/>
                  <w:tcMar>
                    <w:top w:w="0" w:type="dxa"/>
                    <w:left w:w="57" w:type="dxa"/>
                    <w:bottom w:w="0" w:type="dxa"/>
                    <w:right w:w="57" w:type="dxa"/>
                  </w:tcMar>
                  <w:vAlign w:val="center"/>
                </w:tcPr>
                <w:p>
                  <w:pPr>
                    <w:pStyle w:val="460"/>
                    <w:bidi w:val="0"/>
                    <w:rPr>
                      <w:color w:val="auto"/>
                      <w:highlight w:val="none"/>
                      <w:lang w:val="en-US" w:eastAsia="en-US"/>
                    </w:rPr>
                  </w:pPr>
                </w:p>
              </w:tc>
              <w:tc>
                <w:tcPr>
                  <w:tcW w:w="1254" w:type="dxa"/>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生活垃圾</w:t>
                  </w:r>
                </w:p>
              </w:tc>
              <w:tc>
                <w:tcPr>
                  <w:tcW w:w="4142" w:type="dxa"/>
                  <w:gridSpan w:val="2"/>
                  <w:noWrap w:val="0"/>
                  <w:tcMar>
                    <w:top w:w="0" w:type="dxa"/>
                    <w:left w:w="57" w:type="dxa"/>
                    <w:bottom w:w="0" w:type="dxa"/>
                    <w:right w:w="57" w:type="dxa"/>
                  </w:tcMar>
                  <w:vAlign w:val="center"/>
                </w:tcPr>
                <w:p>
                  <w:pPr>
                    <w:pStyle w:val="460"/>
                    <w:bidi w:val="0"/>
                    <w:rPr>
                      <w:rFonts w:hint="eastAsia"/>
                      <w:color w:val="auto"/>
                      <w:highlight w:val="none"/>
                      <w:lang w:val="en-US" w:eastAsia="zh-CN"/>
                    </w:rPr>
                  </w:pPr>
                  <w:r>
                    <w:rPr>
                      <w:rFonts w:hint="eastAsia"/>
                      <w:color w:val="auto"/>
                      <w:highlight w:val="none"/>
                      <w:lang w:val="en-US" w:eastAsia="zh-CN"/>
                    </w:rPr>
                    <w:t>集中收集</w:t>
                  </w:r>
                  <w:r>
                    <w:rPr>
                      <w:color w:val="auto"/>
                      <w:highlight w:val="none"/>
                      <w:lang w:val="en-US" w:eastAsia="en-US"/>
                    </w:rPr>
                    <w:t>后由环卫部门统一清运</w:t>
                  </w:r>
                </w:p>
              </w:tc>
              <w:tc>
                <w:tcPr>
                  <w:tcW w:w="958" w:type="dxa"/>
                  <w:noWrap w:val="0"/>
                  <w:tcMar>
                    <w:top w:w="0" w:type="dxa"/>
                    <w:left w:w="57" w:type="dxa"/>
                    <w:bottom w:w="0" w:type="dxa"/>
                    <w:right w:w="57" w:type="dxa"/>
                  </w:tcMar>
                  <w:vAlign w:val="center"/>
                </w:tcPr>
                <w:p>
                  <w:pPr>
                    <w:pStyle w:val="460"/>
                    <w:bidi w:val="0"/>
                    <w:rPr>
                      <w:rFonts w:hint="default"/>
                      <w:color w:val="auto"/>
                      <w:highlight w:val="none"/>
                      <w:lang w:val="en-US" w:eastAsia="zh-CN"/>
                    </w:rPr>
                  </w:pPr>
                  <w:r>
                    <w:rPr>
                      <w:rFonts w:hint="eastAsia"/>
                      <w:color w:val="auto"/>
                      <w:highlight w:val="none"/>
                      <w:lang w:val="en-US" w:eastAsia="zh-CN"/>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65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82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1254" w:type="dxa"/>
                  <w:noWrap w:val="0"/>
                  <w:tcMar>
                    <w:top w:w="0" w:type="dxa"/>
                    <w:left w:w="57" w:type="dxa"/>
                    <w:bottom w:w="0" w:type="dxa"/>
                    <w:right w:w="57" w:type="dxa"/>
                  </w:tcMar>
                  <w:vAlign w:val="center"/>
                </w:tcPr>
                <w:p>
                  <w:pPr>
                    <w:pStyle w:val="460"/>
                    <w:bidi w:val="0"/>
                    <w:rPr>
                      <w:rFonts w:hint="default" w:ascii="Times New Roman" w:hAnsi="Times New Roman" w:eastAsia="宋体" w:cs="Times New Roman"/>
                      <w:color w:val="auto"/>
                      <w:sz w:val="21"/>
                      <w:szCs w:val="21"/>
                      <w:highlight w:val="none"/>
                      <w:lang w:val="en-US" w:eastAsia="en-US" w:bidi="ar-SA"/>
                    </w:rPr>
                  </w:pPr>
                  <w:r>
                    <w:rPr>
                      <w:rFonts w:hint="eastAsia"/>
                      <w:color w:val="auto"/>
                      <w:highlight w:val="none"/>
                      <w:lang w:val="en-US" w:eastAsia="zh-CN"/>
                    </w:rPr>
                    <w:t>废机油、废油桶</w:t>
                  </w:r>
                </w:p>
              </w:tc>
              <w:tc>
                <w:tcPr>
                  <w:tcW w:w="4142" w:type="dxa"/>
                  <w:gridSpan w:val="2"/>
                  <w:noWrap w:val="0"/>
                  <w:tcMar>
                    <w:top w:w="0" w:type="dxa"/>
                    <w:left w:w="57" w:type="dxa"/>
                    <w:bottom w:w="0" w:type="dxa"/>
                    <w:right w:w="57" w:type="dxa"/>
                  </w:tcMar>
                  <w:vAlign w:val="center"/>
                </w:tcPr>
                <w:p>
                  <w:pPr>
                    <w:pStyle w:val="460"/>
                    <w:bidi w:val="0"/>
                    <w:rPr>
                      <w:rFonts w:ascii="Times New Roman" w:hAnsi="Times New Roman" w:eastAsia="宋体" w:cs="Times New Roman"/>
                      <w:color w:val="auto"/>
                      <w:sz w:val="21"/>
                      <w:szCs w:val="21"/>
                      <w:highlight w:val="none"/>
                      <w:lang w:val="en-US" w:eastAsia="en-US" w:bidi="ar-SA"/>
                    </w:rPr>
                  </w:pPr>
                  <w:r>
                    <w:rPr>
                      <w:color w:val="auto"/>
                      <w:highlight w:val="none"/>
                      <w:lang w:val="en-US" w:eastAsia="en-US"/>
                    </w:rPr>
                    <w:t>暂存于</w:t>
                  </w:r>
                  <w:r>
                    <w:rPr>
                      <w:rFonts w:hint="eastAsia"/>
                      <w:color w:val="auto"/>
                      <w:highlight w:val="none"/>
                      <w:lang w:val="en-US" w:eastAsia="zh-CN"/>
                    </w:rPr>
                    <w:t>危废贮存点</w:t>
                  </w:r>
                  <w:r>
                    <w:rPr>
                      <w:color w:val="auto"/>
                      <w:highlight w:val="none"/>
                      <w:lang w:val="en-US" w:eastAsia="en-US"/>
                    </w:rPr>
                    <w:t>，占地面积为</w:t>
                  </w:r>
                  <w:r>
                    <w:rPr>
                      <w:rFonts w:hint="eastAsia"/>
                      <w:color w:val="auto"/>
                      <w:highlight w:val="none"/>
                      <w:lang w:val="en-US" w:eastAsia="zh-CN"/>
                    </w:rPr>
                    <w:t>5</w:t>
                  </w:r>
                  <w:r>
                    <w:rPr>
                      <w:color w:val="auto"/>
                      <w:highlight w:val="none"/>
                      <w:lang w:val="en-US" w:eastAsia="en-US"/>
                    </w:rPr>
                    <w:t>m</w:t>
                  </w:r>
                  <w:r>
                    <w:rPr>
                      <w:color w:val="auto"/>
                      <w:highlight w:val="none"/>
                      <w:vertAlign w:val="superscript"/>
                      <w:lang w:val="en-US" w:eastAsia="en-US"/>
                    </w:rPr>
                    <w:t>2</w:t>
                  </w:r>
                  <w:r>
                    <w:rPr>
                      <w:color w:val="auto"/>
                      <w:highlight w:val="none"/>
                      <w:lang w:val="en-US" w:eastAsia="en-US"/>
                    </w:rPr>
                    <w:t>，定期交由有资质单位进行处理</w:t>
                  </w:r>
                </w:p>
              </w:tc>
              <w:tc>
                <w:tcPr>
                  <w:tcW w:w="958" w:type="dxa"/>
                  <w:noWrap w:val="0"/>
                  <w:tcMar>
                    <w:top w:w="0" w:type="dxa"/>
                    <w:left w:w="57" w:type="dxa"/>
                    <w:bottom w:w="0" w:type="dxa"/>
                    <w:right w:w="57" w:type="dxa"/>
                  </w:tcMar>
                  <w:vAlign w:val="center"/>
                </w:tcPr>
                <w:p>
                  <w:pPr>
                    <w:pStyle w:val="460"/>
                    <w:bidi w:val="0"/>
                    <w:rPr>
                      <w:rFonts w:hint="default" w:eastAsia="宋体"/>
                      <w:color w:val="auto"/>
                      <w:highlight w:val="none"/>
                      <w:lang w:val="en-US" w:eastAsia="zh-CN"/>
                    </w:rPr>
                  </w:pPr>
                  <w:r>
                    <w:rPr>
                      <w:rFonts w:hint="eastAsia"/>
                      <w:color w:val="auto"/>
                      <w:highlight w:val="none"/>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5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2078" w:type="dxa"/>
                  <w:gridSpan w:val="2"/>
                  <w:vMerge w:val="restart"/>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风险防范</w:t>
                  </w:r>
                </w:p>
              </w:tc>
              <w:tc>
                <w:tcPr>
                  <w:tcW w:w="4142" w:type="dxa"/>
                  <w:gridSpan w:val="2"/>
                  <w:noWrap w:val="0"/>
                  <w:tcMar>
                    <w:top w:w="0" w:type="dxa"/>
                    <w:left w:w="57" w:type="dxa"/>
                    <w:bottom w:w="0" w:type="dxa"/>
                    <w:right w:w="57" w:type="dxa"/>
                  </w:tcMar>
                  <w:vAlign w:val="center"/>
                </w:tcPr>
                <w:p>
                  <w:pPr>
                    <w:pStyle w:val="460"/>
                    <w:bidi w:val="0"/>
                    <w:rPr>
                      <w:rFonts w:hint="default" w:eastAsia="宋体"/>
                      <w:color w:val="auto"/>
                      <w:highlight w:val="none"/>
                      <w:lang w:val="en-US" w:eastAsia="zh-CN"/>
                    </w:rPr>
                  </w:pPr>
                  <w:r>
                    <w:rPr>
                      <w:rFonts w:hint="eastAsia"/>
                      <w:color w:val="auto"/>
                      <w:highlight w:val="none"/>
                      <w:lang w:val="en-US" w:eastAsia="zh-CN"/>
                    </w:rPr>
                    <w:t>危废贮存点按重点防渗区进行防渗</w:t>
                  </w:r>
                </w:p>
              </w:tc>
              <w:tc>
                <w:tcPr>
                  <w:tcW w:w="958" w:type="dxa"/>
                  <w:noWrap w:val="0"/>
                  <w:tcMar>
                    <w:top w:w="0" w:type="dxa"/>
                    <w:left w:w="57" w:type="dxa"/>
                    <w:bottom w:w="0" w:type="dxa"/>
                    <w:right w:w="57" w:type="dxa"/>
                  </w:tcMar>
                  <w:vAlign w:val="center"/>
                </w:tcPr>
                <w:p>
                  <w:pPr>
                    <w:pStyle w:val="460"/>
                    <w:bidi w:val="0"/>
                    <w:rPr>
                      <w:rFonts w:hint="eastAsia" w:eastAsia="宋体"/>
                      <w:color w:val="auto"/>
                      <w:highlight w:val="none"/>
                      <w:lang w:val="en-US" w:eastAsia="zh-CN"/>
                    </w:rPr>
                  </w:pPr>
                  <w:r>
                    <w:rPr>
                      <w:rFonts w:hint="eastAsia"/>
                      <w:color w:val="auto"/>
                      <w:highlight w:val="none"/>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65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2078" w:type="dxa"/>
                  <w:gridSpan w:val="2"/>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4142" w:type="dxa"/>
                  <w:gridSpan w:val="2"/>
                  <w:noWrap w:val="0"/>
                  <w:tcMar>
                    <w:top w:w="0" w:type="dxa"/>
                    <w:left w:w="57" w:type="dxa"/>
                    <w:bottom w:w="0" w:type="dxa"/>
                    <w:right w:w="57" w:type="dxa"/>
                  </w:tcMar>
                  <w:vAlign w:val="center"/>
                </w:tcPr>
                <w:p>
                  <w:pPr>
                    <w:pStyle w:val="460"/>
                    <w:bidi w:val="0"/>
                    <w:rPr>
                      <w:color w:val="auto"/>
                      <w:highlight w:val="none"/>
                      <w:lang w:val="en-US" w:eastAsia="en-US"/>
                    </w:rPr>
                  </w:pPr>
                  <w:r>
                    <w:rPr>
                      <w:rFonts w:hint="eastAsia"/>
                      <w:color w:val="auto"/>
                      <w:highlight w:val="none"/>
                      <w:lang w:val="en-US" w:eastAsia="zh-CN"/>
                    </w:rPr>
                    <w:t>沉淀池</w:t>
                  </w:r>
                  <w:r>
                    <w:rPr>
                      <w:rFonts w:hint="eastAsia"/>
                      <w:color w:val="auto"/>
                      <w:highlight w:val="none"/>
                    </w:rPr>
                    <w:t>、防渗化粪池</w:t>
                  </w:r>
                  <w:r>
                    <w:rPr>
                      <w:rFonts w:hint="eastAsia"/>
                      <w:color w:val="auto"/>
                      <w:highlight w:val="none"/>
                      <w:lang w:val="en-US" w:eastAsia="zh-CN"/>
                    </w:rPr>
                    <w:t>等</w:t>
                  </w:r>
                  <w:r>
                    <w:rPr>
                      <w:color w:val="auto"/>
                      <w:highlight w:val="none"/>
                    </w:rPr>
                    <w:t>为一般防渗区。</w:t>
                  </w:r>
                </w:p>
              </w:tc>
              <w:tc>
                <w:tcPr>
                  <w:tcW w:w="958" w:type="dxa"/>
                  <w:noWrap w:val="0"/>
                  <w:tcMar>
                    <w:top w:w="0" w:type="dxa"/>
                    <w:left w:w="57" w:type="dxa"/>
                    <w:bottom w:w="0" w:type="dxa"/>
                    <w:right w:w="57" w:type="dxa"/>
                  </w:tcMar>
                  <w:vAlign w:val="center"/>
                </w:tcPr>
                <w:p>
                  <w:pPr>
                    <w:pStyle w:val="460"/>
                    <w:bidi w:val="0"/>
                    <w:rPr>
                      <w:rFonts w:hint="default"/>
                      <w:color w:val="auto"/>
                      <w:highlight w:val="none"/>
                      <w:lang w:val="en-US" w:eastAsia="zh-CN"/>
                    </w:rPr>
                  </w:pPr>
                  <w:r>
                    <w:rPr>
                      <w:rFonts w:hint="eastAsia"/>
                      <w:color w:val="auto"/>
                      <w:highlight w:val="no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54" w:type="dxa"/>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2078" w:type="dxa"/>
                  <w:gridSpan w:val="2"/>
                  <w:vMerge w:val="continue"/>
                  <w:noWrap w:val="0"/>
                  <w:tcMar>
                    <w:top w:w="0" w:type="dxa"/>
                    <w:left w:w="57" w:type="dxa"/>
                    <w:bottom w:w="0" w:type="dxa"/>
                    <w:right w:w="57" w:type="dxa"/>
                  </w:tcMar>
                  <w:vAlign w:val="center"/>
                </w:tcPr>
                <w:p>
                  <w:pPr>
                    <w:pStyle w:val="460"/>
                    <w:bidi w:val="0"/>
                    <w:rPr>
                      <w:color w:val="auto"/>
                      <w:highlight w:val="none"/>
                      <w:lang w:eastAsia="en-US"/>
                    </w:rPr>
                  </w:pPr>
                </w:p>
              </w:tc>
              <w:tc>
                <w:tcPr>
                  <w:tcW w:w="4142" w:type="dxa"/>
                  <w:gridSpan w:val="2"/>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地上消火栓和干粉灭火器，报警设施，配备呼吸器、面罩、防护服等</w:t>
                  </w:r>
                </w:p>
              </w:tc>
              <w:tc>
                <w:tcPr>
                  <w:tcW w:w="958" w:type="dxa"/>
                  <w:noWrap w:val="0"/>
                  <w:tcMar>
                    <w:top w:w="0" w:type="dxa"/>
                    <w:left w:w="57" w:type="dxa"/>
                    <w:bottom w:w="0" w:type="dxa"/>
                    <w:right w:w="57" w:type="dxa"/>
                  </w:tcMar>
                  <w:vAlign w:val="center"/>
                </w:tcPr>
                <w:p>
                  <w:pPr>
                    <w:pStyle w:val="460"/>
                    <w:bidi w:val="0"/>
                    <w:rPr>
                      <w:rFonts w:hint="default" w:eastAsia="宋体"/>
                      <w:color w:val="auto"/>
                      <w:highlight w:val="none"/>
                      <w:lang w:val="en-US" w:eastAsia="zh-CN"/>
                    </w:rPr>
                  </w:pPr>
                  <w:r>
                    <w:rPr>
                      <w:rFonts w:hint="eastAsia"/>
                      <w:color w:val="auto"/>
                      <w:highlight w:val="no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2732" w:type="dxa"/>
                  <w:gridSpan w:val="3"/>
                  <w:noWrap w:val="0"/>
                  <w:tcMar>
                    <w:top w:w="0" w:type="dxa"/>
                    <w:left w:w="57" w:type="dxa"/>
                    <w:bottom w:w="0" w:type="dxa"/>
                    <w:right w:w="57" w:type="dxa"/>
                  </w:tcMar>
                  <w:vAlign w:val="center"/>
                </w:tcPr>
                <w:p>
                  <w:pPr>
                    <w:pStyle w:val="460"/>
                    <w:bidi w:val="0"/>
                    <w:rPr>
                      <w:color w:val="auto"/>
                      <w:highlight w:val="none"/>
                      <w:lang w:val="en-US" w:eastAsia="en-US"/>
                    </w:rPr>
                  </w:pPr>
                  <w:r>
                    <w:rPr>
                      <w:color w:val="auto"/>
                      <w:highlight w:val="none"/>
                      <w:lang w:val="en-US" w:eastAsia="en-US"/>
                    </w:rPr>
                    <w:t>合计</w:t>
                  </w:r>
                </w:p>
              </w:tc>
              <w:tc>
                <w:tcPr>
                  <w:tcW w:w="4142" w:type="dxa"/>
                  <w:gridSpan w:val="2"/>
                  <w:noWrap w:val="0"/>
                  <w:tcMar>
                    <w:top w:w="0" w:type="dxa"/>
                    <w:left w:w="57" w:type="dxa"/>
                    <w:bottom w:w="0" w:type="dxa"/>
                    <w:right w:w="57" w:type="dxa"/>
                  </w:tcMar>
                  <w:vAlign w:val="center"/>
                </w:tcPr>
                <w:p>
                  <w:pPr>
                    <w:pStyle w:val="460"/>
                    <w:bidi w:val="0"/>
                    <w:rPr>
                      <w:color w:val="auto"/>
                      <w:highlight w:val="none"/>
                      <w:lang w:eastAsia="en-US"/>
                    </w:rPr>
                  </w:pPr>
                  <w:r>
                    <w:rPr>
                      <w:color w:val="auto"/>
                      <w:highlight w:val="none"/>
                      <w:lang w:eastAsia="en-US"/>
                    </w:rPr>
                    <w:t>/</w:t>
                  </w:r>
                </w:p>
              </w:tc>
              <w:tc>
                <w:tcPr>
                  <w:tcW w:w="958" w:type="dxa"/>
                  <w:noWrap w:val="0"/>
                  <w:tcMar>
                    <w:top w:w="0" w:type="dxa"/>
                    <w:left w:w="57" w:type="dxa"/>
                    <w:bottom w:w="0" w:type="dxa"/>
                    <w:right w:w="57" w:type="dxa"/>
                  </w:tcMar>
                  <w:vAlign w:val="center"/>
                </w:tcPr>
                <w:p>
                  <w:pPr>
                    <w:pStyle w:val="460"/>
                    <w:bidi w:val="0"/>
                    <w:rPr>
                      <w:rFonts w:hint="default" w:eastAsia="宋体"/>
                      <w:color w:val="auto"/>
                      <w:highlight w:val="none"/>
                      <w:lang w:val="en-US" w:eastAsia="zh-CN"/>
                    </w:rPr>
                  </w:pPr>
                  <w:r>
                    <w:rPr>
                      <w:rFonts w:hint="eastAsia"/>
                      <w:color w:val="auto"/>
                      <w:highlight w:val="none"/>
                      <w:lang w:val="en-US" w:eastAsia="zh-CN"/>
                    </w:rPr>
                    <w:t>41</w:t>
                  </w:r>
                </w:p>
              </w:tc>
            </w:tr>
          </w:tbl>
          <w:p>
            <w:pPr>
              <w:pStyle w:val="454"/>
              <w:keepNext w:val="0"/>
              <w:keepLines w:val="0"/>
              <w:pageBreakBefore w:val="0"/>
              <w:widowControl w:val="0"/>
              <w:kinsoku/>
              <w:wordWrap/>
              <w:overflowPunct/>
              <w:topLinePunct w:val="0"/>
              <w:autoSpaceDE/>
              <w:autoSpaceDN/>
              <w:bidi w:val="0"/>
              <w:adjustRightInd/>
              <w:snapToGrid/>
              <w:textAlignment w:val="auto"/>
              <w:rPr>
                <w:rFonts w:hint="eastAsia"/>
                <w:b/>
                <w:bCs/>
                <w:color w:val="auto"/>
                <w:highlight w:val="none"/>
                <w:lang w:val="en-US" w:eastAsia="zh-CN"/>
              </w:rPr>
            </w:pPr>
            <w:r>
              <w:rPr>
                <w:rFonts w:hint="eastAsia"/>
                <w:b/>
                <w:bCs/>
                <w:color w:val="auto"/>
                <w:highlight w:val="none"/>
                <w:lang w:val="en-US" w:eastAsia="zh-CN"/>
              </w:rPr>
              <w:t>2.竣工环保验收</w:t>
            </w:r>
          </w:p>
          <w:p>
            <w:pPr>
              <w:pStyle w:val="454"/>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宋体" w:cs="Times New Roman"/>
                <w:color w:val="auto"/>
                <w:spacing w:val="0"/>
                <w:sz w:val="24"/>
                <w:szCs w:val="21"/>
                <w:lang w:val="en-US" w:eastAsia="zh-CN" w:bidi="ar-SA"/>
              </w:rPr>
            </w:pPr>
            <w:r>
              <w:rPr>
                <w:rFonts w:hint="eastAsia"/>
                <w:color w:val="auto"/>
                <w:highlight w:val="none"/>
              </w:rPr>
              <w:t>《国务院关于修改</w:t>
            </w:r>
            <w:r>
              <w:rPr>
                <w:rFonts w:hint="eastAsia"/>
                <w:color w:val="auto"/>
                <w:highlight w:val="none"/>
                <w:lang w:eastAsia="zh-CN"/>
              </w:rPr>
              <w:t>〈</w:t>
            </w:r>
            <w:r>
              <w:rPr>
                <w:rFonts w:hint="eastAsia"/>
                <w:color w:val="auto"/>
                <w:highlight w:val="none"/>
              </w:rPr>
              <w:t>建设项目环境保护管理条例</w:t>
            </w:r>
            <w:r>
              <w:rPr>
                <w:rFonts w:hint="eastAsia"/>
                <w:color w:val="auto"/>
                <w:highlight w:val="none"/>
                <w:lang w:eastAsia="zh-CN"/>
              </w:rPr>
              <w:t>〉</w:t>
            </w:r>
            <w:r>
              <w:rPr>
                <w:rFonts w:hint="eastAsia"/>
                <w:color w:val="auto"/>
                <w:highlight w:val="none"/>
              </w:rPr>
              <w:t>的决定》（国务院第682号令）第十七条：编制环境影响报告书、环境影响报告表的建设项目竣工后，建设单位应当按照国务院环境保护行政主管部门规定的标准和程序，对配</w:t>
            </w:r>
            <w:r>
              <w:rPr>
                <w:rFonts w:hint="eastAsia" w:ascii="Times New Roman" w:hAnsi="Times New Roman" w:eastAsia="宋体" w:cs="Times New Roman"/>
                <w:color w:val="auto"/>
                <w:spacing w:val="0"/>
                <w:sz w:val="24"/>
                <w:szCs w:val="21"/>
                <w:lang w:val="en-US" w:eastAsia="zh-CN" w:bidi="ar-SA"/>
              </w:rPr>
              <w:t>套建设的环境保护设施进行验收，编制验收报告。建设单位在环境保护设施验收过程中，应当如实查验、监测、记载建设项目环境保护设施的建设和调试情况，不得弄虚作假。除按照国家规定需要保密的情形外，建设单位应当依法向社会公开验收报告。第十九条：编制环境影响报告书、环境影响报告表的建设项目，其配套建设的环境保护设施经验收合格，方可正式投入生产或者使用；未经验收合格或者验收不合格的，不得投入生产或者使用。</w:t>
            </w:r>
          </w:p>
          <w:p>
            <w:pPr>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宋体" w:cs="Times New Roman"/>
                <w:color w:val="auto"/>
                <w:spacing w:val="0"/>
                <w:sz w:val="24"/>
                <w:szCs w:val="21"/>
                <w:lang w:val="en-US" w:eastAsia="zh-CN" w:bidi="ar-SA"/>
              </w:rPr>
            </w:pPr>
            <w:r>
              <w:rPr>
                <w:rFonts w:hint="eastAsia" w:ascii="Times New Roman" w:hAnsi="Times New Roman" w:eastAsia="宋体" w:cs="Times New Roman"/>
                <w:color w:val="auto"/>
                <w:spacing w:val="0"/>
                <w:sz w:val="24"/>
                <w:szCs w:val="21"/>
                <w:lang w:val="en-US" w:eastAsia="zh-CN" w:bidi="ar-SA"/>
              </w:rPr>
              <w:t>根据建设项目环境管理的要求，建设项目在投入生产或者使用前，依据环评文件及其审批意见，在主体工程工况稳定、环境保护设施运行正常的情况下，建设单位可以进行自主环保验收，可自行编制亦可委托第三方机构编制建设项目环境保护设施竣工验收报告，及时向社会公开并向生态环境管理部门备案。</w:t>
            </w:r>
          </w:p>
          <w:p>
            <w:pPr>
              <w:pStyle w:val="454"/>
              <w:keepNext w:val="0"/>
              <w:keepLines w:val="0"/>
              <w:pageBreakBefore w:val="0"/>
              <w:widowControl w:val="0"/>
              <w:kinsoku/>
              <w:wordWrap/>
              <w:overflowPunct/>
              <w:topLinePunct w:val="0"/>
              <w:autoSpaceDE/>
              <w:autoSpaceDN/>
              <w:bidi w:val="0"/>
              <w:adjustRightInd/>
              <w:snapToGrid/>
              <w:textAlignment w:val="auto"/>
              <w:rPr>
                <w:rFonts w:hint="eastAsia"/>
                <w:b/>
                <w:bCs/>
                <w:color w:val="auto"/>
                <w:highlight w:val="none"/>
                <w:lang w:val="en-US" w:eastAsia="zh-CN"/>
              </w:rPr>
            </w:pPr>
            <w:r>
              <w:rPr>
                <w:rFonts w:hint="eastAsia"/>
                <w:b/>
                <w:bCs/>
                <w:color w:val="auto"/>
                <w:highlight w:val="none"/>
                <w:lang w:val="en-US" w:eastAsia="zh-CN"/>
              </w:rPr>
              <w:t>3.排污许可管理</w:t>
            </w:r>
          </w:p>
          <w:p>
            <w:pPr>
              <w:pStyle w:val="454"/>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宋体" w:cs="Times New Roman"/>
                <w:color w:val="auto"/>
                <w:spacing w:val="0"/>
                <w:sz w:val="24"/>
                <w:szCs w:val="21"/>
                <w:lang w:val="en-US" w:eastAsia="zh-CN" w:bidi="ar-SA"/>
              </w:rPr>
            </w:pPr>
            <w:r>
              <w:rPr>
                <w:rFonts w:hint="eastAsia" w:ascii="Times New Roman" w:hAnsi="Times New Roman" w:eastAsia="宋体" w:cs="Times New Roman"/>
                <w:color w:val="auto"/>
                <w:spacing w:val="0"/>
                <w:sz w:val="24"/>
                <w:szCs w:val="21"/>
                <w:lang w:val="en-US" w:eastAsia="zh-CN" w:bidi="ar-SA"/>
              </w:rPr>
              <w:t>根据《关于做好环境影响评价制度与排污许可制度衔接相关工作的通知》（环办环评〔2017〕84号），建设单位应在项目建成投产前，在全国排污许可证管理信息平台申领排污许可证，登记基本信息、污染物排放去向、执行的污染物排放标准以及采取的污染防治措施等信息，不得无证排污或不按证排污。</w:t>
            </w:r>
          </w:p>
          <w:p>
            <w:pPr>
              <w:pStyle w:val="454"/>
              <w:keepNext w:val="0"/>
              <w:keepLines w:val="0"/>
              <w:pageBreakBefore w:val="0"/>
              <w:widowControl w:val="0"/>
              <w:kinsoku/>
              <w:wordWrap/>
              <w:overflowPunct/>
              <w:topLinePunct w:val="0"/>
              <w:autoSpaceDE/>
              <w:autoSpaceDN/>
              <w:bidi w:val="0"/>
              <w:adjustRightInd/>
              <w:snapToGrid/>
              <w:textAlignment w:val="auto"/>
              <w:rPr>
                <w:rFonts w:ascii="Arial" w:hAnsi="Arial" w:eastAsia="宋体"/>
                <w:b/>
                <w:color w:val="auto"/>
                <w:spacing w:val="0"/>
                <w:sz w:val="28"/>
              </w:rPr>
            </w:pPr>
            <w:r>
              <w:rPr>
                <w:rFonts w:hint="eastAsia" w:ascii="Times New Roman" w:hAnsi="Times New Roman" w:eastAsia="宋体" w:cs="Times New Roman"/>
                <w:color w:val="auto"/>
                <w:spacing w:val="0"/>
                <w:sz w:val="24"/>
                <w:szCs w:val="21"/>
                <w:lang w:val="en-US" w:eastAsia="zh-CN" w:bidi="ar-SA"/>
              </w:rPr>
              <w:t>本项目应当在全国排污许可证管理信息平台上填报基本信息、污染物排放去向、执行的污染物排放标准以及采取的污染防治措施等信息；填报的信息发生变动的，应当自发生变动之日起20日内进行变更填报。</w:t>
            </w:r>
          </w:p>
        </w:tc>
      </w:tr>
    </w:tbl>
    <w:p>
      <w:pPr>
        <w:rPr>
          <w:color w:val="auto"/>
          <w:spacing w:val="0"/>
        </w:rPr>
        <w:sectPr>
          <w:pgSz w:w="11906" w:h="16838"/>
          <w:pgMar w:top="1440" w:right="1797" w:bottom="1440" w:left="179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numPr>
          <w:ilvl w:val="0"/>
          <w:numId w:val="6"/>
        </w:numPr>
        <w:adjustRightInd/>
        <w:snapToGrid/>
        <w:ind w:firstLine="0" w:firstLineChars="0"/>
        <w:jc w:val="center"/>
        <w:outlineLvl w:val="0"/>
        <w:rPr>
          <w:rFonts w:ascii="黑体" w:hAnsi="黑体" w:eastAsia="黑体" w:cs="黑体"/>
          <w:b/>
          <w:color w:val="auto"/>
          <w:spacing w:val="0"/>
          <w:sz w:val="30"/>
          <w:szCs w:val="30"/>
        </w:rPr>
      </w:pPr>
      <w:r>
        <w:rPr>
          <w:rFonts w:hint="eastAsia" w:ascii="黑体" w:hAnsi="黑体" w:eastAsia="黑体" w:cs="黑体"/>
          <w:b/>
          <w:color w:val="auto"/>
          <w:spacing w:val="0"/>
          <w:sz w:val="30"/>
          <w:szCs w:val="30"/>
        </w:rPr>
        <w:t>环境保护措施监督检查清单</w:t>
      </w:r>
      <w:bookmarkEnd w:id="2"/>
    </w:p>
    <w:tbl>
      <w:tblPr>
        <w:tblStyle w:val="55"/>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95"/>
        <w:gridCol w:w="1424"/>
        <w:gridCol w:w="1284"/>
        <w:gridCol w:w="2585"/>
        <w:gridCol w:w="253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tcBorders>
              <w:tl2br w:val="single" w:color="auto" w:sz="4" w:space="0"/>
            </w:tcBorders>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内容要素</w:t>
            </w:r>
          </w:p>
        </w:tc>
        <w:tc>
          <w:tcPr>
            <w:tcW w:w="835"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排放口</w:t>
            </w:r>
            <w:r>
              <w:rPr>
                <w:rFonts w:hint="eastAsia" w:ascii="Times New Roman" w:hAnsi="Times New Roman" w:eastAsia="宋体" w:cs="Times New Roman"/>
                <w:color w:val="auto"/>
                <w:spacing w:val="0"/>
                <w:sz w:val="21"/>
                <w:lang w:eastAsia="zh-CN"/>
              </w:rPr>
              <w:t>（</w:t>
            </w:r>
            <w:r>
              <w:rPr>
                <w:rFonts w:ascii="Times New Roman" w:hAnsi="Times New Roman" w:eastAsia="宋体" w:cs="Times New Roman"/>
                <w:color w:val="auto"/>
                <w:spacing w:val="0"/>
                <w:sz w:val="21"/>
              </w:rPr>
              <w:t>编号、名称</w:t>
            </w:r>
            <w:r>
              <w:rPr>
                <w:rFonts w:hint="eastAsia" w:ascii="Times New Roman" w:hAnsi="Times New Roman" w:eastAsia="宋体" w:cs="Times New Roman"/>
                <w:color w:val="auto"/>
                <w:spacing w:val="0"/>
                <w:sz w:val="21"/>
                <w:lang w:eastAsia="zh-CN"/>
              </w:rPr>
              <w:t>）</w:t>
            </w:r>
            <w:r>
              <w:rPr>
                <w:rFonts w:ascii="Times New Roman" w:hAnsi="Times New Roman" w:eastAsia="宋体" w:cs="Times New Roman"/>
                <w:color w:val="auto"/>
                <w:spacing w:val="0"/>
                <w:sz w:val="21"/>
              </w:rPr>
              <w:t>/污染源</w:t>
            </w:r>
          </w:p>
        </w:tc>
        <w:tc>
          <w:tcPr>
            <w:tcW w:w="753"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污染物项目</w:t>
            </w:r>
          </w:p>
        </w:tc>
        <w:tc>
          <w:tcPr>
            <w:tcW w:w="1516"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环境保护措施</w:t>
            </w:r>
          </w:p>
        </w:tc>
        <w:tc>
          <w:tcPr>
            <w:tcW w:w="1487"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执行标准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07" w:type="pct"/>
            <w:vMerge w:val="restar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大气环境</w:t>
            </w:r>
          </w:p>
        </w:tc>
        <w:tc>
          <w:tcPr>
            <w:tcW w:w="835"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lang w:val="en-US" w:eastAsia="zh-CN"/>
              </w:rPr>
              <w:t>DA001（</w:t>
            </w:r>
            <w:r>
              <w:rPr>
                <w:rFonts w:hint="eastAsia" w:ascii="Times New Roman" w:hAnsi="Times New Roman" w:cs="Times New Roman" w:eastAsiaTheme="minorEastAsia"/>
                <w:b w:val="0"/>
                <w:bCs w:val="0"/>
                <w:color w:val="auto"/>
                <w:spacing w:val="0"/>
                <w:sz w:val="21"/>
                <w:szCs w:val="21"/>
                <w:lang w:val="en-US" w:eastAsia="zh-CN"/>
              </w:rPr>
              <w:t>颚破、</w:t>
            </w:r>
            <w:r>
              <w:rPr>
                <w:rFonts w:hint="eastAsia" w:ascii="Times New Roman" w:hAnsi="Times New Roman" w:cs="Times New Roman" w:eastAsiaTheme="minorEastAsia"/>
                <w:bCs w:val="0"/>
                <w:color w:val="auto"/>
                <w:sz w:val="21"/>
                <w:szCs w:val="21"/>
                <w:lang w:eastAsia="zh-CN"/>
              </w:rPr>
              <w:t>渣土筛分、风选、</w:t>
            </w:r>
            <w:r>
              <w:rPr>
                <w:rFonts w:hint="eastAsia" w:ascii="Times New Roman" w:hAnsi="Times New Roman" w:cs="Times New Roman" w:eastAsiaTheme="minorEastAsia"/>
                <w:bCs w:val="0"/>
                <w:color w:val="auto"/>
                <w:sz w:val="21"/>
                <w:szCs w:val="21"/>
                <w:lang w:val="en-US" w:eastAsia="zh-CN"/>
              </w:rPr>
              <w:t>反击破、成品筛分有组织废气</w:t>
            </w:r>
            <w:r>
              <w:rPr>
                <w:rFonts w:hint="eastAsia" w:ascii="Times New Roman" w:hAnsi="Times New Roman" w:eastAsia="宋体" w:cs="Times New Roman"/>
                <w:color w:val="auto"/>
                <w:spacing w:val="0"/>
                <w:sz w:val="21"/>
                <w:lang w:val="en-US" w:eastAsia="zh-CN"/>
              </w:rPr>
              <w:t>）</w:t>
            </w:r>
          </w:p>
        </w:tc>
        <w:tc>
          <w:tcPr>
            <w:tcW w:w="753"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颗粒物</w:t>
            </w:r>
          </w:p>
        </w:tc>
        <w:tc>
          <w:tcPr>
            <w:tcW w:w="1516"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在颚破、渣土筛分、风选、反击破、成品筛分工序适当位置设置喷雾装置。</w:t>
            </w:r>
          </w:p>
          <w:p>
            <w:pPr>
              <w:spacing w:line="240" w:lineRule="auto"/>
              <w:ind w:firstLine="0" w:firstLineChars="0"/>
              <w:jc w:val="center"/>
              <w:rPr>
                <w:rFonts w:hint="eastAsia"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lang w:val="en-US" w:eastAsia="zh-CN"/>
              </w:rPr>
              <w:t>颚破废气、渣土筛分废气、风选废气、反击破废气、成品筛分废气由密闭集气罩收集经布袋除尘器处理后通过20m高排气筒（DA001）排放</w:t>
            </w:r>
          </w:p>
        </w:tc>
        <w:tc>
          <w:tcPr>
            <w:tcW w:w="1487" w:type="pct"/>
            <w:vAlign w:val="center"/>
          </w:tcPr>
          <w:p>
            <w:pPr>
              <w:spacing w:line="240" w:lineRule="auto"/>
              <w:ind w:firstLine="0" w:firstLineChars="0"/>
              <w:jc w:val="center"/>
              <w:rPr>
                <w:rFonts w:hint="eastAsia" w:ascii="Times New Roman" w:hAnsi="Times New Roman" w:eastAsia="宋体" w:cs="Times New Roman"/>
                <w:color w:val="auto"/>
                <w:spacing w:val="0"/>
                <w:sz w:val="21"/>
              </w:rPr>
            </w:pPr>
            <w:r>
              <w:rPr>
                <w:rFonts w:hint="default" w:ascii="Times New Roman" w:hAnsi="Times New Roman" w:eastAsia="宋体" w:cs="Times New Roman"/>
                <w:color w:val="auto"/>
                <w:sz w:val="21"/>
                <w:szCs w:val="21"/>
              </w:rPr>
              <w:t>《大气污染物综合排放标准》（GB16297-1996）表2中相关限值要求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07" w:type="pct"/>
            <w:vMerge w:val="continue"/>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835"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cs="Times New Roman" w:eastAsiaTheme="minorEastAsia"/>
                <w:b w:val="0"/>
                <w:bCs w:val="0"/>
                <w:color w:val="auto"/>
                <w:spacing w:val="0"/>
                <w:sz w:val="21"/>
                <w:szCs w:val="21"/>
                <w:lang w:val="en-US" w:eastAsia="zh-CN"/>
              </w:rPr>
              <w:t>颚破、</w:t>
            </w:r>
            <w:r>
              <w:rPr>
                <w:rFonts w:hint="eastAsia" w:ascii="Times New Roman" w:hAnsi="Times New Roman" w:cs="Times New Roman" w:eastAsiaTheme="minorEastAsia"/>
                <w:bCs w:val="0"/>
                <w:color w:val="auto"/>
                <w:sz w:val="21"/>
                <w:szCs w:val="21"/>
                <w:lang w:eastAsia="zh-CN"/>
              </w:rPr>
              <w:t>渣土筛分、风选、</w:t>
            </w:r>
            <w:r>
              <w:rPr>
                <w:rFonts w:hint="eastAsia" w:ascii="Times New Roman" w:hAnsi="Times New Roman" w:cs="Times New Roman" w:eastAsiaTheme="minorEastAsia"/>
                <w:bCs w:val="0"/>
                <w:color w:val="auto"/>
                <w:sz w:val="21"/>
                <w:szCs w:val="21"/>
                <w:lang w:val="en-US" w:eastAsia="zh-CN"/>
              </w:rPr>
              <w:t>反击破、成品筛分无组织废气</w:t>
            </w:r>
          </w:p>
        </w:tc>
        <w:tc>
          <w:tcPr>
            <w:tcW w:w="753"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颗粒物</w:t>
            </w:r>
          </w:p>
        </w:tc>
        <w:tc>
          <w:tcPr>
            <w:tcW w:w="1516" w:type="pct"/>
            <w:vMerge w:val="restar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车间密闭</w:t>
            </w:r>
          </w:p>
        </w:tc>
        <w:tc>
          <w:tcPr>
            <w:tcW w:w="1487" w:type="pct"/>
            <w:vMerge w:val="restart"/>
            <w:vAlign w:val="center"/>
          </w:tcPr>
          <w:p>
            <w:pPr>
              <w:spacing w:line="240" w:lineRule="auto"/>
              <w:ind w:firstLine="0" w:firstLineChars="0"/>
              <w:jc w:val="center"/>
              <w:rPr>
                <w:rFonts w:hint="eastAsia" w:ascii="Times New Roman" w:hAnsi="Times New Roman" w:eastAsia="宋体" w:cs="Times New Roman"/>
                <w:color w:val="auto"/>
                <w:spacing w:val="0"/>
                <w:sz w:val="21"/>
              </w:rPr>
            </w:pPr>
            <w:r>
              <w:rPr>
                <w:rFonts w:hint="default" w:ascii="Times New Roman" w:hAnsi="Times New Roman" w:eastAsia="宋体" w:cs="Times New Roman"/>
                <w:color w:val="auto"/>
                <w:sz w:val="21"/>
                <w:szCs w:val="21"/>
              </w:rPr>
              <w:t>《大气污染物综合排放标准》（GB16297-1996）表2中相关限值要求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07" w:type="pct"/>
            <w:vMerge w:val="continue"/>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835"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原料卸料、堆存扬尘</w:t>
            </w:r>
          </w:p>
        </w:tc>
        <w:tc>
          <w:tcPr>
            <w:tcW w:w="753"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颗粒物</w:t>
            </w:r>
          </w:p>
        </w:tc>
        <w:tc>
          <w:tcPr>
            <w:tcW w:w="1516" w:type="pct"/>
            <w:vMerge w:val="continue"/>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p>
        </w:tc>
        <w:tc>
          <w:tcPr>
            <w:tcW w:w="1487" w:type="pct"/>
            <w:vMerge w:val="continue"/>
            <w:vAlign w:val="center"/>
          </w:tcPr>
          <w:p>
            <w:pPr>
              <w:spacing w:line="240" w:lineRule="auto"/>
              <w:ind w:firstLine="0" w:firstLineChars="0"/>
              <w:jc w:val="center"/>
              <w:rPr>
                <w:rFonts w:hint="eastAsia" w:ascii="Times New Roman" w:hAnsi="Times New Roman" w:eastAsia="宋体" w:cs="Times New Roman"/>
                <w:color w:val="auto"/>
                <w:spacing w:val="0"/>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07" w:type="pct"/>
            <w:vMerge w:val="continue"/>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835"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投料废气</w:t>
            </w:r>
          </w:p>
        </w:tc>
        <w:tc>
          <w:tcPr>
            <w:tcW w:w="753"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颗粒物</w:t>
            </w:r>
          </w:p>
        </w:tc>
        <w:tc>
          <w:tcPr>
            <w:tcW w:w="1516"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水喷淋抑尘，车间密闭</w:t>
            </w:r>
          </w:p>
        </w:tc>
        <w:tc>
          <w:tcPr>
            <w:tcW w:w="1487" w:type="pct"/>
            <w:vMerge w:val="continue"/>
            <w:vAlign w:val="center"/>
          </w:tcPr>
          <w:p>
            <w:pPr>
              <w:spacing w:line="240" w:lineRule="auto"/>
              <w:ind w:firstLine="0" w:firstLineChars="0"/>
              <w:jc w:val="center"/>
              <w:rPr>
                <w:rFonts w:hint="eastAsia" w:ascii="Times New Roman" w:hAnsi="Times New Roman" w:eastAsia="宋体" w:cs="Times New Roman"/>
                <w:color w:val="auto"/>
                <w:spacing w:val="0"/>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07" w:type="pct"/>
            <w:vMerge w:val="continue"/>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835"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成品出料废气</w:t>
            </w:r>
          </w:p>
        </w:tc>
        <w:tc>
          <w:tcPr>
            <w:tcW w:w="753"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颗粒物</w:t>
            </w:r>
          </w:p>
        </w:tc>
        <w:tc>
          <w:tcPr>
            <w:tcW w:w="1516"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喷淋降尘、车间密闭</w:t>
            </w:r>
          </w:p>
        </w:tc>
        <w:tc>
          <w:tcPr>
            <w:tcW w:w="1487" w:type="pct"/>
            <w:vMerge w:val="continue"/>
            <w:vAlign w:val="center"/>
          </w:tcPr>
          <w:p>
            <w:pPr>
              <w:spacing w:line="240" w:lineRule="auto"/>
              <w:ind w:firstLine="0" w:firstLineChars="0"/>
              <w:jc w:val="center"/>
              <w:rPr>
                <w:rFonts w:hint="eastAsia" w:ascii="Times New Roman" w:hAnsi="Times New Roman" w:eastAsia="宋体" w:cs="Times New Roman"/>
                <w:color w:val="auto"/>
                <w:spacing w:val="0"/>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07" w:type="pct"/>
            <w:vMerge w:val="continue"/>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835"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成品装车废气</w:t>
            </w:r>
          </w:p>
        </w:tc>
        <w:tc>
          <w:tcPr>
            <w:tcW w:w="753"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颗粒物</w:t>
            </w:r>
          </w:p>
        </w:tc>
        <w:tc>
          <w:tcPr>
            <w:tcW w:w="1516"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喷淋降尘、车间密闭</w:t>
            </w:r>
          </w:p>
        </w:tc>
        <w:tc>
          <w:tcPr>
            <w:tcW w:w="1487" w:type="pct"/>
            <w:vMerge w:val="continue"/>
            <w:vAlign w:val="center"/>
          </w:tcPr>
          <w:p>
            <w:pPr>
              <w:spacing w:line="240" w:lineRule="auto"/>
              <w:ind w:firstLine="0" w:firstLineChars="0"/>
              <w:jc w:val="center"/>
              <w:rPr>
                <w:rFonts w:hint="eastAsia" w:ascii="Times New Roman" w:hAnsi="Times New Roman" w:eastAsia="宋体" w:cs="Times New Roman"/>
                <w:color w:val="auto"/>
                <w:spacing w:val="0"/>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07" w:type="pct"/>
            <w:vMerge w:val="continue"/>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835"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车辆运输扬尘</w:t>
            </w:r>
          </w:p>
        </w:tc>
        <w:tc>
          <w:tcPr>
            <w:tcW w:w="753"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颗粒物</w:t>
            </w:r>
          </w:p>
        </w:tc>
        <w:tc>
          <w:tcPr>
            <w:tcW w:w="1516"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项目进出口</w:t>
            </w:r>
            <w:r>
              <w:rPr>
                <w:rFonts w:hint="default" w:ascii="Times New Roman" w:hAnsi="Times New Roman" w:eastAsia="宋体" w:cs="Times New Roman"/>
                <w:color w:val="auto"/>
                <w:spacing w:val="0"/>
                <w:sz w:val="21"/>
                <w:lang w:val="en-US" w:eastAsia="zh-CN"/>
              </w:rPr>
              <w:t>设置洗车平台，</w:t>
            </w:r>
            <w:r>
              <w:rPr>
                <w:rFonts w:hint="eastAsia" w:ascii="Times New Roman" w:hAnsi="Times New Roman" w:eastAsia="宋体" w:cs="Times New Roman"/>
                <w:color w:val="auto"/>
                <w:spacing w:val="0"/>
                <w:sz w:val="21"/>
                <w:lang w:val="en-US" w:eastAsia="zh-CN"/>
              </w:rPr>
              <w:t>路面</w:t>
            </w:r>
            <w:r>
              <w:rPr>
                <w:rFonts w:hint="default" w:ascii="Times New Roman" w:hAnsi="Times New Roman" w:eastAsia="宋体" w:cs="Times New Roman"/>
                <w:color w:val="auto"/>
                <w:spacing w:val="0"/>
                <w:sz w:val="21"/>
                <w:lang w:val="en-US" w:eastAsia="zh-CN"/>
              </w:rPr>
              <w:t>定期</w:t>
            </w:r>
            <w:r>
              <w:rPr>
                <w:rFonts w:hint="eastAsia" w:ascii="Times New Roman" w:hAnsi="Times New Roman" w:eastAsia="宋体" w:cs="Times New Roman"/>
                <w:color w:val="auto"/>
                <w:spacing w:val="0"/>
                <w:sz w:val="21"/>
                <w:lang w:val="en-US" w:eastAsia="zh-CN"/>
              </w:rPr>
              <w:t>清扫</w:t>
            </w:r>
            <w:r>
              <w:rPr>
                <w:rFonts w:hint="default" w:ascii="Times New Roman" w:hAnsi="Times New Roman" w:eastAsia="宋体" w:cs="Times New Roman"/>
                <w:color w:val="auto"/>
                <w:spacing w:val="0"/>
                <w:sz w:val="21"/>
                <w:lang w:val="en-US" w:eastAsia="zh-CN"/>
              </w:rPr>
              <w:t>洒水</w:t>
            </w:r>
          </w:p>
        </w:tc>
        <w:tc>
          <w:tcPr>
            <w:tcW w:w="1487" w:type="pct"/>
            <w:vMerge w:val="continue"/>
            <w:vAlign w:val="center"/>
          </w:tcPr>
          <w:p>
            <w:pPr>
              <w:spacing w:line="240" w:lineRule="auto"/>
              <w:ind w:firstLine="0" w:firstLineChars="0"/>
              <w:jc w:val="center"/>
              <w:rPr>
                <w:rFonts w:hint="eastAsia" w:ascii="Times New Roman" w:hAnsi="Times New Roman" w:eastAsia="宋体" w:cs="Times New Roman"/>
                <w:color w:val="auto"/>
                <w:spacing w:val="0"/>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07" w:type="pct"/>
            <w:vMerge w:val="continue"/>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835"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default" w:ascii="Times New Roman" w:hAnsi="Times New Roman" w:eastAsia="宋体" w:cs="Times New Roman"/>
                <w:color w:val="auto"/>
                <w:sz w:val="21"/>
                <w:szCs w:val="21"/>
                <w:lang w:val="en-US" w:eastAsia="zh-CN"/>
              </w:rPr>
              <w:t>皮带转载无组织粉尘</w:t>
            </w:r>
          </w:p>
        </w:tc>
        <w:tc>
          <w:tcPr>
            <w:tcW w:w="753" w:type="pct"/>
            <w:shd w:val="clear" w:color="auto" w:fill="auto"/>
            <w:vAlign w:val="center"/>
          </w:tcPr>
          <w:p>
            <w:pPr>
              <w:widowControl w:val="0"/>
              <w:adjustRightInd w:val="0"/>
              <w:snapToGrid w:val="0"/>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szCs w:val="21"/>
                <w:lang w:val="en-US" w:eastAsia="zh-CN" w:bidi="ar-SA"/>
              </w:rPr>
              <w:t>颗粒物</w:t>
            </w:r>
          </w:p>
        </w:tc>
        <w:tc>
          <w:tcPr>
            <w:tcW w:w="1516"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喷淋降尘</w:t>
            </w:r>
          </w:p>
        </w:tc>
        <w:tc>
          <w:tcPr>
            <w:tcW w:w="1487" w:type="pct"/>
            <w:vMerge w:val="continue"/>
            <w:vAlign w:val="center"/>
          </w:tcPr>
          <w:p>
            <w:pPr>
              <w:spacing w:line="240" w:lineRule="auto"/>
              <w:ind w:firstLine="0" w:firstLineChars="0"/>
              <w:jc w:val="center"/>
              <w:rPr>
                <w:rFonts w:hint="eastAsia" w:ascii="Times New Roman" w:hAnsi="Times New Roman" w:eastAsia="宋体" w:cs="Times New Roman"/>
                <w:color w:val="auto"/>
                <w:spacing w:val="0"/>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07" w:type="pct"/>
            <w:vMerge w:val="continue"/>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835"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rPr>
            </w:pPr>
            <w:r>
              <w:rPr>
                <w:rFonts w:hint="eastAsia" w:ascii="宋体" w:hAnsi="宋体" w:eastAsia="宋体" w:cs="宋体"/>
                <w:color w:val="auto"/>
                <w:sz w:val="21"/>
                <w:szCs w:val="21"/>
                <w:lang w:eastAsia="zh-CN"/>
              </w:rPr>
              <w:t>危废贮存点</w:t>
            </w:r>
            <w:r>
              <w:rPr>
                <w:rFonts w:ascii="宋体" w:hAnsi="宋体" w:eastAsia="宋体" w:cs="宋体"/>
                <w:color w:val="auto"/>
                <w:sz w:val="21"/>
                <w:szCs w:val="21"/>
              </w:rPr>
              <w:t>无组织</w:t>
            </w:r>
          </w:p>
        </w:tc>
        <w:tc>
          <w:tcPr>
            <w:tcW w:w="753" w:type="pct"/>
            <w:shd w:val="clear" w:color="auto" w:fill="auto"/>
            <w:vAlign w:val="center"/>
          </w:tcPr>
          <w:p>
            <w:pPr>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非甲烷总烃</w:t>
            </w:r>
          </w:p>
        </w:tc>
        <w:tc>
          <w:tcPr>
            <w:tcW w:w="1516"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rPr>
            </w:pPr>
            <w:r>
              <w:rPr>
                <w:rFonts w:ascii="宋体" w:hAnsi="宋体" w:eastAsia="宋体" w:cs="宋体"/>
                <w:color w:val="auto"/>
                <w:sz w:val="21"/>
                <w:szCs w:val="21"/>
              </w:rPr>
              <w:t>废机油密闭金属桶贮存，桶盖常态密封；</w:t>
            </w:r>
            <w:r>
              <w:rPr>
                <w:rFonts w:hint="eastAsia" w:ascii="宋体" w:hAnsi="宋体" w:eastAsia="宋体" w:cs="宋体"/>
                <w:color w:val="auto"/>
                <w:sz w:val="21"/>
                <w:szCs w:val="21"/>
                <w:lang w:eastAsia="zh-CN"/>
              </w:rPr>
              <w:t>危废贮存点</w:t>
            </w:r>
            <w:r>
              <w:rPr>
                <w:rFonts w:ascii="宋体" w:hAnsi="宋体" w:eastAsia="宋体" w:cs="宋体"/>
                <w:color w:val="auto"/>
                <w:sz w:val="21"/>
                <w:szCs w:val="21"/>
              </w:rPr>
              <w:t>设置强制通风；减少开盖作业频次，做好防渗防泄漏</w:t>
            </w:r>
          </w:p>
        </w:tc>
        <w:tc>
          <w:tcPr>
            <w:tcW w:w="1487" w:type="pct"/>
            <w:vMerge w:val="continue"/>
            <w:vAlign w:val="center"/>
          </w:tcPr>
          <w:p>
            <w:pPr>
              <w:spacing w:line="240" w:lineRule="auto"/>
              <w:ind w:firstLine="0" w:firstLineChars="0"/>
              <w:jc w:val="center"/>
              <w:rPr>
                <w:rFonts w:hint="eastAsia" w:ascii="Times New Roman" w:hAnsi="Times New Roman" w:eastAsia="宋体" w:cs="Times New Roman"/>
                <w:color w:val="auto"/>
                <w:spacing w:val="0"/>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地表水环境</w:t>
            </w:r>
          </w:p>
        </w:tc>
        <w:tc>
          <w:tcPr>
            <w:tcW w:w="835" w:type="pct"/>
            <w:vAlign w:val="center"/>
          </w:tcPr>
          <w:p>
            <w:pPr>
              <w:pStyle w:val="460"/>
              <w:bidi w:val="0"/>
              <w:rPr>
                <w:rFonts w:hint="eastAsia" w:ascii="Times New Roman" w:hAnsi="Times New Roman" w:eastAsia="宋体" w:cs="Times New Roman"/>
                <w:color w:val="auto"/>
                <w:spacing w:val="0"/>
                <w:sz w:val="21"/>
                <w:lang w:val="en-US" w:eastAsia="zh-CN"/>
              </w:rPr>
            </w:pPr>
            <w:r>
              <w:rPr>
                <w:rFonts w:hint="eastAsia"/>
                <w:color w:val="auto"/>
                <w:highlight w:val="none"/>
                <w:lang w:val="en-US" w:eastAsia="zh-CN"/>
              </w:rPr>
              <w:t>总排口</w:t>
            </w:r>
          </w:p>
        </w:tc>
        <w:tc>
          <w:tcPr>
            <w:tcW w:w="753" w:type="pct"/>
            <w:vAlign w:val="center"/>
          </w:tcPr>
          <w:p>
            <w:pPr>
              <w:pStyle w:val="460"/>
              <w:bidi w:val="0"/>
              <w:rPr>
                <w:rFonts w:hint="eastAsia" w:ascii="Times New Roman" w:hAnsi="Times New Roman" w:eastAsia="宋体" w:cs="Times New Roman"/>
                <w:color w:val="auto"/>
                <w:spacing w:val="0"/>
                <w:sz w:val="21"/>
                <w:lang w:val="en-US" w:eastAsia="zh-CN"/>
              </w:rPr>
            </w:pPr>
            <w:r>
              <w:rPr>
                <w:rFonts w:hint="eastAsia"/>
                <w:color w:val="auto"/>
                <w:highlight w:val="none"/>
                <w:lang w:val="en-US" w:eastAsia="zh-CN"/>
              </w:rPr>
              <w:t>COD、BOD</w:t>
            </w:r>
            <w:r>
              <w:rPr>
                <w:rFonts w:hint="eastAsia"/>
                <w:color w:val="auto"/>
                <w:highlight w:val="none"/>
                <w:vertAlign w:val="subscript"/>
                <w:lang w:val="en-US" w:eastAsia="zh-CN"/>
              </w:rPr>
              <w:t>5</w:t>
            </w:r>
            <w:r>
              <w:rPr>
                <w:rFonts w:hint="eastAsia"/>
                <w:color w:val="auto"/>
                <w:highlight w:val="none"/>
                <w:lang w:val="en-US" w:eastAsia="zh-CN"/>
              </w:rPr>
              <w:t>、SS、氨氮</w:t>
            </w:r>
          </w:p>
        </w:tc>
        <w:tc>
          <w:tcPr>
            <w:tcW w:w="1516" w:type="pct"/>
            <w:vAlign w:val="center"/>
          </w:tcPr>
          <w:p>
            <w:pPr>
              <w:pStyle w:val="460"/>
              <w:bidi w:val="0"/>
              <w:jc w:val="center"/>
              <w:rPr>
                <w:rFonts w:hint="eastAsia" w:ascii="Times New Roman" w:hAnsi="Times New Roman" w:eastAsia="宋体" w:cs="Times New Roman"/>
                <w:color w:val="auto"/>
                <w:spacing w:val="0"/>
                <w:sz w:val="21"/>
                <w:lang w:val="en-US" w:eastAsia="zh-CN"/>
              </w:rPr>
            </w:pPr>
            <w:r>
              <w:rPr>
                <w:rFonts w:hint="default" w:ascii="Times New Roman" w:hAnsi="Times New Roman" w:eastAsia="宋体" w:cs="Times New Roman"/>
                <w:b w:val="0"/>
                <w:bCs w:val="0"/>
                <w:color w:val="auto"/>
                <w:spacing w:val="0"/>
                <w:sz w:val="21"/>
                <w:szCs w:val="21"/>
                <w:lang w:val="en-US" w:eastAsia="zh-CN"/>
              </w:rPr>
              <w:t>车辆冲洗废水经沉淀池处理后回用于运输车辆冲洗，不外排</w:t>
            </w:r>
            <w:r>
              <w:rPr>
                <w:rFonts w:hint="default" w:ascii="Times New Roman" w:hAnsi="Times New Roman" w:eastAsia="宋体" w:cs="Times New Roman"/>
                <w:b w:val="0"/>
                <w:bCs w:val="0"/>
                <w:color w:val="auto"/>
                <w:spacing w:val="0"/>
                <w:sz w:val="21"/>
                <w:szCs w:val="21"/>
              </w:rPr>
              <w:t>；</w:t>
            </w:r>
            <w:r>
              <w:rPr>
                <w:rFonts w:hint="default" w:ascii="Times New Roman" w:hAnsi="Times New Roman" w:eastAsia="宋体" w:cs="Times New Roman"/>
                <w:b w:val="0"/>
                <w:bCs w:val="0"/>
                <w:color w:val="auto"/>
                <w:spacing w:val="0"/>
                <w:sz w:val="21"/>
                <w:szCs w:val="21"/>
                <w:lang w:val="en-US" w:eastAsia="zh-CN"/>
              </w:rPr>
              <w:t>生活污水经防渗化粪池处理后，</w:t>
            </w:r>
            <w:r>
              <w:rPr>
                <w:rFonts w:hint="default" w:ascii="Times New Roman" w:hAnsi="Times New Roman" w:eastAsia="宋体" w:cs="Times New Roman"/>
                <w:b w:val="0"/>
                <w:bCs w:val="0"/>
                <w:color w:val="auto"/>
                <w:spacing w:val="0"/>
                <w:sz w:val="21"/>
                <w:szCs w:val="21"/>
              </w:rPr>
              <w:t>委托拉运至</w:t>
            </w:r>
            <w:r>
              <w:rPr>
                <w:rFonts w:hint="default" w:ascii="Times New Roman" w:hAnsi="Times New Roman" w:eastAsia="宋体" w:cs="Times New Roman"/>
                <w:b w:val="0"/>
                <w:bCs w:val="0"/>
                <w:color w:val="auto"/>
                <w:spacing w:val="0"/>
                <w:sz w:val="21"/>
                <w:szCs w:val="21"/>
                <w:lang w:val="en-US" w:eastAsia="zh-CN"/>
              </w:rPr>
              <w:t>博湖</w:t>
            </w:r>
            <w:r>
              <w:rPr>
                <w:rFonts w:hint="default" w:ascii="Times New Roman" w:hAnsi="Times New Roman" w:eastAsia="宋体" w:cs="Times New Roman"/>
                <w:b w:val="0"/>
                <w:bCs w:val="0"/>
                <w:color w:val="auto"/>
                <w:spacing w:val="0"/>
                <w:sz w:val="21"/>
                <w:szCs w:val="21"/>
              </w:rPr>
              <w:t>县污水处理厂</w:t>
            </w:r>
            <w:r>
              <w:rPr>
                <w:rFonts w:hint="default" w:ascii="Times New Roman" w:hAnsi="Times New Roman" w:eastAsia="宋体" w:cs="Times New Roman"/>
                <w:b w:val="0"/>
                <w:bCs w:val="0"/>
                <w:color w:val="auto"/>
                <w:spacing w:val="0"/>
                <w:sz w:val="21"/>
                <w:szCs w:val="21"/>
                <w:lang w:val="en-US" w:eastAsia="zh-CN"/>
              </w:rPr>
              <w:t>进一步处理。</w:t>
            </w:r>
          </w:p>
        </w:tc>
        <w:tc>
          <w:tcPr>
            <w:tcW w:w="1487" w:type="pct"/>
            <w:vAlign w:val="center"/>
          </w:tcPr>
          <w:p>
            <w:pPr>
              <w:pStyle w:val="460"/>
              <w:bidi w:val="0"/>
              <w:jc w:val="center"/>
              <w:rPr>
                <w:rFonts w:hint="default"/>
                <w:color w:val="auto"/>
                <w:highlight w:val="none"/>
                <w:lang w:val="en-US" w:eastAsia="zh-CN"/>
              </w:rPr>
            </w:pPr>
            <w:r>
              <w:rPr>
                <w:rFonts w:hint="default"/>
                <w:color w:val="auto"/>
                <w:highlight w:val="none"/>
                <w:lang w:val="en-US" w:eastAsia="zh-CN"/>
              </w:rPr>
              <w:t>《污水综合排放标准》</w:t>
            </w:r>
          </w:p>
          <w:p>
            <w:pPr>
              <w:pStyle w:val="460"/>
              <w:bidi w:val="0"/>
              <w:jc w:val="center"/>
              <w:rPr>
                <w:rFonts w:hint="default" w:ascii="Times New Roman" w:hAnsi="Times New Roman" w:eastAsia="宋体" w:cs="Times New Roman"/>
                <w:color w:val="auto"/>
                <w:highlight w:val="none"/>
                <w:lang w:val="en-US" w:eastAsia="zh-CN"/>
              </w:rPr>
            </w:pPr>
            <w:r>
              <w:rPr>
                <w:rFonts w:hint="default"/>
                <w:color w:val="auto"/>
                <w:highlight w:val="none"/>
                <w:lang w:val="en-US" w:eastAsia="zh-CN"/>
              </w:rPr>
              <w:t>（</w:t>
            </w:r>
            <w:r>
              <w:rPr>
                <w:rFonts w:hint="default" w:ascii="Times New Roman" w:hAnsi="Times New Roman" w:eastAsia="宋体" w:cs="Times New Roman"/>
                <w:color w:val="auto"/>
                <w:highlight w:val="none"/>
                <w:lang w:val="en-US" w:eastAsia="zh-CN"/>
              </w:rPr>
              <w:t>GB8978-1996）中三</w:t>
            </w:r>
          </w:p>
          <w:p>
            <w:pPr>
              <w:pStyle w:val="460"/>
              <w:bidi w:val="0"/>
              <w:jc w:val="center"/>
              <w:rPr>
                <w:rFonts w:hint="eastAsia" w:ascii="Times New Roman" w:hAnsi="Times New Roman" w:eastAsia="宋体" w:cs="Times New Roman"/>
                <w:color w:val="auto"/>
                <w:spacing w:val="0"/>
                <w:sz w:val="21"/>
                <w:lang w:val="en-US" w:eastAsia="zh-CN"/>
              </w:rPr>
            </w:pPr>
            <w:r>
              <w:rPr>
                <w:rFonts w:hint="default" w:ascii="Times New Roman" w:hAnsi="Times New Roman" w:eastAsia="宋体" w:cs="Times New Roman"/>
                <w:color w:val="auto"/>
                <w:highlight w:val="none"/>
                <w:lang w:val="en-US" w:eastAsia="zh-CN"/>
              </w:rPr>
              <w:t>级排放标准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声环境</w:t>
            </w:r>
          </w:p>
        </w:tc>
        <w:tc>
          <w:tcPr>
            <w:tcW w:w="835"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设备噪声</w:t>
            </w:r>
          </w:p>
        </w:tc>
        <w:tc>
          <w:tcPr>
            <w:tcW w:w="753"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等效连续A声级</w:t>
            </w:r>
          </w:p>
        </w:tc>
        <w:tc>
          <w:tcPr>
            <w:tcW w:w="1516"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采用低噪声设备、厂房隔声、基础减振等降噪措施</w:t>
            </w:r>
          </w:p>
        </w:tc>
        <w:tc>
          <w:tcPr>
            <w:tcW w:w="1487" w:type="pct"/>
            <w:vAlign w:val="center"/>
          </w:tcPr>
          <w:p>
            <w:pPr>
              <w:pStyle w:val="322"/>
              <w:spacing w:line="240" w:lineRule="auto"/>
              <w:ind w:firstLine="0" w:firstLineChars="0"/>
              <w:jc w:val="both"/>
              <w:rPr>
                <w:rFonts w:ascii="Times New Roman" w:hAnsi="Times New Roman" w:eastAsia="宋体" w:cs="Times New Roman"/>
                <w:color w:val="auto"/>
                <w:spacing w:val="0"/>
                <w:sz w:val="21"/>
              </w:rPr>
            </w:pPr>
            <w:r>
              <w:rPr>
                <w:rFonts w:hint="eastAsia" w:ascii="Times New Roman" w:hAnsi="Times New Roman" w:cs="Times New Roman" w:eastAsiaTheme="minorEastAsia"/>
                <w:color w:val="auto"/>
                <w:spacing w:val="0"/>
                <w:sz w:val="21"/>
                <w:szCs w:val="21"/>
              </w:rPr>
              <w:t>《工业企业厂界环境噪声排放标准》（GB12348-2008）</w:t>
            </w:r>
            <w:r>
              <w:rPr>
                <w:rFonts w:hint="eastAsia" w:ascii="Times New Roman" w:hAnsi="Times New Roman" w:cs="Times New Roman" w:eastAsiaTheme="minorEastAsia"/>
                <w:color w:val="auto"/>
                <w:spacing w:val="0"/>
                <w:sz w:val="21"/>
                <w:szCs w:val="21"/>
                <w:lang w:val="en-US" w:eastAsia="zh-CN"/>
              </w:rPr>
              <w:t>2</w:t>
            </w:r>
            <w:r>
              <w:rPr>
                <w:rFonts w:hint="eastAsia" w:ascii="Times New Roman" w:hAnsi="Times New Roman" w:cs="Times New Roman" w:eastAsiaTheme="minorEastAsia"/>
                <w:color w:val="auto"/>
                <w:spacing w:val="0"/>
                <w:sz w:val="21"/>
                <w:szCs w:val="21"/>
              </w:rPr>
              <w:t>类标准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电磁辐射</w:t>
            </w:r>
          </w:p>
        </w:tc>
        <w:tc>
          <w:tcPr>
            <w:tcW w:w="4592" w:type="pct"/>
            <w:gridSpan w:val="4"/>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vMerge w:val="restar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固体废物</w:t>
            </w:r>
          </w:p>
        </w:tc>
        <w:tc>
          <w:tcPr>
            <w:tcW w:w="835" w:type="pct"/>
            <w:vMerge w:val="restart"/>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ascii="Times New Roman" w:hAnsi="Times New Roman" w:eastAsia="宋体" w:cs="Times New Roman"/>
                <w:color w:val="auto"/>
                <w:spacing w:val="0"/>
                <w:sz w:val="21"/>
              </w:rPr>
              <w:t>危险废物</w:t>
            </w:r>
          </w:p>
        </w:tc>
        <w:tc>
          <w:tcPr>
            <w:tcW w:w="753"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rPr>
              <w:t>废油桶</w:t>
            </w:r>
          </w:p>
        </w:tc>
        <w:tc>
          <w:tcPr>
            <w:tcW w:w="1516" w:type="pct"/>
            <w:vMerge w:val="restart"/>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暂存</w:t>
            </w:r>
            <w:r>
              <w:rPr>
                <w:rFonts w:hint="eastAsia" w:ascii="Times New Roman" w:hAnsi="Times New Roman" w:eastAsia="宋体" w:cs="Times New Roman"/>
                <w:color w:val="auto"/>
                <w:spacing w:val="0"/>
                <w:sz w:val="21"/>
                <w:lang w:eastAsia="zh-CN"/>
              </w:rPr>
              <w:t>危废贮存点</w:t>
            </w:r>
            <w:r>
              <w:rPr>
                <w:rFonts w:hint="eastAsia" w:ascii="Times New Roman" w:hAnsi="Times New Roman" w:eastAsia="宋体" w:cs="Times New Roman"/>
                <w:color w:val="auto"/>
                <w:spacing w:val="0"/>
                <w:sz w:val="21"/>
              </w:rPr>
              <w:t>，定期交由有资质单位处置</w:t>
            </w:r>
          </w:p>
        </w:tc>
        <w:tc>
          <w:tcPr>
            <w:tcW w:w="1487" w:type="pct"/>
            <w:vMerge w:val="restart"/>
            <w:vAlign w:val="center"/>
          </w:tcPr>
          <w:p>
            <w:pPr>
              <w:spacing w:line="240" w:lineRule="auto"/>
              <w:ind w:firstLine="0" w:firstLineChars="0"/>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《危险废物贮存污染控制标准》（</w:t>
            </w:r>
            <w:r>
              <w:rPr>
                <w:rFonts w:hint="eastAsia" w:ascii="Times New Roman" w:hAnsi="Times New Roman" w:eastAsia="宋体" w:cs="Times New Roman"/>
                <w:color w:val="auto"/>
                <w:spacing w:val="0"/>
                <w:sz w:val="21"/>
              </w:rPr>
              <w:t>GB18597-2023</w:t>
            </w:r>
            <w:r>
              <w:rPr>
                <w:rFonts w:ascii="Times New Roman" w:hAnsi="Times New Roman" w:eastAsia="宋体" w:cs="Times New Roman"/>
                <w:color w:val="auto"/>
                <w:spacing w:val="0"/>
                <w:sz w:val="21"/>
              </w:rPr>
              <w:t>）要求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vMerge w:val="continue"/>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835" w:type="pct"/>
            <w:vMerge w:val="continue"/>
            <w:vAlign w:val="center"/>
          </w:tcPr>
          <w:p>
            <w:pPr>
              <w:spacing w:line="240" w:lineRule="auto"/>
              <w:ind w:firstLine="0" w:firstLineChars="0"/>
              <w:jc w:val="center"/>
              <w:rPr>
                <w:rFonts w:hint="eastAsia" w:ascii="Times New Roman" w:hAnsi="Times New Roman" w:eastAsia="宋体" w:cs="Times New Roman"/>
                <w:color w:val="auto"/>
                <w:spacing w:val="0"/>
                <w:sz w:val="21"/>
              </w:rPr>
            </w:pPr>
          </w:p>
        </w:tc>
        <w:tc>
          <w:tcPr>
            <w:tcW w:w="753"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rPr>
              <w:t>废</w:t>
            </w:r>
            <w:r>
              <w:rPr>
                <w:rFonts w:hint="eastAsia" w:ascii="Times New Roman" w:hAnsi="Times New Roman" w:eastAsia="宋体" w:cs="Times New Roman"/>
                <w:color w:val="auto"/>
                <w:spacing w:val="0"/>
                <w:sz w:val="21"/>
                <w:lang w:val="en-US" w:eastAsia="zh-CN"/>
              </w:rPr>
              <w:t>机油</w:t>
            </w:r>
          </w:p>
        </w:tc>
        <w:tc>
          <w:tcPr>
            <w:tcW w:w="1516" w:type="pct"/>
            <w:vMerge w:val="continue"/>
            <w:vAlign w:val="center"/>
          </w:tcPr>
          <w:p>
            <w:pPr>
              <w:spacing w:line="240" w:lineRule="auto"/>
              <w:ind w:firstLine="0" w:firstLineChars="0"/>
              <w:jc w:val="center"/>
              <w:rPr>
                <w:rFonts w:hint="eastAsia" w:ascii="Times New Roman" w:hAnsi="Times New Roman" w:eastAsia="宋体" w:cs="Times New Roman"/>
                <w:color w:val="auto"/>
                <w:spacing w:val="0"/>
                <w:sz w:val="21"/>
              </w:rPr>
            </w:pPr>
          </w:p>
        </w:tc>
        <w:tc>
          <w:tcPr>
            <w:tcW w:w="1487" w:type="pct"/>
            <w:vMerge w:val="continue"/>
            <w:vAlign w:val="center"/>
          </w:tcPr>
          <w:p>
            <w:pPr>
              <w:spacing w:line="240" w:lineRule="auto"/>
              <w:ind w:firstLine="0" w:firstLineChars="0"/>
              <w:rPr>
                <w:rFonts w:ascii="Times New Roman" w:hAnsi="Times New Roman" w:eastAsia="宋体" w:cs="Times New Roman"/>
                <w:color w:val="auto"/>
                <w:spacing w:val="0"/>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vMerge w:val="continue"/>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835" w:type="pct"/>
            <w:vMerge w:val="restar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一般工业固体废物</w:t>
            </w:r>
          </w:p>
        </w:tc>
        <w:tc>
          <w:tcPr>
            <w:tcW w:w="753"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除尘系统收集的粉尘</w:t>
            </w:r>
          </w:p>
        </w:tc>
        <w:tc>
          <w:tcPr>
            <w:tcW w:w="1516" w:type="pct"/>
            <w:shd w:val="clear" w:color="auto" w:fill="auto"/>
            <w:vAlign w:val="center"/>
          </w:tcPr>
          <w:p>
            <w:pPr>
              <w:pStyle w:val="2"/>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经收集后混入产品中定期</w:t>
            </w:r>
            <w:r>
              <w:rPr>
                <w:rFonts w:hint="default" w:ascii="Times New Roman" w:hAnsi="Times New Roman" w:eastAsia="宋体" w:cs="Times New Roman"/>
                <w:color w:val="auto"/>
                <w:spacing w:val="0"/>
                <w:sz w:val="21"/>
                <w:lang w:val="en-US" w:eastAsia="zh-CN"/>
              </w:rPr>
              <w:t>外售</w:t>
            </w:r>
            <w:r>
              <w:rPr>
                <w:rFonts w:hint="eastAsia" w:ascii="Times New Roman" w:hAnsi="Times New Roman" w:eastAsia="宋体" w:cs="Times New Roman"/>
                <w:color w:val="auto"/>
                <w:spacing w:val="0"/>
                <w:sz w:val="21"/>
                <w:lang w:val="en-US" w:eastAsia="zh-CN"/>
              </w:rPr>
              <w:t>综合利用</w:t>
            </w:r>
          </w:p>
        </w:tc>
        <w:tc>
          <w:tcPr>
            <w:tcW w:w="1487" w:type="pct"/>
            <w:vMerge w:val="restart"/>
            <w:vAlign w:val="center"/>
          </w:tcPr>
          <w:p>
            <w:pPr>
              <w:spacing w:line="240" w:lineRule="auto"/>
              <w:ind w:firstLine="0" w:firstLineChars="0"/>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《一般工业固体废物贮存和填埋污染控制标准》（GB18599-2020）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vMerge w:val="continue"/>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835" w:type="pct"/>
            <w:vMerge w:val="continue"/>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p>
        </w:tc>
        <w:tc>
          <w:tcPr>
            <w:tcW w:w="753"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废布袋</w:t>
            </w:r>
          </w:p>
        </w:tc>
        <w:tc>
          <w:tcPr>
            <w:tcW w:w="1516" w:type="pct"/>
            <w:shd w:val="clear" w:color="auto" w:fill="auto"/>
            <w:vAlign w:val="center"/>
          </w:tcPr>
          <w:p>
            <w:pPr>
              <w:pStyle w:val="2"/>
              <w:spacing w:line="240" w:lineRule="auto"/>
              <w:ind w:firstLine="0" w:firstLineChars="0"/>
              <w:jc w:val="center"/>
              <w:rPr>
                <w:rFonts w:hint="eastAsia" w:ascii="Times New Roman" w:hAnsi="Times New Roman" w:eastAsia="宋体" w:cs="Times New Roman"/>
                <w:color w:val="auto"/>
                <w:spacing w:val="0"/>
                <w:kern w:val="2"/>
                <w:sz w:val="21"/>
                <w:szCs w:val="21"/>
                <w:lang w:val="en-US" w:eastAsia="zh-CN" w:bidi="ar-SA"/>
              </w:rPr>
            </w:pPr>
            <w:r>
              <w:rPr>
                <w:rFonts w:hint="eastAsia" w:ascii="Times New Roman" w:hAnsi="Times New Roman" w:eastAsia="宋体" w:cs="Times New Roman"/>
                <w:color w:val="auto"/>
                <w:spacing w:val="0"/>
                <w:kern w:val="2"/>
                <w:sz w:val="21"/>
                <w:lang w:val="en-US" w:eastAsia="zh-CN"/>
              </w:rPr>
              <w:t>收集后交由厂家进行回收</w:t>
            </w:r>
          </w:p>
        </w:tc>
        <w:tc>
          <w:tcPr>
            <w:tcW w:w="1487" w:type="pct"/>
            <w:vMerge w:val="continue"/>
            <w:vAlign w:val="center"/>
          </w:tcPr>
          <w:p>
            <w:pPr>
              <w:spacing w:line="240" w:lineRule="auto"/>
              <w:ind w:firstLine="0" w:firstLineChars="0"/>
              <w:rPr>
                <w:rFonts w:ascii="Times New Roman" w:hAnsi="Times New Roman" w:eastAsia="宋体" w:cs="Times New Roman"/>
                <w:color w:val="auto"/>
                <w:spacing w:val="0"/>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vMerge w:val="continue"/>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835" w:type="pct"/>
            <w:vMerge w:val="continue"/>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753"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废金属</w:t>
            </w:r>
          </w:p>
        </w:tc>
        <w:tc>
          <w:tcPr>
            <w:tcW w:w="1516" w:type="pct"/>
            <w:shd w:val="clear" w:color="auto" w:fill="auto"/>
            <w:vAlign w:val="center"/>
          </w:tcPr>
          <w:p>
            <w:pPr>
              <w:pStyle w:val="2"/>
              <w:spacing w:line="240" w:lineRule="auto"/>
              <w:ind w:firstLine="0" w:firstLineChars="0"/>
              <w:jc w:val="center"/>
              <w:rPr>
                <w:rFonts w:hint="eastAsia" w:ascii="Times New Roman" w:hAnsi="Times New Roman" w:eastAsia="宋体" w:cs="Times New Roman"/>
                <w:color w:val="auto"/>
                <w:spacing w:val="0"/>
                <w:kern w:val="2"/>
                <w:sz w:val="21"/>
                <w:szCs w:val="21"/>
                <w:lang w:val="en-US" w:eastAsia="zh-CN" w:bidi="ar-SA"/>
              </w:rPr>
            </w:pPr>
            <w:r>
              <w:rPr>
                <w:rFonts w:hint="eastAsia" w:ascii="Times New Roman" w:hAnsi="Times New Roman" w:eastAsia="宋体" w:cs="Times New Roman"/>
                <w:color w:val="auto"/>
                <w:spacing w:val="0"/>
                <w:kern w:val="2"/>
                <w:sz w:val="21"/>
                <w:lang w:val="en-US" w:eastAsia="zh-CN"/>
              </w:rPr>
              <w:t>收集后定期外售于金属回收厂</w:t>
            </w:r>
          </w:p>
        </w:tc>
        <w:tc>
          <w:tcPr>
            <w:tcW w:w="1487" w:type="pct"/>
            <w:vMerge w:val="continue"/>
            <w:shd w:val="clear" w:color="auto" w:fill="auto"/>
            <w:vAlign w:val="center"/>
          </w:tcPr>
          <w:p>
            <w:pPr>
              <w:spacing w:line="240" w:lineRule="auto"/>
              <w:ind w:firstLine="0" w:firstLineChars="0"/>
              <w:rPr>
                <w:rFonts w:ascii="Times New Roman" w:hAnsi="Times New Roman" w:eastAsia="宋体" w:cs="Times New Roman"/>
                <w:color w:val="auto"/>
                <w:spacing w:val="0"/>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vMerge w:val="continue"/>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835" w:type="pct"/>
            <w:vMerge w:val="continue"/>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rPr>
            </w:pPr>
          </w:p>
        </w:tc>
        <w:tc>
          <w:tcPr>
            <w:tcW w:w="753"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轻物质</w:t>
            </w:r>
          </w:p>
        </w:tc>
        <w:tc>
          <w:tcPr>
            <w:tcW w:w="1516" w:type="pct"/>
            <w:shd w:val="clear" w:color="auto" w:fill="auto"/>
            <w:vAlign w:val="center"/>
          </w:tcPr>
          <w:p>
            <w:pPr>
              <w:pStyle w:val="2"/>
              <w:spacing w:line="240" w:lineRule="auto"/>
              <w:ind w:firstLine="0" w:firstLineChars="0"/>
              <w:jc w:val="center"/>
              <w:rPr>
                <w:rFonts w:hint="eastAsia" w:ascii="Times New Roman" w:hAnsi="Times New Roman" w:eastAsia="宋体" w:cs="Times New Roman"/>
                <w:color w:val="auto"/>
                <w:spacing w:val="0"/>
                <w:kern w:val="2"/>
                <w:sz w:val="21"/>
                <w:szCs w:val="21"/>
                <w:lang w:val="en-US" w:eastAsia="zh-CN" w:bidi="ar-SA"/>
              </w:rPr>
            </w:pPr>
            <w:r>
              <w:rPr>
                <w:rFonts w:hint="eastAsia" w:ascii="Times New Roman" w:hAnsi="Times New Roman" w:eastAsia="宋体" w:cs="Times New Roman"/>
                <w:color w:val="auto"/>
                <w:spacing w:val="0"/>
                <w:kern w:val="2"/>
                <w:sz w:val="21"/>
                <w:lang w:val="en-US" w:eastAsia="zh-CN"/>
              </w:rPr>
              <w:t>集中收集后定期外售综合利用</w:t>
            </w:r>
          </w:p>
        </w:tc>
        <w:tc>
          <w:tcPr>
            <w:tcW w:w="1487" w:type="pct"/>
            <w:vMerge w:val="continue"/>
            <w:shd w:val="clear" w:color="auto" w:fill="auto"/>
            <w:vAlign w:val="center"/>
          </w:tcPr>
          <w:p>
            <w:pPr>
              <w:spacing w:line="240" w:lineRule="auto"/>
              <w:ind w:firstLine="0" w:firstLineChars="0"/>
              <w:rPr>
                <w:rFonts w:ascii="Times New Roman" w:hAnsi="Times New Roman" w:eastAsia="宋体" w:cs="Times New Roman"/>
                <w:color w:val="auto"/>
                <w:spacing w:val="0"/>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vMerge w:val="continue"/>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835" w:type="pct"/>
            <w:vMerge w:val="continue"/>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rPr>
            </w:pPr>
          </w:p>
        </w:tc>
        <w:tc>
          <w:tcPr>
            <w:tcW w:w="753"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渣土</w:t>
            </w:r>
          </w:p>
        </w:tc>
        <w:tc>
          <w:tcPr>
            <w:tcW w:w="1516" w:type="pct"/>
            <w:shd w:val="clear" w:color="auto" w:fill="auto"/>
            <w:vAlign w:val="center"/>
          </w:tcPr>
          <w:p>
            <w:pPr>
              <w:pStyle w:val="2"/>
              <w:spacing w:line="240" w:lineRule="auto"/>
              <w:ind w:firstLine="0" w:firstLineChars="0"/>
              <w:jc w:val="center"/>
              <w:rPr>
                <w:rFonts w:hint="eastAsia" w:ascii="Times New Roman" w:hAnsi="Times New Roman" w:eastAsia="宋体" w:cs="Times New Roman"/>
                <w:color w:val="auto"/>
                <w:spacing w:val="0"/>
                <w:kern w:val="2"/>
                <w:sz w:val="21"/>
                <w:szCs w:val="21"/>
                <w:lang w:val="en-US" w:eastAsia="zh-CN" w:bidi="ar-SA"/>
              </w:rPr>
            </w:pPr>
            <w:r>
              <w:rPr>
                <w:rFonts w:hint="eastAsia" w:ascii="Times New Roman" w:hAnsi="Times New Roman" w:eastAsia="宋体" w:cs="Times New Roman"/>
                <w:color w:val="auto"/>
                <w:spacing w:val="0"/>
                <w:kern w:val="2"/>
                <w:sz w:val="21"/>
                <w:lang w:val="en-US" w:eastAsia="zh-CN"/>
              </w:rPr>
              <w:t>收集后定期外售综合利用</w:t>
            </w:r>
          </w:p>
        </w:tc>
        <w:tc>
          <w:tcPr>
            <w:tcW w:w="1487" w:type="pct"/>
            <w:vMerge w:val="continue"/>
            <w:shd w:val="clear" w:color="auto" w:fill="auto"/>
            <w:vAlign w:val="center"/>
          </w:tcPr>
          <w:p>
            <w:pPr>
              <w:spacing w:line="240" w:lineRule="auto"/>
              <w:ind w:firstLine="0" w:firstLineChars="0"/>
              <w:rPr>
                <w:rFonts w:ascii="Times New Roman" w:hAnsi="Times New Roman" w:eastAsia="宋体" w:cs="Times New Roman"/>
                <w:color w:val="auto"/>
                <w:spacing w:val="0"/>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vMerge w:val="continue"/>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835" w:type="pct"/>
            <w:vMerge w:val="continue"/>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rPr>
            </w:pPr>
          </w:p>
        </w:tc>
        <w:tc>
          <w:tcPr>
            <w:tcW w:w="753"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沉淀池沉渣</w:t>
            </w:r>
          </w:p>
        </w:tc>
        <w:tc>
          <w:tcPr>
            <w:tcW w:w="1516" w:type="pct"/>
            <w:shd w:val="clear" w:color="auto" w:fill="auto"/>
            <w:vAlign w:val="center"/>
          </w:tcPr>
          <w:p>
            <w:pPr>
              <w:pStyle w:val="2"/>
              <w:spacing w:line="240" w:lineRule="auto"/>
              <w:ind w:firstLine="0" w:firstLineChars="0"/>
              <w:jc w:val="center"/>
              <w:rPr>
                <w:rFonts w:hint="eastAsia" w:ascii="Times New Roman" w:hAnsi="Times New Roman" w:eastAsia="宋体" w:cs="Times New Roman"/>
                <w:color w:val="auto"/>
                <w:spacing w:val="0"/>
                <w:kern w:val="2"/>
                <w:sz w:val="21"/>
                <w:szCs w:val="21"/>
                <w:lang w:val="en-US" w:eastAsia="zh-CN" w:bidi="ar-SA"/>
              </w:rPr>
            </w:pPr>
            <w:r>
              <w:rPr>
                <w:rFonts w:hint="eastAsia" w:ascii="Times New Roman" w:hAnsi="Times New Roman" w:eastAsia="宋体" w:cs="Times New Roman"/>
                <w:color w:val="auto"/>
                <w:spacing w:val="0"/>
                <w:kern w:val="2"/>
                <w:sz w:val="21"/>
                <w:lang w:val="en-US" w:eastAsia="zh-CN"/>
              </w:rPr>
              <w:t>定期清掏外运综合利用</w:t>
            </w:r>
          </w:p>
        </w:tc>
        <w:tc>
          <w:tcPr>
            <w:tcW w:w="1487" w:type="pct"/>
            <w:vMerge w:val="continue"/>
            <w:shd w:val="clear" w:color="auto" w:fill="auto"/>
            <w:vAlign w:val="center"/>
          </w:tcPr>
          <w:p>
            <w:pPr>
              <w:spacing w:line="240" w:lineRule="auto"/>
              <w:ind w:firstLine="0" w:firstLineChars="0"/>
              <w:rPr>
                <w:rFonts w:ascii="Times New Roman" w:hAnsi="Times New Roman" w:eastAsia="宋体" w:cs="Times New Roman"/>
                <w:color w:val="auto"/>
                <w:spacing w:val="0"/>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vMerge w:val="continue"/>
            <w:vAlign w:val="center"/>
          </w:tcPr>
          <w:p>
            <w:pPr>
              <w:spacing w:line="240" w:lineRule="auto"/>
              <w:ind w:firstLine="0" w:firstLineChars="0"/>
              <w:jc w:val="center"/>
              <w:rPr>
                <w:rFonts w:ascii="Times New Roman" w:hAnsi="Times New Roman" w:eastAsia="宋体" w:cs="Times New Roman"/>
                <w:color w:val="auto"/>
                <w:spacing w:val="0"/>
                <w:sz w:val="21"/>
              </w:rPr>
            </w:pPr>
          </w:p>
        </w:tc>
        <w:tc>
          <w:tcPr>
            <w:tcW w:w="835"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生活垃圾</w:t>
            </w:r>
          </w:p>
        </w:tc>
        <w:tc>
          <w:tcPr>
            <w:tcW w:w="753"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lang w:val="en-US" w:eastAsia="zh-CN"/>
              </w:rPr>
              <w:t>生活垃圾</w:t>
            </w:r>
          </w:p>
        </w:tc>
        <w:tc>
          <w:tcPr>
            <w:tcW w:w="1516" w:type="pct"/>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lang w:val="en-US" w:eastAsia="zh-CN"/>
              </w:rPr>
              <w:t>厂内设有加盖生活垃圾收集箱，统一收集后交由当地市政环卫部门及时清运</w:t>
            </w:r>
          </w:p>
        </w:tc>
        <w:tc>
          <w:tcPr>
            <w:tcW w:w="1487" w:type="pct"/>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lang w:val="en-US" w:eastAsia="zh-CN"/>
              </w:rPr>
              <w:t>合理处置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407"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spacing w:val="0"/>
                <w:sz w:val="21"/>
              </w:rPr>
            </w:pPr>
            <w:r>
              <w:rPr>
                <w:rFonts w:hint="eastAsia" w:ascii="Times New Roman" w:hAnsi="Times New Roman" w:eastAsia="宋体" w:cs="Times New Roman"/>
                <w:color w:val="auto"/>
                <w:spacing w:val="0"/>
                <w:sz w:val="21"/>
              </w:rPr>
              <w:t>地下水及土壤污染防治措施</w:t>
            </w:r>
          </w:p>
        </w:tc>
        <w:tc>
          <w:tcPr>
            <w:tcW w:w="4592" w:type="pct"/>
            <w:gridSpan w:val="4"/>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1.源头控制措施（临河专项强化）</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①项目加强设备、构筑物日常巡检，重点加密厂区西侧临近开都河区域原料库、沉淀池、危废贮存点防渗设施巡检频次；发现防渗密封材料老化或损坏，应及时维修更换，防止渗漏污染物顺着地下水流向向西迁移补给开都河。</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②对工艺、管道、设备采取控制措施，选用耐腐蚀耐高温材料管材，防止污染物的跑、冒、滴、漏，将污染物泄漏的环境风险事故降到最低限度。</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③禁止在厂区西侧临河地带堆放各类固体废物。</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2.分区防渗措施（结合地下水流向，西侧临河位置防渗加强）</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①重点防渗区：危废贮存点（处于地下水流向下游）。该区域防渗技术要求：等效黏土防渗层Mb≥6.0m，2mmHDPE防渗膜+防渗混凝土，K≤1×10</w:t>
            </w:r>
            <w:r>
              <w:rPr>
                <w:rFonts w:hint="eastAsia" w:ascii="Times New Roman" w:hAnsi="Times New Roman" w:eastAsia="宋体" w:cs="Times New Roman"/>
                <w:color w:val="auto"/>
                <w:spacing w:val="0"/>
                <w:sz w:val="21"/>
                <w:vertAlign w:val="superscript"/>
                <w:lang w:val="en-US" w:eastAsia="zh-CN"/>
              </w:rPr>
              <w:t>-7</w:t>
            </w:r>
            <w:r>
              <w:rPr>
                <w:rFonts w:hint="eastAsia" w:ascii="Times New Roman" w:hAnsi="Times New Roman" w:eastAsia="宋体" w:cs="Times New Roman"/>
                <w:color w:val="auto"/>
                <w:spacing w:val="0"/>
                <w:sz w:val="21"/>
                <w:lang w:val="en-US" w:eastAsia="zh-CN"/>
              </w:rPr>
              <w:t>cm/s；危废贮存点内部设置防渗围堰；危废贮存点朝向开都河一侧防渗膜增加50cm搭接加强层，焊缝做完整性检测；或参照GB18598 执行。</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②一般防渗区：化粪池、沉淀池、生产车间；厂区西侧（临开都河）池壁、地坪增设防渗搭接加强及侧向导排，等效黏土防渗层Mb≥1.5m，P6抗渗混凝土+1.5mm防渗土工膜，K≤1×10</w:t>
            </w:r>
            <w:r>
              <w:rPr>
                <w:rFonts w:hint="eastAsia" w:ascii="Times New Roman" w:hAnsi="Times New Roman" w:eastAsia="宋体" w:cs="Times New Roman"/>
                <w:color w:val="auto"/>
                <w:spacing w:val="0"/>
                <w:sz w:val="21"/>
                <w:vertAlign w:val="superscript"/>
                <w:lang w:val="en-US" w:eastAsia="zh-CN"/>
              </w:rPr>
              <w:t>-7</w:t>
            </w:r>
            <w:r>
              <w:rPr>
                <w:rFonts w:hint="eastAsia" w:ascii="Times New Roman" w:hAnsi="Times New Roman" w:eastAsia="宋体" w:cs="Times New Roman"/>
                <w:color w:val="auto"/>
                <w:spacing w:val="0"/>
                <w:sz w:val="21"/>
                <w:lang w:val="en-US" w:eastAsia="zh-CN"/>
              </w:rPr>
              <w:t>cm/s；或参照GB16889执行。</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③简单防渗区：门卫、厂区路面；厂区西侧临近开都河硬化地面伸缩缝做密封处理；20cm普通硬化地面。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生态保护措施</w:t>
            </w:r>
          </w:p>
        </w:tc>
        <w:tc>
          <w:tcPr>
            <w:tcW w:w="4592" w:type="pct"/>
            <w:gridSpan w:val="4"/>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bCs/>
                <w:color w:val="auto"/>
                <w:spacing w:val="0"/>
                <w:sz w:val="21"/>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环境风险防范措施</w:t>
            </w:r>
          </w:p>
        </w:tc>
        <w:tc>
          <w:tcPr>
            <w:tcW w:w="4592" w:type="pct"/>
            <w:gridSpan w:val="4"/>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①加强管理，防止因管理不善而导致生产区火灾：对员工进行上岗培训，使其了解日常作业中应该注意的具体事项，特别是不允许抽烟，生产车间和危废贮存点区域设置必要消防设备，应配置干粉灭火器（推车式、手提式）和灭火毯。</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 xml:space="preserve">②化粪池、沉淀池均为地下、半地下式池体，加强化粪池和沉淀池的预防监控，定期巡检、调节、保养、维修，及时发现有可能引起泄漏的异常运行苗头，消除隐患。 ③地下水、土壤环境风险防范 </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按照《危险废物贮存污染控制标准》（GB18597</w:t>
            </w:r>
            <w:r>
              <w:rPr>
                <w:rFonts w:hint="eastAsia" w:ascii="Times New Roman" w:hAnsi="Times New Roman" w:eastAsia="宋体" w:cs="Times New Roman"/>
                <w:color w:val="auto"/>
                <w:spacing w:val="0"/>
                <w:sz w:val="21"/>
                <w:lang w:val="en-US" w:eastAsia="zh-CN"/>
              </w:rPr>
              <w:noBreakHyphen/>
            </w:r>
            <w:r>
              <w:rPr>
                <w:rFonts w:hint="eastAsia" w:ascii="Times New Roman" w:hAnsi="Times New Roman" w:eastAsia="宋体" w:cs="Times New Roman"/>
                <w:color w:val="auto"/>
                <w:spacing w:val="0"/>
                <w:sz w:val="21"/>
                <w:lang w:val="en-US" w:eastAsia="zh-CN"/>
              </w:rPr>
              <w:t>2023）和《环境影响评价技术导则地下水环境》（HJ610</w:t>
            </w:r>
            <w:r>
              <w:rPr>
                <w:rFonts w:hint="eastAsia" w:ascii="Times New Roman" w:hAnsi="Times New Roman" w:eastAsia="宋体" w:cs="Times New Roman"/>
                <w:color w:val="auto"/>
                <w:spacing w:val="0"/>
                <w:sz w:val="21"/>
                <w:lang w:val="en-US" w:eastAsia="zh-CN"/>
              </w:rPr>
              <w:noBreakHyphen/>
            </w:r>
            <w:r>
              <w:rPr>
                <w:rFonts w:hint="eastAsia" w:ascii="Times New Roman" w:hAnsi="Times New Roman" w:eastAsia="宋体" w:cs="Times New Roman"/>
                <w:color w:val="auto"/>
                <w:spacing w:val="0"/>
                <w:sz w:val="21"/>
                <w:lang w:val="en-US" w:eastAsia="zh-CN"/>
              </w:rPr>
              <w:t>2016）的要求做好分区防控，一般情况下应以水平防渗为主，对难以采取水平防渗的场地，可采用垂直防渗为主，局部水平防渗为辅的防控措施。 加强环境管理。加强厂区巡检，对跑冒滴漏做到及时发现、及时控制；做好厂区危废贮存点区地面防渗层的管理，防渗层破裂后及时补救、更换。</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 xml:space="preserve">④地表水环境风险防范措施 </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危废贮存点内部设置防渗围堰；当危废贮存点发生物料和危废泄漏时，泄漏物被防渗围堰截留在危废贮存点内部，可采取吸附棉、吸油毡等材料进行吸附，启用移动式应急抽油泵将泄漏废液抽入移动式密闭储存罐，以防泄漏至厂区外。 厂区发生火灾事故时，因厂区可燃物只有废机油，工作人员采取灭火器进行灭火，无消防废水产生，无废水流出厂外污染地表水环境。</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⑤制定各项安全生产管理制度，并要求全体员工严格执行，具体制度如下：安全教育培训制度、工艺操作安全管理制度、生产要害岗位及重大危险源管理制度、物资储存管理制度、安全装置和防护用品管理制度、安全检修管理制度。</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⑥针对危废大量泄漏、堆场持续暴雨泥水外溢等重大事故情景，配套多级硬质阻隔、应急导排工程，形成“源头封闭</w:t>
            </w:r>
            <w:r>
              <w:rPr>
                <w:rFonts w:hint="eastAsia" w:ascii="Times New Roman" w:hAnsi="Times New Roman" w:eastAsia="宋体" w:cs="Times New Roman"/>
                <w:color w:val="auto"/>
                <w:spacing w:val="0"/>
                <w:sz w:val="21"/>
                <w:lang w:val="en-US" w:eastAsia="zh-CN"/>
              </w:rPr>
              <w:noBreakHyphen/>
            </w:r>
            <w:r>
              <w:rPr>
                <w:rFonts w:hint="eastAsia" w:ascii="Times New Roman" w:hAnsi="Times New Roman" w:eastAsia="宋体" w:cs="Times New Roman"/>
                <w:color w:val="auto"/>
                <w:spacing w:val="0"/>
                <w:sz w:val="21"/>
                <w:lang w:val="en-US" w:eastAsia="zh-CN"/>
              </w:rPr>
              <w:t>中途截挡</w:t>
            </w:r>
            <w:r>
              <w:rPr>
                <w:rFonts w:hint="eastAsia" w:ascii="Times New Roman" w:hAnsi="Times New Roman" w:eastAsia="宋体" w:cs="Times New Roman"/>
                <w:color w:val="auto"/>
                <w:spacing w:val="0"/>
                <w:sz w:val="21"/>
                <w:lang w:val="en-US" w:eastAsia="zh-CN"/>
              </w:rPr>
              <w:noBreakHyphen/>
            </w:r>
            <w:r>
              <w:rPr>
                <w:rFonts w:hint="eastAsia" w:ascii="Times New Roman" w:hAnsi="Times New Roman" w:eastAsia="宋体" w:cs="Times New Roman"/>
                <w:color w:val="auto"/>
                <w:spacing w:val="0"/>
                <w:sz w:val="21"/>
                <w:lang w:val="en-US" w:eastAsia="zh-CN"/>
              </w:rPr>
              <w:t>末端移动式应急储存</w:t>
            </w:r>
            <w:r>
              <w:rPr>
                <w:rFonts w:hint="eastAsia" w:ascii="Times New Roman" w:hAnsi="Times New Roman" w:eastAsia="宋体" w:cs="Times New Roman"/>
                <w:color w:val="auto"/>
                <w:spacing w:val="0"/>
                <w:sz w:val="21"/>
                <w:lang w:val="en-US" w:eastAsia="zh-CN"/>
              </w:rPr>
              <w:noBreakHyphen/>
            </w:r>
            <w:r>
              <w:rPr>
                <w:rFonts w:hint="eastAsia" w:ascii="Times New Roman" w:hAnsi="Times New Roman" w:eastAsia="宋体" w:cs="Times New Roman"/>
                <w:color w:val="auto"/>
                <w:spacing w:val="0"/>
                <w:sz w:val="21"/>
                <w:lang w:val="en-US" w:eastAsia="zh-CN"/>
              </w:rPr>
              <w:t>应急抽排外运”四级闭环防控，防止污染物远距离扩散至开都河：</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危废贮存点设置防渗围堰，危废贮存点临河侧增设0.6m高连续混凝土挡墙，墙体两端设置截污导流槽，一旦发生桶体破裂、大量油品泄漏，全部废液被防渗围堰、挡墙约束在危废贮存点内部，无法越过挡墙向厂区西侧开都河方向扩散；配套移动式应急抽油泵、移动式密闭储存罐，发生大规模泄漏可快速完成废液抽运至密闭储存罐，场外委托有资质单位处置，防止长期滞留渗透。</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厂区西侧全线物理隔离屏障：厂区临开都红线修建全长硬质防渗挡水堤，堤高1.0m，基底铺设防渗土工膜，作为全厂最后一道物理阻隔屏障；无论堆场、沉淀池、危废贮存点发生何种大规模泄漏、溢流，污染物均被挡水堤拦截在厂区内部，无法向西扩散抵达河道56m缓冲带。</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重大事故专项应急物资升级：除常规吸油毡、防汛沙袋外、移动式防渗围堰、移动式密闭储存罐、大功率抽污泵、应急防渗膜卷等重大泄漏处置物资，针对数十升乃至吨级油品泄漏、上千方泥水溢流场景，可快速搭建临时封闭隔离区，防止污染物向河道迁移。</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⑦落实农业水污染重点管控单元专项管控要求：企业建立入湖风险专项台账，完整记录沉淀池运行、防渗层检修、汛期巡检、应急演练等资料；严格落实管控单元入湖防控硬性指标，确保厂区各类废水、泄漏物全部截留在厂区管控范围内，防止污染物汇入开都河进而输入博斯腾湖，防范工业污染源与区域农业面源污染形成叠加影响。</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spacing w:val="0"/>
                <w:sz w:val="21"/>
                <w:lang w:val="en-US" w:eastAsia="zh-CN"/>
              </w:rPr>
            </w:pPr>
            <w:r>
              <w:rPr>
                <w:rFonts w:hint="eastAsia" w:ascii="Times New Roman" w:hAnsi="Times New Roman" w:eastAsia="宋体" w:cs="Times New Roman"/>
                <w:color w:val="auto"/>
                <w:spacing w:val="0"/>
                <w:sz w:val="21"/>
                <w:lang w:val="en-US" w:eastAsia="zh-CN"/>
              </w:rPr>
              <w:t>⑧编制突发环境事件应急预案，增设临近开都河突发水环境污染专项处置章节，附件包含临河风险应急物资清单、泄漏处置流程图；每年汛期组织不少于1次临河水环境污染专项实战应急演练，做好演练台账、问题整改闭环；应急物资定点存放专人管理，定期盘点维护，消耗物资及时补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64" w:hRule="atLeast"/>
          <w:jc w:val="center"/>
        </w:trPr>
        <w:tc>
          <w:tcPr>
            <w:tcW w:w="407" w:type="pct"/>
            <w:vAlign w:val="center"/>
          </w:tcPr>
          <w:p>
            <w:pPr>
              <w:spacing w:line="240" w:lineRule="auto"/>
              <w:ind w:firstLine="0" w:firstLineChars="0"/>
              <w:jc w:val="center"/>
              <w:rPr>
                <w:rFonts w:ascii="Times New Roman" w:hAnsi="Times New Roman" w:eastAsia="宋体" w:cs="Times New Roman"/>
                <w:color w:val="auto"/>
                <w:spacing w:val="0"/>
                <w:sz w:val="21"/>
              </w:rPr>
            </w:pPr>
            <w:r>
              <w:rPr>
                <w:rFonts w:ascii="Times New Roman" w:hAnsi="Times New Roman" w:eastAsia="宋体" w:cs="Times New Roman"/>
                <w:color w:val="auto"/>
                <w:spacing w:val="0"/>
                <w:sz w:val="21"/>
              </w:rPr>
              <w:t>其他环境管理要求</w:t>
            </w:r>
          </w:p>
        </w:tc>
        <w:tc>
          <w:tcPr>
            <w:tcW w:w="4592" w:type="pct"/>
            <w:gridSpan w:val="4"/>
          </w:tcPr>
          <w:p>
            <w:pPr>
              <w:pStyle w:val="393"/>
              <w:adjustRightInd w:val="0"/>
              <w:snapToGrid w:val="0"/>
              <w:spacing w:before="0" w:line="240" w:lineRule="auto"/>
              <w:ind w:firstLine="420"/>
              <w:rPr>
                <w:color w:val="auto"/>
                <w:spacing w:val="0"/>
                <w:sz w:val="21"/>
                <w:szCs w:val="21"/>
              </w:rPr>
            </w:pPr>
            <w:r>
              <w:rPr>
                <w:rFonts w:hint="default" w:ascii="Times New Roman" w:hAnsi="Times New Roman" w:eastAsia="宋体" w:cs="Times New Roman"/>
                <w:color w:val="auto"/>
                <w:kern w:val="0"/>
                <w:sz w:val="21"/>
                <w:szCs w:val="21"/>
                <w:lang w:val="en-US" w:eastAsia="zh-CN"/>
              </w:rPr>
              <w:t>建立规范排污口、设立标识标牌；设置规范化采样平台；建立规范化排污口管理档案，内容包括排污单位名称、排放口性质及编号、排污口地理位置、排污口所排污染物(种类、数量、浓度)及排放去向、立标情况、设施运行及日常检查记录等；按要求办理排污许可手续，并进行信息公开，按照监测计划定期开展监测</w:t>
            </w:r>
          </w:p>
          <w:p>
            <w:pPr>
              <w:pStyle w:val="393"/>
              <w:adjustRightInd w:val="0"/>
              <w:snapToGrid w:val="0"/>
              <w:spacing w:before="0" w:line="240" w:lineRule="auto"/>
              <w:ind w:firstLine="420"/>
              <w:rPr>
                <w:color w:val="auto"/>
                <w:spacing w:val="0"/>
                <w:sz w:val="21"/>
                <w:szCs w:val="21"/>
              </w:rPr>
            </w:pPr>
          </w:p>
          <w:p>
            <w:pPr>
              <w:pStyle w:val="393"/>
              <w:adjustRightInd w:val="0"/>
              <w:snapToGrid w:val="0"/>
              <w:spacing w:before="0" w:line="240" w:lineRule="auto"/>
              <w:ind w:firstLine="420"/>
              <w:rPr>
                <w:color w:val="auto"/>
                <w:spacing w:val="0"/>
                <w:sz w:val="21"/>
                <w:szCs w:val="21"/>
              </w:rPr>
            </w:pPr>
          </w:p>
          <w:p>
            <w:pPr>
              <w:pStyle w:val="393"/>
              <w:adjustRightInd w:val="0"/>
              <w:snapToGrid w:val="0"/>
              <w:spacing w:before="0" w:line="240" w:lineRule="auto"/>
              <w:ind w:left="0" w:leftChars="0" w:firstLine="0" w:firstLineChars="0"/>
              <w:rPr>
                <w:color w:val="auto"/>
                <w:spacing w:val="0"/>
                <w:sz w:val="21"/>
                <w:szCs w:val="21"/>
              </w:rPr>
            </w:pPr>
          </w:p>
        </w:tc>
      </w:tr>
    </w:tbl>
    <w:p>
      <w:pPr>
        <w:rPr>
          <w:color w:val="auto"/>
          <w:spacing w:val="0"/>
        </w:rPr>
        <w:sectPr>
          <w:pgSz w:w="11906" w:h="16838"/>
          <w:pgMar w:top="1440" w:right="1797" w:bottom="1440" w:left="179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23"/>
        <w:adjustRightInd/>
        <w:snapToGrid/>
        <w:ind w:firstLine="0" w:firstLineChars="0"/>
        <w:jc w:val="center"/>
        <w:outlineLvl w:val="0"/>
        <w:rPr>
          <w:rFonts w:ascii="宋体" w:hAnsi="宋体" w:eastAsia="宋体"/>
          <w:b/>
          <w:bCs/>
          <w:color w:val="auto"/>
          <w:spacing w:val="0"/>
          <w:sz w:val="30"/>
          <w:szCs w:val="30"/>
        </w:rPr>
      </w:pPr>
      <w:r>
        <w:rPr>
          <w:rFonts w:hint="eastAsia" w:ascii="黑体" w:hAnsi="黑体" w:eastAsia="黑体" w:cs="黑体"/>
          <w:b/>
          <w:bCs/>
          <w:color w:val="auto"/>
          <w:spacing w:val="0"/>
          <w:sz w:val="30"/>
          <w:szCs w:val="30"/>
        </w:rPr>
        <w:t>六、结论</w:t>
      </w:r>
    </w:p>
    <w:tbl>
      <w:tblPr>
        <w:tblStyle w:val="5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tcBorders>
              <w:top w:val="single" w:color="auto" w:sz="8" w:space="0"/>
              <w:left w:val="single" w:color="auto" w:sz="8" w:space="0"/>
              <w:bottom w:val="single" w:color="auto" w:sz="8" w:space="0"/>
              <w:right w:val="single" w:color="auto" w:sz="8" w:space="0"/>
              <w:tl2br w:val="nil"/>
              <w:tr2bl w:val="nil"/>
            </w:tcBorders>
          </w:tcPr>
          <w:p>
            <w:pPr>
              <w:pStyle w:val="454"/>
              <w:keepNext w:val="0"/>
              <w:keepLines w:val="0"/>
              <w:pageBreakBefore w:val="0"/>
              <w:widowControl w:val="0"/>
              <w:kinsoku/>
              <w:wordWrap/>
              <w:overflowPunct/>
              <w:topLinePunct w:val="0"/>
              <w:autoSpaceDE/>
              <w:autoSpaceDN/>
              <w:bidi w:val="0"/>
              <w:adjustRightInd/>
              <w:snapToGrid/>
              <w:textAlignment w:val="auto"/>
              <w:rPr>
                <w:rFonts w:hint="eastAsia"/>
                <w:color w:val="auto"/>
                <w:highlight w:val="none"/>
              </w:rPr>
            </w:pPr>
            <w:r>
              <w:rPr>
                <w:rFonts w:hint="eastAsia"/>
                <w:color w:val="auto"/>
                <w:highlight w:val="none"/>
                <w:lang w:val="en-US" w:eastAsia="zh-CN"/>
              </w:rPr>
              <w:t>本项目的建设符合国家的产业政策，符合博湖县</w:t>
            </w:r>
            <w:r>
              <w:rPr>
                <w:rFonts w:hint="default" w:ascii="Times New Roman" w:hAnsi="Times New Roman" w:cs="Times New Roman"/>
                <w:color w:val="auto"/>
                <w:highlight w:val="none"/>
                <w:lang w:val="en-US" w:eastAsia="zh-CN"/>
              </w:rPr>
              <w:t>国土空间总体规划</w:t>
            </w:r>
            <w:r>
              <w:rPr>
                <w:rFonts w:hint="eastAsia"/>
                <w:color w:val="auto"/>
                <w:highlight w:val="none"/>
                <w:lang w:val="en-US" w:eastAsia="zh-CN"/>
              </w:rPr>
              <w:t>，项目选址合理，与外环境相容，项目总平面布置合理，项目废气、污水、噪声、固废拟采取的污染防治措施及各种生态环境保护措施技术可靠、经济可行。项目建成后，将具有良好的经济、社会和环境效益。建设单位只要项目认真落实本报告提出的各项污染防治对策措施，严格按照施工设计要求进行建设，保证环境保护措施的有效运行，可确保污染物达标排放。从环保角度而言，本项目建设可行。</w:t>
            </w:r>
          </w:p>
          <w:p>
            <w:pPr>
              <w:pStyle w:val="20"/>
              <w:adjustRightInd/>
              <w:snapToGrid/>
              <w:ind w:firstLine="480"/>
              <w:jc w:val="both"/>
              <w:rPr>
                <w:rFonts w:eastAsia="等线"/>
                <w:color w:val="auto"/>
                <w:spacing w:val="0"/>
                <w:sz w:val="24"/>
              </w:rPr>
            </w:pPr>
          </w:p>
        </w:tc>
      </w:tr>
    </w:tbl>
    <w:p>
      <w:pPr>
        <w:pStyle w:val="7"/>
        <w:ind w:firstLine="562"/>
        <w:rPr>
          <w:color w:val="auto"/>
          <w:spacing w:val="0"/>
        </w:rPr>
        <w:sectPr>
          <w:pgSz w:w="11906" w:h="16838"/>
          <w:pgMar w:top="1440" w:right="1797" w:bottom="1440" w:left="179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50"/>
        <w:adjustRightInd/>
        <w:snapToGrid/>
        <w:spacing w:before="0" w:beforeAutospacing="0" w:after="0" w:afterAutospacing="0"/>
        <w:ind w:firstLine="0" w:firstLineChars="0"/>
        <w:rPr>
          <w:rFonts w:ascii="黑体" w:hAnsi="黑体" w:eastAsia="黑体" w:cs="黑体"/>
          <w:snapToGrid w:val="0"/>
          <w:color w:val="auto"/>
          <w:spacing w:val="0"/>
          <w:sz w:val="32"/>
        </w:rPr>
      </w:pPr>
      <w:r>
        <w:rPr>
          <w:rFonts w:hint="eastAsia" w:ascii="黑体" w:hAnsi="黑体" w:eastAsia="黑体" w:cs="黑体"/>
          <w:b/>
          <w:bCs/>
          <w:snapToGrid w:val="0"/>
          <w:color w:val="auto"/>
          <w:spacing w:val="0"/>
          <w:sz w:val="32"/>
        </w:rPr>
        <w:t>附表</w:t>
      </w:r>
    </w:p>
    <w:p>
      <w:pPr>
        <w:pStyle w:val="50"/>
        <w:adjustRightInd/>
        <w:snapToGrid/>
        <w:spacing w:before="0" w:beforeAutospacing="0" w:after="0" w:afterAutospacing="0"/>
        <w:ind w:firstLine="0" w:firstLineChars="0"/>
        <w:jc w:val="center"/>
        <w:rPr>
          <w:rFonts w:ascii="黑体" w:hAnsi="黑体" w:eastAsia="黑体" w:cs="黑体"/>
          <w:b/>
          <w:bCs/>
          <w:color w:val="auto"/>
          <w:spacing w:val="0"/>
          <w:sz w:val="30"/>
          <w:szCs w:val="30"/>
        </w:rPr>
      </w:pPr>
      <w:r>
        <w:rPr>
          <w:rFonts w:hint="eastAsia" w:ascii="黑体" w:hAnsi="黑体" w:eastAsia="黑体" w:cs="黑体"/>
          <w:b/>
          <w:bCs/>
          <w:color w:val="auto"/>
          <w:spacing w:val="0"/>
          <w:sz w:val="30"/>
          <w:szCs w:val="30"/>
        </w:rPr>
        <w:t>建设项目污染物排放量汇总表</w:t>
      </w:r>
    </w:p>
    <w:tbl>
      <w:tblPr>
        <w:tblStyle w:val="55"/>
        <w:tblW w:w="4997" w:type="pct"/>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1001"/>
        <w:gridCol w:w="2215"/>
        <w:gridCol w:w="1603"/>
        <w:gridCol w:w="1605"/>
        <w:gridCol w:w="1605"/>
        <w:gridCol w:w="1603"/>
        <w:gridCol w:w="1605"/>
        <w:gridCol w:w="1605"/>
        <w:gridCol w:w="1128"/>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397" w:hRule="atLeast"/>
        </w:trPr>
        <w:tc>
          <w:tcPr>
            <w:tcW w:w="358" w:type="pct"/>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ascii="Times New Roman" w:hAnsi="Times New Roman" w:cs="Times New Roman" w:eastAsiaTheme="minorEastAsia"/>
                <w:color w:val="auto"/>
                <w:spacing w:val="0"/>
                <w:sz w:val="21"/>
                <w:szCs w:val="21"/>
              </w:rPr>
              <w:t>项目分类</w:t>
            </w:r>
          </w:p>
        </w:tc>
        <w:tc>
          <w:tcPr>
            <w:tcW w:w="792" w:type="pct"/>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ascii="Times New Roman" w:hAnsi="Times New Roman" w:cs="Times New Roman" w:eastAsiaTheme="minorEastAsia"/>
                <w:color w:val="auto"/>
                <w:spacing w:val="0"/>
                <w:sz w:val="21"/>
                <w:szCs w:val="21"/>
              </w:rPr>
              <w:t>污染物名称</w:t>
            </w:r>
          </w:p>
        </w:tc>
        <w:tc>
          <w:tcPr>
            <w:tcW w:w="573" w:type="pct"/>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ascii="Times New Roman" w:hAnsi="Times New Roman" w:cs="Times New Roman" w:eastAsiaTheme="minorEastAsia"/>
                <w:color w:val="auto"/>
                <w:spacing w:val="0"/>
                <w:sz w:val="21"/>
                <w:szCs w:val="21"/>
              </w:rPr>
              <w:t>现有工程排放量（固体废物产生量）①</w:t>
            </w:r>
          </w:p>
        </w:tc>
        <w:tc>
          <w:tcPr>
            <w:tcW w:w="574" w:type="pct"/>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ascii="Times New Roman" w:hAnsi="Times New Roman" w:cs="Times New Roman" w:eastAsiaTheme="minorEastAsia"/>
                <w:color w:val="auto"/>
                <w:spacing w:val="0"/>
                <w:sz w:val="21"/>
                <w:szCs w:val="21"/>
              </w:rPr>
              <w:t>现有工程许可排放量②</w:t>
            </w:r>
          </w:p>
        </w:tc>
        <w:tc>
          <w:tcPr>
            <w:tcW w:w="574" w:type="pct"/>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ascii="Times New Roman" w:hAnsi="Times New Roman" w:cs="Times New Roman" w:eastAsiaTheme="minorEastAsia"/>
                <w:color w:val="auto"/>
                <w:spacing w:val="0"/>
                <w:sz w:val="21"/>
                <w:szCs w:val="21"/>
              </w:rPr>
              <w:t>在建工程排放量（固体废物产生量）③</w:t>
            </w:r>
          </w:p>
        </w:tc>
        <w:tc>
          <w:tcPr>
            <w:tcW w:w="573" w:type="pct"/>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ascii="Times New Roman" w:hAnsi="Times New Roman" w:cs="Times New Roman" w:eastAsiaTheme="minorEastAsia"/>
                <w:color w:val="auto"/>
                <w:spacing w:val="0"/>
                <w:sz w:val="21"/>
                <w:szCs w:val="21"/>
              </w:rPr>
              <w:t>本项目排放量（固体废物产生量）④</w:t>
            </w:r>
          </w:p>
        </w:tc>
        <w:tc>
          <w:tcPr>
            <w:tcW w:w="574" w:type="pct"/>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ascii="Times New Roman" w:hAnsi="Times New Roman" w:cs="Times New Roman" w:eastAsiaTheme="minorEastAsia"/>
                <w:color w:val="auto"/>
                <w:spacing w:val="0"/>
                <w:sz w:val="21"/>
                <w:szCs w:val="21"/>
              </w:rPr>
              <w:t>以新带老削减量（新建项目不填）⑤</w:t>
            </w:r>
          </w:p>
        </w:tc>
        <w:tc>
          <w:tcPr>
            <w:tcW w:w="574" w:type="pct"/>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ascii="Times New Roman" w:hAnsi="Times New Roman" w:cs="Times New Roman" w:eastAsiaTheme="minorEastAsia"/>
                <w:color w:val="auto"/>
                <w:spacing w:val="0"/>
                <w:sz w:val="21"/>
                <w:szCs w:val="21"/>
              </w:rPr>
              <w:t>本项目建成后全厂排放量（固体废物产生量）⑥</w:t>
            </w:r>
          </w:p>
        </w:tc>
        <w:tc>
          <w:tcPr>
            <w:tcW w:w="403" w:type="pct"/>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ascii="Times New Roman" w:hAnsi="Times New Roman" w:cs="Times New Roman" w:eastAsiaTheme="minorEastAsia"/>
                <w:color w:val="auto"/>
                <w:spacing w:val="0"/>
                <w:sz w:val="21"/>
                <w:szCs w:val="21"/>
              </w:rPr>
              <w:t>变化量⑦</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8" w:type="pct"/>
            <w:vMerge w:val="restart"/>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ascii="Times New Roman" w:hAnsi="Times New Roman" w:cs="Times New Roman" w:eastAsiaTheme="minorEastAsia"/>
                <w:color w:val="auto"/>
                <w:spacing w:val="0"/>
                <w:sz w:val="21"/>
                <w:szCs w:val="21"/>
              </w:rPr>
              <w:t>废气</w:t>
            </w:r>
            <w:r>
              <w:rPr>
                <w:rFonts w:hint="eastAsia" w:ascii="Times New Roman" w:hAnsi="Times New Roman" w:cs="Times New Roman" w:eastAsiaTheme="minorEastAsia"/>
                <w:color w:val="auto"/>
                <w:spacing w:val="0"/>
                <w:sz w:val="21"/>
                <w:szCs w:val="21"/>
              </w:rPr>
              <w:t>（t/a）</w:t>
            </w:r>
          </w:p>
        </w:tc>
        <w:tc>
          <w:tcPr>
            <w:tcW w:w="792" w:type="pct"/>
            <w:tcBorders>
              <w:tl2br w:val="nil"/>
              <w:tr2bl w:val="nil"/>
            </w:tcBorders>
            <w:vAlign w:val="center"/>
          </w:tcPr>
          <w:p>
            <w:pPr>
              <w:pStyle w:val="32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颗粒物</w:t>
            </w:r>
          </w:p>
        </w:tc>
        <w:tc>
          <w:tcPr>
            <w:tcW w:w="573" w:type="pct"/>
            <w:tcBorders>
              <w:tl2br w:val="nil"/>
              <w:tr2bl w:val="nil"/>
            </w:tcBorders>
            <w:vAlign w:val="center"/>
          </w:tcPr>
          <w:p>
            <w:pPr>
              <w:autoSpaceDE w:val="0"/>
              <w:autoSpaceDN w:val="0"/>
              <w:spacing w:line="240" w:lineRule="auto"/>
              <w:ind w:left="0" w:leftChars="0" w:firstLine="0" w:firstLineChars="0"/>
              <w:jc w:val="center"/>
              <w:rPr>
                <w:rFonts w:hint="default" w:ascii="Times New Roman" w:hAnsi="Times New Roman" w:cs="Times New Roman" w:eastAsiaTheme="minorEastAsia"/>
                <w:color w:val="auto"/>
                <w:spacing w:val="0"/>
                <w:sz w:val="21"/>
                <w:lang w:val="en-US" w:eastAsia="zh-CN"/>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shd w:val="clear" w:color="auto" w:fill="auto"/>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w:t>
            </w:r>
          </w:p>
        </w:tc>
        <w:tc>
          <w:tcPr>
            <w:tcW w:w="573" w:type="pct"/>
            <w:tcBorders>
              <w:tl2br w:val="nil"/>
              <w:tr2bl w:val="nil"/>
            </w:tcBorders>
            <w:vAlign w:val="center"/>
          </w:tcPr>
          <w:p>
            <w:pPr>
              <w:pStyle w:val="322"/>
              <w:spacing w:line="240" w:lineRule="auto"/>
              <w:ind w:firstLine="0" w:firstLineChars="0"/>
              <w:jc w:val="center"/>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17.014</w:t>
            </w:r>
          </w:p>
        </w:tc>
        <w:tc>
          <w:tcPr>
            <w:tcW w:w="574" w:type="pct"/>
            <w:tcBorders>
              <w:tl2br w:val="nil"/>
              <w:tr2bl w:val="nil"/>
            </w:tcBorders>
            <w:shd w:val="clear" w:color="auto" w:fill="auto"/>
            <w:vAlign w:val="center"/>
          </w:tcPr>
          <w:p>
            <w:pPr>
              <w:pStyle w:val="322"/>
              <w:spacing w:line="240" w:lineRule="auto"/>
              <w:ind w:firstLine="0" w:firstLineChars="0"/>
              <w:jc w:val="center"/>
              <w:rPr>
                <w:rFonts w:ascii="Times New Roman" w:hAnsi="Times New Roman" w:cs="Times New Roman" w:eastAsiaTheme="minorEastAsia"/>
                <w:color w:val="auto"/>
                <w:spacing w:val="0"/>
                <w:sz w:val="21"/>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shd w:val="clear" w:color="auto" w:fill="auto"/>
            <w:vAlign w:val="center"/>
          </w:tcPr>
          <w:p>
            <w:pPr>
              <w:pStyle w:val="322"/>
              <w:spacing w:line="240" w:lineRule="auto"/>
              <w:ind w:firstLine="0" w:firstLineChars="0"/>
              <w:jc w:val="center"/>
              <w:rPr>
                <w:rFonts w:hint="default" w:ascii="Times New Roman" w:hAnsi="Times New Roman" w:cs="Times New Roman" w:eastAsiaTheme="minorEastAsia"/>
                <w:color w:val="auto"/>
                <w:spacing w:val="0"/>
                <w:sz w:val="21"/>
                <w:szCs w:val="21"/>
                <w:lang w:val="en-US" w:eastAsia="zh-CN" w:bidi="ar-SA"/>
              </w:rPr>
            </w:pPr>
            <w:r>
              <w:rPr>
                <w:rFonts w:hint="eastAsia" w:ascii="Times New Roman" w:hAnsi="Times New Roman" w:cs="Times New Roman" w:eastAsiaTheme="minorEastAsia"/>
                <w:color w:val="auto"/>
                <w:spacing w:val="0"/>
                <w:sz w:val="21"/>
                <w:szCs w:val="21"/>
                <w:lang w:val="en-US" w:eastAsia="zh-CN"/>
              </w:rPr>
              <w:t>17.014</w:t>
            </w:r>
          </w:p>
        </w:tc>
        <w:tc>
          <w:tcPr>
            <w:tcW w:w="403" w:type="pct"/>
            <w:tcBorders>
              <w:tl2br w:val="nil"/>
              <w:tr2bl w:val="nil"/>
            </w:tcBorders>
            <w:shd w:val="clear" w:color="auto" w:fill="auto"/>
            <w:vAlign w:val="center"/>
          </w:tcPr>
          <w:p>
            <w:pPr>
              <w:pStyle w:val="322"/>
              <w:spacing w:line="240" w:lineRule="auto"/>
              <w:ind w:firstLine="0" w:firstLineChars="0"/>
              <w:jc w:val="center"/>
              <w:rPr>
                <w:rFonts w:hint="default" w:ascii="Times New Roman" w:hAnsi="Times New Roman" w:cs="Times New Roman" w:eastAsiaTheme="minorEastAsia"/>
                <w:color w:val="auto"/>
                <w:spacing w:val="0"/>
                <w:sz w:val="21"/>
                <w:szCs w:val="21"/>
                <w:lang w:val="en-US" w:eastAsia="zh-CN" w:bidi="ar-SA"/>
              </w:rPr>
            </w:pPr>
            <w:r>
              <w:rPr>
                <w:rFonts w:hint="eastAsia" w:ascii="Times New Roman" w:hAnsi="Times New Roman" w:cs="Times New Roman" w:eastAsiaTheme="minorEastAsia"/>
                <w:color w:val="auto"/>
                <w:spacing w:val="0"/>
                <w:sz w:val="21"/>
                <w:szCs w:val="21"/>
                <w:lang w:val="en-US" w:eastAsia="zh-CN"/>
              </w:rPr>
              <w:t>+17.014</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363" w:hRule="atLeast"/>
        </w:trPr>
        <w:tc>
          <w:tcPr>
            <w:tcW w:w="358" w:type="pct"/>
            <w:vMerge w:val="continue"/>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p>
        </w:tc>
        <w:tc>
          <w:tcPr>
            <w:tcW w:w="792" w:type="pct"/>
            <w:tcBorders>
              <w:tl2br w:val="nil"/>
              <w:tr2bl w:val="nil"/>
            </w:tcBorders>
            <w:vAlign w:val="center"/>
          </w:tcPr>
          <w:p>
            <w:pPr>
              <w:pStyle w:val="322"/>
              <w:spacing w:line="240" w:lineRule="auto"/>
              <w:ind w:firstLine="0" w:firstLineChars="0"/>
              <w:jc w:val="center"/>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非甲烷总烃</w:t>
            </w:r>
          </w:p>
        </w:tc>
        <w:tc>
          <w:tcPr>
            <w:tcW w:w="573" w:type="pct"/>
            <w:tcBorders>
              <w:tl2br w:val="nil"/>
              <w:tr2bl w:val="nil"/>
            </w:tcBorders>
            <w:shd w:val="clear" w:color="auto" w:fill="auto"/>
            <w:vAlign w:val="center"/>
          </w:tcPr>
          <w:p>
            <w:pPr>
              <w:autoSpaceDE w:val="0"/>
              <w:autoSpaceDN w:val="0"/>
              <w:spacing w:line="240" w:lineRule="auto"/>
              <w:ind w:left="0" w:leftChars="0" w:firstLine="0" w:firstLineChars="0"/>
              <w:jc w:val="center"/>
              <w:rPr>
                <w:rFonts w:hint="eastAsia" w:ascii="Times New Roman" w:hAnsi="Times New Roman" w:cs="Times New Roman" w:eastAsiaTheme="minorEastAsia"/>
                <w:color w:val="auto"/>
                <w:spacing w:val="0"/>
                <w:sz w:val="21"/>
                <w:szCs w:val="21"/>
                <w:lang w:val="en-US" w:eastAsia="zh-CN" w:bidi="ar-SA"/>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shd w:val="clear" w:color="auto" w:fill="auto"/>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s="Times New Roman" w:eastAsiaTheme="minorEastAsia"/>
                <w:color w:val="auto"/>
                <w:spacing w:val="0"/>
                <w:sz w:val="21"/>
                <w:szCs w:val="21"/>
                <w:lang w:val="en-US" w:eastAsia="zh-CN" w:bidi="ar-SA"/>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shd w:val="clear" w:color="auto" w:fill="auto"/>
            <w:vAlign w:val="center"/>
          </w:tcPr>
          <w:p>
            <w:pPr>
              <w:pStyle w:val="32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bidi="ar-SA"/>
              </w:rPr>
            </w:pPr>
            <w:r>
              <w:rPr>
                <w:rFonts w:hint="eastAsia" w:ascii="Times New Roman" w:hAnsi="Times New Roman" w:cs="Times New Roman" w:eastAsiaTheme="minorEastAsia"/>
                <w:color w:val="auto"/>
                <w:spacing w:val="0"/>
                <w:sz w:val="21"/>
                <w:szCs w:val="21"/>
              </w:rPr>
              <w:t>/</w:t>
            </w:r>
          </w:p>
        </w:tc>
        <w:tc>
          <w:tcPr>
            <w:tcW w:w="573" w:type="pct"/>
            <w:tcBorders>
              <w:tl2br w:val="nil"/>
              <w:tr2bl w:val="nil"/>
            </w:tcBorders>
            <w:vAlign w:val="center"/>
          </w:tcPr>
          <w:p>
            <w:pPr>
              <w:pStyle w:val="322"/>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sz w:val="21"/>
                <w:szCs w:val="21"/>
              </w:rPr>
              <w:t>0.0000</w:t>
            </w:r>
            <w:r>
              <w:rPr>
                <w:rFonts w:hint="eastAsia" w:ascii="Times New Roman" w:hAnsi="Times New Roman" w:eastAsia="宋体" w:cs="Times New Roman"/>
                <w:color w:val="auto"/>
                <w:sz w:val="21"/>
                <w:szCs w:val="21"/>
                <w:lang w:val="en-US" w:eastAsia="zh-CN"/>
              </w:rPr>
              <w:t>85</w:t>
            </w:r>
          </w:p>
        </w:tc>
        <w:tc>
          <w:tcPr>
            <w:tcW w:w="574" w:type="pct"/>
            <w:tcBorders>
              <w:tl2br w:val="nil"/>
              <w:tr2bl w:val="nil"/>
            </w:tcBorders>
            <w:shd w:val="clear" w:color="auto" w:fill="auto"/>
            <w:vAlign w:val="center"/>
          </w:tcPr>
          <w:p>
            <w:pPr>
              <w:pStyle w:val="322"/>
              <w:spacing w:line="240" w:lineRule="auto"/>
              <w:ind w:firstLine="0" w:firstLineChars="0"/>
              <w:jc w:val="center"/>
              <w:rPr>
                <w:rFonts w:hint="default" w:ascii="Times New Roman" w:hAnsi="Times New Roman" w:cs="Times New Roman" w:eastAsiaTheme="minorEastAsia"/>
                <w:color w:val="auto"/>
                <w:spacing w:val="0"/>
                <w:sz w:val="21"/>
                <w:szCs w:val="21"/>
                <w:lang w:val="en-US" w:eastAsia="zh-CN"/>
              </w:rPr>
            </w:pPr>
            <w:r>
              <w:rPr>
                <w:rFonts w:hint="default" w:ascii="Times New Roman" w:hAnsi="Times New Roman" w:cs="Times New Roman" w:eastAsiaTheme="minorEastAsia"/>
                <w:color w:val="auto"/>
                <w:spacing w:val="0"/>
                <w:sz w:val="21"/>
                <w:szCs w:val="21"/>
                <w:lang w:val="en-US" w:eastAsia="zh-CN"/>
              </w:rPr>
              <w:t>/</w:t>
            </w:r>
          </w:p>
        </w:tc>
        <w:tc>
          <w:tcPr>
            <w:tcW w:w="574" w:type="pct"/>
            <w:tcBorders>
              <w:tl2br w:val="nil"/>
              <w:tr2bl w:val="nil"/>
            </w:tcBorders>
            <w:shd w:val="clear" w:color="auto" w:fill="auto"/>
            <w:vAlign w:val="center"/>
          </w:tcPr>
          <w:p>
            <w:pPr>
              <w:pStyle w:val="322"/>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sz w:val="21"/>
                <w:szCs w:val="21"/>
              </w:rPr>
              <w:t>0.0000</w:t>
            </w:r>
            <w:r>
              <w:rPr>
                <w:rFonts w:hint="eastAsia" w:ascii="Times New Roman" w:hAnsi="Times New Roman" w:eastAsia="宋体" w:cs="Times New Roman"/>
                <w:color w:val="auto"/>
                <w:sz w:val="21"/>
                <w:szCs w:val="21"/>
                <w:lang w:val="en-US" w:eastAsia="zh-CN"/>
              </w:rPr>
              <w:t>85</w:t>
            </w:r>
          </w:p>
        </w:tc>
        <w:tc>
          <w:tcPr>
            <w:tcW w:w="403" w:type="pct"/>
            <w:tcBorders>
              <w:tl2br w:val="nil"/>
              <w:tr2bl w:val="nil"/>
            </w:tcBorders>
            <w:shd w:val="clear" w:color="auto" w:fill="auto"/>
            <w:vAlign w:val="center"/>
          </w:tcPr>
          <w:p>
            <w:pPr>
              <w:pStyle w:val="322"/>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rPr>
              <w:t>0.0000</w:t>
            </w:r>
            <w:r>
              <w:rPr>
                <w:rFonts w:hint="eastAsia" w:ascii="Times New Roman" w:hAnsi="Times New Roman" w:eastAsia="宋体" w:cs="Times New Roman"/>
                <w:color w:val="auto"/>
                <w:sz w:val="21"/>
                <w:szCs w:val="21"/>
                <w:lang w:val="en-US" w:eastAsia="zh-CN"/>
              </w:rPr>
              <w:t>85</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8" w:type="pct"/>
            <w:vMerge w:val="restart"/>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ascii="Times New Roman" w:hAnsi="Times New Roman" w:cs="Times New Roman" w:eastAsiaTheme="minorEastAsia"/>
                <w:color w:val="auto"/>
                <w:spacing w:val="0"/>
                <w:sz w:val="21"/>
                <w:szCs w:val="21"/>
              </w:rPr>
              <w:t>废水</w:t>
            </w:r>
            <w:r>
              <w:rPr>
                <w:rFonts w:hint="eastAsia" w:ascii="Times New Roman" w:hAnsi="Times New Roman" w:cs="Times New Roman" w:eastAsiaTheme="minorEastAsia"/>
                <w:color w:val="auto"/>
                <w:spacing w:val="0"/>
                <w:sz w:val="21"/>
                <w:szCs w:val="21"/>
              </w:rPr>
              <w:t>（t/a）</w:t>
            </w:r>
          </w:p>
        </w:tc>
        <w:tc>
          <w:tcPr>
            <w:tcW w:w="792" w:type="pct"/>
            <w:tcBorders>
              <w:tl2br w:val="nil"/>
              <w:tr2bl w:val="nil"/>
            </w:tcBorders>
            <w:shd w:val="clear" w:color="auto" w:fill="auto"/>
            <w:vAlign w:val="center"/>
          </w:tcPr>
          <w:p>
            <w:pPr>
              <w:pStyle w:val="388"/>
              <w:widowControl/>
              <w:jc w:val="center"/>
              <w:rPr>
                <w:rFonts w:hint="eastAsia" w:ascii="Times New Roman" w:hAnsi="Times New Roman" w:eastAsia="宋体" w:cs="Times New Roman"/>
                <w:color w:val="auto"/>
                <w:spacing w:val="0"/>
                <w:sz w:val="21"/>
                <w:szCs w:val="21"/>
                <w:lang w:val="en-US" w:eastAsia="zh-CN"/>
              </w:rPr>
            </w:pPr>
            <w:r>
              <w:rPr>
                <w:rFonts w:hint="eastAsia" w:ascii="Times New Roman" w:hAnsi="Times New Roman" w:cs="Times New Roman"/>
                <w:color w:val="auto"/>
                <w:spacing w:val="0"/>
                <w:sz w:val="21"/>
                <w:szCs w:val="21"/>
                <w:lang w:val="en-US" w:eastAsia="zh-CN"/>
              </w:rPr>
              <w:t>废水量</w:t>
            </w:r>
          </w:p>
        </w:tc>
        <w:tc>
          <w:tcPr>
            <w:tcW w:w="573" w:type="pct"/>
            <w:tcBorders>
              <w:tl2br w:val="nil"/>
              <w:tr2bl w:val="nil"/>
            </w:tcBorders>
            <w:vAlign w:val="center"/>
          </w:tcPr>
          <w:p>
            <w:pPr>
              <w:autoSpaceDE w:val="0"/>
              <w:autoSpaceDN w:val="0"/>
              <w:spacing w:line="240" w:lineRule="auto"/>
              <w:ind w:left="0" w:leftChars="0" w:firstLine="0" w:firstLineChars="0"/>
              <w:jc w:val="center"/>
              <w:rPr>
                <w:rFonts w:hint="eastAsia"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w:t>
            </w:r>
          </w:p>
        </w:tc>
        <w:tc>
          <w:tcPr>
            <w:tcW w:w="574" w:type="pct"/>
            <w:tcBorders>
              <w:tl2br w:val="nil"/>
              <w:tr2bl w:val="nil"/>
            </w:tcBorders>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w:t>
            </w:r>
          </w:p>
        </w:tc>
        <w:tc>
          <w:tcPr>
            <w:tcW w:w="574" w:type="pct"/>
            <w:tcBorders>
              <w:tl2br w:val="nil"/>
              <w:tr2bl w:val="nil"/>
            </w:tcBorders>
            <w:shd w:val="clear" w:color="auto" w:fill="auto"/>
            <w:vAlign w:val="center"/>
          </w:tcPr>
          <w:p>
            <w:pPr>
              <w:pStyle w:val="32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w:t>
            </w:r>
          </w:p>
        </w:tc>
        <w:tc>
          <w:tcPr>
            <w:tcW w:w="573" w:type="pct"/>
            <w:tcBorders>
              <w:tl2br w:val="nil"/>
              <w:tr2bl w:val="nil"/>
            </w:tcBorders>
            <w:vAlign w:val="center"/>
          </w:tcPr>
          <w:p>
            <w:pPr>
              <w:pStyle w:val="322"/>
              <w:spacing w:line="240" w:lineRule="auto"/>
              <w:ind w:firstLine="0" w:firstLineChars="0"/>
              <w:jc w:val="center"/>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79.2</w:t>
            </w:r>
          </w:p>
        </w:tc>
        <w:tc>
          <w:tcPr>
            <w:tcW w:w="574" w:type="pct"/>
            <w:tcBorders>
              <w:tl2br w:val="nil"/>
              <w:tr2bl w:val="nil"/>
            </w:tcBorders>
            <w:shd w:val="clear" w:color="auto" w:fill="auto"/>
            <w:vAlign w:val="center"/>
          </w:tcPr>
          <w:p>
            <w:pPr>
              <w:pStyle w:val="32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w:t>
            </w:r>
          </w:p>
        </w:tc>
        <w:tc>
          <w:tcPr>
            <w:tcW w:w="574" w:type="pct"/>
            <w:tcBorders>
              <w:tl2br w:val="nil"/>
              <w:tr2bl w:val="nil"/>
            </w:tcBorders>
            <w:shd w:val="clear" w:color="auto" w:fill="auto"/>
            <w:vAlign w:val="center"/>
          </w:tcPr>
          <w:p>
            <w:pPr>
              <w:pStyle w:val="32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bidi="ar-SA"/>
              </w:rPr>
            </w:pPr>
            <w:r>
              <w:rPr>
                <w:rFonts w:hint="eastAsia" w:ascii="Times New Roman" w:hAnsi="Times New Roman" w:cs="Times New Roman" w:eastAsiaTheme="minorEastAsia"/>
                <w:color w:val="auto"/>
                <w:spacing w:val="0"/>
                <w:sz w:val="21"/>
                <w:szCs w:val="21"/>
                <w:lang w:val="en-US" w:eastAsia="zh-CN"/>
              </w:rPr>
              <w:t>79.2</w:t>
            </w:r>
          </w:p>
        </w:tc>
        <w:tc>
          <w:tcPr>
            <w:tcW w:w="403" w:type="pct"/>
            <w:tcBorders>
              <w:tl2br w:val="nil"/>
              <w:tr2bl w:val="nil"/>
            </w:tcBorders>
            <w:shd w:val="clear" w:color="auto" w:fill="auto"/>
            <w:vAlign w:val="center"/>
          </w:tcPr>
          <w:p>
            <w:pPr>
              <w:pStyle w:val="32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bidi="ar-SA"/>
              </w:rPr>
            </w:pPr>
            <w:r>
              <w:rPr>
                <w:rFonts w:hint="eastAsia" w:ascii="Times New Roman" w:hAnsi="Times New Roman" w:cs="Times New Roman" w:eastAsiaTheme="minorEastAsia"/>
                <w:color w:val="auto"/>
                <w:spacing w:val="0"/>
                <w:sz w:val="21"/>
                <w:szCs w:val="21"/>
                <w:lang w:val="en-US" w:eastAsia="zh-CN"/>
              </w:rPr>
              <w:t>+79.2</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397" w:hRule="atLeast"/>
        </w:trPr>
        <w:tc>
          <w:tcPr>
            <w:tcW w:w="358" w:type="pct"/>
            <w:vMerge w:val="continue"/>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p>
        </w:tc>
        <w:tc>
          <w:tcPr>
            <w:tcW w:w="792" w:type="pct"/>
            <w:tcBorders>
              <w:tl2br w:val="nil"/>
              <w:tr2bl w:val="nil"/>
            </w:tcBorders>
            <w:shd w:val="clear" w:color="auto" w:fill="auto"/>
            <w:vAlign w:val="center"/>
          </w:tcPr>
          <w:p>
            <w:pPr>
              <w:pStyle w:val="388"/>
              <w:widowControl/>
              <w:jc w:val="center"/>
              <w:rPr>
                <w:rFonts w:ascii="Times New Roman" w:hAnsi="Times New Roman" w:cs="Times New Roman"/>
                <w:snapToGrid w:val="0"/>
                <w:color w:val="auto"/>
                <w:spacing w:val="0"/>
                <w:kern w:val="21"/>
                <w:sz w:val="21"/>
                <w:szCs w:val="21"/>
              </w:rPr>
            </w:pPr>
            <w:r>
              <w:rPr>
                <w:rFonts w:ascii="Times New Roman" w:hAnsi="Times New Roman" w:cs="Times New Roman"/>
                <w:color w:val="auto"/>
                <w:spacing w:val="0"/>
                <w:sz w:val="21"/>
                <w:szCs w:val="21"/>
              </w:rPr>
              <w:t>COD</w:t>
            </w:r>
          </w:p>
        </w:tc>
        <w:tc>
          <w:tcPr>
            <w:tcW w:w="573" w:type="pct"/>
            <w:tcBorders>
              <w:tl2br w:val="nil"/>
              <w:tr2bl w:val="nil"/>
            </w:tcBorders>
            <w:vAlign w:val="center"/>
          </w:tcPr>
          <w:p>
            <w:pPr>
              <w:autoSpaceDE w:val="0"/>
              <w:autoSpaceDN w:val="0"/>
              <w:spacing w:line="240" w:lineRule="auto"/>
              <w:ind w:left="0" w:leftChars="0" w:firstLine="0" w:firstLineChars="0"/>
              <w:jc w:val="center"/>
              <w:rPr>
                <w:rFonts w:hint="default" w:ascii="Times New Roman" w:hAnsi="Times New Roman" w:cs="Times New Roman" w:eastAsiaTheme="minorEastAsia"/>
                <w:color w:val="auto"/>
                <w:spacing w:val="0"/>
                <w:sz w:val="21"/>
                <w:lang w:val="en-US" w:eastAsia="zh-CN"/>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shd w:val="clear" w:color="auto" w:fill="auto"/>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w:t>
            </w:r>
          </w:p>
        </w:tc>
        <w:tc>
          <w:tcPr>
            <w:tcW w:w="573" w:type="pct"/>
            <w:tcBorders>
              <w:tl2br w:val="nil"/>
              <w:tr2bl w:val="nil"/>
            </w:tcBorders>
            <w:vAlign w:val="center"/>
          </w:tcPr>
          <w:p>
            <w:pPr>
              <w:pStyle w:val="322"/>
              <w:spacing w:line="240" w:lineRule="auto"/>
              <w:ind w:firstLine="0" w:firstLineChars="0"/>
              <w:jc w:val="center"/>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0.022</w:t>
            </w:r>
          </w:p>
        </w:tc>
        <w:tc>
          <w:tcPr>
            <w:tcW w:w="574" w:type="pct"/>
            <w:tcBorders>
              <w:tl2br w:val="nil"/>
              <w:tr2bl w:val="nil"/>
            </w:tcBorders>
            <w:shd w:val="clear" w:color="auto" w:fill="auto"/>
            <w:vAlign w:val="center"/>
          </w:tcPr>
          <w:p>
            <w:pPr>
              <w:pStyle w:val="322"/>
              <w:spacing w:line="240" w:lineRule="auto"/>
              <w:ind w:firstLine="0" w:firstLineChars="0"/>
              <w:jc w:val="center"/>
              <w:rPr>
                <w:rFonts w:ascii="Times New Roman" w:hAnsi="Times New Roman" w:cs="Times New Roman" w:eastAsiaTheme="minorEastAsia"/>
                <w:color w:val="auto"/>
                <w:spacing w:val="0"/>
                <w:sz w:val="21"/>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shd w:val="clear" w:color="auto" w:fill="auto"/>
            <w:vAlign w:val="center"/>
          </w:tcPr>
          <w:p>
            <w:pPr>
              <w:pStyle w:val="322"/>
              <w:spacing w:line="240" w:lineRule="auto"/>
              <w:ind w:firstLine="0" w:firstLineChars="0"/>
              <w:jc w:val="center"/>
              <w:rPr>
                <w:rFonts w:hint="default" w:ascii="Times New Roman" w:hAnsi="Times New Roman" w:cs="Times New Roman" w:eastAsiaTheme="minorEastAsia"/>
                <w:color w:val="auto"/>
                <w:spacing w:val="0"/>
                <w:sz w:val="21"/>
                <w:szCs w:val="21"/>
                <w:lang w:val="en-US" w:eastAsia="zh-CN" w:bidi="ar-SA"/>
              </w:rPr>
            </w:pPr>
            <w:r>
              <w:rPr>
                <w:rFonts w:hint="eastAsia" w:ascii="Times New Roman" w:hAnsi="Times New Roman" w:cs="Times New Roman" w:eastAsiaTheme="minorEastAsia"/>
                <w:color w:val="auto"/>
                <w:spacing w:val="0"/>
                <w:sz w:val="21"/>
                <w:szCs w:val="21"/>
                <w:lang w:val="en-US" w:eastAsia="zh-CN"/>
              </w:rPr>
              <w:t>0.022</w:t>
            </w:r>
          </w:p>
        </w:tc>
        <w:tc>
          <w:tcPr>
            <w:tcW w:w="403" w:type="pct"/>
            <w:tcBorders>
              <w:tl2br w:val="nil"/>
              <w:tr2bl w:val="nil"/>
            </w:tcBorders>
            <w:shd w:val="clear" w:color="auto" w:fill="auto"/>
            <w:vAlign w:val="center"/>
          </w:tcPr>
          <w:p>
            <w:pPr>
              <w:pStyle w:val="322"/>
              <w:spacing w:line="240" w:lineRule="auto"/>
              <w:ind w:firstLine="0" w:firstLineChars="0"/>
              <w:jc w:val="center"/>
              <w:rPr>
                <w:rFonts w:hint="default" w:ascii="Times New Roman" w:hAnsi="Times New Roman" w:cs="Times New Roman" w:eastAsiaTheme="minorEastAsia"/>
                <w:color w:val="auto"/>
                <w:spacing w:val="0"/>
                <w:sz w:val="21"/>
                <w:szCs w:val="21"/>
                <w:lang w:val="en-US" w:eastAsia="zh-CN" w:bidi="ar-SA"/>
              </w:rPr>
            </w:pPr>
            <w:r>
              <w:rPr>
                <w:rFonts w:hint="eastAsia" w:ascii="Times New Roman" w:hAnsi="Times New Roman" w:cs="Times New Roman" w:eastAsiaTheme="minorEastAsia"/>
                <w:color w:val="auto"/>
                <w:spacing w:val="0"/>
                <w:sz w:val="21"/>
                <w:szCs w:val="21"/>
                <w:lang w:val="en-US" w:eastAsia="zh-CN"/>
              </w:rPr>
              <w:t>+0.022</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8" w:type="pct"/>
            <w:vMerge w:val="continue"/>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p>
        </w:tc>
        <w:tc>
          <w:tcPr>
            <w:tcW w:w="792" w:type="pct"/>
            <w:tcBorders>
              <w:tl2br w:val="nil"/>
              <w:tr2bl w:val="nil"/>
            </w:tcBorders>
            <w:shd w:val="clear" w:color="auto" w:fill="auto"/>
            <w:vAlign w:val="center"/>
          </w:tcPr>
          <w:p>
            <w:pPr>
              <w:pStyle w:val="388"/>
              <w:widowControl/>
              <w:jc w:val="center"/>
              <w:rPr>
                <w:rFonts w:ascii="Times New Roman" w:hAnsi="Times New Roman" w:cs="Times New Roman"/>
                <w:snapToGrid w:val="0"/>
                <w:color w:val="auto"/>
                <w:spacing w:val="0"/>
                <w:kern w:val="21"/>
                <w:sz w:val="21"/>
                <w:szCs w:val="21"/>
              </w:rPr>
            </w:pPr>
            <w:r>
              <w:rPr>
                <w:rFonts w:ascii="Times New Roman" w:hAnsi="Times New Roman" w:cs="Times New Roman"/>
                <w:color w:val="auto"/>
                <w:spacing w:val="0"/>
                <w:sz w:val="21"/>
                <w:szCs w:val="21"/>
              </w:rPr>
              <w:t>氨氮</w:t>
            </w:r>
          </w:p>
        </w:tc>
        <w:tc>
          <w:tcPr>
            <w:tcW w:w="573" w:type="pct"/>
            <w:tcBorders>
              <w:tl2br w:val="nil"/>
              <w:tr2bl w:val="nil"/>
            </w:tcBorders>
            <w:vAlign w:val="center"/>
          </w:tcPr>
          <w:p>
            <w:pPr>
              <w:autoSpaceDE w:val="0"/>
              <w:autoSpaceDN w:val="0"/>
              <w:spacing w:line="240" w:lineRule="auto"/>
              <w:ind w:left="0" w:leftChars="0" w:firstLine="0" w:firstLineChars="0"/>
              <w:jc w:val="center"/>
              <w:rPr>
                <w:rFonts w:hint="default" w:ascii="Times New Roman" w:hAnsi="Times New Roman" w:cs="Times New Roman" w:eastAsiaTheme="minorEastAsia"/>
                <w:color w:val="auto"/>
                <w:spacing w:val="0"/>
                <w:sz w:val="21"/>
                <w:lang w:val="en-US" w:eastAsia="zh-CN"/>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shd w:val="clear" w:color="auto" w:fill="auto"/>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w:t>
            </w:r>
          </w:p>
        </w:tc>
        <w:tc>
          <w:tcPr>
            <w:tcW w:w="573" w:type="pct"/>
            <w:tcBorders>
              <w:tl2br w:val="nil"/>
              <w:tr2bl w:val="nil"/>
            </w:tcBorders>
            <w:vAlign w:val="center"/>
          </w:tcPr>
          <w:p>
            <w:pPr>
              <w:pStyle w:val="322"/>
              <w:spacing w:line="240" w:lineRule="auto"/>
              <w:ind w:firstLine="0" w:firstLineChars="0"/>
              <w:jc w:val="center"/>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0.002</w:t>
            </w:r>
          </w:p>
        </w:tc>
        <w:tc>
          <w:tcPr>
            <w:tcW w:w="574" w:type="pct"/>
            <w:tcBorders>
              <w:tl2br w:val="nil"/>
              <w:tr2bl w:val="nil"/>
            </w:tcBorders>
            <w:shd w:val="clear" w:color="auto" w:fill="auto"/>
            <w:vAlign w:val="center"/>
          </w:tcPr>
          <w:p>
            <w:pPr>
              <w:pStyle w:val="322"/>
              <w:spacing w:line="240" w:lineRule="auto"/>
              <w:ind w:firstLine="0" w:firstLineChars="0"/>
              <w:jc w:val="center"/>
              <w:rPr>
                <w:rFonts w:ascii="Times New Roman" w:hAnsi="Times New Roman" w:cs="Times New Roman" w:eastAsiaTheme="minorEastAsia"/>
                <w:color w:val="auto"/>
                <w:spacing w:val="0"/>
                <w:sz w:val="21"/>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shd w:val="clear" w:color="auto" w:fill="auto"/>
            <w:vAlign w:val="center"/>
          </w:tcPr>
          <w:p>
            <w:pPr>
              <w:pStyle w:val="322"/>
              <w:spacing w:line="240" w:lineRule="auto"/>
              <w:ind w:firstLine="0" w:firstLineChars="0"/>
              <w:jc w:val="center"/>
              <w:rPr>
                <w:rFonts w:hint="default" w:ascii="Times New Roman" w:hAnsi="Times New Roman" w:cs="Times New Roman" w:eastAsiaTheme="minorEastAsia"/>
                <w:color w:val="auto"/>
                <w:spacing w:val="0"/>
                <w:sz w:val="21"/>
                <w:szCs w:val="21"/>
                <w:lang w:val="en-US" w:eastAsia="zh-CN" w:bidi="ar-SA"/>
              </w:rPr>
            </w:pPr>
            <w:r>
              <w:rPr>
                <w:rFonts w:hint="eastAsia" w:ascii="Times New Roman" w:hAnsi="Times New Roman" w:cs="Times New Roman" w:eastAsiaTheme="minorEastAsia"/>
                <w:color w:val="auto"/>
                <w:spacing w:val="0"/>
                <w:sz w:val="21"/>
                <w:szCs w:val="21"/>
                <w:lang w:val="en-US" w:eastAsia="zh-CN"/>
              </w:rPr>
              <w:t>0.002</w:t>
            </w:r>
          </w:p>
        </w:tc>
        <w:tc>
          <w:tcPr>
            <w:tcW w:w="403" w:type="pct"/>
            <w:tcBorders>
              <w:tl2br w:val="nil"/>
              <w:tr2bl w:val="nil"/>
            </w:tcBorders>
            <w:shd w:val="clear" w:color="auto" w:fill="auto"/>
            <w:vAlign w:val="center"/>
          </w:tcPr>
          <w:p>
            <w:pPr>
              <w:pStyle w:val="322"/>
              <w:spacing w:line="240" w:lineRule="auto"/>
              <w:ind w:firstLine="0" w:firstLineChars="0"/>
              <w:jc w:val="center"/>
              <w:rPr>
                <w:rFonts w:hint="default" w:ascii="Times New Roman" w:hAnsi="Times New Roman" w:cs="Times New Roman" w:eastAsiaTheme="minorEastAsia"/>
                <w:color w:val="auto"/>
                <w:spacing w:val="0"/>
                <w:sz w:val="21"/>
                <w:szCs w:val="21"/>
                <w:lang w:val="en-US" w:eastAsia="zh-CN" w:bidi="ar-SA"/>
              </w:rPr>
            </w:pPr>
            <w:r>
              <w:rPr>
                <w:rFonts w:hint="eastAsia" w:ascii="Times New Roman" w:hAnsi="Times New Roman" w:cs="Times New Roman" w:eastAsiaTheme="minorEastAsia"/>
                <w:color w:val="auto"/>
                <w:spacing w:val="0"/>
                <w:sz w:val="21"/>
                <w:szCs w:val="21"/>
                <w:lang w:val="en-US" w:eastAsia="zh-CN"/>
              </w:rPr>
              <w:t>+0.002</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8" w:type="pct"/>
            <w:vMerge w:val="restart"/>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ascii="Times New Roman" w:hAnsi="Times New Roman" w:cs="Times New Roman" w:eastAsiaTheme="minorEastAsia"/>
                <w:color w:val="auto"/>
                <w:spacing w:val="0"/>
                <w:sz w:val="21"/>
                <w:szCs w:val="21"/>
              </w:rPr>
              <w:t>一般工业固体废物</w:t>
            </w:r>
            <w:r>
              <w:rPr>
                <w:rFonts w:hint="eastAsia" w:ascii="Times New Roman" w:hAnsi="Times New Roman" w:cs="Times New Roman" w:eastAsiaTheme="minorEastAsia"/>
                <w:color w:val="auto"/>
                <w:spacing w:val="0"/>
                <w:sz w:val="21"/>
                <w:szCs w:val="21"/>
              </w:rPr>
              <w:t>（t/a）</w:t>
            </w:r>
          </w:p>
        </w:tc>
        <w:tc>
          <w:tcPr>
            <w:tcW w:w="792" w:type="pct"/>
            <w:tcBorders>
              <w:tl2br w:val="nil"/>
              <w:tr2bl w:val="nil"/>
            </w:tcBorders>
            <w:shd w:val="clear" w:color="auto" w:fill="auto"/>
            <w:vAlign w:val="center"/>
          </w:tcPr>
          <w:p>
            <w:pPr>
              <w:spacing w:line="240" w:lineRule="auto"/>
              <w:ind w:firstLine="0" w:firstLineChars="0"/>
              <w:jc w:val="center"/>
              <w:rPr>
                <w:rFonts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车间及除尘系统收集的粉尘</w:t>
            </w:r>
          </w:p>
        </w:tc>
        <w:tc>
          <w:tcPr>
            <w:tcW w:w="573" w:type="pct"/>
            <w:tcBorders>
              <w:tl2br w:val="nil"/>
              <w:tr2bl w:val="nil"/>
            </w:tcBorders>
            <w:vAlign w:val="center"/>
          </w:tcPr>
          <w:p>
            <w:pPr>
              <w:spacing w:line="240" w:lineRule="auto"/>
              <w:ind w:left="0" w:leftChars="0" w:firstLine="0" w:firstLineChars="0"/>
              <w:jc w:val="center"/>
              <w:rPr>
                <w:rFonts w:ascii="Times New Roman" w:hAnsi="Times New Roman" w:cs="Times New Roman" w:eastAsiaTheme="minorEastAsia"/>
                <w:color w:val="auto"/>
                <w:spacing w:val="0"/>
                <w:sz w:val="21"/>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shd w:val="clear" w:color="auto" w:fill="auto"/>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w:t>
            </w:r>
          </w:p>
        </w:tc>
        <w:tc>
          <w:tcPr>
            <w:tcW w:w="573" w:type="pct"/>
            <w:tcBorders>
              <w:tl2br w:val="nil"/>
              <w:tr2bl w:val="nil"/>
            </w:tcBorders>
            <w:vAlign w:val="center"/>
          </w:tcPr>
          <w:p>
            <w:pPr>
              <w:pStyle w:val="2"/>
              <w:spacing w:line="240" w:lineRule="auto"/>
              <w:ind w:firstLine="0" w:firstLineChars="0"/>
              <w:jc w:val="center"/>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eastAsia="宋体" w:cs="Times New Roman"/>
                <w:color w:val="auto"/>
                <w:spacing w:val="0"/>
                <w:sz w:val="21"/>
                <w:lang w:val="en-US" w:eastAsia="zh-CN"/>
              </w:rPr>
              <w:t>238.846</w:t>
            </w:r>
          </w:p>
        </w:tc>
        <w:tc>
          <w:tcPr>
            <w:tcW w:w="574" w:type="pct"/>
            <w:tcBorders>
              <w:tl2br w:val="nil"/>
              <w:tr2bl w:val="nil"/>
            </w:tcBorders>
            <w:shd w:val="clear" w:color="auto" w:fill="auto"/>
            <w:vAlign w:val="center"/>
          </w:tcPr>
          <w:p>
            <w:pPr>
              <w:pStyle w:val="322"/>
              <w:spacing w:line="240" w:lineRule="auto"/>
              <w:ind w:firstLine="0" w:firstLineChars="0"/>
              <w:jc w:val="center"/>
              <w:rPr>
                <w:rFonts w:ascii="Times New Roman" w:hAnsi="Times New Roman" w:cs="Times New Roman" w:eastAsiaTheme="minorEastAsia"/>
                <w:color w:val="auto"/>
                <w:spacing w:val="0"/>
                <w:sz w:val="21"/>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shd w:val="clear" w:color="auto" w:fill="auto"/>
            <w:vAlign w:val="center"/>
          </w:tcPr>
          <w:p>
            <w:pPr>
              <w:pStyle w:val="2"/>
              <w:spacing w:line="240" w:lineRule="auto"/>
              <w:ind w:firstLine="0" w:firstLineChars="0"/>
              <w:jc w:val="center"/>
              <w:rPr>
                <w:rFonts w:hint="default" w:ascii="Times New Roman" w:hAnsi="Times New Roman" w:cs="Times New Roman" w:eastAsiaTheme="minorEastAsia"/>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238.846</w:t>
            </w:r>
          </w:p>
        </w:tc>
        <w:tc>
          <w:tcPr>
            <w:tcW w:w="403" w:type="pct"/>
            <w:tcBorders>
              <w:tl2br w:val="nil"/>
              <w:tr2bl w:val="nil"/>
            </w:tcBorders>
            <w:shd w:val="clear" w:color="auto" w:fill="auto"/>
            <w:vAlign w:val="center"/>
          </w:tcPr>
          <w:p>
            <w:pPr>
              <w:pStyle w:val="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+238.846</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8" w:type="pct"/>
            <w:vMerge w:val="continue"/>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p>
        </w:tc>
        <w:tc>
          <w:tcPr>
            <w:tcW w:w="792" w:type="pct"/>
            <w:tcBorders>
              <w:tl2br w:val="nil"/>
              <w:tr2bl w:val="nil"/>
            </w:tcBorders>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废布袋</w:t>
            </w:r>
          </w:p>
        </w:tc>
        <w:tc>
          <w:tcPr>
            <w:tcW w:w="573" w:type="pct"/>
            <w:tcBorders>
              <w:tl2br w:val="nil"/>
              <w:tr2bl w:val="nil"/>
            </w:tcBorders>
            <w:vAlign w:val="center"/>
          </w:tcPr>
          <w:p>
            <w:pPr>
              <w:spacing w:line="240" w:lineRule="auto"/>
              <w:ind w:left="0" w:leftChars="0" w:firstLine="0" w:firstLineChars="0"/>
              <w:jc w:val="center"/>
              <w:rPr>
                <w:rFonts w:hint="eastAsia" w:ascii="Times New Roman" w:hAnsi="Times New Roman" w:cs="Times New Roman" w:eastAsiaTheme="minorEastAsia"/>
                <w:color w:val="auto"/>
                <w:spacing w:val="0"/>
                <w:sz w:val="21"/>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shd w:val="clear" w:color="auto" w:fill="auto"/>
            <w:vAlign w:val="center"/>
          </w:tcPr>
          <w:p>
            <w:pPr>
              <w:pStyle w:val="322"/>
              <w:spacing w:line="240" w:lineRule="auto"/>
              <w:ind w:firstLine="0" w:firstLineChars="0"/>
              <w:jc w:val="center"/>
              <w:rPr>
                <w:rFonts w:hint="eastAsia"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w:t>
            </w:r>
          </w:p>
        </w:tc>
        <w:tc>
          <w:tcPr>
            <w:tcW w:w="573" w:type="pct"/>
            <w:tcBorders>
              <w:tl2br w:val="nil"/>
              <w:tr2bl w:val="nil"/>
            </w:tcBorders>
            <w:vAlign w:val="center"/>
          </w:tcPr>
          <w:p>
            <w:pPr>
              <w:pStyle w:val="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rPr>
            </w:pPr>
            <w:r>
              <w:rPr>
                <w:rFonts w:hint="eastAsia" w:ascii="Times New Roman" w:hAnsi="Times New Roman" w:eastAsia="宋体" w:cs="Times New Roman"/>
                <w:color w:val="auto"/>
                <w:spacing w:val="0"/>
                <w:sz w:val="21"/>
                <w:lang w:val="en-US" w:eastAsia="zh-CN"/>
              </w:rPr>
              <w:t>0.5</w:t>
            </w:r>
          </w:p>
        </w:tc>
        <w:tc>
          <w:tcPr>
            <w:tcW w:w="574" w:type="pct"/>
            <w:tcBorders>
              <w:tl2br w:val="nil"/>
              <w:tr2bl w:val="nil"/>
            </w:tcBorders>
            <w:shd w:val="clear" w:color="auto" w:fill="auto"/>
            <w:vAlign w:val="center"/>
          </w:tcPr>
          <w:p>
            <w:pPr>
              <w:pStyle w:val="322"/>
              <w:spacing w:line="240" w:lineRule="auto"/>
              <w:ind w:firstLine="0" w:firstLineChars="0"/>
              <w:jc w:val="center"/>
              <w:rPr>
                <w:rFonts w:hint="eastAsia" w:ascii="Times New Roman" w:hAnsi="Times New Roman" w:cs="Times New Roman" w:eastAsiaTheme="minorEastAsia"/>
                <w:color w:val="auto"/>
                <w:spacing w:val="0"/>
                <w:sz w:val="21"/>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shd w:val="clear" w:color="auto" w:fill="auto"/>
            <w:vAlign w:val="center"/>
          </w:tcPr>
          <w:p>
            <w:pPr>
              <w:pStyle w:val="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0.5</w:t>
            </w:r>
          </w:p>
        </w:tc>
        <w:tc>
          <w:tcPr>
            <w:tcW w:w="403" w:type="pct"/>
            <w:tcBorders>
              <w:tl2br w:val="nil"/>
              <w:tr2bl w:val="nil"/>
            </w:tcBorders>
            <w:shd w:val="clear" w:color="auto" w:fill="auto"/>
            <w:vAlign w:val="center"/>
          </w:tcPr>
          <w:p>
            <w:pPr>
              <w:pStyle w:val="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+0.5</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8" w:type="pct"/>
            <w:vMerge w:val="continue"/>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p>
        </w:tc>
        <w:tc>
          <w:tcPr>
            <w:tcW w:w="792" w:type="pct"/>
            <w:tcBorders>
              <w:tl2br w:val="nil"/>
              <w:tr2bl w:val="nil"/>
            </w:tcBorders>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废金属</w:t>
            </w:r>
          </w:p>
        </w:tc>
        <w:tc>
          <w:tcPr>
            <w:tcW w:w="573" w:type="pct"/>
            <w:tcBorders>
              <w:tl2br w:val="nil"/>
              <w:tr2bl w:val="nil"/>
            </w:tcBorders>
            <w:vAlign w:val="center"/>
          </w:tcPr>
          <w:p>
            <w:pPr>
              <w:spacing w:line="240" w:lineRule="auto"/>
              <w:ind w:left="0" w:leftChars="0" w:firstLine="0" w:firstLineChars="0"/>
              <w:jc w:val="center"/>
              <w:rPr>
                <w:rFonts w:hint="eastAsia"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w:t>
            </w:r>
          </w:p>
        </w:tc>
        <w:tc>
          <w:tcPr>
            <w:tcW w:w="574" w:type="pct"/>
            <w:tcBorders>
              <w:tl2br w:val="nil"/>
              <w:tr2bl w:val="nil"/>
            </w:tcBorders>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w:t>
            </w:r>
          </w:p>
        </w:tc>
        <w:tc>
          <w:tcPr>
            <w:tcW w:w="574" w:type="pct"/>
            <w:tcBorders>
              <w:tl2br w:val="nil"/>
              <w:tr2bl w:val="nil"/>
            </w:tcBorders>
            <w:shd w:val="clear" w:color="auto" w:fill="auto"/>
            <w:vAlign w:val="center"/>
          </w:tcPr>
          <w:p>
            <w:pPr>
              <w:pStyle w:val="32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w:t>
            </w:r>
          </w:p>
        </w:tc>
        <w:tc>
          <w:tcPr>
            <w:tcW w:w="573" w:type="pct"/>
            <w:tcBorders>
              <w:tl2br w:val="nil"/>
              <w:tr2bl w:val="nil"/>
            </w:tcBorders>
            <w:vAlign w:val="center"/>
          </w:tcPr>
          <w:p>
            <w:pPr>
              <w:pStyle w:val="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rPr>
            </w:pPr>
            <w:r>
              <w:rPr>
                <w:rFonts w:hint="eastAsia" w:ascii="Times New Roman" w:hAnsi="Times New Roman" w:eastAsia="宋体" w:cs="Times New Roman"/>
                <w:color w:val="auto"/>
                <w:spacing w:val="0"/>
                <w:sz w:val="21"/>
                <w:lang w:val="en-US" w:eastAsia="zh-CN"/>
              </w:rPr>
              <w:t>2000</w:t>
            </w:r>
          </w:p>
        </w:tc>
        <w:tc>
          <w:tcPr>
            <w:tcW w:w="574" w:type="pct"/>
            <w:tcBorders>
              <w:tl2br w:val="nil"/>
              <w:tr2bl w:val="nil"/>
            </w:tcBorders>
            <w:shd w:val="clear" w:color="auto" w:fill="auto"/>
            <w:vAlign w:val="center"/>
          </w:tcPr>
          <w:p>
            <w:pPr>
              <w:pStyle w:val="32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w:t>
            </w:r>
          </w:p>
        </w:tc>
        <w:tc>
          <w:tcPr>
            <w:tcW w:w="574" w:type="pct"/>
            <w:tcBorders>
              <w:tl2br w:val="nil"/>
              <w:tr2bl w:val="nil"/>
            </w:tcBorders>
            <w:shd w:val="clear" w:color="auto" w:fill="auto"/>
            <w:vAlign w:val="center"/>
          </w:tcPr>
          <w:p>
            <w:pPr>
              <w:pStyle w:val="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2000</w:t>
            </w:r>
          </w:p>
        </w:tc>
        <w:tc>
          <w:tcPr>
            <w:tcW w:w="403" w:type="pct"/>
            <w:tcBorders>
              <w:tl2br w:val="nil"/>
              <w:tr2bl w:val="nil"/>
            </w:tcBorders>
            <w:shd w:val="clear" w:color="auto" w:fill="auto"/>
            <w:vAlign w:val="center"/>
          </w:tcPr>
          <w:p>
            <w:pPr>
              <w:pStyle w:val="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+2000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397" w:hRule="atLeast"/>
        </w:trPr>
        <w:tc>
          <w:tcPr>
            <w:tcW w:w="358" w:type="pct"/>
            <w:vMerge w:val="continue"/>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p>
        </w:tc>
        <w:tc>
          <w:tcPr>
            <w:tcW w:w="792" w:type="pct"/>
            <w:tcBorders>
              <w:tl2br w:val="nil"/>
              <w:tr2bl w:val="nil"/>
            </w:tcBorders>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轻物质</w:t>
            </w:r>
          </w:p>
        </w:tc>
        <w:tc>
          <w:tcPr>
            <w:tcW w:w="573" w:type="pct"/>
            <w:tcBorders>
              <w:tl2br w:val="nil"/>
              <w:tr2bl w:val="nil"/>
            </w:tcBorders>
            <w:vAlign w:val="center"/>
          </w:tcPr>
          <w:p>
            <w:pPr>
              <w:spacing w:line="240" w:lineRule="auto"/>
              <w:ind w:left="0" w:leftChars="0" w:firstLine="0" w:firstLineChars="0"/>
              <w:jc w:val="center"/>
              <w:rPr>
                <w:rFonts w:hint="eastAsia"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w:t>
            </w:r>
          </w:p>
        </w:tc>
        <w:tc>
          <w:tcPr>
            <w:tcW w:w="574" w:type="pct"/>
            <w:tcBorders>
              <w:tl2br w:val="nil"/>
              <w:tr2bl w:val="nil"/>
            </w:tcBorders>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w:t>
            </w:r>
          </w:p>
        </w:tc>
        <w:tc>
          <w:tcPr>
            <w:tcW w:w="574" w:type="pct"/>
            <w:tcBorders>
              <w:tl2br w:val="nil"/>
              <w:tr2bl w:val="nil"/>
            </w:tcBorders>
            <w:shd w:val="clear" w:color="auto" w:fill="auto"/>
            <w:vAlign w:val="center"/>
          </w:tcPr>
          <w:p>
            <w:pPr>
              <w:pStyle w:val="32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w:t>
            </w:r>
          </w:p>
        </w:tc>
        <w:tc>
          <w:tcPr>
            <w:tcW w:w="573" w:type="pct"/>
            <w:tcBorders>
              <w:tl2br w:val="nil"/>
              <w:tr2bl w:val="nil"/>
            </w:tcBorders>
            <w:vAlign w:val="center"/>
          </w:tcPr>
          <w:p>
            <w:pPr>
              <w:pStyle w:val="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rPr>
            </w:pPr>
            <w:r>
              <w:rPr>
                <w:rFonts w:hint="eastAsia" w:ascii="Times New Roman" w:hAnsi="Times New Roman" w:eastAsia="宋体" w:cs="Times New Roman"/>
                <w:color w:val="auto"/>
                <w:spacing w:val="0"/>
                <w:sz w:val="21"/>
                <w:lang w:val="en-US" w:eastAsia="zh-CN"/>
              </w:rPr>
              <w:t>1000</w:t>
            </w:r>
          </w:p>
        </w:tc>
        <w:tc>
          <w:tcPr>
            <w:tcW w:w="574" w:type="pct"/>
            <w:tcBorders>
              <w:tl2br w:val="nil"/>
              <w:tr2bl w:val="nil"/>
            </w:tcBorders>
            <w:shd w:val="clear" w:color="auto" w:fill="auto"/>
            <w:vAlign w:val="center"/>
          </w:tcPr>
          <w:p>
            <w:pPr>
              <w:pStyle w:val="32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w:t>
            </w:r>
          </w:p>
        </w:tc>
        <w:tc>
          <w:tcPr>
            <w:tcW w:w="574" w:type="pct"/>
            <w:tcBorders>
              <w:tl2br w:val="nil"/>
              <w:tr2bl w:val="nil"/>
            </w:tcBorders>
            <w:shd w:val="clear" w:color="auto" w:fill="auto"/>
            <w:vAlign w:val="center"/>
          </w:tcPr>
          <w:p>
            <w:pPr>
              <w:pStyle w:val="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1000</w:t>
            </w:r>
          </w:p>
        </w:tc>
        <w:tc>
          <w:tcPr>
            <w:tcW w:w="403" w:type="pct"/>
            <w:tcBorders>
              <w:tl2br w:val="nil"/>
              <w:tr2bl w:val="nil"/>
            </w:tcBorders>
            <w:shd w:val="clear" w:color="auto" w:fill="auto"/>
            <w:vAlign w:val="center"/>
          </w:tcPr>
          <w:p>
            <w:pPr>
              <w:pStyle w:val="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+1000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8" w:type="pct"/>
            <w:vMerge w:val="continue"/>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p>
        </w:tc>
        <w:tc>
          <w:tcPr>
            <w:tcW w:w="792" w:type="pct"/>
            <w:tcBorders>
              <w:tl2br w:val="nil"/>
              <w:tr2bl w:val="nil"/>
            </w:tcBorders>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渣土</w:t>
            </w:r>
          </w:p>
        </w:tc>
        <w:tc>
          <w:tcPr>
            <w:tcW w:w="573" w:type="pct"/>
            <w:tcBorders>
              <w:tl2br w:val="nil"/>
              <w:tr2bl w:val="nil"/>
            </w:tcBorders>
            <w:vAlign w:val="center"/>
          </w:tcPr>
          <w:p>
            <w:pPr>
              <w:spacing w:line="240" w:lineRule="auto"/>
              <w:ind w:left="0" w:leftChars="0" w:firstLine="0" w:firstLineChars="0"/>
              <w:jc w:val="center"/>
              <w:rPr>
                <w:rFonts w:hint="eastAsia" w:ascii="Times New Roman" w:hAnsi="Times New Roman" w:cs="Times New Roman" w:eastAsiaTheme="minorEastAsia"/>
                <w:color w:val="auto"/>
                <w:spacing w:val="0"/>
                <w:sz w:val="21"/>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shd w:val="clear" w:color="auto" w:fill="auto"/>
            <w:vAlign w:val="center"/>
          </w:tcPr>
          <w:p>
            <w:pPr>
              <w:pStyle w:val="322"/>
              <w:spacing w:line="240" w:lineRule="auto"/>
              <w:ind w:firstLine="0" w:firstLineChars="0"/>
              <w:jc w:val="center"/>
              <w:rPr>
                <w:rFonts w:hint="eastAsia"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w:t>
            </w:r>
          </w:p>
        </w:tc>
        <w:tc>
          <w:tcPr>
            <w:tcW w:w="573" w:type="pct"/>
            <w:tcBorders>
              <w:tl2br w:val="nil"/>
              <w:tr2bl w:val="nil"/>
            </w:tcBorders>
            <w:vAlign w:val="center"/>
          </w:tcPr>
          <w:p>
            <w:pPr>
              <w:pStyle w:val="2"/>
              <w:spacing w:line="240" w:lineRule="auto"/>
              <w:ind w:firstLine="0" w:firstLineChars="0"/>
              <w:jc w:val="center"/>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eastAsia="宋体" w:cs="Times New Roman"/>
                <w:color w:val="auto"/>
                <w:spacing w:val="0"/>
                <w:sz w:val="21"/>
                <w:lang w:val="en-US" w:eastAsia="zh-CN"/>
              </w:rPr>
              <w:t>12000</w:t>
            </w:r>
          </w:p>
        </w:tc>
        <w:tc>
          <w:tcPr>
            <w:tcW w:w="574" w:type="pct"/>
            <w:tcBorders>
              <w:tl2br w:val="nil"/>
              <w:tr2bl w:val="nil"/>
            </w:tcBorders>
            <w:shd w:val="clear" w:color="auto" w:fill="auto"/>
            <w:vAlign w:val="center"/>
          </w:tcPr>
          <w:p>
            <w:pPr>
              <w:pStyle w:val="322"/>
              <w:spacing w:line="240" w:lineRule="auto"/>
              <w:ind w:firstLine="0" w:firstLineChars="0"/>
              <w:jc w:val="center"/>
              <w:rPr>
                <w:rFonts w:hint="eastAsia" w:ascii="Times New Roman" w:hAnsi="Times New Roman" w:cs="Times New Roman" w:eastAsiaTheme="minorEastAsia"/>
                <w:color w:val="auto"/>
                <w:spacing w:val="0"/>
                <w:sz w:val="21"/>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shd w:val="clear" w:color="auto" w:fill="auto"/>
            <w:vAlign w:val="center"/>
          </w:tcPr>
          <w:p>
            <w:pPr>
              <w:pStyle w:val="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12000</w:t>
            </w:r>
          </w:p>
        </w:tc>
        <w:tc>
          <w:tcPr>
            <w:tcW w:w="403" w:type="pct"/>
            <w:tcBorders>
              <w:tl2br w:val="nil"/>
              <w:tr2bl w:val="nil"/>
            </w:tcBorders>
            <w:shd w:val="clear" w:color="auto" w:fill="auto"/>
            <w:vAlign w:val="center"/>
          </w:tcPr>
          <w:p>
            <w:pPr>
              <w:pStyle w:val="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+12000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8" w:type="pct"/>
            <w:vMerge w:val="continue"/>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p>
        </w:tc>
        <w:tc>
          <w:tcPr>
            <w:tcW w:w="792" w:type="pct"/>
            <w:tcBorders>
              <w:tl2br w:val="nil"/>
              <w:tr2bl w:val="nil"/>
            </w:tcBorders>
            <w:shd w:val="clear" w:color="auto" w:fill="auto"/>
            <w:vAlign w:val="center"/>
          </w:tcPr>
          <w:p>
            <w:pPr>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沉淀池沉渣</w:t>
            </w:r>
          </w:p>
        </w:tc>
        <w:tc>
          <w:tcPr>
            <w:tcW w:w="573" w:type="pct"/>
            <w:tcBorders>
              <w:tl2br w:val="nil"/>
              <w:tr2bl w:val="nil"/>
            </w:tcBorders>
            <w:vAlign w:val="center"/>
          </w:tcPr>
          <w:p>
            <w:pPr>
              <w:spacing w:line="240" w:lineRule="auto"/>
              <w:ind w:left="0" w:leftChars="0" w:firstLine="0" w:firstLineChars="0"/>
              <w:jc w:val="center"/>
              <w:rPr>
                <w:rFonts w:hint="default" w:ascii="Times New Roman" w:hAnsi="Times New Roman" w:cs="Times New Roman" w:eastAsiaTheme="minorEastAsia"/>
                <w:color w:val="auto"/>
                <w:spacing w:val="0"/>
                <w:sz w:val="21"/>
                <w:lang w:val="en-US"/>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shd w:val="clear" w:color="auto" w:fill="auto"/>
            <w:vAlign w:val="center"/>
          </w:tcPr>
          <w:p>
            <w:pPr>
              <w:pStyle w:val="322"/>
              <w:spacing w:line="240" w:lineRule="auto"/>
              <w:ind w:firstLine="0" w:firstLineChars="0"/>
              <w:jc w:val="center"/>
              <w:rPr>
                <w:rFonts w:hint="eastAsia"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w:t>
            </w:r>
          </w:p>
        </w:tc>
        <w:tc>
          <w:tcPr>
            <w:tcW w:w="573" w:type="pct"/>
            <w:tcBorders>
              <w:tl2br w:val="nil"/>
              <w:tr2bl w:val="nil"/>
            </w:tcBorders>
            <w:vAlign w:val="center"/>
          </w:tcPr>
          <w:p>
            <w:pPr>
              <w:pStyle w:val="2"/>
              <w:spacing w:line="240" w:lineRule="auto"/>
              <w:ind w:firstLine="0" w:firstLineChars="0"/>
              <w:jc w:val="center"/>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eastAsia="宋体" w:cs="Times New Roman"/>
                <w:color w:val="auto"/>
                <w:spacing w:val="0"/>
                <w:sz w:val="21"/>
                <w:lang w:val="en-US" w:eastAsia="zh-CN"/>
              </w:rPr>
              <w:t>0.182</w:t>
            </w:r>
          </w:p>
        </w:tc>
        <w:tc>
          <w:tcPr>
            <w:tcW w:w="574" w:type="pct"/>
            <w:tcBorders>
              <w:tl2br w:val="nil"/>
              <w:tr2bl w:val="nil"/>
            </w:tcBorders>
            <w:shd w:val="clear" w:color="auto" w:fill="auto"/>
            <w:vAlign w:val="center"/>
          </w:tcPr>
          <w:p>
            <w:pPr>
              <w:pStyle w:val="322"/>
              <w:spacing w:line="240" w:lineRule="auto"/>
              <w:ind w:firstLine="0" w:firstLineChars="0"/>
              <w:jc w:val="center"/>
              <w:rPr>
                <w:rFonts w:hint="default" w:ascii="Times New Roman" w:hAnsi="Times New Roman" w:cs="Times New Roman" w:eastAsiaTheme="minorEastAsia"/>
                <w:color w:val="auto"/>
                <w:spacing w:val="0"/>
                <w:sz w:val="21"/>
                <w:lang w:val="en-US" w:eastAsia="zh-CN"/>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shd w:val="clear" w:color="auto" w:fill="auto"/>
            <w:vAlign w:val="center"/>
          </w:tcPr>
          <w:p>
            <w:pPr>
              <w:pStyle w:val="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0.182</w:t>
            </w:r>
          </w:p>
        </w:tc>
        <w:tc>
          <w:tcPr>
            <w:tcW w:w="403" w:type="pct"/>
            <w:tcBorders>
              <w:tl2br w:val="nil"/>
              <w:tr2bl w:val="nil"/>
            </w:tcBorders>
            <w:shd w:val="clear" w:color="auto" w:fill="auto"/>
            <w:vAlign w:val="center"/>
          </w:tcPr>
          <w:p>
            <w:pPr>
              <w:pStyle w:val="2"/>
              <w:spacing w:line="240" w:lineRule="auto"/>
              <w:ind w:firstLine="0" w:firstLineChars="0"/>
              <w:jc w:val="center"/>
              <w:rPr>
                <w:rFonts w:hint="default" w:ascii="Times New Roman" w:hAnsi="Times New Roman" w:cs="Times New Roman" w:eastAsiaTheme="minorEastAsia"/>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+0.182</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8" w:type="pct"/>
            <w:vMerge w:val="restart"/>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ascii="Times New Roman" w:hAnsi="Times New Roman" w:cs="Times New Roman" w:eastAsiaTheme="minorEastAsia"/>
                <w:color w:val="auto"/>
                <w:spacing w:val="0"/>
                <w:sz w:val="21"/>
                <w:szCs w:val="21"/>
              </w:rPr>
              <w:t>危险废物</w:t>
            </w:r>
            <w:r>
              <w:rPr>
                <w:rFonts w:hint="eastAsia" w:ascii="Times New Roman" w:hAnsi="Times New Roman" w:cs="Times New Roman" w:eastAsiaTheme="minorEastAsia"/>
                <w:color w:val="auto"/>
                <w:spacing w:val="0"/>
                <w:sz w:val="21"/>
                <w:szCs w:val="21"/>
                <w:lang w:eastAsia="zh-CN"/>
              </w:rPr>
              <w:t>（</w:t>
            </w:r>
            <w:r>
              <w:rPr>
                <w:rFonts w:hint="eastAsia" w:ascii="Times New Roman" w:hAnsi="Times New Roman" w:cs="Times New Roman" w:eastAsiaTheme="minorEastAsia"/>
                <w:color w:val="auto"/>
                <w:spacing w:val="0"/>
                <w:sz w:val="21"/>
                <w:szCs w:val="21"/>
              </w:rPr>
              <w:t>t/a</w:t>
            </w:r>
            <w:r>
              <w:rPr>
                <w:rFonts w:hint="eastAsia" w:ascii="Times New Roman" w:hAnsi="Times New Roman" w:cs="Times New Roman" w:eastAsiaTheme="minorEastAsia"/>
                <w:color w:val="auto"/>
                <w:spacing w:val="0"/>
                <w:sz w:val="21"/>
                <w:szCs w:val="21"/>
                <w:lang w:eastAsia="zh-CN"/>
              </w:rPr>
              <w:t>）</w:t>
            </w:r>
          </w:p>
        </w:tc>
        <w:tc>
          <w:tcPr>
            <w:tcW w:w="792" w:type="pct"/>
            <w:tcBorders>
              <w:tl2br w:val="nil"/>
              <w:tr2bl w:val="nil"/>
            </w:tcBorders>
            <w:shd w:val="clear" w:color="auto" w:fill="auto"/>
            <w:vAlign w:val="center"/>
          </w:tcPr>
          <w:p>
            <w:pPr>
              <w:pStyle w:val="322"/>
              <w:spacing w:line="240" w:lineRule="auto"/>
              <w:ind w:firstLine="0" w:firstLineChars="0"/>
              <w:jc w:val="center"/>
              <w:rPr>
                <w:rFonts w:hint="eastAsia"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rPr>
              <w:t>废油桶</w:t>
            </w:r>
          </w:p>
        </w:tc>
        <w:tc>
          <w:tcPr>
            <w:tcW w:w="573" w:type="pct"/>
            <w:tcBorders>
              <w:tl2br w:val="nil"/>
              <w:tr2bl w:val="nil"/>
            </w:tcBorders>
            <w:shd w:val="clear" w:color="auto" w:fill="auto"/>
            <w:vAlign w:val="center"/>
          </w:tcPr>
          <w:p>
            <w:pPr>
              <w:tabs>
                <w:tab w:val="left" w:pos="819"/>
                <w:tab w:val="center" w:pos="1082"/>
              </w:tabs>
              <w:spacing w:line="240" w:lineRule="auto"/>
              <w:ind w:left="0" w:leftChars="0" w:firstLine="0" w:firstLineChars="0"/>
              <w:jc w:val="center"/>
              <w:rPr>
                <w:rFonts w:hint="eastAsia" w:ascii="Times New Roman" w:hAnsi="Times New Roman" w:cs="Times New Roman" w:eastAsiaTheme="minorEastAsia"/>
                <w:color w:val="auto"/>
                <w:spacing w:val="0"/>
                <w:sz w:val="21"/>
                <w:szCs w:val="21"/>
                <w:lang w:val="en-US" w:eastAsia="zh-CN" w:bidi="ar-SA"/>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shd w:val="clear" w:color="auto" w:fill="auto"/>
            <w:vAlign w:val="center"/>
          </w:tcPr>
          <w:p>
            <w:pPr>
              <w:pStyle w:val="32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bidi="ar-SA"/>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shd w:val="clear" w:color="auto" w:fill="auto"/>
            <w:vAlign w:val="center"/>
          </w:tcPr>
          <w:p>
            <w:pPr>
              <w:pStyle w:val="32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bidi="ar-SA"/>
              </w:rPr>
            </w:pPr>
            <w:r>
              <w:rPr>
                <w:rFonts w:hint="eastAsia" w:ascii="Times New Roman" w:hAnsi="Times New Roman" w:cs="Times New Roman" w:eastAsiaTheme="minorEastAsia"/>
                <w:color w:val="auto"/>
                <w:spacing w:val="0"/>
                <w:sz w:val="21"/>
                <w:szCs w:val="21"/>
              </w:rPr>
              <w:t>/</w:t>
            </w:r>
          </w:p>
        </w:tc>
        <w:tc>
          <w:tcPr>
            <w:tcW w:w="573" w:type="pct"/>
            <w:tcBorders>
              <w:tl2br w:val="nil"/>
              <w:tr2bl w:val="nil"/>
            </w:tcBorders>
            <w:shd w:val="clear" w:color="auto" w:fill="auto"/>
            <w:vAlign w:val="center"/>
          </w:tcPr>
          <w:p>
            <w:pPr>
              <w:pStyle w:val="2"/>
              <w:spacing w:line="240" w:lineRule="auto"/>
              <w:ind w:firstLine="0" w:firstLineChars="0"/>
              <w:jc w:val="center"/>
              <w:rPr>
                <w:rFonts w:hint="default"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0.01</w:t>
            </w:r>
          </w:p>
        </w:tc>
        <w:tc>
          <w:tcPr>
            <w:tcW w:w="574" w:type="pct"/>
            <w:tcBorders>
              <w:tl2br w:val="nil"/>
              <w:tr2bl w:val="nil"/>
            </w:tcBorders>
            <w:shd w:val="clear" w:color="auto" w:fill="auto"/>
            <w:vAlign w:val="center"/>
          </w:tcPr>
          <w:p>
            <w:pPr>
              <w:autoSpaceDE w:val="0"/>
              <w:autoSpaceDN w:val="0"/>
              <w:spacing w:line="240" w:lineRule="auto"/>
              <w:ind w:firstLine="0" w:firstLineChars="0"/>
              <w:jc w:val="center"/>
              <w:rPr>
                <w:rFonts w:hint="eastAsia" w:ascii="Times New Roman" w:hAnsi="Times New Roman" w:cs="Times New Roman" w:eastAsiaTheme="minorEastAsia"/>
                <w:color w:val="auto"/>
                <w:spacing w:val="0"/>
                <w:sz w:val="21"/>
                <w:lang w:val="en-US" w:eastAsia="zh-CN"/>
              </w:rPr>
            </w:pPr>
            <w:r>
              <w:rPr>
                <w:rFonts w:hint="eastAsia" w:ascii="Times New Roman" w:hAnsi="Times New Roman" w:cs="Times New Roman" w:eastAsiaTheme="minorEastAsia"/>
                <w:color w:val="auto"/>
                <w:spacing w:val="0"/>
                <w:sz w:val="21"/>
                <w:lang w:val="en-US" w:eastAsia="zh-CN"/>
              </w:rPr>
              <w:t>/</w:t>
            </w:r>
          </w:p>
        </w:tc>
        <w:tc>
          <w:tcPr>
            <w:tcW w:w="574" w:type="pct"/>
            <w:tcBorders>
              <w:tl2br w:val="nil"/>
              <w:tr2bl w:val="nil"/>
            </w:tcBorders>
            <w:shd w:val="clear" w:color="auto" w:fill="auto"/>
            <w:vAlign w:val="center"/>
          </w:tcPr>
          <w:p>
            <w:pPr>
              <w:pStyle w:val="2"/>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0.01</w:t>
            </w:r>
          </w:p>
        </w:tc>
        <w:tc>
          <w:tcPr>
            <w:tcW w:w="403" w:type="pct"/>
            <w:tcBorders>
              <w:tl2br w:val="nil"/>
              <w:tr2bl w:val="nil"/>
            </w:tcBorders>
            <w:shd w:val="clear" w:color="auto" w:fill="auto"/>
            <w:vAlign w:val="center"/>
          </w:tcPr>
          <w:p>
            <w:pPr>
              <w:pStyle w:val="2"/>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+0.01</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8" w:type="pct"/>
            <w:vMerge w:val="continue"/>
            <w:tcBorders>
              <w:tl2br w:val="nil"/>
              <w:tr2bl w:val="nil"/>
            </w:tcBorders>
            <w:vAlign w:val="center"/>
          </w:tcPr>
          <w:p>
            <w:pPr>
              <w:pStyle w:val="322"/>
              <w:spacing w:line="240" w:lineRule="auto"/>
              <w:ind w:firstLine="0" w:firstLineChars="0"/>
              <w:jc w:val="center"/>
              <w:rPr>
                <w:rFonts w:hint="eastAsia" w:ascii="Times New Roman" w:hAnsi="Times New Roman" w:cs="Times New Roman" w:eastAsiaTheme="minorEastAsia"/>
                <w:color w:val="auto"/>
                <w:spacing w:val="0"/>
                <w:sz w:val="21"/>
                <w:szCs w:val="21"/>
                <w:lang w:eastAsia="zh-CN"/>
              </w:rPr>
            </w:pPr>
          </w:p>
        </w:tc>
        <w:tc>
          <w:tcPr>
            <w:tcW w:w="792" w:type="pct"/>
            <w:tcBorders>
              <w:tl2br w:val="nil"/>
              <w:tr2bl w:val="nil"/>
            </w:tcBorders>
            <w:shd w:val="clear" w:color="auto" w:fill="auto"/>
            <w:vAlign w:val="center"/>
          </w:tcPr>
          <w:p>
            <w:pPr>
              <w:pStyle w:val="322"/>
              <w:spacing w:line="240" w:lineRule="auto"/>
              <w:ind w:firstLine="0" w:firstLineChars="0"/>
              <w:jc w:val="center"/>
              <w:rPr>
                <w:rFonts w:hint="eastAsia"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废机油</w:t>
            </w:r>
          </w:p>
        </w:tc>
        <w:tc>
          <w:tcPr>
            <w:tcW w:w="573" w:type="pct"/>
            <w:tcBorders>
              <w:tl2br w:val="nil"/>
              <w:tr2bl w:val="nil"/>
            </w:tcBorders>
            <w:shd w:val="clear" w:color="auto" w:fill="auto"/>
            <w:vAlign w:val="center"/>
          </w:tcPr>
          <w:p>
            <w:pPr>
              <w:spacing w:line="240" w:lineRule="auto"/>
              <w:ind w:left="0" w:leftChars="0" w:firstLine="0" w:firstLineChars="0"/>
              <w:jc w:val="center"/>
              <w:rPr>
                <w:rFonts w:hint="eastAsia" w:ascii="Times New Roman" w:hAnsi="Times New Roman" w:cs="Times New Roman" w:eastAsiaTheme="minorEastAsia"/>
                <w:color w:val="auto"/>
                <w:spacing w:val="0"/>
                <w:sz w:val="21"/>
                <w:szCs w:val="21"/>
                <w:lang w:val="en-US" w:eastAsia="zh-CN" w:bidi="ar-SA"/>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shd w:val="clear" w:color="auto" w:fill="auto"/>
            <w:vAlign w:val="center"/>
          </w:tcPr>
          <w:p>
            <w:pPr>
              <w:pStyle w:val="32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bidi="ar-SA"/>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shd w:val="clear" w:color="auto" w:fill="auto"/>
            <w:vAlign w:val="center"/>
          </w:tcPr>
          <w:p>
            <w:pPr>
              <w:pStyle w:val="32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bidi="ar-SA"/>
              </w:rPr>
            </w:pPr>
            <w:r>
              <w:rPr>
                <w:rFonts w:hint="eastAsia" w:ascii="Times New Roman" w:hAnsi="Times New Roman" w:cs="Times New Roman" w:eastAsiaTheme="minorEastAsia"/>
                <w:color w:val="auto"/>
                <w:spacing w:val="0"/>
                <w:sz w:val="21"/>
                <w:szCs w:val="21"/>
              </w:rPr>
              <w:t>/</w:t>
            </w:r>
          </w:p>
        </w:tc>
        <w:tc>
          <w:tcPr>
            <w:tcW w:w="573" w:type="pct"/>
            <w:tcBorders>
              <w:tl2br w:val="nil"/>
              <w:tr2bl w:val="nil"/>
            </w:tcBorders>
            <w:shd w:val="clear" w:color="auto" w:fill="auto"/>
            <w:vAlign w:val="center"/>
          </w:tcPr>
          <w:p>
            <w:pPr>
              <w:pStyle w:val="2"/>
              <w:spacing w:line="240" w:lineRule="auto"/>
              <w:ind w:firstLine="0" w:firstLineChars="0"/>
              <w:jc w:val="center"/>
              <w:rPr>
                <w:rFonts w:hint="default"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0.1</w:t>
            </w:r>
          </w:p>
        </w:tc>
        <w:tc>
          <w:tcPr>
            <w:tcW w:w="574" w:type="pct"/>
            <w:tcBorders>
              <w:tl2br w:val="nil"/>
              <w:tr2bl w:val="nil"/>
            </w:tcBorders>
            <w:shd w:val="clear" w:color="auto" w:fill="auto"/>
            <w:vAlign w:val="center"/>
          </w:tcPr>
          <w:p>
            <w:pPr>
              <w:autoSpaceDE w:val="0"/>
              <w:autoSpaceDN w:val="0"/>
              <w:spacing w:line="240" w:lineRule="auto"/>
              <w:ind w:firstLine="0" w:firstLineChars="0"/>
              <w:jc w:val="center"/>
              <w:rPr>
                <w:rFonts w:hint="eastAsia" w:ascii="Times New Roman" w:hAnsi="Times New Roman" w:cs="Times New Roman" w:eastAsiaTheme="minorEastAsia"/>
                <w:color w:val="auto"/>
                <w:spacing w:val="0"/>
                <w:sz w:val="21"/>
                <w:lang w:val="en-US" w:eastAsia="zh-CN"/>
              </w:rPr>
            </w:pPr>
            <w:r>
              <w:rPr>
                <w:rFonts w:hint="eastAsia" w:ascii="Times New Roman" w:hAnsi="Times New Roman" w:cs="Times New Roman" w:eastAsiaTheme="minorEastAsia"/>
                <w:color w:val="auto"/>
                <w:spacing w:val="0"/>
                <w:sz w:val="21"/>
                <w:lang w:val="en-US" w:eastAsia="zh-CN"/>
              </w:rPr>
              <w:t>/</w:t>
            </w:r>
          </w:p>
        </w:tc>
        <w:tc>
          <w:tcPr>
            <w:tcW w:w="574" w:type="pct"/>
            <w:tcBorders>
              <w:tl2br w:val="nil"/>
              <w:tr2bl w:val="nil"/>
            </w:tcBorders>
            <w:shd w:val="clear" w:color="auto" w:fill="auto"/>
            <w:vAlign w:val="center"/>
          </w:tcPr>
          <w:p>
            <w:pPr>
              <w:pStyle w:val="2"/>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0.1</w:t>
            </w:r>
          </w:p>
        </w:tc>
        <w:tc>
          <w:tcPr>
            <w:tcW w:w="403" w:type="pct"/>
            <w:tcBorders>
              <w:tl2br w:val="nil"/>
              <w:tr2bl w:val="nil"/>
            </w:tcBorders>
            <w:shd w:val="clear" w:color="auto" w:fill="auto"/>
            <w:vAlign w:val="center"/>
          </w:tcPr>
          <w:p>
            <w:pPr>
              <w:pStyle w:val="2"/>
              <w:spacing w:line="240" w:lineRule="auto"/>
              <w:ind w:firstLine="0" w:firstLineChars="0"/>
              <w:jc w:val="center"/>
              <w:rPr>
                <w:rFonts w:hint="eastAsia" w:ascii="Times New Roman" w:hAnsi="Times New Roman" w:eastAsia="宋体" w:cs="Times New Roman"/>
                <w:color w:val="auto"/>
                <w:spacing w:val="0"/>
                <w:sz w:val="21"/>
                <w:szCs w:val="21"/>
                <w:lang w:val="en-US" w:eastAsia="zh-CN" w:bidi="ar-SA"/>
              </w:rPr>
            </w:pPr>
            <w:r>
              <w:rPr>
                <w:rFonts w:hint="eastAsia" w:ascii="Times New Roman" w:hAnsi="Times New Roman" w:eastAsia="宋体" w:cs="Times New Roman"/>
                <w:color w:val="auto"/>
                <w:spacing w:val="0"/>
                <w:sz w:val="21"/>
                <w:lang w:val="en-US" w:eastAsia="zh-CN"/>
              </w:rPr>
              <w:t>+0.1</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8" w:type="pct"/>
            <w:tcBorders>
              <w:tl2br w:val="nil"/>
              <w:tr2bl w:val="nil"/>
            </w:tcBorders>
            <w:vAlign w:val="center"/>
          </w:tcPr>
          <w:p>
            <w:pPr>
              <w:autoSpaceDE w:val="0"/>
              <w:autoSpaceDN w:val="0"/>
              <w:spacing w:line="240" w:lineRule="auto"/>
              <w:ind w:firstLine="0" w:firstLineChars="0"/>
              <w:jc w:val="center"/>
              <w:rPr>
                <w:rFonts w:ascii="Times New Roman" w:hAnsi="Times New Roman" w:cs="Times New Roman" w:eastAsiaTheme="minorEastAsia"/>
                <w:color w:val="auto"/>
                <w:spacing w:val="0"/>
                <w:sz w:val="21"/>
              </w:rPr>
            </w:pPr>
            <w:r>
              <w:rPr>
                <w:rFonts w:hint="eastAsia" w:ascii="Times New Roman" w:hAnsi="Times New Roman" w:cs="Times New Roman" w:eastAsiaTheme="minorEastAsia"/>
                <w:color w:val="auto"/>
                <w:spacing w:val="0"/>
                <w:sz w:val="21"/>
              </w:rPr>
              <w:t>生活垃圾（t/a）</w:t>
            </w:r>
          </w:p>
        </w:tc>
        <w:tc>
          <w:tcPr>
            <w:tcW w:w="792" w:type="pct"/>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生活垃圾</w:t>
            </w:r>
          </w:p>
        </w:tc>
        <w:tc>
          <w:tcPr>
            <w:tcW w:w="573" w:type="pct"/>
            <w:tcBorders>
              <w:tl2br w:val="nil"/>
              <w:tr2bl w:val="nil"/>
            </w:tcBorders>
            <w:vAlign w:val="center"/>
          </w:tcPr>
          <w:p>
            <w:pPr>
              <w:spacing w:line="240" w:lineRule="auto"/>
              <w:ind w:left="0" w:leftChars="0" w:firstLine="0" w:firstLineChars="0"/>
              <w:jc w:val="center"/>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shd w:val="clear" w:color="auto" w:fill="auto"/>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w:t>
            </w:r>
          </w:p>
        </w:tc>
        <w:tc>
          <w:tcPr>
            <w:tcW w:w="573" w:type="pct"/>
            <w:tcBorders>
              <w:tl2br w:val="nil"/>
              <w:tr2bl w:val="nil"/>
            </w:tcBorders>
            <w:vAlign w:val="center"/>
          </w:tcPr>
          <w:p>
            <w:pPr>
              <w:pStyle w:val="322"/>
              <w:spacing w:line="240" w:lineRule="auto"/>
              <w:ind w:firstLine="0" w:firstLineChars="0"/>
              <w:jc w:val="center"/>
              <w:rPr>
                <w:rFonts w:hint="default" w:ascii="Times New Roman" w:hAnsi="Times New Roman" w:cs="Times New Roman" w:eastAsiaTheme="minorEastAsia"/>
                <w:color w:val="auto"/>
                <w:spacing w:val="0"/>
                <w:sz w:val="21"/>
                <w:szCs w:val="21"/>
                <w:lang w:val="en-US" w:eastAsia="zh-CN"/>
              </w:rPr>
            </w:pPr>
            <w:r>
              <w:rPr>
                <w:rFonts w:hint="eastAsia" w:ascii="Times New Roman" w:hAnsi="Times New Roman" w:cs="Times New Roman" w:eastAsiaTheme="minorEastAsia"/>
                <w:color w:val="auto"/>
                <w:spacing w:val="0"/>
                <w:sz w:val="21"/>
                <w:szCs w:val="21"/>
                <w:lang w:val="en-US" w:eastAsia="zh-CN"/>
              </w:rPr>
              <w:t>1.98</w:t>
            </w:r>
          </w:p>
        </w:tc>
        <w:tc>
          <w:tcPr>
            <w:tcW w:w="574" w:type="pct"/>
            <w:tcBorders>
              <w:tl2br w:val="nil"/>
              <w:tr2bl w:val="nil"/>
            </w:tcBorders>
            <w:shd w:val="clear" w:color="auto" w:fill="auto"/>
            <w:vAlign w:val="center"/>
          </w:tcPr>
          <w:p>
            <w:pPr>
              <w:pStyle w:val="322"/>
              <w:spacing w:line="240" w:lineRule="auto"/>
              <w:ind w:firstLine="0" w:firstLineChars="0"/>
              <w:jc w:val="center"/>
              <w:rPr>
                <w:rFonts w:ascii="Times New Roman" w:hAnsi="Times New Roman" w:cs="Times New Roman" w:eastAsiaTheme="minorEastAsia"/>
                <w:color w:val="auto"/>
                <w:spacing w:val="0"/>
                <w:sz w:val="21"/>
                <w:szCs w:val="21"/>
              </w:rPr>
            </w:pPr>
            <w:r>
              <w:rPr>
                <w:rFonts w:hint="eastAsia" w:ascii="Times New Roman" w:hAnsi="Times New Roman" w:cs="Times New Roman" w:eastAsiaTheme="minorEastAsia"/>
                <w:color w:val="auto"/>
                <w:spacing w:val="0"/>
                <w:sz w:val="21"/>
                <w:szCs w:val="21"/>
              </w:rPr>
              <w:t>/</w:t>
            </w:r>
          </w:p>
        </w:tc>
        <w:tc>
          <w:tcPr>
            <w:tcW w:w="574" w:type="pct"/>
            <w:tcBorders>
              <w:tl2br w:val="nil"/>
              <w:tr2bl w:val="nil"/>
            </w:tcBorders>
            <w:shd w:val="clear" w:color="auto" w:fill="auto"/>
            <w:vAlign w:val="center"/>
          </w:tcPr>
          <w:p>
            <w:pPr>
              <w:pStyle w:val="322"/>
              <w:spacing w:line="240" w:lineRule="auto"/>
              <w:ind w:firstLine="0" w:firstLineChars="0"/>
              <w:jc w:val="center"/>
              <w:rPr>
                <w:rFonts w:hint="default" w:ascii="Times New Roman" w:hAnsi="Times New Roman" w:cs="Times New Roman" w:eastAsiaTheme="minorEastAsia"/>
                <w:color w:val="auto"/>
                <w:spacing w:val="0"/>
                <w:sz w:val="21"/>
                <w:szCs w:val="21"/>
                <w:lang w:val="en-US" w:eastAsia="zh-CN" w:bidi="ar-SA"/>
              </w:rPr>
            </w:pPr>
            <w:r>
              <w:rPr>
                <w:rFonts w:hint="eastAsia" w:ascii="Times New Roman" w:hAnsi="Times New Roman" w:cs="Times New Roman" w:eastAsiaTheme="minorEastAsia"/>
                <w:color w:val="auto"/>
                <w:spacing w:val="0"/>
                <w:sz w:val="21"/>
                <w:szCs w:val="21"/>
                <w:lang w:val="en-US" w:eastAsia="zh-CN"/>
              </w:rPr>
              <w:t>1.98</w:t>
            </w:r>
          </w:p>
        </w:tc>
        <w:tc>
          <w:tcPr>
            <w:tcW w:w="403" w:type="pct"/>
            <w:tcBorders>
              <w:tl2br w:val="nil"/>
              <w:tr2bl w:val="nil"/>
            </w:tcBorders>
            <w:shd w:val="clear" w:color="auto" w:fill="auto"/>
            <w:vAlign w:val="center"/>
          </w:tcPr>
          <w:p>
            <w:pPr>
              <w:pStyle w:val="322"/>
              <w:spacing w:line="240" w:lineRule="auto"/>
              <w:ind w:firstLine="0" w:firstLineChars="0"/>
              <w:jc w:val="center"/>
              <w:rPr>
                <w:rFonts w:hint="eastAsia" w:ascii="Times New Roman" w:hAnsi="Times New Roman" w:cs="Times New Roman" w:eastAsiaTheme="minorEastAsia"/>
                <w:color w:val="auto"/>
                <w:spacing w:val="0"/>
                <w:sz w:val="21"/>
                <w:szCs w:val="21"/>
                <w:lang w:val="en-US" w:eastAsia="zh-CN" w:bidi="ar-SA"/>
              </w:rPr>
            </w:pPr>
            <w:r>
              <w:rPr>
                <w:rFonts w:hint="eastAsia" w:ascii="Times New Roman" w:hAnsi="Times New Roman" w:cs="Times New Roman" w:eastAsiaTheme="minorEastAsia"/>
                <w:color w:val="auto"/>
                <w:spacing w:val="0"/>
                <w:sz w:val="21"/>
                <w:szCs w:val="21"/>
                <w:lang w:val="en-US" w:eastAsia="zh-CN"/>
              </w:rPr>
              <w:t>+1.98</w:t>
            </w:r>
          </w:p>
        </w:tc>
      </w:tr>
    </w:tbl>
    <w:p>
      <w:pPr>
        <w:pStyle w:val="164"/>
        <w:spacing w:beforeLines="0" w:afterLines="0" w:line="240" w:lineRule="auto"/>
        <w:ind w:firstLineChars="0"/>
        <w:jc w:val="left"/>
        <w:rPr>
          <w:rFonts w:ascii="Times New Roman" w:hAnsi="Times New Roman" w:cs="Times New Roman"/>
          <w:color w:val="auto"/>
          <w:spacing w:val="0"/>
        </w:rPr>
      </w:pPr>
      <w:r>
        <w:rPr>
          <w:rFonts w:hint="eastAsia" w:ascii="Times New Roman"/>
          <w:snapToGrid w:val="0"/>
          <w:color w:val="auto"/>
          <w:spacing w:val="0"/>
          <w:kern w:val="21"/>
        </w:rPr>
        <w:t>注：</w:t>
      </w:r>
      <w:r>
        <w:rPr>
          <w:rFonts w:ascii="Times New Roman" w:hAnsi="Times New Roman" w:cs="Times New Roman"/>
          <w:snapToGrid w:val="0"/>
          <w:color w:val="auto"/>
          <w:spacing w:val="0"/>
          <w:kern w:val="21"/>
        </w:rPr>
        <w:fldChar w:fldCharType="begin"/>
      </w:r>
      <w:r>
        <w:rPr>
          <w:rFonts w:ascii="Times New Roman" w:hAnsi="Times New Roman" w:cs="Times New Roman"/>
          <w:snapToGrid w:val="0"/>
          <w:color w:val="auto"/>
          <w:spacing w:val="0"/>
          <w:kern w:val="21"/>
        </w:rPr>
        <w:instrText xml:space="preserve"> = 6 \* GB3 \* MERGEFORMAT </w:instrText>
      </w:r>
      <w:r>
        <w:rPr>
          <w:rFonts w:ascii="Times New Roman" w:hAnsi="Times New Roman" w:cs="Times New Roman"/>
          <w:snapToGrid w:val="0"/>
          <w:color w:val="auto"/>
          <w:spacing w:val="0"/>
          <w:kern w:val="21"/>
        </w:rPr>
        <w:fldChar w:fldCharType="separate"/>
      </w:r>
      <w:r>
        <w:rPr>
          <w:rFonts w:ascii="Times New Roman" w:hAnsi="Times New Roman" w:cs="Times New Roman"/>
          <w:color w:val="auto"/>
          <w:spacing w:val="0"/>
        </w:rPr>
        <w:t>⑥</w:t>
      </w:r>
      <w:r>
        <w:rPr>
          <w:rFonts w:ascii="Times New Roman" w:hAnsi="Times New Roman" w:cs="Times New Roman"/>
          <w:color w:val="auto"/>
          <w:spacing w:val="0"/>
        </w:rPr>
        <w:fldChar w:fldCharType="end"/>
      </w:r>
      <w:r>
        <w:rPr>
          <w:rFonts w:ascii="Times New Roman" w:hAnsi="Times New Roman" w:cs="Times New Roman"/>
          <w:snapToGrid w:val="0"/>
          <w:color w:val="auto"/>
          <w:spacing w:val="0"/>
          <w:kern w:val="21"/>
        </w:rPr>
        <w:t>=</w:t>
      </w:r>
      <w:r>
        <w:rPr>
          <w:rFonts w:ascii="Times New Roman" w:hAnsi="Times New Roman" w:cs="Times New Roman"/>
          <w:snapToGrid w:val="0"/>
          <w:color w:val="auto"/>
          <w:spacing w:val="0"/>
          <w:kern w:val="21"/>
        </w:rPr>
        <w:fldChar w:fldCharType="begin"/>
      </w:r>
      <w:r>
        <w:rPr>
          <w:rFonts w:ascii="Times New Roman" w:hAnsi="Times New Roman" w:cs="Times New Roman"/>
          <w:snapToGrid w:val="0"/>
          <w:color w:val="auto"/>
          <w:spacing w:val="0"/>
          <w:kern w:val="21"/>
        </w:rPr>
        <w:instrText xml:space="preserve"> = 1 \* GB3 \* MERGEFORMAT </w:instrText>
      </w:r>
      <w:r>
        <w:rPr>
          <w:rFonts w:ascii="Times New Roman" w:hAnsi="Times New Roman" w:cs="Times New Roman"/>
          <w:snapToGrid w:val="0"/>
          <w:color w:val="auto"/>
          <w:spacing w:val="0"/>
          <w:kern w:val="21"/>
        </w:rPr>
        <w:fldChar w:fldCharType="separate"/>
      </w:r>
      <w:r>
        <w:rPr>
          <w:rFonts w:ascii="Times New Roman" w:hAnsi="Times New Roman" w:cs="Times New Roman"/>
          <w:color w:val="auto"/>
          <w:spacing w:val="0"/>
        </w:rPr>
        <w:t>①</w:t>
      </w:r>
      <w:r>
        <w:rPr>
          <w:rFonts w:ascii="Times New Roman" w:hAnsi="Times New Roman" w:cs="Times New Roman"/>
          <w:color w:val="auto"/>
          <w:spacing w:val="0"/>
        </w:rPr>
        <w:fldChar w:fldCharType="end"/>
      </w:r>
      <w:r>
        <w:rPr>
          <w:rFonts w:ascii="Times New Roman" w:hAnsi="Times New Roman" w:cs="Times New Roman"/>
          <w:snapToGrid w:val="0"/>
          <w:color w:val="auto"/>
          <w:spacing w:val="0"/>
          <w:kern w:val="21"/>
        </w:rPr>
        <w:t>+</w:t>
      </w:r>
      <w:r>
        <w:rPr>
          <w:rFonts w:ascii="Times New Roman" w:hAnsi="Times New Roman" w:cs="Times New Roman"/>
          <w:snapToGrid w:val="0"/>
          <w:color w:val="auto"/>
          <w:spacing w:val="0"/>
          <w:kern w:val="21"/>
        </w:rPr>
        <w:fldChar w:fldCharType="begin"/>
      </w:r>
      <w:r>
        <w:rPr>
          <w:rFonts w:ascii="Times New Roman" w:hAnsi="Times New Roman" w:cs="Times New Roman"/>
          <w:snapToGrid w:val="0"/>
          <w:color w:val="auto"/>
          <w:spacing w:val="0"/>
          <w:kern w:val="21"/>
        </w:rPr>
        <w:instrText xml:space="preserve"> = 3 \* GB3 \* MERGEFORMAT </w:instrText>
      </w:r>
      <w:r>
        <w:rPr>
          <w:rFonts w:ascii="Times New Roman" w:hAnsi="Times New Roman" w:cs="Times New Roman"/>
          <w:snapToGrid w:val="0"/>
          <w:color w:val="auto"/>
          <w:spacing w:val="0"/>
          <w:kern w:val="21"/>
        </w:rPr>
        <w:fldChar w:fldCharType="separate"/>
      </w:r>
      <w:r>
        <w:rPr>
          <w:rFonts w:ascii="Times New Roman" w:hAnsi="Times New Roman" w:cs="Times New Roman"/>
          <w:color w:val="auto"/>
          <w:spacing w:val="0"/>
        </w:rPr>
        <w:t>③</w:t>
      </w:r>
      <w:r>
        <w:rPr>
          <w:rFonts w:ascii="Times New Roman" w:hAnsi="Times New Roman" w:cs="Times New Roman"/>
          <w:color w:val="auto"/>
          <w:spacing w:val="0"/>
        </w:rPr>
        <w:fldChar w:fldCharType="end"/>
      </w:r>
      <w:r>
        <w:rPr>
          <w:rFonts w:ascii="Times New Roman" w:hAnsi="Times New Roman" w:cs="Times New Roman"/>
          <w:snapToGrid w:val="0"/>
          <w:color w:val="auto"/>
          <w:spacing w:val="0"/>
          <w:kern w:val="21"/>
        </w:rPr>
        <w:t>+</w:t>
      </w:r>
      <w:r>
        <w:rPr>
          <w:rFonts w:ascii="Times New Roman" w:hAnsi="Times New Roman" w:cs="Times New Roman"/>
          <w:snapToGrid w:val="0"/>
          <w:color w:val="auto"/>
          <w:spacing w:val="0"/>
          <w:kern w:val="21"/>
        </w:rPr>
        <w:fldChar w:fldCharType="begin"/>
      </w:r>
      <w:r>
        <w:rPr>
          <w:rFonts w:ascii="Times New Roman" w:hAnsi="Times New Roman" w:cs="Times New Roman"/>
          <w:snapToGrid w:val="0"/>
          <w:color w:val="auto"/>
          <w:spacing w:val="0"/>
          <w:kern w:val="21"/>
        </w:rPr>
        <w:instrText xml:space="preserve"> = 4 \* GB3 \* MERGEFORMAT </w:instrText>
      </w:r>
      <w:r>
        <w:rPr>
          <w:rFonts w:ascii="Times New Roman" w:hAnsi="Times New Roman" w:cs="Times New Roman"/>
          <w:snapToGrid w:val="0"/>
          <w:color w:val="auto"/>
          <w:spacing w:val="0"/>
          <w:kern w:val="21"/>
        </w:rPr>
        <w:fldChar w:fldCharType="separate"/>
      </w:r>
      <w:r>
        <w:rPr>
          <w:rFonts w:ascii="Times New Roman" w:hAnsi="Times New Roman" w:cs="Times New Roman"/>
          <w:color w:val="auto"/>
          <w:spacing w:val="0"/>
        </w:rPr>
        <w:t>④</w:t>
      </w:r>
      <w:r>
        <w:rPr>
          <w:rFonts w:ascii="Times New Roman" w:hAnsi="Times New Roman" w:cs="Times New Roman"/>
          <w:color w:val="auto"/>
          <w:spacing w:val="0"/>
        </w:rPr>
        <w:fldChar w:fldCharType="end"/>
      </w:r>
      <w:r>
        <w:rPr>
          <w:rFonts w:ascii="Times New Roman" w:hAnsi="Times New Roman" w:cs="Times New Roman"/>
          <w:snapToGrid w:val="0"/>
          <w:color w:val="auto"/>
          <w:spacing w:val="0"/>
          <w:kern w:val="21"/>
        </w:rPr>
        <w:t>-</w:t>
      </w:r>
      <w:r>
        <w:rPr>
          <w:rFonts w:ascii="Times New Roman" w:hAnsi="Times New Roman" w:cs="Times New Roman"/>
          <w:snapToGrid w:val="0"/>
          <w:color w:val="auto"/>
          <w:spacing w:val="0"/>
          <w:kern w:val="21"/>
        </w:rPr>
        <w:fldChar w:fldCharType="begin"/>
      </w:r>
      <w:r>
        <w:rPr>
          <w:rFonts w:ascii="Times New Roman" w:hAnsi="Times New Roman" w:cs="Times New Roman"/>
          <w:snapToGrid w:val="0"/>
          <w:color w:val="auto"/>
          <w:spacing w:val="0"/>
          <w:kern w:val="21"/>
        </w:rPr>
        <w:instrText xml:space="preserve"> = 5 \* GB3 \* MERGEFORMAT </w:instrText>
      </w:r>
      <w:r>
        <w:rPr>
          <w:rFonts w:ascii="Times New Roman" w:hAnsi="Times New Roman" w:cs="Times New Roman"/>
          <w:snapToGrid w:val="0"/>
          <w:color w:val="auto"/>
          <w:spacing w:val="0"/>
          <w:kern w:val="21"/>
        </w:rPr>
        <w:fldChar w:fldCharType="separate"/>
      </w:r>
      <w:r>
        <w:rPr>
          <w:rFonts w:ascii="Times New Roman" w:hAnsi="Times New Roman" w:cs="Times New Roman"/>
          <w:color w:val="auto"/>
          <w:spacing w:val="0"/>
        </w:rPr>
        <w:t>⑤</w:t>
      </w:r>
      <w:r>
        <w:rPr>
          <w:rFonts w:ascii="Times New Roman" w:hAnsi="Times New Roman" w:cs="Times New Roman"/>
          <w:color w:val="auto"/>
          <w:spacing w:val="0"/>
        </w:rPr>
        <w:fldChar w:fldCharType="end"/>
      </w:r>
      <w:r>
        <w:rPr>
          <w:rFonts w:ascii="Times New Roman" w:hAnsi="Times New Roman" w:cs="Times New Roman"/>
          <w:snapToGrid w:val="0"/>
          <w:color w:val="auto"/>
          <w:spacing w:val="0"/>
          <w:kern w:val="21"/>
        </w:rPr>
        <w:t>；</w:t>
      </w:r>
      <w:r>
        <w:rPr>
          <w:rFonts w:ascii="Times New Roman" w:hAnsi="Times New Roman" w:cs="Times New Roman"/>
          <w:snapToGrid w:val="0"/>
          <w:color w:val="auto"/>
          <w:spacing w:val="0"/>
          <w:kern w:val="21"/>
        </w:rPr>
        <w:fldChar w:fldCharType="begin"/>
      </w:r>
      <w:r>
        <w:rPr>
          <w:rFonts w:ascii="Times New Roman" w:hAnsi="Times New Roman" w:cs="Times New Roman"/>
          <w:snapToGrid w:val="0"/>
          <w:color w:val="auto"/>
          <w:spacing w:val="0"/>
          <w:kern w:val="21"/>
        </w:rPr>
        <w:instrText xml:space="preserve"> = 7 \* GB3 \* MERGEFORMAT </w:instrText>
      </w:r>
      <w:r>
        <w:rPr>
          <w:rFonts w:ascii="Times New Roman" w:hAnsi="Times New Roman" w:cs="Times New Roman"/>
          <w:snapToGrid w:val="0"/>
          <w:color w:val="auto"/>
          <w:spacing w:val="0"/>
          <w:kern w:val="21"/>
        </w:rPr>
        <w:fldChar w:fldCharType="separate"/>
      </w:r>
      <w:r>
        <w:rPr>
          <w:rFonts w:ascii="Times New Roman" w:hAnsi="Times New Roman" w:cs="Times New Roman"/>
          <w:color w:val="auto"/>
          <w:spacing w:val="0"/>
        </w:rPr>
        <w:t>⑦</w:t>
      </w:r>
      <w:r>
        <w:rPr>
          <w:rFonts w:ascii="Times New Roman" w:hAnsi="Times New Roman" w:cs="Times New Roman"/>
          <w:color w:val="auto"/>
          <w:spacing w:val="0"/>
        </w:rPr>
        <w:fldChar w:fldCharType="end"/>
      </w:r>
      <w:r>
        <w:rPr>
          <w:rFonts w:ascii="Times New Roman" w:hAnsi="Times New Roman" w:cs="Times New Roman"/>
          <w:snapToGrid w:val="0"/>
          <w:color w:val="auto"/>
          <w:spacing w:val="0"/>
          <w:kern w:val="21"/>
        </w:rPr>
        <w:t>=</w:t>
      </w:r>
      <w:r>
        <w:rPr>
          <w:rFonts w:ascii="Times New Roman" w:hAnsi="Times New Roman" w:cs="Times New Roman"/>
          <w:snapToGrid w:val="0"/>
          <w:color w:val="auto"/>
          <w:spacing w:val="0"/>
          <w:kern w:val="21"/>
        </w:rPr>
        <w:fldChar w:fldCharType="begin"/>
      </w:r>
      <w:r>
        <w:rPr>
          <w:rFonts w:ascii="Times New Roman" w:hAnsi="Times New Roman" w:cs="Times New Roman"/>
          <w:snapToGrid w:val="0"/>
          <w:color w:val="auto"/>
          <w:spacing w:val="0"/>
          <w:kern w:val="21"/>
        </w:rPr>
        <w:instrText xml:space="preserve"> = 6 \* GB3 \* MERGEFORMAT </w:instrText>
      </w:r>
      <w:r>
        <w:rPr>
          <w:rFonts w:ascii="Times New Roman" w:hAnsi="Times New Roman" w:cs="Times New Roman"/>
          <w:snapToGrid w:val="0"/>
          <w:color w:val="auto"/>
          <w:spacing w:val="0"/>
          <w:kern w:val="21"/>
        </w:rPr>
        <w:fldChar w:fldCharType="separate"/>
      </w:r>
      <w:r>
        <w:rPr>
          <w:rFonts w:ascii="Times New Roman" w:hAnsi="Times New Roman" w:cs="Times New Roman"/>
          <w:color w:val="auto"/>
          <w:spacing w:val="0"/>
        </w:rPr>
        <w:t>⑥</w:t>
      </w:r>
      <w:r>
        <w:rPr>
          <w:rFonts w:ascii="Times New Roman" w:hAnsi="Times New Roman" w:cs="Times New Roman"/>
          <w:color w:val="auto"/>
          <w:spacing w:val="0"/>
        </w:rPr>
        <w:fldChar w:fldCharType="end"/>
      </w:r>
      <w:r>
        <w:rPr>
          <w:rFonts w:ascii="Times New Roman" w:hAnsi="Times New Roman" w:cs="Times New Roman"/>
          <w:snapToGrid w:val="0"/>
          <w:color w:val="auto"/>
          <w:spacing w:val="0"/>
          <w:kern w:val="21"/>
        </w:rPr>
        <w:t>-</w:t>
      </w:r>
      <w:r>
        <w:rPr>
          <w:rFonts w:ascii="Times New Roman" w:hAnsi="Times New Roman" w:cs="Times New Roman"/>
          <w:snapToGrid w:val="0"/>
          <w:color w:val="auto"/>
          <w:spacing w:val="0"/>
          <w:kern w:val="21"/>
        </w:rPr>
        <w:fldChar w:fldCharType="begin"/>
      </w:r>
      <w:r>
        <w:rPr>
          <w:rFonts w:ascii="Times New Roman" w:hAnsi="Times New Roman" w:cs="Times New Roman"/>
          <w:snapToGrid w:val="0"/>
          <w:color w:val="auto"/>
          <w:spacing w:val="0"/>
          <w:kern w:val="21"/>
        </w:rPr>
        <w:instrText xml:space="preserve"> = 1 \* GB3 \* MERGEFORMAT </w:instrText>
      </w:r>
      <w:r>
        <w:rPr>
          <w:rFonts w:ascii="Times New Roman" w:hAnsi="Times New Roman" w:cs="Times New Roman"/>
          <w:snapToGrid w:val="0"/>
          <w:color w:val="auto"/>
          <w:spacing w:val="0"/>
          <w:kern w:val="21"/>
        </w:rPr>
        <w:fldChar w:fldCharType="separate"/>
      </w:r>
      <w:r>
        <w:rPr>
          <w:rFonts w:ascii="Times New Roman" w:hAnsi="Times New Roman" w:cs="Times New Roman"/>
          <w:color w:val="auto"/>
          <w:spacing w:val="0"/>
        </w:rPr>
        <w:t>①</w:t>
      </w:r>
      <w:r>
        <w:rPr>
          <w:rFonts w:ascii="Times New Roman" w:hAnsi="Times New Roman" w:cs="Times New Roman"/>
          <w:color w:val="auto"/>
          <w:spacing w:val="0"/>
        </w:rPr>
        <w:fldChar w:fldCharType="end"/>
      </w:r>
    </w:p>
    <w:sectPr>
      <w:footerReference r:id="rId10" w:type="default"/>
      <w:pgSz w:w="16838" w:h="11906" w:orient="landscape"/>
      <w:pgMar w:top="1797" w:right="1440" w:bottom="1797" w:left="144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00"/>
      </w:pPr>
      <w:r>
        <w:separator/>
      </w:r>
    </w:p>
  </w:endnote>
  <w:endnote w:type="continuationSeparator" w:id="1">
    <w:p>
      <w:pPr>
        <w:spacing w:line="240" w:lineRule="auto"/>
        <w:ind w:firstLine="4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A00002EF" w:usb1="4000004B" w:usb2="00000000" w:usb3="00000000" w:csb0="2000019F" w:csb1="00000000"/>
  </w:font>
  <w:font w:name="TimesNewRomanPSMT">
    <w:altName w:val="等线"/>
    <w:panose1 w:val="00000000000000000000"/>
    <w:charset w:val="00"/>
    <w:family w:val="roman"/>
    <w:pitch w:val="default"/>
    <w:sig w:usb0="00000000" w:usb1="00000000" w:usb2="00000000" w:usb3="00000000" w:csb0="00000001"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roman"/>
    <w:pitch w:val="default"/>
    <w:sig w:usb0="00000001" w:usb1="080E0000" w:usb2="00000000" w:usb3="00000000" w:csb0="00040000" w:csb1="00000000"/>
  </w:font>
  <w:font w:name="Sylfaen">
    <w:panose1 w:val="010A0502050306030303"/>
    <w:charset w:val="00"/>
    <w:family w:val="roman"/>
    <w:pitch w:val="default"/>
    <w:sig w:usb0="04000687" w:usb1="00000000" w:usb2="00000000" w:usb3="00000000" w:csb0="2000009F" w:csb1="00000000"/>
  </w:font>
  <w:font w:name="MingLiU">
    <w:panose1 w:val="02020509000000000000"/>
    <w:charset w:val="88"/>
    <w:family w:val="modern"/>
    <w:pitch w:val="default"/>
    <w:sig w:usb0="A00002FF" w:usb1="28CFFCFA" w:usb2="00000016" w:usb3="00000000" w:csb0="00100001"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10006FF" w:usb1="4000205B" w:usb2="00000010" w:usb3="00000000" w:csb0="2000019F" w:csb1="00000000"/>
  </w:font>
  <w:font w:name="”“Times New Roman”“">
    <w:altName w:val="宋体"/>
    <w:panose1 w:val="00000000000000000000"/>
    <w:charset w:val="86"/>
    <w:family w:val="roman"/>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 w:name="新宋体">
    <w:panose1 w:val="02010609030101010101"/>
    <w:charset w:val="86"/>
    <w:family w:val="auto"/>
    <w:pitch w:val="default"/>
    <w:sig w:usb0="00000003" w:usb1="288F0000" w:usb2="0000000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framePr w:wrap="around" w:vAnchor="text" w:hAnchor="margin" w:xAlign="center" w:y="1"/>
      <w:ind w:firstLine="360"/>
      <w:rPr>
        <w:rStyle w:val="60"/>
      </w:rPr>
    </w:pPr>
    <w:r>
      <w:fldChar w:fldCharType="begin"/>
    </w:r>
    <w:r>
      <w:rPr>
        <w:rStyle w:val="60"/>
      </w:rPr>
      <w:instrText xml:space="preserve">PAGE  </w:instrText>
    </w:r>
    <w:r>
      <w:fldChar w:fldCharType="end"/>
    </w:r>
  </w:p>
  <w:p>
    <w:pPr>
      <w:pStyle w:val="3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ind w:firstLine="0" w:firstLineChars="0"/>
      <w:jc w:val="center"/>
      <w:rPr>
        <w:rFonts w:ascii="Times New Roman" w:hAnsi="Times New Roman" w:cs="Times New Roman"/>
        <w:sz w:val="21"/>
        <w:szCs w:val="2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ind w:firstLine="0" w:firstLineChars="0"/>
      <w:jc w:val="center"/>
      <w:rPr>
        <w:rFonts w:ascii="Times New Roman" w:hAnsi="Times New Roman" w:cs="Times New Roman"/>
        <w:sz w:val="21"/>
        <w:szCs w:val="22"/>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6"/>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6"/>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6"/>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6"/>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00"/>
      </w:pPr>
      <w:r>
        <w:separator/>
      </w:r>
    </w:p>
  </w:footnote>
  <w:footnote w:type="continuationSeparator" w:id="1">
    <w:p>
      <w:pPr>
        <w:spacing w:line="360" w:lineRule="auto"/>
        <w:ind w:firstLine="4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7A2864"/>
    <w:multiLevelType w:val="singleLevel"/>
    <w:tmpl w:val="937A2864"/>
    <w:lvl w:ilvl="0" w:tentative="0">
      <w:start w:val="5"/>
      <w:numFmt w:val="chineseCounting"/>
      <w:suff w:val="nothing"/>
      <w:lvlText w:val="%1、"/>
      <w:lvlJc w:val="left"/>
      <w:rPr>
        <w:rFonts w:hint="eastAsia"/>
      </w:rPr>
    </w:lvl>
  </w:abstractNum>
  <w:abstractNum w:abstractNumId="1">
    <w:nsid w:val="FFFFFF89"/>
    <w:multiLevelType w:val="singleLevel"/>
    <w:tmpl w:val="FFFFFF89"/>
    <w:lvl w:ilvl="0" w:tentative="0">
      <w:start w:val="1"/>
      <w:numFmt w:val="bullet"/>
      <w:pStyle w:val="17"/>
      <w:lvlText w:val=""/>
      <w:lvlJc w:val="left"/>
      <w:pPr>
        <w:tabs>
          <w:tab w:val="left" w:pos="360"/>
        </w:tabs>
        <w:ind w:left="360" w:hanging="360"/>
      </w:pPr>
      <w:rPr>
        <w:rFonts w:hint="default" w:ascii="Wingdings" w:hAnsi="Wingdings"/>
      </w:rPr>
    </w:lvl>
  </w:abstractNum>
  <w:abstractNum w:abstractNumId="2">
    <w:nsid w:val="436671C8"/>
    <w:multiLevelType w:val="singleLevel"/>
    <w:tmpl w:val="436671C8"/>
    <w:lvl w:ilvl="0" w:tentative="0">
      <w:start w:val="1"/>
      <w:numFmt w:val="bullet"/>
      <w:pStyle w:val="31"/>
      <w:lvlText w:val=""/>
      <w:lvlJc w:val="left"/>
      <w:pPr>
        <w:tabs>
          <w:tab w:val="left" w:pos="2040"/>
        </w:tabs>
        <w:ind w:left="2040" w:hanging="360"/>
      </w:pPr>
      <w:rPr>
        <w:rFonts w:hint="default" w:ascii="Wingdings" w:hAnsi="Wingdings"/>
      </w:rPr>
    </w:lvl>
  </w:abstractNum>
  <w:abstractNum w:abstractNumId="3">
    <w:nsid w:val="4FCA4C51"/>
    <w:multiLevelType w:val="multilevel"/>
    <w:tmpl w:val="4FCA4C51"/>
    <w:lvl w:ilvl="0" w:tentative="0">
      <w:start w:val="1"/>
      <w:numFmt w:val="decimal"/>
      <w:pStyle w:val="219"/>
      <w:lvlText w:val="（%1）"/>
      <w:lvlJc w:val="left"/>
      <w:pPr>
        <w:tabs>
          <w:tab w:val="left" w:pos="720"/>
        </w:tabs>
        <w:ind w:left="720" w:hanging="720"/>
      </w:pPr>
      <w:rPr>
        <w:rFonts w:hint="default"/>
      </w:rPr>
    </w:lvl>
    <w:lvl w:ilvl="1" w:tentative="0">
      <w:start w:val="1"/>
      <w:numFmt w:val="lowerLetter"/>
      <w:lvlText w:val="%2)"/>
      <w:lvlJc w:val="left"/>
      <w:pPr>
        <w:tabs>
          <w:tab w:val="left" w:pos="1372"/>
        </w:tabs>
        <w:ind w:left="1372" w:hanging="420"/>
      </w:pPr>
    </w:lvl>
    <w:lvl w:ilvl="2" w:tentative="0">
      <w:start w:val="1"/>
      <w:numFmt w:val="lowerRoman"/>
      <w:lvlText w:val="%3."/>
      <w:lvlJc w:val="right"/>
      <w:pPr>
        <w:tabs>
          <w:tab w:val="left" w:pos="1792"/>
        </w:tabs>
        <w:ind w:left="1792" w:hanging="420"/>
      </w:pPr>
    </w:lvl>
    <w:lvl w:ilvl="3" w:tentative="0">
      <w:start w:val="1"/>
      <w:numFmt w:val="decimal"/>
      <w:lvlText w:val="%4."/>
      <w:lvlJc w:val="left"/>
      <w:pPr>
        <w:tabs>
          <w:tab w:val="left" w:pos="2212"/>
        </w:tabs>
        <w:ind w:left="2212" w:hanging="420"/>
      </w:pPr>
    </w:lvl>
    <w:lvl w:ilvl="4" w:tentative="0">
      <w:start w:val="1"/>
      <w:numFmt w:val="lowerLetter"/>
      <w:lvlText w:val="%5)"/>
      <w:lvlJc w:val="left"/>
      <w:pPr>
        <w:tabs>
          <w:tab w:val="left" w:pos="2632"/>
        </w:tabs>
        <w:ind w:left="2632" w:hanging="420"/>
      </w:pPr>
    </w:lvl>
    <w:lvl w:ilvl="5" w:tentative="0">
      <w:start w:val="1"/>
      <w:numFmt w:val="lowerRoman"/>
      <w:lvlText w:val="%6."/>
      <w:lvlJc w:val="right"/>
      <w:pPr>
        <w:tabs>
          <w:tab w:val="left" w:pos="3052"/>
        </w:tabs>
        <w:ind w:left="3052" w:hanging="420"/>
      </w:pPr>
    </w:lvl>
    <w:lvl w:ilvl="6" w:tentative="0">
      <w:start w:val="1"/>
      <w:numFmt w:val="decimal"/>
      <w:lvlText w:val="%7."/>
      <w:lvlJc w:val="left"/>
      <w:pPr>
        <w:tabs>
          <w:tab w:val="left" w:pos="3472"/>
        </w:tabs>
        <w:ind w:left="3472" w:hanging="420"/>
      </w:pPr>
    </w:lvl>
    <w:lvl w:ilvl="7" w:tentative="0">
      <w:start w:val="1"/>
      <w:numFmt w:val="lowerLetter"/>
      <w:lvlText w:val="%8)"/>
      <w:lvlJc w:val="left"/>
      <w:pPr>
        <w:tabs>
          <w:tab w:val="left" w:pos="3892"/>
        </w:tabs>
        <w:ind w:left="3892" w:hanging="420"/>
      </w:pPr>
    </w:lvl>
    <w:lvl w:ilvl="8" w:tentative="0">
      <w:start w:val="1"/>
      <w:numFmt w:val="lowerRoman"/>
      <w:lvlText w:val="%9."/>
      <w:lvlJc w:val="right"/>
      <w:pPr>
        <w:tabs>
          <w:tab w:val="left" w:pos="4312"/>
        </w:tabs>
        <w:ind w:left="4312" w:hanging="420"/>
      </w:pPr>
    </w:lvl>
  </w:abstractNum>
  <w:abstractNum w:abstractNumId="4">
    <w:nsid w:val="516014A5"/>
    <w:multiLevelType w:val="singleLevel"/>
    <w:tmpl w:val="516014A5"/>
    <w:lvl w:ilvl="0" w:tentative="0">
      <w:start w:val="1"/>
      <w:numFmt w:val="japaneseCounting"/>
      <w:pStyle w:val="377"/>
      <w:lvlText w:val="%1、"/>
      <w:lvlJc w:val="left"/>
      <w:pPr>
        <w:tabs>
          <w:tab w:val="left" w:pos="570"/>
        </w:tabs>
        <w:ind w:left="570" w:hanging="570"/>
      </w:pPr>
      <w:rPr>
        <w:rFonts w:hint="eastAsia"/>
      </w:rPr>
    </w:lvl>
  </w:abstractNum>
  <w:abstractNum w:abstractNumId="5">
    <w:nsid w:val="52DF7ED5"/>
    <w:multiLevelType w:val="multilevel"/>
    <w:tmpl w:val="52DF7ED5"/>
    <w:lvl w:ilvl="0" w:tentative="0">
      <w:start w:val="1"/>
      <w:numFmt w:val="decimal"/>
      <w:pStyle w:val="4"/>
      <w:lvlText w:val="%1"/>
      <w:lvlJc w:val="left"/>
      <w:pPr>
        <w:tabs>
          <w:tab w:val="left" w:pos="432"/>
        </w:tabs>
        <w:ind w:left="432" w:hanging="432"/>
      </w:pPr>
    </w:lvl>
    <w:lvl w:ilvl="1" w:tentative="0">
      <w:start w:val="1"/>
      <w:numFmt w:val="decimal"/>
      <w:pStyle w:val="5"/>
      <w:lvlText w:val="%1.%2"/>
      <w:lvlJc w:val="left"/>
      <w:pPr>
        <w:tabs>
          <w:tab w:val="left" w:pos="576"/>
        </w:tabs>
        <w:ind w:left="576" w:hanging="576"/>
      </w:pPr>
    </w:lvl>
    <w:lvl w:ilvl="2" w:tentative="0">
      <w:start w:val="1"/>
      <w:numFmt w:val="decimal"/>
      <w:pStyle w:val="6"/>
      <w:lvlText w:val="%1.%2.%3"/>
      <w:lvlJc w:val="left"/>
      <w:pPr>
        <w:tabs>
          <w:tab w:val="left" w:pos="720"/>
        </w:tabs>
        <w:ind w:left="720" w:hanging="720"/>
      </w:pPr>
    </w:lvl>
    <w:lvl w:ilvl="3" w:tentative="0">
      <w:start w:val="1"/>
      <w:numFmt w:val="decimal"/>
      <w:pStyle w:val="7"/>
      <w:lvlText w:val="%1.%2.%3.%4"/>
      <w:lvlJc w:val="left"/>
      <w:pPr>
        <w:tabs>
          <w:tab w:val="left" w:pos="864"/>
        </w:tabs>
        <w:ind w:left="864" w:hanging="864"/>
      </w:pPr>
    </w:lvl>
    <w:lvl w:ilvl="4" w:tentative="0">
      <w:start w:val="1"/>
      <w:numFmt w:val="decimal"/>
      <w:pStyle w:val="8"/>
      <w:lvlText w:val="%1.%2.%3.%4.%5"/>
      <w:lvlJc w:val="left"/>
      <w:pPr>
        <w:tabs>
          <w:tab w:val="left" w:pos="1008"/>
        </w:tabs>
        <w:ind w:left="1008" w:hanging="1008"/>
      </w:pPr>
    </w:lvl>
    <w:lvl w:ilvl="5" w:tentative="0">
      <w:start w:val="1"/>
      <w:numFmt w:val="decimal"/>
      <w:pStyle w:val="9"/>
      <w:lvlText w:val="%1.%2.%3.%4.%5.%6"/>
      <w:lvlJc w:val="left"/>
      <w:pPr>
        <w:tabs>
          <w:tab w:val="left" w:pos="1152"/>
        </w:tabs>
        <w:ind w:left="1152" w:hanging="1152"/>
      </w:pPr>
    </w:lvl>
    <w:lvl w:ilvl="6" w:tentative="0">
      <w:start w:val="1"/>
      <w:numFmt w:val="decimal"/>
      <w:pStyle w:val="10"/>
      <w:lvlText w:val="%1.%2.%3.%4.%5.%6.%7"/>
      <w:lvlJc w:val="left"/>
      <w:pPr>
        <w:tabs>
          <w:tab w:val="left" w:pos="1296"/>
        </w:tabs>
        <w:ind w:left="1296" w:hanging="1296"/>
      </w:pPr>
    </w:lvl>
    <w:lvl w:ilvl="7" w:tentative="0">
      <w:start w:val="1"/>
      <w:numFmt w:val="decimal"/>
      <w:pStyle w:val="11"/>
      <w:lvlText w:val="%1.%2.%3.%4.%5.%6.%7.%8"/>
      <w:lvlJc w:val="left"/>
      <w:pPr>
        <w:tabs>
          <w:tab w:val="left" w:pos="1440"/>
        </w:tabs>
        <w:ind w:left="1440" w:hanging="1440"/>
      </w:pPr>
    </w:lvl>
    <w:lvl w:ilvl="8" w:tentative="0">
      <w:start w:val="1"/>
      <w:numFmt w:val="decimal"/>
      <w:pStyle w:val="12"/>
      <w:lvlText w:val="%1.%2.%3.%4.%5.%6.%7.%8.%9"/>
      <w:lvlJc w:val="left"/>
      <w:pPr>
        <w:tabs>
          <w:tab w:val="left" w:pos="1584"/>
        </w:tabs>
        <w:ind w:left="1584" w:hanging="1584"/>
      </w:pPr>
    </w:lvl>
  </w:abstractNum>
  <w:num w:numId="1">
    <w:abstractNumId w:val="5"/>
  </w:num>
  <w:num w:numId="2">
    <w:abstractNumId w:val="1"/>
  </w:num>
  <w:num w:numId="3">
    <w:abstractNumId w:val="2"/>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鹿泉表.doc"/>
    <w:docVar w:name="commondata" w:val="eyJoZGlkIjoiOWQ1MDgzMzNjZWJkYjhlZjY1MDBiMTI0NTFlY2U0ZDgifQ=="/>
    <w:docVar w:name="VTBOLDON" w:val="0"/>
    <w:docVar w:name="VTCASE" w:val="4"/>
    <w:docVar w:name="VTCommandPending" w:val="NONE"/>
    <w:docVar w:name="VTCurMacroFlags$" w:val="NNNN"/>
    <w:docVar w:name="VTDictating" w:val="TRUE"/>
    <w:docVar w:name="VTINIT" w:val="1"/>
    <w:docVar w:name="VTITALICON" w:val="0"/>
    <w:docVar w:name="VTUNDERLINEON" w:val="0"/>
    <w:docVar w:name="VTypeCAPFlag$" w:val="FALSE"/>
    <w:docVar w:name="VTypeJoinDigitFlag$" w:val="FALSE"/>
    <w:docVar w:name="VTypeLCFlag$" w:val="FALSE"/>
    <w:docVar w:name="VTypeNoSpaceFlag$" w:val="TRUE"/>
    <w:docVar w:name="VTypeSpaceFlag$" w:val="FALSE"/>
    <w:docVar w:name="VTypeUCFlag$" w:val="FALSE"/>
  </w:docVars>
  <w:rsids>
    <w:rsidRoot w:val="00172A27"/>
    <w:rsid w:val="00000565"/>
    <w:rsid w:val="00000D08"/>
    <w:rsid w:val="00000D09"/>
    <w:rsid w:val="00001343"/>
    <w:rsid w:val="0000142F"/>
    <w:rsid w:val="00001592"/>
    <w:rsid w:val="00001C05"/>
    <w:rsid w:val="0000254C"/>
    <w:rsid w:val="000031BF"/>
    <w:rsid w:val="00004013"/>
    <w:rsid w:val="00004365"/>
    <w:rsid w:val="00004720"/>
    <w:rsid w:val="00004B0B"/>
    <w:rsid w:val="00004B3A"/>
    <w:rsid w:val="00004E3E"/>
    <w:rsid w:val="000054C0"/>
    <w:rsid w:val="000059EC"/>
    <w:rsid w:val="00005D44"/>
    <w:rsid w:val="00005D91"/>
    <w:rsid w:val="000067C2"/>
    <w:rsid w:val="00007293"/>
    <w:rsid w:val="000077D7"/>
    <w:rsid w:val="00007A81"/>
    <w:rsid w:val="00010A63"/>
    <w:rsid w:val="00010DFA"/>
    <w:rsid w:val="00010F40"/>
    <w:rsid w:val="00010F73"/>
    <w:rsid w:val="00011360"/>
    <w:rsid w:val="00011779"/>
    <w:rsid w:val="0001186D"/>
    <w:rsid w:val="00012DF2"/>
    <w:rsid w:val="00013D00"/>
    <w:rsid w:val="00014125"/>
    <w:rsid w:val="000142BC"/>
    <w:rsid w:val="0001565C"/>
    <w:rsid w:val="00016268"/>
    <w:rsid w:val="000164A8"/>
    <w:rsid w:val="000166CB"/>
    <w:rsid w:val="00016A9C"/>
    <w:rsid w:val="00017A98"/>
    <w:rsid w:val="00017C12"/>
    <w:rsid w:val="00017FDB"/>
    <w:rsid w:val="00020B44"/>
    <w:rsid w:val="00020D27"/>
    <w:rsid w:val="00020DF1"/>
    <w:rsid w:val="00021111"/>
    <w:rsid w:val="0002283C"/>
    <w:rsid w:val="00022CC2"/>
    <w:rsid w:val="00022F3A"/>
    <w:rsid w:val="00023141"/>
    <w:rsid w:val="00023163"/>
    <w:rsid w:val="000234D4"/>
    <w:rsid w:val="000235C0"/>
    <w:rsid w:val="0002466F"/>
    <w:rsid w:val="000246D9"/>
    <w:rsid w:val="00024A04"/>
    <w:rsid w:val="00024B16"/>
    <w:rsid w:val="0002514B"/>
    <w:rsid w:val="000251E3"/>
    <w:rsid w:val="00025599"/>
    <w:rsid w:val="000256EB"/>
    <w:rsid w:val="00025A41"/>
    <w:rsid w:val="00025AB0"/>
    <w:rsid w:val="0002611D"/>
    <w:rsid w:val="00026BF7"/>
    <w:rsid w:val="00026C8F"/>
    <w:rsid w:val="0002725A"/>
    <w:rsid w:val="000272A4"/>
    <w:rsid w:val="00030F02"/>
    <w:rsid w:val="0003101A"/>
    <w:rsid w:val="000318A3"/>
    <w:rsid w:val="00031CC7"/>
    <w:rsid w:val="00031FA3"/>
    <w:rsid w:val="0003248E"/>
    <w:rsid w:val="00032C30"/>
    <w:rsid w:val="00032D10"/>
    <w:rsid w:val="00032F99"/>
    <w:rsid w:val="000330D2"/>
    <w:rsid w:val="00033470"/>
    <w:rsid w:val="0003348A"/>
    <w:rsid w:val="00034711"/>
    <w:rsid w:val="00034C38"/>
    <w:rsid w:val="00035285"/>
    <w:rsid w:val="00035688"/>
    <w:rsid w:val="00035F72"/>
    <w:rsid w:val="000364D8"/>
    <w:rsid w:val="00036A1C"/>
    <w:rsid w:val="000372C0"/>
    <w:rsid w:val="00037AB8"/>
    <w:rsid w:val="00037EA8"/>
    <w:rsid w:val="000405FE"/>
    <w:rsid w:val="00040BB0"/>
    <w:rsid w:val="00041306"/>
    <w:rsid w:val="000416A6"/>
    <w:rsid w:val="0004184E"/>
    <w:rsid w:val="00041BDD"/>
    <w:rsid w:val="000421F8"/>
    <w:rsid w:val="000422CC"/>
    <w:rsid w:val="00042358"/>
    <w:rsid w:val="00042ECF"/>
    <w:rsid w:val="0004303A"/>
    <w:rsid w:val="000431DA"/>
    <w:rsid w:val="00043592"/>
    <w:rsid w:val="00043C0E"/>
    <w:rsid w:val="000447A7"/>
    <w:rsid w:val="00044DC8"/>
    <w:rsid w:val="0004545E"/>
    <w:rsid w:val="00046337"/>
    <w:rsid w:val="00046A62"/>
    <w:rsid w:val="00046CB8"/>
    <w:rsid w:val="00046DD2"/>
    <w:rsid w:val="0004712F"/>
    <w:rsid w:val="00047224"/>
    <w:rsid w:val="000472BE"/>
    <w:rsid w:val="00047652"/>
    <w:rsid w:val="00047CE8"/>
    <w:rsid w:val="00050215"/>
    <w:rsid w:val="00050796"/>
    <w:rsid w:val="00050B5B"/>
    <w:rsid w:val="00050F21"/>
    <w:rsid w:val="00051019"/>
    <w:rsid w:val="000511BC"/>
    <w:rsid w:val="0005142F"/>
    <w:rsid w:val="00051833"/>
    <w:rsid w:val="00052C0F"/>
    <w:rsid w:val="00052F90"/>
    <w:rsid w:val="0005305E"/>
    <w:rsid w:val="00053F4E"/>
    <w:rsid w:val="000545D4"/>
    <w:rsid w:val="00054990"/>
    <w:rsid w:val="00055948"/>
    <w:rsid w:val="00055E72"/>
    <w:rsid w:val="00057086"/>
    <w:rsid w:val="00057B9F"/>
    <w:rsid w:val="000600A7"/>
    <w:rsid w:val="00060731"/>
    <w:rsid w:val="00060D1D"/>
    <w:rsid w:val="00060DFF"/>
    <w:rsid w:val="000614BF"/>
    <w:rsid w:val="00061773"/>
    <w:rsid w:val="00061853"/>
    <w:rsid w:val="00061FF7"/>
    <w:rsid w:val="00062067"/>
    <w:rsid w:val="00062714"/>
    <w:rsid w:val="00062BAF"/>
    <w:rsid w:val="00063750"/>
    <w:rsid w:val="00063B60"/>
    <w:rsid w:val="00064EA9"/>
    <w:rsid w:val="00064EFD"/>
    <w:rsid w:val="00065DB2"/>
    <w:rsid w:val="00065E9C"/>
    <w:rsid w:val="000664F4"/>
    <w:rsid w:val="00066A0A"/>
    <w:rsid w:val="00066B49"/>
    <w:rsid w:val="000679F9"/>
    <w:rsid w:val="00067FF9"/>
    <w:rsid w:val="000702FF"/>
    <w:rsid w:val="00071413"/>
    <w:rsid w:val="000715FB"/>
    <w:rsid w:val="000719C0"/>
    <w:rsid w:val="00071D16"/>
    <w:rsid w:val="00071D6E"/>
    <w:rsid w:val="00071EC4"/>
    <w:rsid w:val="00071F82"/>
    <w:rsid w:val="000732FC"/>
    <w:rsid w:val="000733FB"/>
    <w:rsid w:val="000738A9"/>
    <w:rsid w:val="00073A60"/>
    <w:rsid w:val="00073FD0"/>
    <w:rsid w:val="00074135"/>
    <w:rsid w:val="000744CF"/>
    <w:rsid w:val="0007459A"/>
    <w:rsid w:val="00074C7C"/>
    <w:rsid w:val="000751CE"/>
    <w:rsid w:val="00075C27"/>
    <w:rsid w:val="00077A12"/>
    <w:rsid w:val="00077BE1"/>
    <w:rsid w:val="00077D92"/>
    <w:rsid w:val="00080090"/>
    <w:rsid w:val="00080267"/>
    <w:rsid w:val="000803E0"/>
    <w:rsid w:val="000805DF"/>
    <w:rsid w:val="000805E3"/>
    <w:rsid w:val="0008077D"/>
    <w:rsid w:val="0008147D"/>
    <w:rsid w:val="000815DB"/>
    <w:rsid w:val="000816E2"/>
    <w:rsid w:val="0008174F"/>
    <w:rsid w:val="00081BE8"/>
    <w:rsid w:val="00081D79"/>
    <w:rsid w:val="00081F7B"/>
    <w:rsid w:val="000822FC"/>
    <w:rsid w:val="00082489"/>
    <w:rsid w:val="00082708"/>
    <w:rsid w:val="0008340B"/>
    <w:rsid w:val="00083D36"/>
    <w:rsid w:val="00083FCC"/>
    <w:rsid w:val="000841BC"/>
    <w:rsid w:val="0008425B"/>
    <w:rsid w:val="00085058"/>
    <w:rsid w:val="00085698"/>
    <w:rsid w:val="000860E5"/>
    <w:rsid w:val="000862D8"/>
    <w:rsid w:val="000866DC"/>
    <w:rsid w:val="00086C05"/>
    <w:rsid w:val="0008716A"/>
    <w:rsid w:val="00087979"/>
    <w:rsid w:val="000900D3"/>
    <w:rsid w:val="00090884"/>
    <w:rsid w:val="00090F36"/>
    <w:rsid w:val="00090F77"/>
    <w:rsid w:val="0009108C"/>
    <w:rsid w:val="000910C4"/>
    <w:rsid w:val="00091668"/>
    <w:rsid w:val="000918D3"/>
    <w:rsid w:val="00091E0A"/>
    <w:rsid w:val="00091E22"/>
    <w:rsid w:val="00092359"/>
    <w:rsid w:val="000935CC"/>
    <w:rsid w:val="00093751"/>
    <w:rsid w:val="000937E6"/>
    <w:rsid w:val="000938B6"/>
    <w:rsid w:val="00093A5B"/>
    <w:rsid w:val="0009424F"/>
    <w:rsid w:val="0009438E"/>
    <w:rsid w:val="000943CB"/>
    <w:rsid w:val="0009460F"/>
    <w:rsid w:val="000946C9"/>
    <w:rsid w:val="000958DB"/>
    <w:rsid w:val="00095A85"/>
    <w:rsid w:val="00096023"/>
    <w:rsid w:val="00096574"/>
    <w:rsid w:val="0009688B"/>
    <w:rsid w:val="00097A41"/>
    <w:rsid w:val="00097EC4"/>
    <w:rsid w:val="00097FDB"/>
    <w:rsid w:val="000A023D"/>
    <w:rsid w:val="000A03BF"/>
    <w:rsid w:val="000A09B6"/>
    <w:rsid w:val="000A09C8"/>
    <w:rsid w:val="000A0A53"/>
    <w:rsid w:val="000A0AF5"/>
    <w:rsid w:val="000A0C27"/>
    <w:rsid w:val="000A0C4E"/>
    <w:rsid w:val="000A0DEA"/>
    <w:rsid w:val="000A135D"/>
    <w:rsid w:val="000A25ED"/>
    <w:rsid w:val="000A4055"/>
    <w:rsid w:val="000A445C"/>
    <w:rsid w:val="000A4713"/>
    <w:rsid w:val="000A505A"/>
    <w:rsid w:val="000A515E"/>
    <w:rsid w:val="000A5301"/>
    <w:rsid w:val="000A67DE"/>
    <w:rsid w:val="000A6814"/>
    <w:rsid w:val="000B0278"/>
    <w:rsid w:val="000B0BFF"/>
    <w:rsid w:val="000B220C"/>
    <w:rsid w:val="000B2247"/>
    <w:rsid w:val="000B24B3"/>
    <w:rsid w:val="000B2D45"/>
    <w:rsid w:val="000B2DFD"/>
    <w:rsid w:val="000B30C1"/>
    <w:rsid w:val="000B3179"/>
    <w:rsid w:val="000B324E"/>
    <w:rsid w:val="000B32F2"/>
    <w:rsid w:val="000B3E2F"/>
    <w:rsid w:val="000B42CD"/>
    <w:rsid w:val="000B4359"/>
    <w:rsid w:val="000B4417"/>
    <w:rsid w:val="000B4F98"/>
    <w:rsid w:val="000B5602"/>
    <w:rsid w:val="000B76A7"/>
    <w:rsid w:val="000B7737"/>
    <w:rsid w:val="000C112B"/>
    <w:rsid w:val="000C13FC"/>
    <w:rsid w:val="000C1A32"/>
    <w:rsid w:val="000C1CB2"/>
    <w:rsid w:val="000C2200"/>
    <w:rsid w:val="000C29BD"/>
    <w:rsid w:val="000C2E24"/>
    <w:rsid w:val="000C300B"/>
    <w:rsid w:val="000C3460"/>
    <w:rsid w:val="000C39C2"/>
    <w:rsid w:val="000C3B73"/>
    <w:rsid w:val="000C3C91"/>
    <w:rsid w:val="000C423A"/>
    <w:rsid w:val="000C4685"/>
    <w:rsid w:val="000C498D"/>
    <w:rsid w:val="000C54EC"/>
    <w:rsid w:val="000C5689"/>
    <w:rsid w:val="000C5F3E"/>
    <w:rsid w:val="000C7082"/>
    <w:rsid w:val="000C75E2"/>
    <w:rsid w:val="000C7710"/>
    <w:rsid w:val="000C7726"/>
    <w:rsid w:val="000C7EC5"/>
    <w:rsid w:val="000D0742"/>
    <w:rsid w:val="000D08EE"/>
    <w:rsid w:val="000D167F"/>
    <w:rsid w:val="000D1D2E"/>
    <w:rsid w:val="000D1DCF"/>
    <w:rsid w:val="000D248C"/>
    <w:rsid w:val="000D2678"/>
    <w:rsid w:val="000D2B0D"/>
    <w:rsid w:val="000D2D07"/>
    <w:rsid w:val="000D3FBE"/>
    <w:rsid w:val="000D4208"/>
    <w:rsid w:val="000D4872"/>
    <w:rsid w:val="000D4FC3"/>
    <w:rsid w:val="000D62B5"/>
    <w:rsid w:val="000D62B7"/>
    <w:rsid w:val="000D630C"/>
    <w:rsid w:val="000D6F86"/>
    <w:rsid w:val="000D6FBF"/>
    <w:rsid w:val="000D74A1"/>
    <w:rsid w:val="000D7701"/>
    <w:rsid w:val="000D7705"/>
    <w:rsid w:val="000D78FB"/>
    <w:rsid w:val="000D7A85"/>
    <w:rsid w:val="000D7C90"/>
    <w:rsid w:val="000E0199"/>
    <w:rsid w:val="000E0484"/>
    <w:rsid w:val="000E06BD"/>
    <w:rsid w:val="000E09AE"/>
    <w:rsid w:val="000E16B3"/>
    <w:rsid w:val="000E17F8"/>
    <w:rsid w:val="000E1A6C"/>
    <w:rsid w:val="000E23D4"/>
    <w:rsid w:val="000E3328"/>
    <w:rsid w:val="000E369B"/>
    <w:rsid w:val="000E36E4"/>
    <w:rsid w:val="000E3C61"/>
    <w:rsid w:val="000E3CE9"/>
    <w:rsid w:val="000E4778"/>
    <w:rsid w:val="000E4A82"/>
    <w:rsid w:val="000E521B"/>
    <w:rsid w:val="000E5429"/>
    <w:rsid w:val="000E59D5"/>
    <w:rsid w:val="000E5C5E"/>
    <w:rsid w:val="000E5E49"/>
    <w:rsid w:val="000E6107"/>
    <w:rsid w:val="000E6B6A"/>
    <w:rsid w:val="000E7387"/>
    <w:rsid w:val="000E77D5"/>
    <w:rsid w:val="000E7D6A"/>
    <w:rsid w:val="000F051B"/>
    <w:rsid w:val="000F06D0"/>
    <w:rsid w:val="000F0E52"/>
    <w:rsid w:val="000F10B8"/>
    <w:rsid w:val="000F154B"/>
    <w:rsid w:val="000F2122"/>
    <w:rsid w:val="000F28A5"/>
    <w:rsid w:val="000F2EF0"/>
    <w:rsid w:val="000F4555"/>
    <w:rsid w:val="000F46AD"/>
    <w:rsid w:val="000F474F"/>
    <w:rsid w:val="000F56B8"/>
    <w:rsid w:val="000F58F7"/>
    <w:rsid w:val="000F7717"/>
    <w:rsid w:val="000F7C26"/>
    <w:rsid w:val="001001CC"/>
    <w:rsid w:val="0010027F"/>
    <w:rsid w:val="00100355"/>
    <w:rsid w:val="001006B9"/>
    <w:rsid w:val="00100746"/>
    <w:rsid w:val="0010094C"/>
    <w:rsid w:val="00100F84"/>
    <w:rsid w:val="0010102D"/>
    <w:rsid w:val="00101092"/>
    <w:rsid w:val="001015AA"/>
    <w:rsid w:val="001016EC"/>
    <w:rsid w:val="00101D3E"/>
    <w:rsid w:val="00102557"/>
    <w:rsid w:val="001029EF"/>
    <w:rsid w:val="00103C94"/>
    <w:rsid w:val="001047AF"/>
    <w:rsid w:val="00105148"/>
    <w:rsid w:val="001057EE"/>
    <w:rsid w:val="00105845"/>
    <w:rsid w:val="001059D2"/>
    <w:rsid w:val="00106682"/>
    <w:rsid w:val="00106A25"/>
    <w:rsid w:val="00106B67"/>
    <w:rsid w:val="001070FB"/>
    <w:rsid w:val="0010725D"/>
    <w:rsid w:val="001073F1"/>
    <w:rsid w:val="001078BF"/>
    <w:rsid w:val="001079BC"/>
    <w:rsid w:val="00107E91"/>
    <w:rsid w:val="00107FDC"/>
    <w:rsid w:val="0011016C"/>
    <w:rsid w:val="001109F3"/>
    <w:rsid w:val="00111183"/>
    <w:rsid w:val="00111552"/>
    <w:rsid w:val="001117B1"/>
    <w:rsid w:val="00111891"/>
    <w:rsid w:val="0011204B"/>
    <w:rsid w:val="001123DC"/>
    <w:rsid w:val="001135D4"/>
    <w:rsid w:val="001141E0"/>
    <w:rsid w:val="00114705"/>
    <w:rsid w:val="0011499B"/>
    <w:rsid w:val="00114C2D"/>
    <w:rsid w:val="0011571B"/>
    <w:rsid w:val="001158AF"/>
    <w:rsid w:val="00115AC3"/>
    <w:rsid w:val="00116770"/>
    <w:rsid w:val="00116DDA"/>
    <w:rsid w:val="00116EF5"/>
    <w:rsid w:val="001170FD"/>
    <w:rsid w:val="00117409"/>
    <w:rsid w:val="00117762"/>
    <w:rsid w:val="00117795"/>
    <w:rsid w:val="00117F5F"/>
    <w:rsid w:val="00120131"/>
    <w:rsid w:val="00121F72"/>
    <w:rsid w:val="00122473"/>
    <w:rsid w:val="00122F2B"/>
    <w:rsid w:val="001231C4"/>
    <w:rsid w:val="00123289"/>
    <w:rsid w:val="00123338"/>
    <w:rsid w:val="00123942"/>
    <w:rsid w:val="00123C8E"/>
    <w:rsid w:val="00123ED3"/>
    <w:rsid w:val="001243C5"/>
    <w:rsid w:val="001245FF"/>
    <w:rsid w:val="00124B4D"/>
    <w:rsid w:val="00124F62"/>
    <w:rsid w:val="001250B6"/>
    <w:rsid w:val="0012554D"/>
    <w:rsid w:val="00125867"/>
    <w:rsid w:val="00125DF5"/>
    <w:rsid w:val="001261BB"/>
    <w:rsid w:val="00126626"/>
    <w:rsid w:val="00126BC0"/>
    <w:rsid w:val="00130457"/>
    <w:rsid w:val="001309CE"/>
    <w:rsid w:val="001313C0"/>
    <w:rsid w:val="001313C1"/>
    <w:rsid w:val="001315D4"/>
    <w:rsid w:val="00131CD8"/>
    <w:rsid w:val="00132A8C"/>
    <w:rsid w:val="001337D8"/>
    <w:rsid w:val="001337F1"/>
    <w:rsid w:val="00133B80"/>
    <w:rsid w:val="00133B95"/>
    <w:rsid w:val="001342A3"/>
    <w:rsid w:val="00134865"/>
    <w:rsid w:val="001349FD"/>
    <w:rsid w:val="00135975"/>
    <w:rsid w:val="00135E24"/>
    <w:rsid w:val="0013604F"/>
    <w:rsid w:val="00136606"/>
    <w:rsid w:val="00136668"/>
    <w:rsid w:val="001377B5"/>
    <w:rsid w:val="00137843"/>
    <w:rsid w:val="00137B0C"/>
    <w:rsid w:val="00137FF1"/>
    <w:rsid w:val="00140E7E"/>
    <w:rsid w:val="001410D2"/>
    <w:rsid w:val="00141721"/>
    <w:rsid w:val="00141879"/>
    <w:rsid w:val="00141A68"/>
    <w:rsid w:val="00141BB2"/>
    <w:rsid w:val="00143349"/>
    <w:rsid w:val="001436E6"/>
    <w:rsid w:val="00143781"/>
    <w:rsid w:val="00143946"/>
    <w:rsid w:val="00143A20"/>
    <w:rsid w:val="00143F7E"/>
    <w:rsid w:val="00144530"/>
    <w:rsid w:val="00144B84"/>
    <w:rsid w:val="00144EE4"/>
    <w:rsid w:val="00144FF9"/>
    <w:rsid w:val="00145250"/>
    <w:rsid w:val="00145531"/>
    <w:rsid w:val="00145588"/>
    <w:rsid w:val="00145922"/>
    <w:rsid w:val="00147227"/>
    <w:rsid w:val="00147C21"/>
    <w:rsid w:val="00150344"/>
    <w:rsid w:val="001504E6"/>
    <w:rsid w:val="00150EA9"/>
    <w:rsid w:val="00151B8E"/>
    <w:rsid w:val="00152A6D"/>
    <w:rsid w:val="00152DF2"/>
    <w:rsid w:val="00152E3D"/>
    <w:rsid w:val="00152F44"/>
    <w:rsid w:val="001532FA"/>
    <w:rsid w:val="00153B61"/>
    <w:rsid w:val="0015432B"/>
    <w:rsid w:val="00154824"/>
    <w:rsid w:val="001552F4"/>
    <w:rsid w:val="00155314"/>
    <w:rsid w:val="00155862"/>
    <w:rsid w:val="00156A40"/>
    <w:rsid w:val="00156F45"/>
    <w:rsid w:val="001572C0"/>
    <w:rsid w:val="00157578"/>
    <w:rsid w:val="0016006A"/>
    <w:rsid w:val="0016013F"/>
    <w:rsid w:val="00160366"/>
    <w:rsid w:val="0016039C"/>
    <w:rsid w:val="0016084A"/>
    <w:rsid w:val="00160F8C"/>
    <w:rsid w:val="0016118D"/>
    <w:rsid w:val="001614F1"/>
    <w:rsid w:val="00161F4A"/>
    <w:rsid w:val="001620D0"/>
    <w:rsid w:val="001638FD"/>
    <w:rsid w:val="00163AF3"/>
    <w:rsid w:val="00163D83"/>
    <w:rsid w:val="001649C2"/>
    <w:rsid w:val="001649C7"/>
    <w:rsid w:val="00164C59"/>
    <w:rsid w:val="00165D78"/>
    <w:rsid w:val="001661C3"/>
    <w:rsid w:val="00166503"/>
    <w:rsid w:val="001667B9"/>
    <w:rsid w:val="00166F60"/>
    <w:rsid w:val="001671A5"/>
    <w:rsid w:val="001671D2"/>
    <w:rsid w:val="00167692"/>
    <w:rsid w:val="001702C1"/>
    <w:rsid w:val="00170A44"/>
    <w:rsid w:val="00170D83"/>
    <w:rsid w:val="00170FDD"/>
    <w:rsid w:val="00171211"/>
    <w:rsid w:val="001714B0"/>
    <w:rsid w:val="00171665"/>
    <w:rsid w:val="00171A36"/>
    <w:rsid w:val="00171AE5"/>
    <w:rsid w:val="00172027"/>
    <w:rsid w:val="00172226"/>
    <w:rsid w:val="001724C1"/>
    <w:rsid w:val="001725C2"/>
    <w:rsid w:val="00172612"/>
    <w:rsid w:val="00172709"/>
    <w:rsid w:val="00172719"/>
    <w:rsid w:val="00172A27"/>
    <w:rsid w:val="00172AE5"/>
    <w:rsid w:val="001731AF"/>
    <w:rsid w:val="00173429"/>
    <w:rsid w:val="001734C0"/>
    <w:rsid w:val="00173BA2"/>
    <w:rsid w:val="00173EC0"/>
    <w:rsid w:val="00174A22"/>
    <w:rsid w:val="00174AE4"/>
    <w:rsid w:val="00174BB3"/>
    <w:rsid w:val="00175301"/>
    <w:rsid w:val="00175526"/>
    <w:rsid w:val="00175618"/>
    <w:rsid w:val="00175788"/>
    <w:rsid w:val="00175D8D"/>
    <w:rsid w:val="00175FF6"/>
    <w:rsid w:val="001760B6"/>
    <w:rsid w:val="001762AB"/>
    <w:rsid w:val="00176727"/>
    <w:rsid w:val="00176AE6"/>
    <w:rsid w:val="00176D72"/>
    <w:rsid w:val="00176E99"/>
    <w:rsid w:val="00177097"/>
    <w:rsid w:val="0017734A"/>
    <w:rsid w:val="00177352"/>
    <w:rsid w:val="00177CED"/>
    <w:rsid w:val="0018078F"/>
    <w:rsid w:val="00180950"/>
    <w:rsid w:val="001818E0"/>
    <w:rsid w:val="00181A97"/>
    <w:rsid w:val="00182916"/>
    <w:rsid w:val="00182D0F"/>
    <w:rsid w:val="001830A5"/>
    <w:rsid w:val="001834DE"/>
    <w:rsid w:val="001837D2"/>
    <w:rsid w:val="00183E2D"/>
    <w:rsid w:val="00183EFC"/>
    <w:rsid w:val="001843BC"/>
    <w:rsid w:val="00184F13"/>
    <w:rsid w:val="001854C7"/>
    <w:rsid w:val="0018554C"/>
    <w:rsid w:val="001855BF"/>
    <w:rsid w:val="00185D41"/>
    <w:rsid w:val="001862B5"/>
    <w:rsid w:val="0018681B"/>
    <w:rsid w:val="0018687C"/>
    <w:rsid w:val="00187FE1"/>
    <w:rsid w:val="00190418"/>
    <w:rsid w:val="00190617"/>
    <w:rsid w:val="0019069B"/>
    <w:rsid w:val="00191590"/>
    <w:rsid w:val="00191B1E"/>
    <w:rsid w:val="00192071"/>
    <w:rsid w:val="00192FA3"/>
    <w:rsid w:val="001932B8"/>
    <w:rsid w:val="00193B06"/>
    <w:rsid w:val="00194A65"/>
    <w:rsid w:val="00194AAA"/>
    <w:rsid w:val="00194E5E"/>
    <w:rsid w:val="00195379"/>
    <w:rsid w:val="001953D2"/>
    <w:rsid w:val="001966E3"/>
    <w:rsid w:val="001969CC"/>
    <w:rsid w:val="00196B5B"/>
    <w:rsid w:val="00196DED"/>
    <w:rsid w:val="00196F2A"/>
    <w:rsid w:val="001972C3"/>
    <w:rsid w:val="0019731B"/>
    <w:rsid w:val="001976DB"/>
    <w:rsid w:val="00197773"/>
    <w:rsid w:val="001978FE"/>
    <w:rsid w:val="001A0687"/>
    <w:rsid w:val="001A0B0E"/>
    <w:rsid w:val="001A1072"/>
    <w:rsid w:val="001A1148"/>
    <w:rsid w:val="001A313F"/>
    <w:rsid w:val="001A3141"/>
    <w:rsid w:val="001A321E"/>
    <w:rsid w:val="001A34B8"/>
    <w:rsid w:val="001A3D9B"/>
    <w:rsid w:val="001A416B"/>
    <w:rsid w:val="001A42A8"/>
    <w:rsid w:val="001A4655"/>
    <w:rsid w:val="001A4AD8"/>
    <w:rsid w:val="001A4DBF"/>
    <w:rsid w:val="001A582E"/>
    <w:rsid w:val="001A58D2"/>
    <w:rsid w:val="001A5F5E"/>
    <w:rsid w:val="001A63B0"/>
    <w:rsid w:val="001A64BD"/>
    <w:rsid w:val="001A786C"/>
    <w:rsid w:val="001B037F"/>
    <w:rsid w:val="001B08DD"/>
    <w:rsid w:val="001B17BB"/>
    <w:rsid w:val="001B23C6"/>
    <w:rsid w:val="001B32DF"/>
    <w:rsid w:val="001B3431"/>
    <w:rsid w:val="001B34E3"/>
    <w:rsid w:val="001B3BC6"/>
    <w:rsid w:val="001B3C44"/>
    <w:rsid w:val="001B3D43"/>
    <w:rsid w:val="001B417D"/>
    <w:rsid w:val="001B4441"/>
    <w:rsid w:val="001B4AA6"/>
    <w:rsid w:val="001B4AF7"/>
    <w:rsid w:val="001B5289"/>
    <w:rsid w:val="001B5296"/>
    <w:rsid w:val="001B5557"/>
    <w:rsid w:val="001B5A3E"/>
    <w:rsid w:val="001B6224"/>
    <w:rsid w:val="001B6784"/>
    <w:rsid w:val="001B719B"/>
    <w:rsid w:val="001B76DC"/>
    <w:rsid w:val="001C0341"/>
    <w:rsid w:val="001C06DC"/>
    <w:rsid w:val="001C0E93"/>
    <w:rsid w:val="001C0ECF"/>
    <w:rsid w:val="001C1689"/>
    <w:rsid w:val="001C176F"/>
    <w:rsid w:val="001C1E4F"/>
    <w:rsid w:val="001C1F0C"/>
    <w:rsid w:val="001C216E"/>
    <w:rsid w:val="001C23E2"/>
    <w:rsid w:val="001C2C32"/>
    <w:rsid w:val="001C32FB"/>
    <w:rsid w:val="001C3E34"/>
    <w:rsid w:val="001C416B"/>
    <w:rsid w:val="001C41E1"/>
    <w:rsid w:val="001C4D1A"/>
    <w:rsid w:val="001C5F1E"/>
    <w:rsid w:val="001C65A4"/>
    <w:rsid w:val="001C678E"/>
    <w:rsid w:val="001C6C21"/>
    <w:rsid w:val="001C6C6A"/>
    <w:rsid w:val="001C6C7F"/>
    <w:rsid w:val="001C7465"/>
    <w:rsid w:val="001C7FCB"/>
    <w:rsid w:val="001D0400"/>
    <w:rsid w:val="001D0B7F"/>
    <w:rsid w:val="001D0F75"/>
    <w:rsid w:val="001D1374"/>
    <w:rsid w:val="001D1441"/>
    <w:rsid w:val="001D1854"/>
    <w:rsid w:val="001D18A9"/>
    <w:rsid w:val="001D27AA"/>
    <w:rsid w:val="001D2B77"/>
    <w:rsid w:val="001D3235"/>
    <w:rsid w:val="001D4B03"/>
    <w:rsid w:val="001D5216"/>
    <w:rsid w:val="001D528C"/>
    <w:rsid w:val="001D6784"/>
    <w:rsid w:val="001D696B"/>
    <w:rsid w:val="001D6B57"/>
    <w:rsid w:val="001D72D8"/>
    <w:rsid w:val="001D7640"/>
    <w:rsid w:val="001D79DE"/>
    <w:rsid w:val="001D7FE7"/>
    <w:rsid w:val="001E1565"/>
    <w:rsid w:val="001E17B0"/>
    <w:rsid w:val="001E19BA"/>
    <w:rsid w:val="001E251B"/>
    <w:rsid w:val="001E2A7E"/>
    <w:rsid w:val="001E312B"/>
    <w:rsid w:val="001E364A"/>
    <w:rsid w:val="001E41A0"/>
    <w:rsid w:val="001E51C6"/>
    <w:rsid w:val="001E58BB"/>
    <w:rsid w:val="001E67D8"/>
    <w:rsid w:val="001E6A9D"/>
    <w:rsid w:val="001E6FA7"/>
    <w:rsid w:val="001E72AB"/>
    <w:rsid w:val="001E7329"/>
    <w:rsid w:val="001E7B69"/>
    <w:rsid w:val="001F04F3"/>
    <w:rsid w:val="001F0DAD"/>
    <w:rsid w:val="001F1D27"/>
    <w:rsid w:val="001F211D"/>
    <w:rsid w:val="001F2351"/>
    <w:rsid w:val="001F29A3"/>
    <w:rsid w:val="001F2A33"/>
    <w:rsid w:val="001F3062"/>
    <w:rsid w:val="001F3194"/>
    <w:rsid w:val="001F374A"/>
    <w:rsid w:val="001F4179"/>
    <w:rsid w:val="001F5487"/>
    <w:rsid w:val="001F5FEF"/>
    <w:rsid w:val="001F624A"/>
    <w:rsid w:val="001F6B4B"/>
    <w:rsid w:val="001F7F6F"/>
    <w:rsid w:val="002006CE"/>
    <w:rsid w:val="00200A9A"/>
    <w:rsid w:val="00200FEA"/>
    <w:rsid w:val="00201C47"/>
    <w:rsid w:val="0020289B"/>
    <w:rsid w:val="00203008"/>
    <w:rsid w:val="002032D2"/>
    <w:rsid w:val="00203569"/>
    <w:rsid w:val="002037F4"/>
    <w:rsid w:val="00203904"/>
    <w:rsid w:val="002041A8"/>
    <w:rsid w:val="002044A6"/>
    <w:rsid w:val="00204899"/>
    <w:rsid w:val="002057AC"/>
    <w:rsid w:val="00205F02"/>
    <w:rsid w:val="00206541"/>
    <w:rsid w:val="002068FD"/>
    <w:rsid w:val="00206AE9"/>
    <w:rsid w:val="002071F8"/>
    <w:rsid w:val="00207380"/>
    <w:rsid w:val="00207EAA"/>
    <w:rsid w:val="00210335"/>
    <w:rsid w:val="002106A7"/>
    <w:rsid w:val="002108AA"/>
    <w:rsid w:val="00210CA2"/>
    <w:rsid w:val="00211CD8"/>
    <w:rsid w:val="0021200F"/>
    <w:rsid w:val="0021248F"/>
    <w:rsid w:val="0021321D"/>
    <w:rsid w:val="0021339E"/>
    <w:rsid w:val="002137A9"/>
    <w:rsid w:val="00213852"/>
    <w:rsid w:val="00213AA1"/>
    <w:rsid w:val="0021451E"/>
    <w:rsid w:val="00214AF9"/>
    <w:rsid w:val="00214C22"/>
    <w:rsid w:val="002154CC"/>
    <w:rsid w:val="00215630"/>
    <w:rsid w:val="00215A4C"/>
    <w:rsid w:val="00215B33"/>
    <w:rsid w:val="00215BC3"/>
    <w:rsid w:val="002162B5"/>
    <w:rsid w:val="002167A4"/>
    <w:rsid w:val="00216904"/>
    <w:rsid w:val="002205CB"/>
    <w:rsid w:val="0022087B"/>
    <w:rsid w:val="0022146E"/>
    <w:rsid w:val="0022214B"/>
    <w:rsid w:val="002221EB"/>
    <w:rsid w:val="002223B7"/>
    <w:rsid w:val="00222F97"/>
    <w:rsid w:val="0022384C"/>
    <w:rsid w:val="002239EA"/>
    <w:rsid w:val="002241DB"/>
    <w:rsid w:val="0022427A"/>
    <w:rsid w:val="0022584E"/>
    <w:rsid w:val="00226260"/>
    <w:rsid w:val="002263AA"/>
    <w:rsid w:val="00226699"/>
    <w:rsid w:val="00226835"/>
    <w:rsid w:val="0022776C"/>
    <w:rsid w:val="00227DCA"/>
    <w:rsid w:val="00227EC8"/>
    <w:rsid w:val="002302A3"/>
    <w:rsid w:val="002318BB"/>
    <w:rsid w:val="00231F73"/>
    <w:rsid w:val="0023213D"/>
    <w:rsid w:val="00232CF7"/>
    <w:rsid w:val="00233BC2"/>
    <w:rsid w:val="00233CB9"/>
    <w:rsid w:val="00233D20"/>
    <w:rsid w:val="002340E1"/>
    <w:rsid w:val="002342FA"/>
    <w:rsid w:val="00234398"/>
    <w:rsid w:val="002347D9"/>
    <w:rsid w:val="00234B7C"/>
    <w:rsid w:val="00234DF1"/>
    <w:rsid w:val="00234ECD"/>
    <w:rsid w:val="0023539F"/>
    <w:rsid w:val="002370E3"/>
    <w:rsid w:val="002371B7"/>
    <w:rsid w:val="00237279"/>
    <w:rsid w:val="0023799D"/>
    <w:rsid w:val="00237BF9"/>
    <w:rsid w:val="00237CB8"/>
    <w:rsid w:val="0024086B"/>
    <w:rsid w:val="00240A40"/>
    <w:rsid w:val="00240CF5"/>
    <w:rsid w:val="002410AE"/>
    <w:rsid w:val="002414C2"/>
    <w:rsid w:val="0024177C"/>
    <w:rsid w:val="002417A6"/>
    <w:rsid w:val="0024249D"/>
    <w:rsid w:val="00242901"/>
    <w:rsid w:val="00243064"/>
    <w:rsid w:val="0024310A"/>
    <w:rsid w:val="0024338E"/>
    <w:rsid w:val="00243467"/>
    <w:rsid w:val="00243764"/>
    <w:rsid w:val="00243C12"/>
    <w:rsid w:val="0024450A"/>
    <w:rsid w:val="00245472"/>
    <w:rsid w:val="002455C1"/>
    <w:rsid w:val="00245628"/>
    <w:rsid w:val="00245893"/>
    <w:rsid w:val="00245C0E"/>
    <w:rsid w:val="002465E6"/>
    <w:rsid w:val="00247065"/>
    <w:rsid w:val="00247389"/>
    <w:rsid w:val="00247698"/>
    <w:rsid w:val="0024776B"/>
    <w:rsid w:val="00247C40"/>
    <w:rsid w:val="00250CF8"/>
    <w:rsid w:val="00250D6F"/>
    <w:rsid w:val="00250F69"/>
    <w:rsid w:val="00251165"/>
    <w:rsid w:val="002523EB"/>
    <w:rsid w:val="002527E4"/>
    <w:rsid w:val="00252825"/>
    <w:rsid w:val="0025379B"/>
    <w:rsid w:val="002537F1"/>
    <w:rsid w:val="00253994"/>
    <w:rsid w:val="00253EF7"/>
    <w:rsid w:val="002541E7"/>
    <w:rsid w:val="0025426D"/>
    <w:rsid w:val="00254AFA"/>
    <w:rsid w:val="00254F84"/>
    <w:rsid w:val="002550FF"/>
    <w:rsid w:val="002568AA"/>
    <w:rsid w:val="00256C49"/>
    <w:rsid w:val="00256E1F"/>
    <w:rsid w:val="00256F54"/>
    <w:rsid w:val="00257304"/>
    <w:rsid w:val="00257BBF"/>
    <w:rsid w:val="00257E02"/>
    <w:rsid w:val="002603EA"/>
    <w:rsid w:val="00260422"/>
    <w:rsid w:val="002609EB"/>
    <w:rsid w:val="00260C6E"/>
    <w:rsid w:val="0026130D"/>
    <w:rsid w:val="00262AF6"/>
    <w:rsid w:val="00262BD9"/>
    <w:rsid w:val="0026365D"/>
    <w:rsid w:val="002638D2"/>
    <w:rsid w:val="00263ED3"/>
    <w:rsid w:val="002641AA"/>
    <w:rsid w:val="002643E4"/>
    <w:rsid w:val="00264436"/>
    <w:rsid w:val="0026463F"/>
    <w:rsid w:val="002648CE"/>
    <w:rsid w:val="0026495C"/>
    <w:rsid w:val="00265551"/>
    <w:rsid w:val="00265879"/>
    <w:rsid w:val="0026599B"/>
    <w:rsid w:val="00266025"/>
    <w:rsid w:val="00266420"/>
    <w:rsid w:val="00266C0B"/>
    <w:rsid w:val="002677A2"/>
    <w:rsid w:val="00270200"/>
    <w:rsid w:val="002706B1"/>
    <w:rsid w:val="002707EB"/>
    <w:rsid w:val="00270B0F"/>
    <w:rsid w:val="00270C46"/>
    <w:rsid w:val="00271327"/>
    <w:rsid w:val="0027158C"/>
    <w:rsid w:val="0027196F"/>
    <w:rsid w:val="00271B2F"/>
    <w:rsid w:val="002725FA"/>
    <w:rsid w:val="002727E7"/>
    <w:rsid w:val="002729BC"/>
    <w:rsid w:val="00272DFF"/>
    <w:rsid w:val="00273248"/>
    <w:rsid w:val="002736C4"/>
    <w:rsid w:val="00273955"/>
    <w:rsid w:val="00273A03"/>
    <w:rsid w:val="002743BA"/>
    <w:rsid w:val="002743C5"/>
    <w:rsid w:val="00274ABB"/>
    <w:rsid w:val="002759F7"/>
    <w:rsid w:val="00276353"/>
    <w:rsid w:val="002769B3"/>
    <w:rsid w:val="00276BAD"/>
    <w:rsid w:val="0027742B"/>
    <w:rsid w:val="00277B87"/>
    <w:rsid w:val="00277BD6"/>
    <w:rsid w:val="002802A1"/>
    <w:rsid w:val="00280A39"/>
    <w:rsid w:val="00280BB2"/>
    <w:rsid w:val="00281D1D"/>
    <w:rsid w:val="00281FE3"/>
    <w:rsid w:val="002821D8"/>
    <w:rsid w:val="002822DA"/>
    <w:rsid w:val="0028279D"/>
    <w:rsid w:val="002827AE"/>
    <w:rsid w:val="00282A6B"/>
    <w:rsid w:val="0028397A"/>
    <w:rsid w:val="00283C78"/>
    <w:rsid w:val="00283D60"/>
    <w:rsid w:val="0028485C"/>
    <w:rsid w:val="00284A77"/>
    <w:rsid w:val="002858A4"/>
    <w:rsid w:val="00285C45"/>
    <w:rsid w:val="00285E08"/>
    <w:rsid w:val="00285F03"/>
    <w:rsid w:val="00286641"/>
    <w:rsid w:val="00286BCC"/>
    <w:rsid w:val="00286FE9"/>
    <w:rsid w:val="00287691"/>
    <w:rsid w:val="00287DAF"/>
    <w:rsid w:val="00290018"/>
    <w:rsid w:val="0029077D"/>
    <w:rsid w:val="002907C2"/>
    <w:rsid w:val="00290B9D"/>
    <w:rsid w:val="00290C46"/>
    <w:rsid w:val="00290F98"/>
    <w:rsid w:val="00292FBD"/>
    <w:rsid w:val="00293BA6"/>
    <w:rsid w:val="00294224"/>
    <w:rsid w:val="002942C3"/>
    <w:rsid w:val="002947AC"/>
    <w:rsid w:val="00294950"/>
    <w:rsid w:val="00294D9D"/>
    <w:rsid w:val="002963F8"/>
    <w:rsid w:val="002972AF"/>
    <w:rsid w:val="002974E6"/>
    <w:rsid w:val="002979CA"/>
    <w:rsid w:val="002979EC"/>
    <w:rsid w:val="00297AD5"/>
    <w:rsid w:val="002A0080"/>
    <w:rsid w:val="002A08BB"/>
    <w:rsid w:val="002A0B1F"/>
    <w:rsid w:val="002A1034"/>
    <w:rsid w:val="002A12BA"/>
    <w:rsid w:val="002A1F7E"/>
    <w:rsid w:val="002A2AE0"/>
    <w:rsid w:val="002A2D22"/>
    <w:rsid w:val="002A2D3D"/>
    <w:rsid w:val="002A36BF"/>
    <w:rsid w:val="002A3B99"/>
    <w:rsid w:val="002A42B9"/>
    <w:rsid w:val="002A430F"/>
    <w:rsid w:val="002A476F"/>
    <w:rsid w:val="002A49E9"/>
    <w:rsid w:val="002A4FD2"/>
    <w:rsid w:val="002A50CE"/>
    <w:rsid w:val="002A5606"/>
    <w:rsid w:val="002A560B"/>
    <w:rsid w:val="002A5868"/>
    <w:rsid w:val="002A6175"/>
    <w:rsid w:val="002A661A"/>
    <w:rsid w:val="002A723E"/>
    <w:rsid w:val="002A7241"/>
    <w:rsid w:val="002A7342"/>
    <w:rsid w:val="002A7490"/>
    <w:rsid w:val="002A7511"/>
    <w:rsid w:val="002B03F3"/>
    <w:rsid w:val="002B052D"/>
    <w:rsid w:val="002B09E8"/>
    <w:rsid w:val="002B1B97"/>
    <w:rsid w:val="002B1BE2"/>
    <w:rsid w:val="002B1CED"/>
    <w:rsid w:val="002B2CD6"/>
    <w:rsid w:val="002B3100"/>
    <w:rsid w:val="002B35AD"/>
    <w:rsid w:val="002B37DF"/>
    <w:rsid w:val="002B3EC3"/>
    <w:rsid w:val="002B4458"/>
    <w:rsid w:val="002B4934"/>
    <w:rsid w:val="002B4C0B"/>
    <w:rsid w:val="002B50E1"/>
    <w:rsid w:val="002B5D05"/>
    <w:rsid w:val="002B5EA8"/>
    <w:rsid w:val="002B6ADD"/>
    <w:rsid w:val="002B6AED"/>
    <w:rsid w:val="002B77CE"/>
    <w:rsid w:val="002B79F9"/>
    <w:rsid w:val="002B7B82"/>
    <w:rsid w:val="002B7E74"/>
    <w:rsid w:val="002C04B3"/>
    <w:rsid w:val="002C0A41"/>
    <w:rsid w:val="002C0B56"/>
    <w:rsid w:val="002C10B2"/>
    <w:rsid w:val="002C11BB"/>
    <w:rsid w:val="002C11DD"/>
    <w:rsid w:val="002C229E"/>
    <w:rsid w:val="002C22D0"/>
    <w:rsid w:val="002C281F"/>
    <w:rsid w:val="002C2ED5"/>
    <w:rsid w:val="002C2F81"/>
    <w:rsid w:val="002C3C60"/>
    <w:rsid w:val="002C4719"/>
    <w:rsid w:val="002C5278"/>
    <w:rsid w:val="002C5536"/>
    <w:rsid w:val="002C6706"/>
    <w:rsid w:val="002C6AB9"/>
    <w:rsid w:val="002C6AD9"/>
    <w:rsid w:val="002C7328"/>
    <w:rsid w:val="002C78BC"/>
    <w:rsid w:val="002C7A7F"/>
    <w:rsid w:val="002D0C7F"/>
    <w:rsid w:val="002D0F7E"/>
    <w:rsid w:val="002D1160"/>
    <w:rsid w:val="002D1163"/>
    <w:rsid w:val="002D1F70"/>
    <w:rsid w:val="002D1FCD"/>
    <w:rsid w:val="002D2134"/>
    <w:rsid w:val="002D23CD"/>
    <w:rsid w:val="002D2410"/>
    <w:rsid w:val="002D28EB"/>
    <w:rsid w:val="002D33E7"/>
    <w:rsid w:val="002D447C"/>
    <w:rsid w:val="002D4841"/>
    <w:rsid w:val="002D4AB8"/>
    <w:rsid w:val="002D508E"/>
    <w:rsid w:val="002D59E1"/>
    <w:rsid w:val="002D5D5D"/>
    <w:rsid w:val="002D610E"/>
    <w:rsid w:val="002D708D"/>
    <w:rsid w:val="002D7679"/>
    <w:rsid w:val="002D7804"/>
    <w:rsid w:val="002D7902"/>
    <w:rsid w:val="002D79C5"/>
    <w:rsid w:val="002E030F"/>
    <w:rsid w:val="002E1BD4"/>
    <w:rsid w:val="002E20FD"/>
    <w:rsid w:val="002E262F"/>
    <w:rsid w:val="002E27EC"/>
    <w:rsid w:val="002E2A6B"/>
    <w:rsid w:val="002E3147"/>
    <w:rsid w:val="002E3BA9"/>
    <w:rsid w:val="002E3D1F"/>
    <w:rsid w:val="002E40AC"/>
    <w:rsid w:val="002E41AF"/>
    <w:rsid w:val="002E4BAF"/>
    <w:rsid w:val="002E516F"/>
    <w:rsid w:val="002E518B"/>
    <w:rsid w:val="002E623B"/>
    <w:rsid w:val="002E6413"/>
    <w:rsid w:val="002E6892"/>
    <w:rsid w:val="002E6FE3"/>
    <w:rsid w:val="002F0B71"/>
    <w:rsid w:val="002F0EA6"/>
    <w:rsid w:val="002F153B"/>
    <w:rsid w:val="002F1826"/>
    <w:rsid w:val="002F1E32"/>
    <w:rsid w:val="002F22F8"/>
    <w:rsid w:val="002F242E"/>
    <w:rsid w:val="002F26E0"/>
    <w:rsid w:val="002F2773"/>
    <w:rsid w:val="002F27BC"/>
    <w:rsid w:val="002F2863"/>
    <w:rsid w:val="002F2F43"/>
    <w:rsid w:val="002F30DF"/>
    <w:rsid w:val="002F3533"/>
    <w:rsid w:val="002F36FF"/>
    <w:rsid w:val="002F38A4"/>
    <w:rsid w:val="002F3C26"/>
    <w:rsid w:val="002F3CC9"/>
    <w:rsid w:val="002F4C05"/>
    <w:rsid w:val="002F5571"/>
    <w:rsid w:val="002F5AE9"/>
    <w:rsid w:val="002F5C37"/>
    <w:rsid w:val="002F688B"/>
    <w:rsid w:val="002F6A64"/>
    <w:rsid w:val="002F6B96"/>
    <w:rsid w:val="002F6C48"/>
    <w:rsid w:val="002F77D4"/>
    <w:rsid w:val="003000E0"/>
    <w:rsid w:val="003009D3"/>
    <w:rsid w:val="00300DB3"/>
    <w:rsid w:val="003011F9"/>
    <w:rsid w:val="00301D97"/>
    <w:rsid w:val="00301E61"/>
    <w:rsid w:val="00302BA0"/>
    <w:rsid w:val="00303156"/>
    <w:rsid w:val="0030398E"/>
    <w:rsid w:val="003040FF"/>
    <w:rsid w:val="003042A2"/>
    <w:rsid w:val="00304866"/>
    <w:rsid w:val="0030487D"/>
    <w:rsid w:val="003048C0"/>
    <w:rsid w:val="003048FC"/>
    <w:rsid w:val="00305427"/>
    <w:rsid w:val="00305D39"/>
    <w:rsid w:val="003069ED"/>
    <w:rsid w:val="00306C3F"/>
    <w:rsid w:val="00306ED0"/>
    <w:rsid w:val="00307718"/>
    <w:rsid w:val="00307DBA"/>
    <w:rsid w:val="0031015A"/>
    <w:rsid w:val="003105C6"/>
    <w:rsid w:val="00310C64"/>
    <w:rsid w:val="00310E99"/>
    <w:rsid w:val="003110BB"/>
    <w:rsid w:val="00311740"/>
    <w:rsid w:val="00311D25"/>
    <w:rsid w:val="00312E2B"/>
    <w:rsid w:val="00312F9C"/>
    <w:rsid w:val="00313180"/>
    <w:rsid w:val="00313585"/>
    <w:rsid w:val="003136C8"/>
    <w:rsid w:val="00313D57"/>
    <w:rsid w:val="00314314"/>
    <w:rsid w:val="00314607"/>
    <w:rsid w:val="0031470F"/>
    <w:rsid w:val="00314E66"/>
    <w:rsid w:val="00315ADE"/>
    <w:rsid w:val="00315C48"/>
    <w:rsid w:val="003164A5"/>
    <w:rsid w:val="0031671F"/>
    <w:rsid w:val="0031693E"/>
    <w:rsid w:val="00317252"/>
    <w:rsid w:val="003172F4"/>
    <w:rsid w:val="00317389"/>
    <w:rsid w:val="003179D9"/>
    <w:rsid w:val="00317B7C"/>
    <w:rsid w:val="00320BE3"/>
    <w:rsid w:val="0032188E"/>
    <w:rsid w:val="00321AB0"/>
    <w:rsid w:val="0032203B"/>
    <w:rsid w:val="003220C1"/>
    <w:rsid w:val="00322127"/>
    <w:rsid w:val="00322956"/>
    <w:rsid w:val="00322EA8"/>
    <w:rsid w:val="00322FB0"/>
    <w:rsid w:val="003237FE"/>
    <w:rsid w:val="00323AE5"/>
    <w:rsid w:val="00323C0F"/>
    <w:rsid w:val="00323E17"/>
    <w:rsid w:val="00324977"/>
    <w:rsid w:val="00326527"/>
    <w:rsid w:val="00326D32"/>
    <w:rsid w:val="0032706B"/>
    <w:rsid w:val="00327919"/>
    <w:rsid w:val="00327F64"/>
    <w:rsid w:val="0033019F"/>
    <w:rsid w:val="0033074A"/>
    <w:rsid w:val="00330C03"/>
    <w:rsid w:val="00330D22"/>
    <w:rsid w:val="00330F18"/>
    <w:rsid w:val="00331391"/>
    <w:rsid w:val="003328FE"/>
    <w:rsid w:val="003339A2"/>
    <w:rsid w:val="00333CC8"/>
    <w:rsid w:val="003340CC"/>
    <w:rsid w:val="00334C74"/>
    <w:rsid w:val="00335916"/>
    <w:rsid w:val="00335C6E"/>
    <w:rsid w:val="00336386"/>
    <w:rsid w:val="00336BC4"/>
    <w:rsid w:val="00336E44"/>
    <w:rsid w:val="00336F19"/>
    <w:rsid w:val="00337092"/>
    <w:rsid w:val="003373BF"/>
    <w:rsid w:val="00337572"/>
    <w:rsid w:val="00337B9C"/>
    <w:rsid w:val="00337EDA"/>
    <w:rsid w:val="003402E8"/>
    <w:rsid w:val="003403EF"/>
    <w:rsid w:val="0034074F"/>
    <w:rsid w:val="00340D6A"/>
    <w:rsid w:val="00341B72"/>
    <w:rsid w:val="0034240B"/>
    <w:rsid w:val="003429F2"/>
    <w:rsid w:val="0034347F"/>
    <w:rsid w:val="0034395F"/>
    <w:rsid w:val="00343982"/>
    <w:rsid w:val="003439F9"/>
    <w:rsid w:val="0034442D"/>
    <w:rsid w:val="00344612"/>
    <w:rsid w:val="003446A6"/>
    <w:rsid w:val="00344940"/>
    <w:rsid w:val="003461B0"/>
    <w:rsid w:val="00346577"/>
    <w:rsid w:val="00347071"/>
    <w:rsid w:val="00347260"/>
    <w:rsid w:val="003475CE"/>
    <w:rsid w:val="00350051"/>
    <w:rsid w:val="00350A09"/>
    <w:rsid w:val="003513CB"/>
    <w:rsid w:val="00352054"/>
    <w:rsid w:val="0035255D"/>
    <w:rsid w:val="003528E7"/>
    <w:rsid w:val="00353348"/>
    <w:rsid w:val="00353FF2"/>
    <w:rsid w:val="003541FE"/>
    <w:rsid w:val="00354449"/>
    <w:rsid w:val="003551A6"/>
    <w:rsid w:val="00355200"/>
    <w:rsid w:val="00355B17"/>
    <w:rsid w:val="00355F65"/>
    <w:rsid w:val="003561E8"/>
    <w:rsid w:val="0035624F"/>
    <w:rsid w:val="003566C7"/>
    <w:rsid w:val="00356C81"/>
    <w:rsid w:val="0035708B"/>
    <w:rsid w:val="0035720F"/>
    <w:rsid w:val="0035782A"/>
    <w:rsid w:val="00357A09"/>
    <w:rsid w:val="00357CE5"/>
    <w:rsid w:val="003600F2"/>
    <w:rsid w:val="0036066F"/>
    <w:rsid w:val="00360B61"/>
    <w:rsid w:val="00360BB9"/>
    <w:rsid w:val="00361037"/>
    <w:rsid w:val="00361AC2"/>
    <w:rsid w:val="00361B0F"/>
    <w:rsid w:val="00361BD4"/>
    <w:rsid w:val="003623B5"/>
    <w:rsid w:val="0036256E"/>
    <w:rsid w:val="003630EC"/>
    <w:rsid w:val="0036317B"/>
    <w:rsid w:val="00363325"/>
    <w:rsid w:val="003636D3"/>
    <w:rsid w:val="00363AFC"/>
    <w:rsid w:val="0036408F"/>
    <w:rsid w:val="0036435C"/>
    <w:rsid w:val="003646E4"/>
    <w:rsid w:val="003649B6"/>
    <w:rsid w:val="00364A7D"/>
    <w:rsid w:val="003650F1"/>
    <w:rsid w:val="0036600B"/>
    <w:rsid w:val="00366211"/>
    <w:rsid w:val="003664DD"/>
    <w:rsid w:val="00366676"/>
    <w:rsid w:val="003667CE"/>
    <w:rsid w:val="0036696E"/>
    <w:rsid w:val="00366D34"/>
    <w:rsid w:val="00367399"/>
    <w:rsid w:val="00370110"/>
    <w:rsid w:val="00370573"/>
    <w:rsid w:val="00370D76"/>
    <w:rsid w:val="003712E0"/>
    <w:rsid w:val="00371306"/>
    <w:rsid w:val="00371A78"/>
    <w:rsid w:val="00371AB6"/>
    <w:rsid w:val="00371B75"/>
    <w:rsid w:val="00371BC3"/>
    <w:rsid w:val="0037244E"/>
    <w:rsid w:val="00373E46"/>
    <w:rsid w:val="0037458E"/>
    <w:rsid w:val="00374EB8"/>
    <w:rsid w:val="00375052"/>
    <w:rsid w:val="00375505"/>
    <w:rsid w:val="00376402"/>
    <w:rsid w:val="00376D41"/>
    <w:rsid w:val="00376E3C"/>
    <w:rsid w:val="003803F9"/>
    <w:rsid w:val="0038073F"/>
    <w:rsid w:val="00381B83"/>
    <w:rsid w:val="003825E1"/>
    <w:rsid w:val="00382FB4"/>
    <w:rsid w:val="003845C8"/>
    <w:rsid w:val="00384E52"/>
    <w:rsid w:val="00384EE7"/>
    <w:rsid w:val="0038515C"/>
    <w:rsid w:val="003856BD"/>
    <w:rsid w:val="00387358"/>
    <w:rsid w:val="003879A2"/>
    <w:rsid w:val="00387A4D"/>
    <w:rsid w:val="00387E18"/>
    <w:rsid w:val="00390152"/>
    <w:rsid w:val="00390869"/>
    <w:rsid w:val="00390911"/>
    <w:rsid w:val="00390D69"/>
    <w:rsid w:val="00390DE6"/>
    <w:rsid w:val="00391514"/>
    <w:rsid w:val="003915E5"/>
    <w:rsid w:val="0039174D"/>
    <w:rsid w:val="003921C5"/>
    <w:rsid w:val="003922F8"/>
    <w:rsid w:val="00392394"/>
    <w:rsid w:val="00392877"/>
    <w:rsid w:val="0039297C"/>
    <w:rsid w:val="00392E11"/>
    <w:rsid w:val="00392FF0"/>
    <w:rsid w:val="0039330E"/>
    <w:rsid w:val="00393AF5"/>
    <w:rsid w:val="00393FA3"/>
    <w:rsid w:val="00394893"/>
    <w:rsid w:val="00394C75"/>
    <w:rsid w:val="003953B7"/>
    <w:rsid w:val="003953DD"/>
    <w:rsid w:val="00396F5F"/>
    <w:rsid w:val="00397037"/>
    <w:rsid w:val="00397262"/>
    <w:rsid w:val="00397A78"/>
    <w:rsid w:val="003A00F2"/>
    <w:rsid w:val="003A0362"/>
    <w:rsid w:val="003A0A3A"/>
    <w:rsid w:val="003A1083"/>
    <w:rsid w:val="003A1140"/>
    <w:rsid w:val="003A1278"/>
    <w:rsid w:val="003A1883"/>
    <w:rsid w:val="003A1909"/>
    <w:rsid w:val="003A1FE1"/>
    <w:rsid w:val="003A255B"/>
    <w:rsid w:val="003A2E74"/>
    <w:rsid w:val="003A2FC5"/>
    <w:rsid w:val="003A347E"/>
    <w:rsid w:val="003A3661"/>
    <w:rsid w:val="003A38EF"/>
    <w:rsid w:val="003A3D5D"/>
    <w:rsid w:val="003A3E0A"/>
    <w:rsid w:val="003A3F28"/>
    <w:rsid w:val="003A3FFD"/>
    <w:rsid w:val="003A47D9"/>
    <w:rsid w:val="003A486C"/>
    <w:rsid w:val="003A4DDB"/>
    <w:rsid w:val="003A548C"/>
    <w:rsid w:val="003A54DF"/>
    <w:rsid w:val="003A57BF"/>
    <w:rsid w:val="003A6673"/>
    <w:rsid w:val="003A6746"/>
    <w:rsid w:val="003A7386"/>
    <w:rsid w:val="003A742C"/>
    <w:rsid w:val="003A7473"/>
    <w:rsid w:val="003A79C5"/>
    <w:rsid w:val="003A7B80"/>
    <w:rsid w:val="003A7C84"/>
    <w:rsid w:val="003B0117"/>
    <w:rsid w:val="003B0E5E"/>
    <w:rsid w:val="003B1331"/>
    <w:rsid w:val="003B13C2"/>
    <w:rsid w:val="003B2403"/>
    <w:rsid w:val="003B2F75"/>
    <w:rsid w:val="003B31B3"/>
    <w:rsid w:val="003B3591"/>
    <w:rsid w:val="003B479A"/>
    <w:rsid w:val="003B4E71"/>
    <w:rsid w:val="003B4F25"/>
    <w:rsid w:val="003B64F3"/>
    <w:rsid w:val="003B6D80"/>
    <w:rsid w:val="003B72D7"/>
    <w:rsid w:val="003C078C"/>
    <w:rsid w:val="003C09D4"/>
    <w:rsid w:val="003C1A65"/>
    <w:rsid w:val="003C1C16"/>
    <w:rsid w:val="003C1C1D"/>
    <w:rsid w:val="003C240E"/>
    <w:rsid w:val="003C2814"/>
    <w:rsid w:val="003C2E29"/>
    <w:rsid w:val="003C317E"/>
    <w:rsid w:val="003C31F9"/>
    <w:rsid w:val="003C3755"/>
    <w:rsid w:val="003C3A23"/>
    <w:rsid w:val="003C44C2"/>
    <w:rsid w:val="003C4A5C"/>
    <w:rsid w:val="003C53D2"/>
    <w:rsid w:val="003C5509"/>
    <w:rsid w:val="003C5952"/>
    <w:rsid w:val="003C5EA8"/>
    <w:rsid w:val="003C623E"/>
    <w:rsid w:val="003C637E"/>
    <w:rsid w:val="003C70E1"/>
    <w:rsid w:val="003C7443"/>
    <w:rsid w:val="003C784B"/>
    <w:rsid w:val="003C7AAE"/>
    <w:rsid w:val="003C7BCD"/>
    <w:rsid w:val="003D080D"/>
    <w:rsid w:val="003D0A17"/>
    <w:rsid w:val="003D1AA4"/>
    <w:rsid w:val="003D1C38"/>
    <w:rsid w:val="003D2079"/>
    <w:rsid w:val="003D21B2"/>
    <w:rsid w:val="003D2456"/>
    <w:rsid w:val="003D27B9"/>
    <w:rsid w:val="003D2BFB"/>
    <w:rsid w:val="003D2D4A"/>
    <w:rsid w:val="003D31D9"/>
    <w:rsid w:val="003D36C3"/>
    <w:rsid w:val="003D37AE"/>
    <w:rsid w:val="003D3AAD"/>
    <w:rsid w:val="003D3BE6"/>
    <w:rsid w:val="003D4553"/>
    <w:rsid w:val="003D4754"/>
    <w:rsid w:val="003D4A81"/>
    <w:rsid w:val="003D4BC2"/>
    <w:rsid w:val="003D4DCD"/>
    <w:rsid w:val="003D4FDF"/>
    <w:rsid w:val="003D5051"/>
    <w:rsid w:val="003D5AC2"/>
    <w:rsid w:val="003D5DA5"/>
    <w:rsid w:val="003D5FC7"/>
    <w:rsid w:val="003D6B05"/>
    <w:rsid w:val="003D6D4F"/>
    <w:rsid w:val="003D72EC"/>
    <w:rsid w:val="003D7601"/>
    <w:rsid w:val="003D7CC2"/>
    <w:rsid w:val="003D7E04"/>
    <w:rsid w:val="003E0240"/>
    <w:rsid w:val="003E0DBB"/>
    <w:rsid w:val="003E1175"/>
    <w:rsid w:val="003E12B2"/>
    <w:rsid w:val="003E21A5"/>
    <w:rsid w:val="003E2358"/>
    <w:rsid w:val="003E275C"/>
    <w:rsid w:val="003E2F4E"/>
    <w:rsid w:val="003E2F8E"/>
    <w:rsid w:val="003E37E1"/>
    <w:rsid w:val="003E3DC1"/>
    <w:rsid w:val="003E4148"/>
    <w:rsid w:val="003E514C"/>
    <w:rsid w:val="003E606B"/>
    <w:rsid w:val="003E62B3"/>
    <w:rsid w:val="003E66E7"/>
    <w:rsid w:val="003E770E"/>
    <w:rsid w:val="003E7AB2"/>
    <w:rsid w:val="003F0471"/>
    <w:rsid w:val="003F048A"/>
    <w:rsid w:val="003F05EA"/>
    <w:rsid w:val="003F07E2"/>
    <w:rsid w:val="003F09AD"/>
    <w:rsid w:val="003F18FF"/>
    <w:rsid w:val="003F23CE"/>
    <w:rsid w:val="003F2431"/>
    <w:rsid w:val="003F244E"/>
    <w:rsid w:val="003F2458"/>
    <w:rsid w:val="003F2BDE"/>
    <w:rsid w:val="003F37A3"/>
    <w:rsid w:val="003F390D"/>
    <w:rsid w:val="003F3C33"/>
    <w:rsid w:val="003F65A3"/>
    <w:rsid w:val="003F6EA4"/>
    <w:rsid w:val="003F70AE"/>
    <w:rsid w:val="003F77CC"/>
    <w:rsid w:val="003F79D8"/>
    <w:rsid w:val="00400373"/>
    <w:rsid w:val="00400B91"/>
    <w:rsid w:val="00401401"/>
    <w:rsid w:val="00401CC7"/>
    <w:rsid w:val="00401F4E"/>
    <w:rsid w:val="0040211D"/>
    <w:rsid w:val="0040212D"/>
    <w:rsid w:val="0040235D"/>
    <w:rsid w:val="00403004"/>
    <w:rsid w:val="00403618"/>
    <w:rsid w:val="004036F5"/>
    <w:rsid w:val="00403D95"/>
    <w:rsid w:val="00404420"/>
    <w:rsid w:val="00404877"/>
    <w:rsid w:val="004049BE"/>
    <w:rsid w:val="00404F0A"/>
    <w:rsid w:val="00406272"/>
    <w:rsid w:val="004065E9"/>
    <w:rsid w:val="004068A8"/>
    <w:rsid w:val="00406926"/>
    <w:rsid w:val="0040730C"/>
    <w:rsid w:val="00407377"/>
    <w:rsid w:val="00407817"/>
    <w:rsid w:val="004101B9"/>
    <w:rsid w:val="00410AEA"/>
    <w:rsid w:val="00411014"/>
    <w:rsid w:val="00411525"/>
    <w:rsid w:val="004115F8"/>
    <w:rsid w:val="00411721"/>
    <w:rsid w:val="00411EAC"/>
    <w:rsid w:val="00412347"/>
    <w:rsid w:val="004124CB"/>
    <w:rsid w:val="004125AB"/>
    <w:rsid w:val="00412D78"/>
    <w:rsid w:val="00412FAC"/>
    <w:rsid w:val="0041376E"/>
    <w:rsid w:val="00413B48"/>
    <w:rsid w:val="00413EDB"/>
    <w:rsid w:val="00414126"/>
    <w:rsid w:val="00414291"/>
    <w:rsid w:val="004142BB"/>
    <w:rsid w:val="004146B5"/>
    <w:rsid w:val="004146C6"/>
    <w:rsid w:val="0041489A"/>
    <w:rsid w:val="0041509F"/>
    <w:rsid w:val="004169FB"/>
    <w:rsid w:val="00416B48"/>
    <w:rsid w:val="00416BF4"/>
    <w:rsid w:val="00416F19"/>
    <w:rsid w:val="0042020C"/>
    <w:rsid w:val="0042082A"/>
    <w:rsid w:val="00420E69"/>
    <w:rsid w:val="00421265"/>
    <w:rsid w:val="00421436"/>
    <w:rsid w:val="0042174D"/>
    <w:rsid w:val="004217FB"/>
    <w:rsid w:val="0042200B"/>
    <w:rsid w:val="00422051"/>
    <w:rsid w:val="004224D4"/>
    <w:rsid w:val="004224DF"/>
    <w:rsid w:val="00422519"/>
    <w:rsid w:val="00423AD5"/>
    <w:rsid w:val="00423D31"/>
    <w:rsid w:val="00424E06"/>
    <w:rsid w:val="00425AD1"/>
    <w:rsid w:val="00426169"/>
    <w:rsid w:val="00426829"/>
    <w:rsid w:val="00426BD3"/>
    <w:rsid w:val="00427599"/>
    <w:rsid w:val="004277B3"/>
    <w:rsid w:val="00427D5D"/>
    <w:rsid w:val="00427EF4"/>
    <w:rsid w:val="004300BC"/>
    <w:rsid w:val="004304F5"/>
    <w:rsid w:val="004308DF"/>
    <w:rsid w:val="00430EFE"/>
    <w:rsid w:val="00430F06"/>
    <w:rsid w:val="004314ED"/>
    <w:rsid w:val="004315D2"/>
    <w:rsid w:val="00431912"/>
    <w:rsid w:val="00432395"/>
    <w:rsid w:val="00432C3D"/>
    <w:rsid w:val="00432E36"/>
    <w:rsid w:val="00432EE0"/>
    <w:rsid w:val="00432F97"/>
    <w:rsid w:val="0043316A"/>
    <w:rsid w:val="00433A4C"/>
    <w:rsid w:val="00434704"/>
    <w:rsid w:val="00434CB6"/>
    <w:rsid w:val="00434DD9"/>
    <w:rsid w:val="004352B8"/>
    <w:rsid w:val="00435930"/>
    <w:rsid w:val="00436250"/>
    <w:rsid w:val="004365B8"/>
    <w:rsid w:val="004366DC"/>
    <w:rsid w:val="0043718D"/>
    <w:rsid w:val="00437776"/>
    <w:rsid w:val="00437B41"/>
    <w:rsid w:val="00437DDA"/>
    <w:rsid w:val="0044080C"/>
    <w:rsid w:val="00440A49"/>
    <w:rsid w:val="00440AAA"/>
    <w:rsid w:val="004414E5"/>
    <w:rsid w:val="00441986"/>
    <w:rsid w:val="00442713"/>
    <w:rsid w:val="0044358F"/>
    <w:rsid w:val="00444538"/>
    <w:rsid w:val="004447C3"/>
    <w:rsid w:val="00444D0C"/>
    <w:rsid w:val="00444DEE"/>
    <w:rsid w:val="00445764"/>
    <w:rsid w:val="004457BD"/>
    <w:rsid w:val="00445A27"/>
    <w:rsid w:val="00445CFE"/>
    <w:rsid w:val="0044603A"/>
    <w:rsid w:val="0044615C"/>
    <w:rsid w:val="00446264"/>
    <w:rsid w:val="00446776"/>
    <w:rsid w:val="00446AE2"/>
    <w:rsid w:val="00447526"/>
    <w:rsid w:val="00450746"/>
    <w:rsid w:val="00450C18"/>
    <w:rsid w:val="00450D05"/>
    <w:rsid w:val="0045113E"/>
    <w:rsid w:val="004523F2"/>
    <w:rsid w:val="004525B5"/>
    <w:rsid w:val="004539B1"/>
    <w:rsid w:val="00453A93"/>
    <w:rsid w:val="00453D3C"/>
    <w:rsid w:val="00454111"/>
    <w:rsid w:val="00454C4D"/>
    <w:rsid w:val="00455DD7"/>
    <w:rsid w:val="004564ED"/>
    <w:rsid w:val="00456636"/>
    <w:rsid w:val="00457037"/>
    <w:rsid w:val="004576C5"/>
    <w:rsid w:val="00457843"/>
    <w:rsid w:val="00460AF0"/>
    <w:rsid w:val="00460FB9"/>
    <w:rsid w:val="004611F0"/>
    <w:rsid w:val="00461AD9"/>
    <w:rsid w:val="00461EBB"/>
    <w:rsid w:val="00462312"/>
    <w:rsid w:val="00462BA9"/>
    <w:rsid w:val="004634D5"/>
    <w:rsid w:val="00463839"/>
    <w:rsid w:val="004638BF"/>
    <w:rsid w:val="00463C55"/>
    <w:rsid w:val="00463DEB"/>
    <w:rsid w:val="004640D2"/>
    <w:rsid w:val="004641A6"/>
    <w:rsid w:val="0046429D"/>
    <w:rsid w:val="0046440D"/>
    <w:rsid w:val="00464B52"/>
    <w:rsid w:val="00464E94"/>
    <w:rsid w:val="0046539D"/>
    <w:rsid w:val="004653CF"/>
    <w:rsid w:val="0046558F"/>
    <w:rsid w:val="00465866"/>
    <w:rsid w:val="00465936"/>
    <w:rsid w:val="00465DE6"/>
    <w:rsid w:val="0046620C"/>
    <w:rsid w:val="00466680"/>
    <w:rsid w:val="00466E5E"/>
    <w:rsid w:val="0046743F"/>
    <w:rsid w:val="00467A3E"/>
    <w:rsid w:val="00467DE4"/>
    <w:rsid w:val="004703D3"/>
    <w:rsid w:val="00470787"/>
    <w:rsid w:val="00471477"/>
    <w:rsid w:val="00471C77"/>
    <w:rsid w:val="00471D08"/>
    <w:rsid w:val="00471E64"/>
    <w:rsid w:val="00471F27"/>
    <w:rsid w:val="00471F5A"/>
    <w:rsid w:val="004720E5"/>
    <w:rsid w:val="0047229F"/>
    <w:rsid w:val="00473DD1"/>
    <w:rsid w:val="00474C45"/>
    <w:rsid w:val="00474E7C"/>
    <w:rsid w:val="0047520E"/>
    <w:rsid w:val="00476917"/>
    <w:rsid w:val="00477623"/>
    <w:rsid w:val="00477E12"/>
    <w:rsid w:val="00477EF4"/>
    <w:rsid w:val="0048023B"/>
    <w:rsid w:val="0048056D"/>
    <w:rsid w:val="00480672"/>
    <w:rsid w:val="004819C6"/>
    <w:rsid w:val="004821F0"/>
    <w:rsid w:val="00482AA7"/>
    <w:rsid w:val="004834D4"/>
    <w:rsid w:val="00484571"/>
    <w:rsid w:val="00484AE4"/>
    <w:rsid w:val="004850D3"/>
    <w:rsid w:val="00485645"/>
    <w:rsid w:val="004856F9"/>
    <w:rsid w:val="004857B7"/>
    <w:rsid w:val="00485A0A"/>
    <w:rsid w:val="00486045"/>
    <w:rsid w:val="004861D2"/>
    <w:rsid w:val="004862B6"/>
    <w:rsid w:val="004865CF"/>
    <w:rsid w:val="00486BAD"/>
    <w:rsid w:val="00486DD0"/>
    <w:rsid w:val="00487490"/>
    <w:rsid w:val="00487598"/>
    <w:rsid w:val="00487761"/>
    <w:rsid w:val="00487BEE"/>
    <w:rsid w:val="00487EA0"/>
    <w:rsid w:val="00490614"/>
    <w:rsid w:val="00490F9E"/>
    <w:rsid w:val="00491E91"/>
    <w:rsid w:val="0049280E"/>
    <w:rsid w:val="00493277"/>
    <w:rsid w:val="0049381D"/>
    <w:rsid w:val="00493CA4"/>
    <w:rsid w:val="00493E69"/>
    <w:rsid w:val="0049426D"/>
    <w:rsid w:val="0049489E"/>
    <w:rsid w:val="00495277"/>
    <w:rsid w:val="004952D2"/>
    <w:rsid w:val="004954F4"/>
    <w:rsid w:val="00495728"/>
    <w:rsid w:val="0049588B"/>
    <w:rsid w:val="00495988"/>
    <w:rsid w:val="00495BC4"/>
    <w:rsid w:val="00496612"/>
    <w:rsid w:val="00496D00"/>
    <w:rsid w:val="004A0723"/>
    <w:rsid w:val="004A077D"/>
    <w:rsid w:val="004A0D6B"/>
    <w:rsid w:val="004A138D"/>
    <w:rsid w:val="004A29C3"/>
    <w:rsid w:val="004A2CEB"/>
    <w:rsid w:val="004A2FB9"/>
    <w:rsid w:val="004A3AD3"/>
    <w:rsid w:val="004A40DC"/>
    <w:rsid w:val="004A4330"/>
    <w:rsid w:val="004A44AF"/>
    <w:rsid w:val="004A53D8"/>
    <w:rsid w:val="004A5649"/>
    <w:rsid w:val="004A580A"/>
    <w:rsid w:val="004A6CC7"/>
    <w:rsid w:val="004A7397"/>
    <w:rsid w:val="004A75BC"/>
    <w:rsid w:val="004A762F"/>
    <w:rsid w:val="004A7FE5"/>
    <w:rsid w:val="004B01A6"/>
    <w:rsid w:val="004B0421"/>
    <w:rsid w:val="004B0522"/>
    <w:rsid w:val="004B05A2"/>
    <w:rsid w:val="004B0BAC"/>
    <w:rsid w:val="004B106C"/>
    <w:rsid w:val="004B13A5"/>
    <w:rsid w:val="004B1982"/>
    <w:rsid w:val="004B1D63"/>
    <w:rsid w:val="004B2C46"/>
    <w:rsid w:val="004B2DD4"/>
    <w:rsid w:val="004B307B"/>
    <w:rsid w:val="004B318C"/>
    <w:rsid w:val="004B31F7"/>
    <w:rsid w:val="004B324C"/>
    <w:rsid w:val="004B34E5"/>
    <w:rsid w:val="004B3C64"/>
    <w:rsid w:val="004B3DEF"/>
    <w:rsid w:val="004B3F5A"/>
    <w:rsid w:val="004B40B5"/>
    <w:rsid w:val="004B48CF"/>
    <w:rsid w:val="004B4E09"/>
    <w:rsid w:val="004B56A8"/>
    <w:rsid w:val="004B5981"/>
    <w:rsid w:val="004B5D13"/>
    <w:rsid w:val="004B5D6E"/>
    <w:rsid w:val="004B6F52"/>
    <w:rsid w:val="004B7205"/>
    <w:rsid w:val="004B7231"/>
    <w:rsid w:val="004B76EF"/>
    <w:rsid w:val="004C0266"/>
    <w:rsid w:val="004C07DE"/>
    <w:rsid w:val="004C1012"/>
    <w:rsid w:val="004C1CBB"/>
    <w:rsid w:val="004C21F3"/>
    <w:rsid w:val="004C2918"/>
    <w:rsid w:val="004C33D7"/>
    <w:rsid w:val="004C38A6"/>
    <w:rsid w:val="004C4002"/>
    <w:rsid w:val="004C400A"/>
    <w:rsid w:val="004C4AA5"/>
    <w:rsid w:val="004C4CBD"/>
    <w:rsid w:val="004C4E11"/>
    <w:rsid w:val="004C4FC3"/>
    <w:rsid w:val="004C50C4"/>
    <w:rsid w:val="004C5699"/>
    <w:rsid w:val="004C5B52"/>
    <w:rsid w:val="004C5C49"/>
    <w:rsid w:val="004C62F1"/>
    <w:rsid w:val="004C67AC"/>
    <w:rsid w:val="004C6D2F"/>
    <w:rsid w:val="004C6F6F"/>
    <w:rsid w:val="004C74A8"/>
    <w:rsid w:val="004C773C"/>
    <w:rsid w:val="004C7CAA"/>
    <w:rsid w:val="004D01FD"/>
    <w:rsid w:val="004D0739"/>
    <w:rsid w:val="004D105B"/>
    <w:rsid w:val="004D1FDD"/>
    <w:rsid w:val="004D2520"/>
    <w:rsid w:val="004D2897"/>
    <w:rsid w:val="004D3CD9"/>
    <w:rsid w:val="004D5820"/>
    <w:rsid w:val="004D5D3E"/>
    <w:rsid w:val="004D62BD"/>
    <w:rsid w:val="004D6899"/>
    <w:rsid w:val="004D706D"/>
    <w:rsid w:val="004D745B"/>
    <w:rsid w:val="004D7801"/>
    <w:rsid w:val="004D7BF8"/>
    <w:rsid w:val="004D7E9B"/>
    <w:rsid w:val="004E063B"/>
    <w:rsid w:val="004E0D01"/>
    <w:rsid w:val="004E1116"/>
    <w:rsid w:val="004E13C4"/>
    <w:rsid w:val="004E1862"/>
    <w:rsid w:val="004E18DF"/>
    <w:rsid w:val="004E25F9"/>
    <w:rsid w:val="004E2953"/>
    <w:rsid w:val="004E2B16"/>
    <w:rsid w:val="004E2D2A"/>
    <w:rsid w:val="004E2D4C"/>
    <w:rsid w:val="004E36E2"/>
    <w:rsid w:val="004E3A66"/>
    <w:rsid w:val="004E44EF"/>
    <w:rsid w:val="004E505B"/>
    <w:rsid w:val="004E5242"/>
    <w:rsid w:val="004E545A"/>
    <w:rsid w:val="004E5923"/>
    <w:rsid w:val="004E6127"/>
    <w:rsid w:val="004E6506"/>
    <w:rsid w:val="004E6985"/>
    <w:rsid w:val="004E6DF2"/>
    <w:rsid w:val="004E784C"/>
    <w:rsid w:val="004E7DA3"/>
    <w:rsid w:val="004E7FF4"/>
    <w:rsid w:val="004F0659"/>
    <w:rsid w:val="004F07B7"/>
    <w:rsid w:val="004F177F"/>
    <w:rsid w:val="004F19FB"/>
    <w:rsid w:val="004F2613"/>
    <w:rsid w:val="004F27CB"/>
    <w:rsid w:val="004F3B21"/>
    <w:rsid w:val="004F3C8A"/>
    <w:rsid w:val="004F3CB2"/>
    <w:rsid w:val="004F4397"/>
    <w:rsid w:val="004F43D3"/>
    <w:rsid w:val="004F4952"/>
    <w:rsid w:val="004F4A63"/>
    <w:rsid w:val="004F4F6A"/>
    <w:rsid w:val="004F6194"/>
    <w:rsid w:val="004F6710"/>
    <w:rsid w:val="004F68D9"/>
    <w:rsid w:val="004F6C4C"/>
    <w:rsid w:val="004F7135"/>
    <w:rsid w:val="004F74BE"/>
    <w:rsid w:val="004F7999"/>
    <w:rsid w:val="004F7FBA"/>
    <w:rsid w:val="00500596"/>
    <w:rsid w:val="00500919"/>
    <w:rsid w:val="00500B0D"/>
    <w:rsid w:val="00503A90"/>
    <w:rsid w:val="005042A7"/>
    <w:rsid w:val="00504B6F"/>
    <w:rsid w:val="00504ECB"/>
    <w:rsid w:val="00504EDA"/>
    <w:rsid w:val="00504FC0"/>
    <w:rsid w:val="0050616F"/>
    <w:rsid w:val="0050632F"/>
    <w:rsid w:val="005063ED"/>
    <w:rsid w:val="0050654C"/>
    <w:rsid w:val="005065F3"/>
    <w:rsid w:val="005067BB"/>
    <w:rsid w:val="00506CEA"/>
    <w:rsid w:val="00506F14"/>
    <w:rsid w:val="005076A4"/>
    <w:rsid w:val="00507C55"/>
    <w:rsid w:val="005101AE"/>
    <w:rsid w:val="005110FA"/>
    <w:rsid w:val="0051111C"/>
    <w:rsid w:val="00512266"/>
    <w:rsid w:val="005129EB"/>
    <w:rsid w:val="0051348C"/>
    <w:rsid w:val="00513846"/>
    <w:rsid w:val="00513904"/>
    <w:rsid w:val="00513DB8"/>
    <w:rsid w:val="00513E67"/>
    <w:rsid w:val="005148FB"/>
    <w:rsid w:val="00514FC1"/>
    <w:rsid w:val="00516F9A"/>
    <w:rsid w:val="00517400"/>
    <w:rsid w:val="0051773D"/>
    <w:rsid w:val="00520519"/>
    <w:rsid w:val="0052105F"/>
    <w:rsid w:val="0052157E"/>
    <w:rsid w:val="005216E1"/>
    <w:rsid w:val="00521DBA"/>
    <w:rsid w:val="005223B5"/>
    <w:rsid w:val="005226D9"/>
    <w:rsid w:val="00522A72"/>
    <w:rsid w:val="00522DCD"/>
    <w:rsid w:val="00522DDB"/>
    <w:rsid w:val="00522FCD"/>
    <w:rsid w:val="005234A9"/>
    <w:rsid w:val="00523581"/>
    <w:rsid w:val="00523BA1"/>
    <w:rsid w:val="00523FBC"/>
    <w:rsid w:val="005249C8"/>
    <w:rsid w:val="00524B08"/>
    <w:rsid w:val="00524CBD"/>
    <w:rsid w:val="00524F73"/>
    <w:rsid w:val="0052564D"/>
    <w:rsid w:val="005256FC"/>
    <w:rsid w:val="00525A38"/>
    <w:rsid w:val="00525C7D"/>
    <w:rsid w:val="00526493"/>
    <w:rsid w:val="00527324"/>
    <w:rsid w:val="0052738D"/>
    <w:rsid w:val="005276E8"/>
    <w:rsid w:val="00527719"/>
    <w:rsid w:val="00527A30"/>
    <w:rsid w:val="00527B4B"/>
    <w:rsid w:val="00527CFE"/>
    <w:rsid w:val="00527D4F"/>
    <w:rsid w:val="005307BA"/>
    <w:rsid w:val="00530C15"/>
    <w:rsid w:val="0053139C"/>
    <w:rsid w:val="00531941"/>
    <w:rsid w:val="005319D6"/>
    <w:rsid w:val="00531E4B"/>
    <w:rsid w:val="0053250B"/>
    <w:rsid w:val="00532DB2"/>
    <w:rsid w:val="00533303"/>
    <w:rsid w:val="00533AA2"/>
    <w:rsid w:val="005342EE"/>
    <w:rsid w:val="00534B91"/>
    <w:rsid w:val="00534E26"/>
    <w:rsid w:val="0053541A"/>
    <w:rsid w:val="005357AF"/>
    <w:rsid w:val="00535952"/>
    <w:rsid w:val="00535997"/>
    <w:rsid w:val="00535B3A"/>
    <w:rsid w:val="00535C77"/>
    <w:rsid w:val="0053639A"/>
    <w:rsid w:val="00536E78"/>
    <w:rsid w:val="0053763A"/>
    <w:rsid w:val="005377C5"/>
    <w:rsid w:val="00537B99"/>
    <w:rsid w:val="00537BE4"/>
    <w:rsid w:val="00537D14"/>
    <w:rsid w:val="00537F26"/>
    <w:rsid w:val="00537FB6"/>
    <w:rsid w:val="00541705"/>
    <w:rsid w:val="0054298B"/>
    <w:rsid w:val="005431E6"/>
    <w:rsid w:val="00543304"/>
    <w:rsid w:val="00543523"/>
    <w:rsid w:val="00543526"/>
    <w:rsid w:val="00543620"/>
    <w:rsid w:val="00543AE6"/>
    <w:rsid w:val="00543C42"/>
    <w:rsid w:val="00544127"/>
    <w:rsid w:val="00544C6E"/>
    <w:rsid w:val="00544D6B"/>
    <w:rsid w:val="00544EAB"/>
    <w:rsid w:val="005458FF"/>
    <w:rsid w:val="005464B7"/>
    <w:rsid w:val="0054716F"/>
    <w:rsid w:val="005474D5"/>
    <w:rsid w:val="00547898"/>
    <w:rsid w:val="00547D42"/>
    <w:rsid w:val="00550789"/>
    <w:rsid w:val="00550B3C"/>
    <w:rsid w:val="00550EF7"/>
    <w:rsid w:val="005514B2"/>
    <w:rsid w:val="00551AA4"/>
    <w:rsid w:val="00551F33"/>
    <w:rsid w:val="005526B3"/>
    <w:rsid w:val="00552AAF"/>
    <w:rsid w:val="00552FF6"/>
    <w:rsid w:val="00553883"/>
    <w:rsid w:val="00553AF9"/>
    <w:rsid w:val="00553E39"/>
    <w:rsid w:val="00554563"/>
    <w:rsid w:val="00554A51"/>
    <w:rsid w:val="00555410"/>
    <w:rsid w:val="005559BD"/>
    <w:rsid w:val="00557116"/>
    <w:rsid w:val="0055731B"/>
    <w:rsid w:val="005578AA"/>
    <w:rsid w:val="00557AA0"/>
    <w:rsid w:val="00557B64"/>
    <w:rsid w:val="0056022D"/>
    <w:rsid w:val="00560524"/>
    <w:rsid w:val="005609AB"/>
    <w:rsid w:val="00560BB0"/>
    <w:rsid w:val="00561246"/>
    <w:rsid w:val="00561327"/>
    <w:rsid w:val="005613F8"/>
    <w:rsid w:val="00561531"/>
    <w:rsid w:val="00561632"/>
    <w:rsid w:val="00561648"/>
    <w:rsid w:val="0056180A"/>
    <w:rsid w:val="00561AB6"/>
    <w:rsid w:val="00562165"/>
    <w:rsid w:val="00562552"/>
    <w:rsid w:val="00562E8D"/>
    <w:rsid w:val="00562FCC"/>
    <w:rsid w:val="005632B6"/>
    <w:rsid w:val="00563F9A"/>
    <w:rsid w:val="00564042"/>
    <w:rsid w:val="00564454"/>
    <w:rsid w:val="0056462A"/>
    <w:rsid w:val="00565514"/>
    <w:rsid w:val="00565674"/>
    <w:rsid w:val="005656F6"/>
    <w:rsid w:val="00565BC5"/>
    <w:rsid w:val="00565F61"/>
    <w:rsid w:val="00566023"/>
    <w:rsid w:val="0056631A"/>
    <w:rsid w:val="00566D56"/>
    <w:rsid w:val="00567B56"/>
    <w:rsid w:val="00567DA0"/>
    <w:rsid w:val="00567F96"/>
    <w:rsid w:val="005702C3"/>
    <w:rsid w:val="005705AE"/>
    <w:rsid w:val="00570BC7"/>
    <w:rsid w:val="00570E3F"/>
    <w:rsid w:val="00570EC8"/>
    <w:rsid w:val="0057109E"/>
    <w:rsid w:val="00571363"/>
    <w:rsid w:val="005719BE"/>
    <w:rsid w:val="00571F2F"/>
    <w:rsid w:val="00573279"/>
    <w:rsid w:val="0057343D"/>
    <w:rsid w:val="005745DD"/>
    <w:rsid w:val="00574F06"/>
    <w:rsid w:val="005756F2"/>
    <w:rsid w:val="00575712"/>
    <w:rsid w:val="00575811"/>
    <w:rsid w:val="00575960"/>
    <w:rsid w:val="00575F81"/>
    <w:rsid w:val="0057605C"/>
    <w:rsid w:val="0057624D"/>
    <w:rsid w:val="00576294"/>
    <w:rsid w:val="00576E4F"/>
    <w:rsid w:val="00576FE6"/>
    <w:rsid w:val="005771F5"/>
    <w:rsid w:val="005774C2"/>
    <w:rsid w:val="00580088"/>
    <w:rsid w:val="005803D7"/>
    <w:rsid w:val="005818F5"/>
    <w:rsid w:val="00581AD0"/>
    <w:rsid w:val="00581AE9"/>
    <w:rsid w:val="00582370"/>
    <w:rsid w:val="00582B91"/>
    <w:rsid w:val="00582E64"/>
    <w:rsid w:val="00583569"/>
    <w:rsid w:val="0058357F"/>
    <w:rsid w:val="00583869"/>
    <w:rsid w:val="00583F42"/>
    <w:rsid w:val="00584D89"/>
    <w:rsid w:val="00585921"/>
    <w:rsid w:val="00585A6E"/>
    <w:rsid w:val="00585BA0"/>
    <w:rsid w:val="00585CF2"/>
    <w:rsid w:val="00585D29"/>
    <w:rsid w:val="0058648F"/>
    <w:rsid w:val="005866DC"/>
    <w:rsid w:val="00586998"/>
    <w:rsid w:val="00586CEC"/>
    <w:rsid w:val="00586D57"/>
    <w:rsid w:val="00586FEC"/>
    <w:rsid w:val="00587BC5"/>
    <w:rsid w:val="00587EDA"/>
    <w:rsid w:val="0059003A"/>
    <w:rsid w:val="00590076"/>
    <w:rsid w:val="005901F8"/>
    <w:rsid w:val="005905F4"/>
    <w:rsid w:val="00590B76"/>
    <w:rsid w:val="00591DC5"/>
    <w:rsid w:val="0059205D"/>
    <w:rsid w:val="0059380C"/>
    <w:rsid w:val="00593AAC"/>
    <w:rsid w:val="00593AEA"/>
    <w:rsid w:val="00593F30"/>
    <w:rsid w:val="00594C01"/>
    <w:rsid w:val="00596813"/>
    <w:rsid w:val="00596A3F"/>
    <w:rsid w:val="00596D21"/>
    <w:rsid w:val="00596F01"/>
    <w:rsid w:val="005979CB"/>
    <w:rsid w:val="00597C19"/>
    <w:rsid w:val="005A00D8"/>
    <w:rsid w:val="005A0158"/>
    <w:rsid w:val="005A02F0"/>
    <w:rsid w:val="005A1041"/>
    <w:rsid w:val="005A1306"/>
    <w:rsid w:val="005A276D"/>
    <w:rsid w:val="005A3009"/>
    <w:rsid w:val="005A31DE"/>
    <w:rsid w:val="005A352B"/>
    <w:rsid w:val="005A36D7"/>
    <w:rsid w:val="005A415A"/>
    <w:rsid w:val="005A428E"/>
    <w:rsid w:val="005A515A"/>
    <w:rsid w:val="005A523B"/>
    <w:rsid w:val="005A59B6"/>
    <w:rsid w:val="005A6077"/>
    <w:rsid w:val="005A66E4"/>
    <w:rsid w:val="005A7161"/>
    <w:rsid w:val="005A7188"/>
    <w:rsid w:val="005A7573"/>
    <w:rsid w:val="005A7D18"/>
    <w:rsid w:val="005B060F"/>
    <w:rsid w:val="005B08AC"/>
    <w:rsid w:val="005B0A49"/>
    <w:rsid w:val="005B0BB1"/>
    <w:rsid w:val="005B0D4E"/>
    <w:rsid w:val="005B10F7"/>
    <w:rsid w:val="005B1562"/>
    <w:rsid w:val="005B1D70"/>
    <w:rsid w:val="005B23FD"/>
    <w:rsid w:val="005B256C"/>
    <w:rsid w:val="005B30EF"/>
    <w:rsid w:val="005B3CC8"/>
    <w:rsid w:val="005B4088"/>
    <w:rsid w:val="005B43C4"/>
    <w:rsid w:val="005B4984"/>
    <w:rsid w:val="005B4A42"/>
    <w:rsid w:val="005B4AD8"/>
    <w:rsid w:val="005B4E2C"/>
    <w:rsid w:val="005B4F74"/>
    <w:rsid w:val="005B5AAB"/>
    <w:rsid w:val="005B6121"/>
    <w:rsid w:val="005B6FCD"/>
    <w:rsid w:val="005B7AEF"/>
    <w:rsid w:val="005C04AF"/>
    <w:rsid w:val="005C0518"/>
    <w:rsid w:val="005C1BD9"/>
    <w:rsid w:val="005C2214"/>
    <w:rsid w:val="005C2AD5"/>
    <w:rsid w:val="005C2E2A"/>
    <w:rsid w:val="005C2EE1"/>
    <w:rsid w:val="005C331F"/>
    <w:rsid w:val="005C34C3"/>
    <w:rsid w:val="005C3C61"/>
    <w:rsid w:val="005C3DA5"/>
    <w:rsid w:val="005C41DA"/>
    <w:rsid w:val="005C4497"/>
    <w:rsid w:val="005C4532"/>
    <w:rsid w:val="005C4CDB"/>
    <w:rsid w:val="005C5055"/>
    <w:rsid w:val="005C5066"/>
    <w:rsid w:val="005C5231"/>
    <w:rsid w:val="005C53C0"/>
    <w:rsid w:val="005C58AD"/>
    <w:rsid w:val="005C58FC"/>
    <w:rsid w:val="005C5927"/>
    <w:rsid w:val="005C6CF8"/>
    <w:rsid w:val="005C6F42"/>
    <w:rsid w:val="005C7053"/>
    <w:rsid w:val="005C7255"/>
    <w:rsid w:val="005C768D"/>
    <w:rsid w:val="005D0893"/>
    <w:rsid w:val="005D0DBA"/>
    <w:rsid w:val="005D180A"/>
    <w:rsid w:val="005D185E"/>
    <w:rsid w:val="005D1995"/>
    <w:rsid w:val="005D1A07"/>
    <w:rsid w:val="005D2079"/>
    <w:rsid w:val="005D219A"/>
    <w:rsid w:val="005D25AF"/>
    <w:rsid w:val="005D2836"/>
    <w:rsid w:val="005D28F0"/>
    <w:rsid w:val="005D2DB7"/>
    <w:rsid w:val="005D4152"/>
    <w:rsid w:val="005D4353"/>
    <w:rsid w:val="005D4D26"/>
    <w:rsid w:val="005D5409"/>
    <w:rsid w:val="005D554C"/>
    <w:rsid w:val="005D5D7E"/>
    <w:rsid w:val="005D66CE"/>
    <w:rsid w:val="005D6826"/>
    <w:rsid w:val="005D6D3C"/>
    <w:rsid w:val="005D7C2C"/>
    <w:rsid w:val="005D7F50"/>
    <w:rsid w:val="005E08A3"/>
    <w:rsid w:val="005E0DB5"/>
    <w:rsid w:val="005E13EC"/>
    <w:rsid w:val="005E25B0"/>
    <w:rsid w:val="005E28AC"/>
    <w:rsid w:val="005E2A52"/>
    <w:rsid w:val="005E300F"/>
    <w:rsid w:val="005E3350"/>
    <w:rsid w:val="005E3431"/>
    <w:rsid w:val="005E3C18"/>
    <w:rsid w:val="005E482A"/>
    <w:rsid w:val="005E49FA"/>
    <w:rsid w:val="005E5367"/>
    <w:rsid w:val="005E547E"/>
    <w:rsid w:val="005E6033"/>
    <w:rsid w:val="005E6093"/>
    <w:rsid w:val="005E60E1"/>
    <w:rsid w:val="005E611E"/>
    <w:rsid w:val="005E6189"/>
    <w:rsid w:val="005E634A"/>
    <w:rsid w:val="005E66E1"/>
    <w:rsid w:val="005E756E"/>
    <w:rsid w:val="005E7DB7"/>
    <w:rsid w:val="005E7DE9"/>
    <w:rsid w:val="005F0722"/>
    <w:rsid w:val="005F09C8"/>
    <w:rsid w:val="005F1024"/>
    <w:rsid w:val="005F1B0A"/>
    <w:rsid w:val="005F1CFC"/>
    <w:rsid w:val="005F1D1E"/>
    <w:rsid w:val="005F1F5C"/>
    <w:rsid w:val="005F246B"/>
    <w:rsid w:val="005F2D16"/>
    <w:rsid w:val="005F31F2"/>
    <w:rsid w:val="005F365B"/>
    <w:rsid w:val="005F3D30"/>
    <w:rsid w:val="005F3F48"/>
    <w:rsid w:val="005F427F"/>
    <w:rsid w:val="005F42C0"/>
    <w:rsid w:val="005F481F"/>
    <w:rsid w:val="005F4F74"/>
    <w:rsid w:val="005F536A"/>
    <w:rsid w:val="005F5DE4"/>
    <w:rsid w:val="005F668A"/>
    <w:rsid w:val="005F6A52"/>
    <w:rsid w:val="005F7926"/>
    <w:rsid w:val="005F7B6B"/>
    <w:rsid w:val="005F7DFC"/>
    <w:rsid w:val="0060001C"/>
    <w:rsid w:val="006005D1"/>
    <w:rsid w:val="00600B08"/>
    <w:rsid w:val="00600D40"/>
    <w:rsid w:val="00600F53"/>
    <w:rsid w:val="00601ADB"/>
    <w:rsid w:val="00601B25"/>
    <w:rsid w:val="00602F89"/>
    <w:rsid w:val="00603B94"/>
    <w:rsid w:val="00603CF1"/>
    <w:rsid w:val="00605664"/>
    <w:rsid w:val="00605E0A"/>
    <w:rsid w:val="00605E14"/>
    <w:rsid w:val="0060608F"/>
    <w:rsid w:val="00606109"/>
    <w:rsid w:val="0060618E"/>
    <w:rsid w:val="00606266"/>
    <w:rsid w:val="0060652E"/>
    <w:rsid w:val="00606929"/>
    <w:rsid w:val="006070E8"/>
    <w:rsid w:val="006102A0"/>
    <w:rsid w:val="006105DC"/>
    <w:rsid w:val="00610848"/>
    <w:rsid w:val="00611211"/>
    <w:rsid w:val="006112E8"/>
    <w:rsid w:val="0061152F"/>
    <w:rsid w:val="00611800"/>
    <w:rsid w:val="00611D98"/>
    <w:rsid w:val="0061210D"/>
    <w:rsid w:val="00613099"/>
    <w:rsid w:val="00613BBF"/>
    <w:rsid w:val="006142F8"/>
    <w:rsid w:val="0061440E"/>
    <w:rsid w:val="00614BD2"/>
    <w:rsid w:val="00614CA1"/>
    <w:rsid w:val="00615BC4"/>
    <w:rsid w:val="00617980"/>
    <w:rsid w:val="006200BC"/>
    <w:rsid w:val="00620471"/>
    <w:rsid w:val="00620504"/>
    <w:rsid w:val="0062087A"/>
    <w:rsid w:val="0062096B"/>
    <w:rsid w:val="00620F0E"/>
    <w:rsid w:val="006210EA"/>
    <w:rsid w:val="006222C3"/>
    <w:rsid w:val="00622AC0"/>
    <w:rsid w:val="0062326B"/>
    <w:rsid w:val="006240EB"/>
    <w:rsid w:val="00624E97"/>
    <w:rsid w:val="00625203"/>
    <w:rsid w:val="006253A7"/>
    <w:rsid w:val="00625744"/>
    <w:rsid w:val="00625D12"/>
    <w:rsid w:val="00626346"/>
    <w:rsid w:val="00626837"/>
    <w:rsid w:val="0062685F"/>
    <w:rsid w:val="00626BD2"/>
    <w:rsid w:val="006271BE"/>
    <w:rsid w:val="0062739F"/>
    <w:rsid w:val="006279A6"/>
    <w:rsid w:val="00630168"/>
    <w:rsid w:val="006319D3"/>
    <w:rsid w:val="00631BC1"/>
    <w:rsid w:val="0063284A"/>
    <w:rsid w:val="00632C40"/>
    <w:rsid w:val="006330CA"/>
    <w:rsid w:val="00633369"/>
    <w:rsid w:val="00633A91"/>
    <w:rsid w:val="00633D44"/>
    <w:rsid w:val="00633D96"/>
    <w:rsid w:val="00633EA4"/>
    <w:rsid w:val="00633F1D"/>
    <w:rsid w:val="00633FDC"/>
    <w:rsid w:val="00633FE8"/>
    <w:rsid w:val="00634914"/>
    <w:rsid w:val="00634A04"/>
    <w:rsid w:val="00634F83"/>
    <w:rsid w:val="006354AD"/>
    <w:rsid w:val="0063551F"/>
    <w:rsid w:val="006357F3"/>
    <w:rsid w:val="006359CE"/>
    <w:rsid w:val="00635C13"/>
    <w:rsid w:val="00636140"/>
    <w:rsid w:val="0063748A"/>
    <w:rsid w:val="0063774A"/>
    <w:rsid w:val="00637F6B"/>
    <w:rsid w:val="00637FBD"/>
    <w:rsid w:val="0064028B"/>
    <w:rsid w:val="00640305"/>
    <w:rsid w:val="006410F6"/>
    <w:rsid w:val="006425EA"/>
    <w:rsid w:val="00642729"/>
    <w:rsid w:val="0064347A"/>
    <w:rsid w:val="006436B3"/>
    <w:rsid w:val="0064419A"/>
    <w:rsid w:val="006441DA"/>
    <w:rsid w:val="00644DCA"/>
    <w:rsid w:val="00645300"/>
    <w:rsid w:val="0064530C"/>
    <w:rsid w:val="00645D32"/>
    <w:rsid w:val="00646795"/>
    <w:rsid w:val="006475AE"/>
    <w:rsid w:val="006477DE"/>
    <w:rsid w:val="00647918"/>
    <w:rsid w:val="006504AD"/>
    <w:rsid w:val="006507D0"/>
    <w:rsid w:val="00650A3C"/>
    <w:rsid w:val="00650DFD"/>
    <w:rsid w:val="00650ED9"/>
    <w:rsid w:val="00651A12"/>
    <w:rsid w:val="00651F34"/>
    <w:rsid w:val="006521B7"/>
    <w:rsid w:val="00652328"/>
    <w:rsid w:val="006528E3"/>
    <w:rsid w:val="00652E3D"/>
    <w:rsid w:val="0065317E"/>
    <w:rsid w:val="0065373C"/>
    <w:rsid w:val="006540AE"/>
    <w:rsid w:val="00654953"/>
    <w:rsid w:val="00654AD2"/>
    <w:rsid w:val="00654D52"/>
    <w:rsid w:val="0065510A"/>
    <w:rsid w:val="00655BA5"/>
    <w:rsid w:val="00655E0F"/>
    <w:rsid w:val="00656BCB"/>
    <w:rsid w:val="00660A7B"/>
    <w:rsid w:val="0066148C"/>
    <w:rsid w:val="0066172C"/>
    <w:rsid w:val="0066212E"/>
    <w:rsid w:val="00662951"/>
    <w:rsid w:val="0066316B"/>
    <w:rsid w:val="0066406C"/>
    <w:rsid w:val="006648F2"/>
    <w:rsid w:val="00664BC0"/>
    <w:rsid w:val="00665040"/>
    <w:rsid w:val="0066538C"/>
    <w:rsid w:val="00665517"/>
    <w:rsid w:val="006657FB"/>
    <w:rsid w:val="00665BCA"/>
    <w:rsid w:val="00665BCC"/>
    <w:rsid w:val="00666226"/>
    <w:rsid w:val="0066633E"/>
    <w:rsid w:val="00666DE8"/>
    <w:rsid w:val="0066747D"/>
    <w:rsid w:val="00667BF9"/>
    <w:rsid w:val="00667D85"/>
    <w:rsid w:val="0067076E"/>
    <w:rsid w:val="006707E4"/>
    <w:rsid w:val="006713DA"/>
    <w:rsid w:val="00671507"/>
    <w:rsid w:val="006716C1"/>
    <w:rsid w:val="00671749"/>
    <w:rsid w:val="006719E9"/>
    <w:rsid w:val="00673137"/>
    <w:rsid w:val="00673519"/>
    <w:rsid w:val="00673705"/>
    <w:rsid w:val="006737F3"/>
    <w:rsid w:val="00673A65"/>
    <w:rsid w:val="00673BB9"/>
    <w:rsid w:val="006740F0"/>
    <w:rsid w:val="00674B79"/>
    <w:rsid w:val="00675D69"/>
    <w:rsid w:val="0067690C"/>
    <w:rsid w:val="00677656"/>
    <w:rsid w:val="0067793F"/>
    <w:rsid w:val="00680123"/>
    <w:rsid w:val="0068075C"/>
    <w:rsid w:val="00680D99"/>
    <w:rsid w:val="0068142E"/>
    <w:rsid w:val="00681D5E"/>
    <w:rsid w:val="00681F16"/>
    <w:rsid w:val="00681F24"/>
    <w:rsid w:val="00681F5C"/>
    <w:rsid w:val="0068229F"/>
    <w:rsid w:val="00682416"/>
    <w:rsid w:val="0068271B"/>
    <w:rsid w:val="00682845"/>
    <w:rsid w:val="00683A1C"/>
    <w:rsid w:val="00683F32"/>
    <w:rsid w:val="006840E0"/>
    <w:rsid w:val="0068416B"/>
    <w:rsid w:val="00684234"/>
    <w:rsid w:val="0068499B"/>
    <w:rsid w:val="00684C55"/>
    <w:rsid w:val="0068578B"/>
    <w:rsid w:val="00685EC2"/>
    <w:rsid w:val="006864AE"/>
    <w:rsid w:val="0068669D"/>
    <w:rsid w:val="0069013A"/>
    <w:rsid w:val="0069044A"/>
    <w:rsid w:val="0069063E"/>
    <w:rsid w:val="006906EE"/>
    <w:rsid w:val="006915F1"/>
    <w:rsid w:val="00691911"/>
    <w:rsid w:val="0069191C"/>
    <w:rsid w:val="00692C11"/>
    <w:rsid w:val="00692C6A"/>
    <w:rsid w:val="00692E1A"/>
    <w:rsid w:val="006931B1"/>
    <w:rsid w:val="00693980"/>
    <w:rsid w:val="00693BF4"/>
    <w:rsid w:val="00694161"/>
    <w:rsid w:val="00694C69"/>
    <w:rsid w:val="00694D22"/>
    <w:rsid w:val="00695722"/>
    <w:rsid w:val="006959B2"/>
    <w:rsid w:val="00695B64"/>
    <w:rsid w:val="0069621F"/>
    <w:rsid w:val="0069623B"/>
    <w:rsid w:val="00696B62"/>
    <w:rsid w:val="0069704E"/>
    <w:rsid w:val="00697250"/>
    <w:rsid w:val="0069753A"/>
    <w:rsid w:val="0069754D"/>
    <w:rsid w:val="006A045C"/>
    <w:rsid w:val="006A0740"/>
    <w:rsid w:val="006A07DA"/>
    <w:rsid w:val="006A0E01"/>
    <w:rsid w:val="006A0E95"/>
    <w:rsid w:val="006A0F65"/>
    <w:rsid w:val="006A158E"/>
    <w:rsid w:val="006A17E4"/>
    <w:rsid w:val="006A18E5"/>
    <w:rsid w:val="006A2243"/>
    <w:rsid w:val="006A27DA"/>
    <w:rsid w:val="006A2A4B"/>
    <w:rsid w:val="006A2F22"/>
    <w:rsid w:val="006A2F52"/>
    <w:rsid w:val="006A309A"/>
    <w:rsid w:val="006A30E2"/>
    <w:rsid w:val="006A3516"/>
    <w:rsid w:val="006A3605"/>
    <w:rsid w:val="006A3B1C"/>
    <w:rsid w:val="006A43A7"/>
    <w:rsid w:val="006A4DD7"/>
    <w:rsid w:val="006A4E32"/>
    <w:rsid w:val="006A5B26"/>
    <w:rsid w:val="006A5D79"/>
    <w:rsid w:val="006A5FD9"/>
    <w:rsid w:val="006A647B"/>
    <w:rsid w:val="006A64C9"/>
    <w:rsid w:val="006A6720"/>
    <w:rsid w:val="006A70BD"/>
    <w:rsid w:val="006A766E"/>
    <w:rsid w:val="006A76AA"/>
    <w:rsid w:val="006A7A0E"/>
    <w:rsid w:val="006A7E62"/>
    <w:rsid w:val="006A7EC1"/>
    <w:rsid w:val="006B02EB"/>
    <w:rsid w:val="006B0880"/>
    <w:rsid w:val="006B0BAF"/>
    <w:rsid w:val="006B0CF3"/>
    <w:rsid w:val="006B1352"/>
    <w:rsid w:val="006B1397"/>
    <w:rsid w:val="006B1C8E"/>
    <w:rsid w:val="006B1CB9"/>
    <w:rsid w:val="006B1CBC"/>
    <w:rsid w:val="006B258E"/>
    <w:rsid w:val="006B2738"/>
    <w:rsid w:val="006B2EEE"/>
    <w:rsid w:val="006B3118"/>
    <w:rsid w:val="006B38D4"/>
    <w:rsid w:val="006B3924"/>
    <w:rsid w:val="006B41AF"/>
    <w:rsid w:val="006B4ECC"/>
    <w:rsid w:val="006B4F38"/>
    <w:rsid w:val="006B5051"/>
    <w:rsid w:val="006B5C8C"/>
    <w:rsid w:val="006B6573"/>
    <w:rsid w:val="006B65DE"/>
    <w:rsid w:val="006B69AC"/>
    <w:rsid w:val="006C00F1"/>
    <w:rsid w:val="006C0354"/>
    <w:rsid w:val="006C03A8"/>
    <w:rsid w:val="006C0C0F"/>
    <w:rsid w:val="006C143A"/>
    <w:rsid w:val="006C162B"/>
    <w:rsid w:val="006C2668"/>
    <w:rsid w:val="006C2CAF"/>
    <w:rsid w:val="006C2E12"/>
    <w:rsid w:val="006C3603"/>
    <w:rsid w:val="006C3BB7"/>
    <w:rsid w:val="006C3F44"/>
    <w:rsid w:val="006C4A6F"/>
    <w:rsid w:val="006C4DE3"/>
    <w:rsid w:val="006C4FE2"/>
    <w:rsid w:val="006C532A"/>
    <w:rsid w:val="006C6495"/>
    <w:rsid w:val="006C67B4"/>
    <w:rsid w:val="006C67FF"/>
    <w:rsid w:val="006C6B60"/>
    <w:rsid w:val="006C6ED1"/>
    <w:rsid w:val="006C761D"/>
    <w:rsid w:val="006C7676"/>
    <w:rsid w:val="006C7A17"/>
    <w:rsid w:val="006C7DC7"/>
    <w:rsid w:val="006D023E"/>
    <w:rsid w:val="006D06EB"/>
    <w:rsid w:val="006D08A1"/>
    <w:rsid w:val="006D0D15"/>
    <w:rsid w:val="006D0EDF"/>
    <w:rsid w:val="006D17A5"/>
    <w:rsid w:val="006D199D"/>
    <w:rsid w:val="006D1BEC"/>
    <w:rsid w:val="006D1F24"/>
    <w:rsid w:val="006D1FB3"/>
    <w:rsid w:val="006D2014"/>
    <w:rsid w:val="006D22B7"/>
    <w:rsid w:val="006D25F3"/>
    <w:rsid w:val="006D291D"/>
    <w:rsid w:val="006D2B0E"/>
    <w:rsid w:val="006D2B93"/>
    <w:rsid w:val="006D2E42"/>
    <w:rsid w:val="006D38AF"/>
    <w:rsid w:val="006D3DA8"/>
    <w:rsid w:val="006D419F"/>
    <w:rsid w:val="006D4259"/>
    <w:rsid w:val="006D455D"/>
    <w:rsid w:val="006D5C91"/>
    <w:rsid w:val="006D6E8E"/>
    <w:rsid w:val="006D6EB6"/>
    <w:rsid w:val="006D7011"/>
    <w:rsid w:val="006D78EE"/>
    <w:rsid w:val="006E0717"/>
    <w:rsid w:val="006E0A06"/>
    <w:rsid w:val="006E1038"/>
    <w:rsid w:val="006E19A0"/>
    <w:rsid w:val="006E1D00"/>
    <w:rsid w:val="006E1EA7"/>
    <w:rsid w:val="006E22B0"/>
    <w:rsid w:val="006E276E"/>
    <w:rsid w:val="006E2C6F"/>
    <w:rsid w:val="006E34A0"/>
    <w:rsid w:val="006E395C"/>
    <w:rsid w:val="006E3BE1"/>
    <w:rsid w:val="006E3D46"/>
    <w:rsid w:val="006E3D9F"/>
    <w:rsid w:val="006E4009"/>
    <w:rsid w:val="006E4879"/>
    <w:rsid w:val="006E4C3E"/>
    <w:rsid w:val="006E588E"/>
    <w:rsid w:val="006E5FD7"/>
    <w:rsid w:val="006E7CC0"/>
    <w:rsid w:val="006E7DDC"/>
    <w:rsid w:val="006E7F8D"/>
    <w:rsid w:val="006F0896"/>
    <w:rsid w:val="006F0A79"/>
    <w:rsid w:val="006F1FE8"/>
    <w:rsid w:val="006F20B0"/>
    <w:rsid w:val="006F2CD1"/>
    <w:rsid w:val="006F41D7"/>
    <w:rsid w:val="006F4829"/>
    <w:rsid w:val="006F4B75"/>
    <w:rsid w:val="006F4CAB"/>
    <w:rsid w:val="006F5E69"/>
    <w:rsid w:val="006F61D2"/>
    <w:rsid w:val="006F6975"/>
    <w:rsid w:val="006F6B16"/>
    <w:rsid w:val="006F6BD4"/>
    <w:rsid w:val="006F6C5C"/>
    <w:rsid w:val="006F704C"/>
    <w:rsid w:val="006F74EC"/>
    <w:rsid w:val="006F7A0C"/>
    <w:rsid w:val="00700173"/>
    <w:rsid w:val="00700887"/>
    <w:rsid w:val="007015E2"/>
    <w:rsid w:val="00701E1F"/>
    <w:rsid w:val="00702861"/>
    <w:rsid w:val="0070288F"/>
    <w:rsid w:val="00702D96"/>
    <w:rsid w:val="00704FA1"/>
    <w:rsid w:val="00704FE0"/>
    <w:rsid w:val="00705144"/>
    <w:rsid w:val="007056E3"/>
    <w:rsid w:val="007056F9"/>
    <w:rsid w:val="00705E48"/>
    <w:rsid w:val="0070621F"/>
    <w:rsid w:val="0070635F"/>
    <w:rsid w:val="00706CA2"/>
    <w:rsid w:val="007070E7"/>
    <w:rsid w:val="007071DE"/>
    <w:rsid w:val="00707AA0"/>
    <w:rsid w:val="007101A0"/>
    <w:rsid w:val="0071031F"/>
    <w:rsid w:val="007103D4"/>
    <w:rsid w:val="00711B51"/>
    <w:rsid w:val="00712A69"/>
    <w:rsid w:val="00712D34"/>
    <w:rsid w:val="00713525"/>
    <w:rsid w:val="0071385D"/>
    <w:rsid w:val="00713D42"/>
    <w:rsid w:val="00714004"/>
    <w:rsid w:val="00714F4C"/>
    <w:rsid w:val="007150D1"/>
    <w:rsid w:val="007160BF"/>
    <w:rsid w:val="007163AA"/>
    <w:rsid w:val="007166D2"/>
    <w:rsid w:val="00716894"/>
    <w:rsid w:val="007168E7"/>
    <w:rsid w:val="007169AF"/>
    <w:rsid w:val="00716F6E"/>
    <w:rsid w:val="00716F7C"/>
    <w:rsid w:val="0071715D"/>
    <w:rsid w:val="007171F1"/>
    <w:rsid w:val="00717272"/>
    <w:rsid w:val="00717705"/>
    <w:rsid w:val="00717847"/>
    <w:rsid w:val="007203C5"/>
    <w:rsid w:val="007206BD"/>
    <w:rsid w:val="00720804"/>
    <w:rsid w:val="00720DC0"/>
    <w:rsid w:val="00721581"/>
    <w:rsid w:val="007216E8"/>
    <w:rsid w:val="00721D52"/>
    <w:rsid w:val="00721DE2"/>
    <w:rsid w:val="00722405"/>
    <w:rsid w:val="007225B1"/>
    <w:rsid w:val="007228DB"/>
    <w:rsid w:val="0072312C"/>
    <w:rsid w:val="0072399D"/>
    <w:rsid w:val="007241DF"/>
    <w:rsid w:val="0072451B"/>
    <w:rsid w:val="00724755"/>
    <w:rsid w:val="007248CF"/>
    <w:rsid w:val="0072493F"/>
    <w:rsid w:val="00725043"/>
    <w:rsid w:val="00725239"/>
    <w:rsid w:val="00725646"/>
    <w:rsid w:val="00725A81"/>
    <w:rsid w:val="00726297"/>
    <w:rsid w:val="00726698"/>
    <w:rsid w:val="007270F3"/>
    <w:rsid w:val="00730353"/>
    <w:rsid w:val="0073062A"/>
    <w:rsid w:val="00731484"/>
    <w:rsid w:val="0073159B"/>
    <w:rsid w:val="007317BA"/>
    <w:rsid w:val="0073292E"/>
    <w:rsid w:val="00732A08"/>
    <w:rsid w:val="00732C5B"/>
    <w:rsid w:val="00733028"/>
    <w:rsid w:val="007335F7"/>
    <w:rsid w:val="00733800"/>
    <w:rsid w:val="00733FA6"/>
    <w:rsid w:val="00734B19"/>
    <w:rsid w:val="00734EAF"/>
    <w:rsid w:val="00735E0D"/>
    <w:rsid w:val="0073606C"/>
    <w:rsid w:val="0073684C"/>
    <w:rsid w:val="007371F0"/>
    <w:rsid w:val="0073746B"/>
    <w:rsid w:val="00737CB5"/>
    <w:rsid w:val="00737DD7"/>
    <w:rsid w:val="00740C83"/>
    <w:rsid w:val="00741267"/>
    <w:rsid w:val="0074164F"/>
    <w:rsid w:val="007419B1"/>
    <w:rsid w:val="00741B95"/>
    <w:rsid w:val="00741CFE"/>
    <w:rsid w:val="00741E6D"/>
    <w:rsid w:val="00742446"/>
    <w:rsid w:val="00742668"/>
    <w:rsid w:val="00743199"/>
    <w:rsid w:val="00743373"/>
    <w:rsid w:val="00743A26"/>
    <w:rsid w:val="00744BE6"/>
    <w:rsid w:val="00744EE0"/>
    <w:rsid w:val="0074543D"/>
    <w:rsid w:val="0074582E"/>
    <w:rsid w:val="00745BBB"/>
    <w:rsid w:val="0074634B"/>
    <w:rsid w:val="00746372"/>
    <w:rsid w:val="00746940"/>
    <w:rsid w:val="007469B9"/>
    <w:rsid w:val="00746B20"/>
    <w:rsid w:val="007470E1"/>
    <w:rsid w:val="00747132"/>
    <w:rsid w:val="00747A2A"/>
    <w:rsid w:val="00747C6F"/>
    <w:rsid w:val="00750149"/>
    <w:rsid w:val="0075020B"/>
    <w:rsid w:val="00750478"/>
    <w:rsid w:val="00750779"/>
    <w:rsid w:val="00751113"/>
    <w:rsid w:val="007515A3"/>
    <w:rsid w:val="0075192B"/>
    <w:rsid w:val="00751B4B"/>
    <w:rsid w:val="00752837"/>
    <w:rsid w:val="007530E7"/>
    <w:rsid w:val="00754505"/>
    <w:rsid w:val="00755260"/>
    <w:rsid w:val="00755E70"/>
    <w:rsid w:val="007560E5"/>
    <w:rsid w:val="00756B13"/>
    <w:rsid w:val="0075728B"/>
    <w:rsid w:val="00757D1E"/>
    <w:rsid w:val="0076012D"/>
    <w:rsid w:val="007601C9"/>
    <w:rsid w:val="0076092D"/>
    <w:rsid w:val="007609FE"/>
    <w:rsid w:val="00760D24"/>
    <w:rsid w:val="00760E47"/>
    <w:rsid w:val="0076206A"/>
    <w:rsid w:val="00763453"/>
    <w:rsid w:val="007634B9"/>
    <w:rsid w:val="007638C9"/>
    <w:rsid w:val="00763EBC"/>
    <w:rsid w:val="00764F2F"/>
    <w:rsid w:val="00765223"/>
    <w:rsid w:val="007657EC"/>
    <w:rsid w:val="00765A35"/>
    <w:rsid w:val="007662B0"/>
    <w:rsid w:val="0076674A"/>
    <w:rsid w:val="00766CF1"/>
    <w:rsid w:val="007679BA"/>
    <w:rsid w:val="00767F2E"/>
    <w:rsid w:val="00770B2F"/>
    <w:rsid w:val="00770E7F"/>
    <w:rsid w:val="00771811"/>
    <w:rsid w:val="00772340"/>
    <w:rsid w:val="007723A5"/>
    <w:rsid w:val="0077254C"/>
    <w:rsid w:val="0077263B"/>
    <w:rsid w:val="00772A15"/>
    <w:rsid w:val="00773A9E"/>
    <w:rsid w:val="007743C2"/>
    <w:rsid w:val="00774696"/>
    <w:rsid w:val="0077470C"/>
    <w:rsid w:val="007748DB"/>
    <w:rsid w:val="00774F9E"/>
    <w:rsid w:val="00774FA2"/>
    <w:rsid w:val="007750DD"/>
    <w:rsid w:val="007753E5"/>
    <w:rsid w:val="007758BB"/>
    <w:rsid w:val="00775A02"/>
    <w:rsid w:val="0077613F"/>
    <w:rsid w:val="00776545"/>
    <w:rsid w:val="00776A2A"/>
    <w:rsid w:val="0077712A"/>
    <w:rsid w:val="0077767B"/>
    <w:rsid w:val="00777F94"/>
    <w:rsid w:val="00777FB7"/>
    <w:rsid w:val="007802B7"/>
    <w:rsid w:val="00780ED3"/>
    <w:rsid w:val="00780FAA"/>
    <w:rsid w:val="00781B12"/>
    <w:rsid w:val="00781D7A"/>
    <w:rsid w:val="00782A9A"/>
    <w:rsid w:val="00782D51"/>
    <w:rsid w:val="00782D7F"/>
    <w:rsid w:val="00782F95"/>
    <w:rsid w:val="007832A2"/>
    <w:rsid w:val="00783387"/>
    <w:rsid w:val="0078381C"/>
    <w:rsid w:val="00783FB3"/>
    <w:rsid w:val="00784006"/>
    <w:rsid w:val="007841F6"/>
    <w:rsid w:val="00784841"/>
    <w:rsid w:val="007850EC"/>
    <w:rsid w:val="00785D68"/>
    <w:rsid w:val="00787052"/>
    <w:rsid w:val="007871DC"/>
    <w:rsid w:val="00790386"/>
    <w:rsid w:val="00790548"/>
    <w:rsid w:val="00790562"/>
    <w:rsid w:val="00790D62"/>
    <w:rsid w:val="00791307"/>
    <w:rsid w:val="00791700"/>
    <w:rsid w:val="0079220F"/>
    <w:rsid w:val="0079250C"/>
    <w:rsid w:val="0079272D"/>
    <w:rsid w:val="00792946"/>
    <w:rsid w:val="00792998"/>
    <w:rsid w:val="00792A5A"/>
    <w:rsid w:val="00792C12"/>
    <w:rsid w:val="00792F62"/>
    <w:rsid w:val="0079304E"/>
    <w:rsid w:val="007930F8"/>
    <w:rsid w:val="00793548"/>
    <w:rsid w:val="007944FC"/>
    <w:rsid w:val="00794593"/>
    <w:rsid w:val="007949F0"/>
    <w:rsid w:val="00794F17"/>
    <w:rsid w:val="00795068"/>
    <w:rsid w:val="00795A17"/>
    <w:rsid w:val="0079613D"/>
    <w:rsid w:val="00796F21"/>
    <w:rsid w:val="00797DE9"/>
    <w:rsid w:val="007A1015"/>
    <w:rsid w:val="007A1240"/>
    <w:rsid w:val="007A1C38"/>
    <w:rsid w:val="007A23C8"/>
    <w:rsid w:val="007A29BA"/>
    <w:rsid w:val="007A3271"/>
    <w:rsid w:val="007A3D0F"/>
    <w:rsid w:val="007A559E"/>
    <w:rsid w:val="007A5721"/>
    <w:rsid w:val="007A590E"/>
    <w:rsid w:val="007A6679"/>
    <w:rsid w:val="007A695C"/>
    <w:rsid w:val="007A7A73"/>
    <w:rsid w:val="007B0486"/>
    <w:rsid w:val="007B0715"/>
    <w:rsid w:val="007B0871"/>
    <w:rsid w:val="007B0B7D"/>
    <w:rsid w:val="007B0CA7"/>
    <w:rsid w:val="007B0D2D"/>
    <w:rsid w:val="007B0F70"/>
    <w:rsid w:val="007B1D41"/>
    <w:rsid w:val="007B2E5D"/>
    <w:rsid w:val="007B330D"/>
    <w:rsid w:val="007B3D53"/>
    <w:rsid w:val="007B404C"/>
    <w:rsid w:val="007B4147"/>
    <w:rsid w:val="007B4504"/>
    <w:rsid w:val="007B450C"/>
    <w:rsid w:val="007B5C46"/>
    <w:rsid w:val="007B68F5"/>
    <w:rsid w:val="007B6D53"/>
    <w:rsid w:val="007B7714"/>
    <w:rsid w:val="007B7B8F"/>
    <w:rsid w:val="007C0322"/>
    <w:rsid w:val="007C03BB"/>
    <w:rsid w:val="007C05B2"/>
    <w:rsid w:val="007C1997"/>
    <w:rsid w:val="007C1EF6"/>
    <w:rsid w:val="007C2D93"/>
    <w:rsid w:val="007C35B3"/>
    <w:rsid w:val="007C4A03"/>
    <w:rsid w:val="007C58C0"/>
    <w:rsid w:val="007C5D75"/>
    <w:rsid w:val="007C5FE2"/>
    <w:rsid w:val="007C6765"/>
    <w:rsid w:val="007C7710"/>
    <w:rsid w:val="007D017E"/>
    <w:rsid w:val="007D0513"/>
    <w:rsid w:val="007D0B9C"/>
    <w:rsid w:val="007D0F5C"/>
    <w:rsid w:val="007D1083"/>
    <w:rsid w:val="007D15A2"/>
    <w:rsid w:val="007D16F1"/>
    <w:rsid w:val="007D1B5B"/>
    <w:rsid w:val="007D21D8"/>
    <w:rsid w:val="007D263B"/>
    <w:rsid w:val="007D2C16"/>
    <w:rsid w:val="007D310D"/>
    <w:rsid w:val="007D3214"/>
    <w:rsid w:val="007D3892"/>
    <w:rsid w:val="007D3B34"/>
    <w:rsid w:val="007D3BF0"/>
    <w:rsid w:val="007D3DCA"/>
    <w:rsid w:val="007D4B9D"/>
    <w:rsid w:val="007D5206"/>
    <w:rsid w:val="007D5437"/>
    <w:rsid w:val="007D5679"/>
    <w:rsid w:val="007D5751"/>
    <w:rsid w:val="007D5BB1"/>
    <w:rsid w:val="007D5E76"/>
    <w:rsid w:val="007D5F18"/>
    <w:rsid w:val="007D6629"/>
    <w:rsid w:val="007D6630"/>
    <w:rsid w:val="007D6968"/>
    <w:rsid w:val="007D76C2"/>
    <w:rsid w:val="007D7D01"/>
    <w:rsid w:val="007E085E"/>
    <w:rsid w:val="007E0C9F"/>
    <w:rsid w:val="007E146A"/>
    <w:rsid w:val="007E15A5"/>
    <w:rsid w:val="007E1928"/>
    <w:rsid w:val="007E1E27"/>
    <w:rsid w:val="007E23C1"/>
    <w:rsid w:val="007E2641"/>
    <w:rsid w:val="007E2B9E"/>
    <w:rsid w:val="007E2D72"/>
    <w:rsid w:val="007E327D"/>
    <w:rsid w:val="007E35C9"/>
    <w:rsid w:val="007E3BB9"/>
    <w:rsid w:val="007E3E01"/>
    <w:rsid w:val="007E3E65"/>
    <w:rsid w:val="007E43E0"/>
    <w:rsid w:val="007E47B7"/>
    <w:rsid w:val="007E497C"/>
    <w:rsid w:val="007E4ADF"/>
    <w:rsid w:val="007E4C14"/>
    <w:rsid w:val="007E5C17"/>
    <w:rsid w:val="007E66A5"/>
    <w:rsid w:val="007E6D1A"/>
    <w:rsid w:val="007E7319"/>
    <w:rsid w:val="007E7689"/>
    <w:rsid w:val="007E7991"/>
    <w:rsid w:val="007E7B41"/>
    <w:rsid w:val="007E7D2A"/>
    <w:rsid w:val="007E7D4F"/>
    <w:rsid w:val="007E7FD5"/>
    <w:rsid w:val="007F081E"/>
    <w:rsid w:val="007F17F7"/>
    <w:rsid w:val="007F1801"/>
    <w:rsid w:val="007F202F"/>
    <w:rsid w:val="007F2136"/>
    <w:rsid w:val="007F2384"/>
    <w:rsid w:val="007F2ED7"/>
    <w:rsid w:val="007F3A80"/>
    <w:rsid w:val="007F3AD3"/>
    <w:rsid w:val="007F3AD9"/>
    <w:rsid w:val="007F3F24"/>
    <w:rsid w:val="007F4C0F"/>
    <w:rsid w:val="007F5044"/>
    <w:rsid w:val="007F5274"/>
    <w:rsid w:val="007F5E0F"/>
    <w:rsid w:val="007F744A"/>
    <w:rsid w:val="008000EF"/>
    <w:rsid w:val="00800934"/>
    <w:rsid w:val="00800EA2"/>
    <w:rsid w:val="00801040"/>
    <w:rsid w:val="008012F9"/>
    <w:rsid w:val="00801747"/>
    <w:rsid w:val="00801D4D"/>
    <w:rsid w:val="00802025"/>
    <w:rsid w:val="0080254E"/>
    <w:rsid w:val="00802A44"/>
    <w:rsid w:val="00802ABE"/>
    <w:rsid w:val="00802B2B"/>
    <w:rsid w:val="00803458"/>
    <w:rsid w:val="00803703"/>
    <w:rsid w:val="008046DA"/>
    <w:rsid w:val="00804FB6"/>
    <w:rsid w:val="008053E4"/>
    <w:rsid w:val="008059B8"/>
    <w:rsid w:val="00806544"/>
    <w:rsid w:val="008067E1"/>
    <w:rsid w:val="00806A93"/>
    <w:rsid w:val="00806E99"/>
    <w:rsid w:val="008070B1"/>
    <w:rsid w:val="008072A2"/>
    <w:rsid w:val="00807471"/>
    <w:rsid w:val="008077D9"/>
    <w:rsid w:val="00807CB7"/>
    <w:rsid w:val="008102D5"/>
    <w:rsid w:val="00810820"/>
    <w:rsid w:val="008110A2"/>
    <w:rsid w:val="008114FE"/>
    <w:rsid w:val="008120D5"/>
    <w:rsid w:val="008122B8"/>
    <w:rsid w:val="00812A0C"/>
    <w:rsid w:val="00813169"/>
    <w:rsid w:val="0081324C"/>
    <w:rsid w:val="00813B47"/>
    <w:rsid w:val="008148EC"/>
    <w:rsid w:val="00815442"/>
    <w:rsid w:val="00815BCA"/>
    <w:rsid w:val="00815C83"/>
    <w:rsid w:val="00816682"/>
    <w:rsid w:val="00816757"/>
    <w:rsid w:val="008170B8"/>
    <w:rsid w:val="008174CD"/>
    <w:rsid w:val="008179A8"/>
    <w:rsid w:val="00817A20"/>
    <w:rsid w:val="00817FC2"/>
    <w:rsid w:val="00820473"/>
    <w:rsid w:val="00820573"/>
    <w:rsid w:val="00820A84"/>
    <w:rsid w:val="00821176"/>
    <w:rsid w:val="00821847"/>
    <w:rsid w:val="0082189D"/>
    <w:rsid w:val="00821B04"/>
    <w:rsid w:val="00821CDA"/>
    <w:rsid w:val="00822538"/>
    <w:rsid w:val="00822E81"/>
    <w:rsid w:val="00822F4A"/>
    <w:rsid w:val="00823133"/>
    <w:rsid w:val="008234D5"/>
    <w:rsid w:val="0082361E"/>
    <w:rsid w:val="008240E6"/>
    <w:rsid w:val="008249AE"/>
    <w:rsid w:val="00824AA5"/>
    <w:rsid w:val="00825BFA"/>
    <w:rsid w:val="0082653A"/>
    <w:rsid w:val="008269B1"/>
    <w:rsid w:val="008276F2"/>
    <w:rsid w:val="0082789D"/>
    <w:rsid w:val="008278B4"/>
    <w:rsid w:val="00827D44"/>
    <w:rsid w:val="00827DEB"/>
    <w:rsid w:val="00827DED"/>
    <w:rsid w:val="00830127"/>
    <w:rsid w:val="008301F2"/>
    <w:rsid w:val="00830B9F"/>
    <w:rsid w:val="00830BC7"/>
    <w:rsid w:val="00830BE6"/>
    <w:rsid w:val="00830FAC"/>
    <w:rsid w:val="008316B7"/>
    <w:rsid w:val="0083174D"/>
    <w:rsid w:val="00831836"/>
    <w:rsid w:val="00831CCC"/>
    <w:rsid w:val="0083241C"/>
    <w:rsid w:val="00832B9A"/>
    <w:rsid w:val="008331E6"/>
    <w:rsid w:val="0083393D"/>
    <w:rsid w:val="008339D4"/>
    <w:rsid w:val="00834125"/>
    <w:rsid w:val="00834D6D"/>
    <w:rsid w:val="00835A99"/>
    <w:rsid w:val="00835F2C"/>
    <w:rsid w:val="00836046"/>
    <w:rsid w:val="008368B5"/>
    <w:rsid w:val="008371B5"/>
    <w:rsid w:val="00837411"/>
    <w:rsid w:val="008375D5"/>
    <w:rsid w:val="008379E8"/>
    <w:rsid w:val="00837FD3"/>
    <w:rsid w:val="00840916"/>
    <w:rsid w:val="00841458"/>
    <w:rsid w:val="008418F5"/>
    <w:rsid w:val="00841924"/>
    <w:rsid w:val="00841D3B"/>
    <w:rsid w:val="008424C1"/>
    <w:rsid w:val="0084294E"/>
    <w:rsid w:val="00842964"/>
    <w:rsid w:val="00843029"/>
    <w:rsid w:val="00843649"/>
    <w:rsid w:val="008436B4"/>
    <w:rsid w:val="00844D02"/>
    <w:rsid w:val="00844FC5"/>
    <w:rsid w:val="00845FF8"/>
    <w:rsid w:val="00846467"/>
    <w:rsid w:val="00846509"/>
    <w:rsid w:val="00846BF2"/>
    <w:rsid w:val="00847107"/>
    <w:rsid w:val="00847475"/>
    <w:rsid w:val="00847711"/>
    <w:rsid w:val="00850421"/>
    <w:rsid w:val="00850496"/>
    <w:rsid w:val="00850BA8"/>
    <w:rsid w:val="00850D4A"/>
    <w:rsid w:val="00850D4D"/>
    <w:rsid w:val="00851155"/>
    <w:rsid w:val="00852539"/>
    <w:rsid w:val="0085332D"/>
    <w:rsid w:val="00853954"/>
    <w:rsid w:val="00853D56"/>
    <w:rsid w:val="00853F87"/>
    <w:rsid w:val="008547EB"/>
    <w:rsid w:val="00854A33"/>
    <w:rsid w:val="008552CD"/>
    <w:rsid w:val="00855B36"/>
    <w:rsid w:val="00855D3C"/>
    <w:rsid w:val="0085606E"/>
    <w:rsid w:val="0085609E"/>
    <w:rsid w:val="00856259"/>
    <w:rsid w:val="0085666C"/>
    <w:rsid w:val="0085733D"/>
    <w:rsid w:val="008574AD"/>
    <w:rsid w:val="00857A42"/>
    <w:rsid w:val="00860FF9"/>
    <w:rsid w:val="00861CE0"/>
    <w:rsid w:val="008623C1"/>
    <w:rsid w:val="00862E33"/>
    <w:rsid w:val="00862ECD"/>
    <w:rsid w:val="00863175"/>
    <w:rsid w:val="008632E9"/>
    <w:rsid w:val="0086332A"/>
    <w:rsid w:val="0086393A"/>
    <w:rsid w:val="00863EDC"/>
    <w:rsid w:val="00864106"/>
    <w:rsid w:val="00864314"/>
    <w:rsid w:val="00864622"/>
    <w:rsid w:val="0086464F"/>
    <w:rsid w:val="00864AF0"/>
    <w:rsid w:val="00864CB0"/>
    <w:rsid w:val="00865157"/>
    <w:rsid w:val="0086570B"/>
    <w:rsid w:val="0086584A"/>
    <w:rsid w:val="00865A02"/>
    <w:rsid w:val="00866211"/>
    <w:rsid w:val="00866EBD"/>
    <w:rsid w:val="00866F4D"/>
    <w:rsid w:val="008670DC"/>
    <w:rsid w:val="008671FE"/>
    <w:rsid w:val="008700CB"/>
    <w:rsid w:val="00870124"/>
    <w:rsid w:val="00870526"/>
    <w:rsid w:val="008708E1"/>
    <w:rsid w:val="008713E8"/>
    <w:rsid w:val="00871B26"/>
    <w:rsid w:val="008733E4"/>
    <w:rsid w:val="008748B0"/>
    <w:rsid w:val="008756D8"/>
    <w:rsid w:val="008759A1"/>
    <w:rsid w:val="00875B12"/>
    <w:rsid w:val="00881806"/>
    <w:rsid w:val="00882DD0"/>
    <w:rsid w:val="00883358"/>
    <w:rsid w:val="00883BDC"/>
    <w:rsid w:val="008843A5"/>
    <w:rsid w:val="00884483"/>
    <w:rsid w:val="0088452E"/>
    <w:rsid w:val="00884818"/>
    <w:rsid w:val="00884994"/>
    <w:rsid w:val="008855B4"/>
    <w:rsid w:val="00885885"/>
    <w:rsid w:val="0088626F"/>
    <w:rsid w:val="008863AD"/>
    <w:rsid w:val="00886D8D"/>
    <w:rsid w:val="00887235"/>
    <w:rsid w:val="0088729C"/>
    <w:rsid w:val="008874FE"/>
    <w:rsid w:val="008877A2"/>
    <w:rsid w:val="00887844"/>
    <w:rsid w:val="00887860"/>
    <w:rsid w:val="00887889"/>
    <w:rsid w:val="00890AAD"/>
    <w:rsid w:val="008914FE"/>
    <w:rsid w:val="008919D7"/>
    <w:rsid w:val="00891C92"/>
    <w:rsid w:val="00891DDB"/>
    <w:rsid w:val="00892192"/>
    <w:rsid w:val="008924DB"/>
    <w:rsid w:val="0089399E"/>
    <w:rsid w:val="0089443C"/>
    <w:rsid w:val="0089444F"/>
    <w:rsid w:val="00894BE2"/>
    <w:rsid w:val="00894D53"/>
    <w:rsid w:val="0089504B"/>
    <w:rsid w:val="00895D17"/>
    <w:rsid w:val="008960D0"/>
    <w:rsid w:val="00896707"/>
    <w:rsid w:val="0089682C"/>
    <w:rsid w:val="008970F2"/>
    <w:rsid w:val="00897735"/>
    <w:rsid w:val="008A02B5"/>
    <w:rsid w:val="008A07E2"/>
    <w:rsid w:val="008A1B06"/>
    <w:rsid w:val="008A1C80"/>
    <w:rsid w:val="008A1DE6"/>
    <w:rsid w:val="008A1E54"/>
    <w:rsid w:val="008A206D"/>
    <w:rsid w:val="008A20E2"/>
    <w:rsid w:val="008A2748"/>
    <w:rsid w:val="008A284B"/>
    <w:rsid w:val="008A2904"/>
    <w:rsid w:val="008A2AB6"/>
    <w:rsid w:val="008A36FA"/>
    <w:rsid w:val="008A3C9A"/>
    <w:rsid w:val="008A3E43"/>
    <w:rsid w:val="008A48B0"/>
    <w:rsid w:val="008A4AB9"/>
    <w:rsid w:val="008A4AE0"/>
    <w:rsid w:val="008A4D8D"/>
    <w:rsid w:val="008A5049"/>
    <w:rsid w:val="008A5E5E"/>
    <w:rsid w:val="008A5E69"/>
    <w:rsid w:val="008A63DF"/>
    <w:rsid w:val="008A6B25"/>
    <w:rsid w:val="008A6E1B"/>
    <w:rsid w:val="008A73D8"/>
    <w:rsid w:val="008A7B6A"/>
    <w:rsid w:val="008A7D44"/>
    <w:rsid w:val="008A7FD7"/>
    <w:rsid w:val="008B0070"/>
    <w:rsid w:val="008B02E6"/>
    <w:rsid w:val="008B11CA"/>
    <w:rsid w:val="008B123C"/>
    <w:rsid w:val="008B1623"/>
    <w:rsid w:val="008B3001"/>
    <w:rsid w:val="008B34A3"/>
    <w:rsid w:val="008B3E80"/>
    <w:rsid w:val="008B5223"/>
    <w:rsid w:val="008B5BC8"/>
    <w:rsid w:val="008B5DC1"/>
    <w:rsid w:val="008B5FA8"/>
    <w:rsid w:val="008B7AB0"/>
    <w:rsid w:val="008C0B6A"/>
    <w:rsid w:val="008C0E0E"/>
    <w:rsid w:val="008C1929"/>
    <w:rsid w:val="008C1D9A"/>
    <w:rsid w:val="008C219C"/>
    <w:rsid w:val="008C2D35"/>
    <w:rsid w:val="008C3672"/>
    <w:rsid w:val="008C3A81"/>
    <w:rsid w:val="008C40E4"/>
    <w:rsid w:val="008C4120"/>
    <w:rsid w:val="008C439F"/>
    <w:rsid w:val="008C521D"/>
    <w:rsid w:val="008C5A06"/>
    <w:rsid w:val="008C5E37"/>
    <w:rsid w:val="008C6217"/>
    <w:rsid w:val="008C65FE"/>
    <w:rsid w:val="008C6C21"/>
    <w:rsid w:val="008C6E35"/>
    <w:rsid w:val="008C70F9"/>
    <w:rsid w:val="008C7B05"/>
    <w:rsid w:val="008C7DBB"/>
    <w:rsid w:val="008C7E14"/>
    <w:rsid w:val="008D032D"/>
    <w:rsid w:val="008D08FF"/>
    <w:rsid w:val="008D0AA7"/>
    <w:rsid w:val="008D0D8A"/>
    <w:rsid w:val="008D1961"/>
    <w:rsid w:val="008D1E88"/>
    <w:rsid w:val="008D2AFA"/>
    <w:rsid w:val="008D3001"/>
    <w:rsid w:val="008D3029"/>
    <w:rsid w:val="008D31C3"/>
    <w:rsid w:val="008D3BDB"/>
    <w:rsid w:val="008D4026"/>
    <w:rsid w:val="008D4DFD"/>
    <w:rsid w:val="008D516A"/>
    <w:rsid w:val="008D5877"/>
    <w:rsid w:val="008D5A81"/>
    <w:rsid w:val="008D5CD4"/>
    <w:rsid w:val="008D5D43"/>
    <w:rsid w:val="008D637A"/>
    <w:rsid w:val="008D66C1"/>
    <w:rsid w:val="008D678E"/>
    <w:rsid w:val="008D7056"/>
    <w:rsid w:val="008D719A"/>
    <w:rsid w:val="008D7B4C"/>
    <w:rsid w:val="008D7F75"/>
    <w:rsid w:val="008E04AC"/>
    <w:rsid w:val="008E04B2"/>
    <w:rsid w:val="008E1007"/>
    <w:rsid w:val="008E18DD"/>
    <w:rsid w:val="008E1AD5"/>
    <w:rsid w:val="008E21B8"/>
    <w:rsid w:val="008E22E7"/>
    <w:rsid w:val="008E2D1C"/>
    <w:rsid w:val="008E3587"/>
    <w:rsid w:val="008E3F7D"/>
    <w:rsid w:val="008E423F"/>
    <w:rsid w:val="008E4440"/>
    <w:rsid w:val="008E46E3"/>
    <w:rsid w:val="008E4D44"/>
    <w:rsid w:val="008E4F65"/>
    <w:rsid w:val="008E51E5"/>
    <w:rsid w:val="008E6240"/>
    <w:rsid w:val="008E62FB"/>
    <w:rsid w:val="008E6341"/>
    <w:rsid w:val="008E6550"/>
    <w:rsid w:val="008E65EC"/>
    <w:rsid w:val="008E6817"/>
    <w:rsid w:val="008E6CBA"/>
    <w:rsid w:val="008E6D6F"/>
    <w:rsid w:val="008E6F47"/>
    <w:rsid w:val="008E718A"/>
    <w:rsid w:val="008E7560"/>
    <w:rsid w:val="008E75B3"/>
    <w:rsid w:val="008F0111"/>
    <w:rsid w:val="008F041B"/>
    <w:rsid w:val="008F0499"/>
    <w:rsid w:val="008F0ECE"/>
    <w:rsid w:val="008F1173"/>
    <w:rsid w:val="008F1407"/>
    <w:rsid w:val="008F1F09"/>
    <w:rsid w:val="008F2846"/>
    <w:rsid w:val="008F2B4F"/>
    <w:rsid w:val="008F2CD6"/>
    <w:rsid w:val="008F3B49"/>
    <w:rsid w:val="008F3B73"/>
    <w:rsid w:val="008F3C78"/>
    <w:rsid w:val="008F4136"/>
    <w:rsid w:val="008F4137"/>
    <w:rsid w:val="008F455D"/>
    <w:rsid w:val="008F50BE"/>
    <w:rsid w:val="008F5540"/>
    <w:rsid w:val="008F5766"/>
    <w:rsid w:val="008F5996"/>
    <w:rsid w:val="008F5A62"/>
    <w:rsid w:val="008F5B7C"/>
    <w:rsid w:val="008F5C10"/>
    <w:rsid w:val="008F5F54"/>
    <w:rsid w:val="008F63AA"/>
    <w:rsid w:val="008F64C8"/>
    <w:rsid w:val="008F69A0"/>
    <w:rsid w:val="008F70A4"/>
    <w:rsid w:val="008F767E"/>
    <w:rsid w:val="008F7908"/>
    <w:rsid w:val="008F7CCE"/>
    <w:rsid w:val="008F7D59"/>
    <w:rsid w:val="00902889"/>
    <w:rsid w:val="00902F9D"/>
    <w:rsid w:val="009030E8"/>
    <w:rsid w:val="00903158"/>
    <w:rsid w:val="00903FDE"/>
    <w:rsid w:val="009041CE"/>
    <w:rsid w:val="009042CA"/>
    <w:rsid w:val="009048DC"/>
    <w:rsid w:val="009049D8"/>
    <w:rsid w:val="00904D22"/>
    <w:rsid w:val="00904D64"/>
    <w:rsid w:val="00905738"/>
    <w:rsid w:val="0090593E"/>
    <w:rsid w:val="00905B4E"/>
    <w:rsid w:val="00905BE4"/>
    <w:rsid w:val="00905E13"/>
    <w:rsid w:val="00905F6D"/>
    <w:rsid w:val="0090606C"/>
    <w:rsid w:val="00906786"/>
    <w:rsid w:val="009069EF"/>
    <w:rsid w:val="00907335"/>
    <w:rsid w:val="009076F6"/>
    <w:rsid w:val="00907B08"/>
    <w:rsid w:val="0091044B"/>
    <w:rsid w:val="00910634"/>
    <w:rsid w:val="009109A2"/>
    <w:rsid w:val="0091145A"/>
    <w:rsid w:val="00911B12"/>
    <w:rsid w:val="00911B28"/>
    <w:rsid w:val="009120C2"/>
    <w:rsid w:val="0091220F"/>
    <w:rsid w:val="00912AEC"/>
    <w:rsid w:val="00912BD3"/>
    <w:rsid w:val="0091308B"/>
    <w:rsid w:val="009133B7"/>
    <w:rsid w:val="00913857"/>
    <w:rsid w:val="00913EFD"/>
    <w:rsid w:val="009149CF"/>
    <w:rsid w:val="00914C20"/>
    <w:rsid w:val="009153FA"/>
    <w:rsid w:val="00915572"/>
    <w:rsid w:val="009157B8"/>
    <w:rsid w:val="00915A25"/>
    <w:rsid w:val="00915CCE"/>
    <w:rsid w:val="00916078"/>
    <w:rsid w:val="0091624A"/>
    <w:rsid w:val="00916406"/>
    <w:rsid w:val="00917A53"/>
    <w:rsid w:val="00920374"/>
    <w:rsid w:val="00920A92"/>
    <w:rsid w:val="00921558"/>
    <w:rsid w:val="00921C22"/>
    <w:rsid w:val="00922084"/>
    <w:rsid w:val="00923D38"/>
    <w:rsid w:val="00924BA0"/>
    <w:rsid w:val="00924C79"/>
    <w:rsid w:val="009250D6"/>
    <w:rsid w:val="0092545A"/>
    <w:rsid w:val="0092550F"/>
    <w:rsid w:val="00925935"/>
    <w:rsid w:val="00925AAC"/>
    <w:rsid w:val="00925ACC"/>
    <w:rsid w:val="00925CB9"/>
    <w:rsid w:val="009267B9"/>
    <w:rsid w:val="00926A2A"/>
    <w:rsid w:val="00926BA9"/>
    <w:rsid w:val="00926D59"/>
    <w:rsid w:val="0092705C"/>
    <w:rsid w:val="0093074F"/>
    <w:rsid w:val="009309DD"/>
    <w:rsid w:val="00930B7E"/>
    <w:rsid w:val="009310EF"/>
    <w:rsid w:val="009318CD"/>
    <w:rsid w:val="0093289B"/>
    <w:rsid w:val="00932EAA"/>
    <w:rsid w:val="00933062"/>
    <w:rsid w:val="00933A6E"/>
    <w:rsid w:val="00933EEE"/>
    <w:rsid w:val="00934513"/>
    <w:rsid w:val="00934790"/>
    <w:rsid w:val="0093491A"/>
    <w:rsid w:val="0093497B"/>
    <w:rsid w:val="009351AE"/>
    <w:rsid w:val="009351DF"/>
    <w:rsid w:val="00935DA0"/>
    <w:rsid w:val="009365CA"/>
    <w:rsid w:val="009368FB"/>
    <w:rsid w:val="009371D6"/>
    <w:rsid w:val="00941A0D"/>
    <w:rsid w:val="00941AC7"/>
    <w:rsid w:val="00941CA7"/>
    <w:rsid w:val="00941CCA"/>
    <w:rsid w:val="00942A5F"/>
    <w:rsid w:val="00942ADE"/>
    <w:rsid w:val="00942E85"/>
    <w:rsid w:val="00942E8F"/>
    <w:rsid w:val="00943B6E"/>
    <w:rsid w:val="00943F7B"/>
    <w:rsid w:val="00944368"/>
    <w:rsid w:val="009449D5"/>
    <w:rsid w:val="00944D28"/>
    <w:rsid w:val="00944D4F"/>
    <w:rsid w:val="0094589D"/>
    <w:rsid w:val="00945E9B"/>
    <w:rsid w:val="00945F4E"/>
    <w:rsid w:val="009466E5"/>
    <w:rsid w:val="00946AAE"/>
    <w:rsid w:val="00946C71"/>
    <w:rsid w:val="00946E0D"/>
    <w:rsid w:val="00947331"/>
    <w:rsid w:val="009476EB"/>
    <w:rsid w:val="00947F7E"/>
    <w:rsid w:val="00950B89"/>
    <w:rsid w:val="00950EDE"/>
    <w:rsid w:val="00951069"/>
    <w:rsid w:val="0095147A"/>
    <w:rsid w:val="00951C7A"/>
    <w:rsid w:val="00951D8E"/>
    <w:rsid w:val="00951FEE"/>
    <w:rsid w:val="0095213A"/>
    <w:rsid w:val="009523F1"/>
    <w:rsid w:val="00952EBA"/>
    <w:rsid w:val="009530B6"/>
    <w:rsid w:val="009537CD"/>
    <w:rsid w:val="00954A96"/>
    <w:rsid w:val="00954D7D"/>
    <w:rsid w:val="009561D5"/>
    <w:rsid w:val="0095643C"/>
    <w:rsid w:val="009564AA"/>
    <w:rsid w:val="009579CC"/>
    <w:rsid w:val="00957ABD"/>
    <w:rsid w:val="00957BBB"/>
    <w:rsid w:val="00957C87"/>
    <w:rsid w:val="0096044D"/>
    <w:rsid w:val="00960539"/>
    <w:rsid w:val="00960E3A"/>
    <w:rsid w:val="009623BB"/>
    <w:rsid w:val="009623D7"/>
    <w:rsid w:val="0096263C"/>
    <w:rsid w:val="0096290C"/>
    <w:rsid w:val="00962A5E"/>
    <w:rsid w:val="00962E70"/>
    <w:rsid w:val="009637B2"/>
    <w:rsid w:val="00963B02"/>
    <w:rsid w:val="00964A50"/>
    <w:rsid w:val="00964A9E"/>
    <w:rsid w:val="009654AD"/>
    <w:rsid w:val="00965978"/>
    <w:rsid w:val="009664EC"/>
    <w:rsid w:val="0096705C"/>
    <w:rsid w:val="009677B8"/>
    <w:rsid w:val="0096796E"/>
    <w:rsid w:val="009679E4"/>
    <w:rsid w:val="009700D8"/>
    <w:rsid w:val="00970352"/>
    <w:rsid w:val="00970CC2"/>
    <w:rsid w:val="009710B1"/>
    <w:rsid w:val="00971EA4"/>
    <w:rsid w:val="009736AE"/>
    <w:rsid w:val="009741BF"/>
    <w:rsid w:val="0097462B"/>
    <w:rsid w:val="009747E1"/>
    <w:rsid w:val="0097496A"/>
    <w:rsid w:val="00974B4B"/>
    <w:rsid w:val="009756EE"/>
    <w:rsid w:val="00975E1C"/>
    <w:rsid w:val="00975EB1"/>
    <w:rsid w:val="0097662E"/>
    <w:rsid w:val="00976A8A"/>
    <w:rsid w:val="00976AA7"/>
    <w:rsid w:val="00977431"/>
    <w:rsid w:val="00977916"/>
    <w:rsid w:val="00977F40"/>
    <w:rsid w:val="0098035C"/>
    <w:rsid w:val="009808A4"/>
    <w:rsid w:val="00980E80"/>
    <w:rsid w:val="00981942"/>
    <w:rsid w:val="0098201D"/>
    <w:rsid w:val="00982490"/>
    <w:rsid w:val="009824DF"/>
    <w:rsid w:val="0098392B"/>
    <w:rsid w:val="00983BC8"/>
    <w:rsid w:val="00983FA5"/>
    <w:rsid w:val="0098423B"/>
    <w:rsid w:val="00984C82"/>
    <w:rsid w:val="00984F08"/>
    <w:rsid w:val="00984F5D"/>
    <w:rsid w:val="009855B1"/>
    <w:rsid w:val="00985856"/>
    <w:rsid w:val="00985CE1"/>
    <w:rsid w:val="00986322"/>
    <w:rsid w:val="0098795D"/>
    <w:rsid w:val="009900F7"/>
    <w:rsid w:val="0099024A"/>
    <w:rsid w:val="00990DA3"/>
    <w:rsid w:val="00991444"/>
    <w:rsid w:val="0099146D"/>
    <w:rsid w:val="00991787"/>
    <w:rsid w:val="009917D1"/>
    <w:rsid w:val="00991C1D"/>
    <w:rsid w:val="00992780"/>
    <w:rsid w:val="00992A82"/>
    <w:rsid w:val="00992E5C"/>
    <w:rsid w:val="00992EE8"/>
    <w:rsid w:val="009935FD"/>
    <w:rsid w:val="00994399"/>
    <w:rsid w:val="0099476E"/>
    <w:rsid w:val="00994E03"/>
    <w:rsid w:val="009955D7"/>
    <w:rsid w:val="009956E8"/>
    <w:rsid w:val="00995856"/>
    <w:rsid w:val="009958F6"/>
    <w:rsid w:val="00995955"/>
    <w:rsid w:val="00996351"/>
    <w:rsid w:val="00996A2D"/>
    <w:rsid w:val="00996B05"/>
    <w:rsid w:val="009972B0"/>
    <w:rsid w:val="00997F14"/>
    <w:rsid w:val="009A00B4"/>
    <w:rsid w:val="009A027C"/>
    <w:rsid w:val="009A04E1"/>
    <w:rsid w:val="009A0CF3"/>
    <w:rsid w:val="009A1DF0"/>
    <w:rsid w:val="009A1E5E"/>
    <w:rsid w:val="009A29F2"/>
    <w:rsid w:val="009A2CD8"/>
    <w:rsid w:val="009A3993"/>
    <w:rsid w:val="009A3BDC"/>
    <w:rsid w:val="009A4BBD"/>
    <w:rsid w:val="009A4E48"/>
    <w:rsid w:val="009A579C"/>
    <w:rsid w:val="009A5BFD"/>
    <w:rsid w:val="009A5FC1"/>
    <w:rsid w:val="009A608B"/>
    <w:rsid w:val="009A6345"/>
    <w:rsid w:val="009A77F6"/>
    <w:rsid w:val="009A7E82"/>
    <w:rsid w:val="009B0014"/>
    <w:rsid w:val="009B01CF"/>
    <w:rsid w:val="009B0598"/>
    <w:rsid w:val="009B05B5"/>
    <w:rsid w:val="009B0785"/>
    <w:rsid w:val="009B0A8D"/>
    <w:rsid w:val="009B182C"/>
    <w:rsid w:val="009B1987"/>
    <w:rsid w:val="009B1D41"/>
    <w:rsid w:val="009B1D90"/>
    <w:rsid w:val="009B1EAD"/>
    <w:rsid w:val="009B1F3D"/>
    <w:rsid w:val="009B245B"/>
    <w:rsid w:val="009B26CB"/>
    <w:rsid w:val="009B29C6"/>
    <w:rsid w:val="009B2E44"/>
    <w:rsid w:val="009B31DE"/>
    <w:rsid w:val="009B3565"/>
    <w:rsid w:val="009B3DEB"/>
    <w:rsid w:val="009B4274"/>
    <w:rsid w:val="009B46E0"/>
    <w:rsid w:val="009B4717"/>
    <w:rsid w:val="009B4747"/>
    <w:rsid w:val="009B4B78"/>
    <w:rsid w:val="009B4BA3"/>
    <w:rsid w:val="009B55B9"/>
    <w:rsid w:val="009B5A26"/>
    <w:rsid w:val="009B6036"/>
    <w:rsid w:val="009B61CB"/>
    <w:rsid w:val="009B627D"/>
    <w:rsid w:val="009B6552"/>
    <w:rsid w:val="009B675B"/>
    <w:rsid w:val="009B6EFB"/>
    <w:rsid w:val="009B7031"/>
    <w:rsid w:val="009B7526"/>
    <w:rsid w:val="009B764F"/>
    <w:rsid w:val="009C0525"/>
    <w:rsid w:val="009C0564"/>
    <w:rsid w:val="009C1281"/>
    <w:rsid w:val="009C16E4"/>
    <w:rsid w:val="009C178A"/>
    <w:rsid w:val="009C1853"/>
    <w:rsid w:val="009C29FD"/>
    <w:rsid w:val="009C305C"/>
    <w:rsid w:val="009C32B7"/>
    <w:rsid w:val="009C37AC"/>
    <w:rsid w:val="009C41C4"/>
    <w:rsid w:val="009C4C9C"/>
    <w:rsid w:val="009C5081"/>
    <w:rsid w:val="009C5C87"/>
    <w:rsid w:val="009C6FD8"/>
    <w:rsid w:val="009C7D5A"/>
    <w:rsid w:val="009C7DB3"/>
    <w:rsid w:val="009D07ED"/>
    <w:rsid w:val="009D0CB5"/>
    <w:rsid w:val="009D0D2C"/>
    <w:rsid w:val="009D0E0D"/>
    <w:rsid w:val="009D0F6B"/>
    <w:rsid w:val="009D0FFA"/>
    <w:rsid w:val="009D10A1"/>
    <w:rsid w:val="009D1AFF"/>
    <w:rsid w:val="009D1B64"/>
    <w:rsid w:val="009D1B81"/>
    <w:rsid w:val="009D20BE"/>
    <w:rsid w:val="009D26CA"/>
    <w:rsid w:val="009D27A3"/>
    <w:rsid w:val="009D3262"/>
    <w:rsid w:val="009D3D23"/>
    <w:rsid w:val="009D3E86"/>
    <w:rsid w:val="009D3F88"/>
    <w:rsid w:val="009D40AF"/>
    <w:rsid w:val="009D4471"/>
    <w:rsid w:val="009D546C"/>
    <w:rsid w:val="009D5D37"/>
    <w:rsid w:val="009D5E43"/>
    <w:rsid w:val="009D6251"/>
    <w:rsid w:val="009D63EF"/>
    <w:rsid w:val="009D657E"/>
    <w:rsid w:val="009D6689"/>
    <w:rsid w:val="009D6B66"/>
    <w:rsid w:val="009D6DE2"/>
    <w:rsid w:val="009D7016"/>
    <w:rsid w:val="009D73C6"/>
    <w:rsid w:val="009D77E5"/>
    <w:rsid w:val="009D7B93"/>
    <w:rsid w:val="009D7DA3"/>
    <w:rsid w:val="009E0216"/>
    <w:rsid w:val="009E09E1"/>
    <w:rsid w:val="009E0D93"/>
    <w:rsid w:val="009E132F"/>
    <w:rsid w:val="009E17BE"/>
    <w:rsid w:val="009E17F4"/>
    <w:rsid w:val="009E1825"/>
    <w:rsid w:val="009E2621"/>
    <w:rsid w:val="009E28D3"/>
    <w:rsid w:val="009E37AC"/>
    <w:rsid w:val="009E3B24"/>
    <w:rsid w:val="009E3BAE"/>
    <w:rsid w:val="009E3D89"/>
    <w:rsid w:val="009E3F30"/>
    <w:rsid w:val="009E46B9"/>
    <w:rsid w:val="009E584A"/>
    <w:rsid w:val="009E58F7"/>
    <w:rsid w:val="009E5C3D"/>
    <w:rsid w:val="009E6D08"/>
    <w:rsid w:val="009E74FF"/>
    <w:rsid w:val="009E77D8"/>
    <w:rsid w:val="009E7E34"/>
    <w:rsid w:val="009F005A"/>
    <w:rsid w:val="009F0607"/>
    <w:rsid w:val="009F0735"/>
    <w:rsid w:val="009F09C9"/>
    <w:rsid w:val="009F0E80"/>
    <w:rsid w:val="009F130B"/>
    <w:rsid w:val="009F1A7E"/>
    <w:rsid w:val="009F2456"/>
    <w:rsid w:val="009F2A05"/>
    <w:rsid w:val="009F32F5"/>
    <w:rsid w:val="009F38AA"/>
    <w:rsid w:val="009F3ECA"/>
    <w:rsid w:val="009F4D35"/>
    <w:rsid w:val="009F4DC3"/>
    <w:rsid w:val="009F53B7"/>
    <w:rsid w:val="009F5A18"/>
    <w:rsid w:val="009F5BD1"/>
    <w:rsid w:val="009F6094"/>
    <w:rsid w:val="009F644F"/>
    <w:rsid w:val="009F6E29"/>
    <w:rsid w:val="009F7257"/>
    <w:rsid w:val="009F739B"/>
    <w:rsid w:val="009F7784"/>
    <w:rsid w:val="009F7B90"/>
    <w:rsid w:val="009F7BEE"/>
    <w:rsid w:val="00A00AB2"/>
    <w:rsid w:val="00A00B49"/>
    <w:rsid w:val="00A0114A"/>
    <w:rsid w:val="00A018FD"/>
    <w:rsid w:val="00A01E45"/>
    <w:rsid w:val="00A02167"/>
    <w:rsid w:val="00A03199"/>
    <w:rsid w:val="00A03767"/>
    <w:rsid w:val="00A03AE2"/>
    <w:rsid w:val="00A03BB5"/>
    <w:rsid w:val="00A0443A"/>
    <w:rsid w:val="00A05448"/>
    <w:rsid w:val="00A05BBF"/>
    <w:rsid w:val="00A05E66"/>
    <w:rsid w:val="00A06E05"/>
    <w:rsid w:val="00A07032"/>
    <w:rsid w:val="00A075AB"/>
    <w:rsid w:val="00A0796A"/>
    <w:rsid w:val="00A07EDD"/>
    <w:rsid w:val="00A101C4"/>
    <w:rsid w:val="00A10427"/>
    <w:rsid w:val="00A1077B"/>
    <w:rsid w:val="00A108AB"/>
    <w:rsid w:val="00A114FC"/>
    <w:rsid w:val="00A1161F"/>
    <w:rsid w:val="00A11889"/>
    <w:rsid w:val="00A12020"/>
    <w:rsid w:val="00A122A1"/>
    <w:rsid w:val="00A131EF"/>
    <w:rsid w:val="00A13470"/>
    <w:rsid w:val="00A141EB"/>
    <w:rsid w:val="00A1451A"/>
    <w:rsid w:val="00A146BE"/>
    <w:rsid w:val="00A149E7"/>
    <w:rsid w:val="00A14CF9"/>
    <w:rsid w:val="00A15042"/>
    <w:rsid w:val="00A15CAB"/>
    <w:rsid w:val="00A1653F"/>
    <w:rsid w:val="00A1672C"/>
    <w:rsid w:val="00A1674E"/>
    <w:rsid w:val="00A16FF2"/>
    <w:rsid w:val="00A17642"/>
    <w:rsid w:val="00A200CD"/>
    <w:rsid w:val="00A20157"/>
    <w:rsid w:val="00A206C8"/>
    <w:rsid w:val="00A216D4"/>
    <w:rsid w:val="00A21886"/>
    <w:rsid w:val="00A21FA0"/>
    <w:rsid w:val="00A22535"/>
    <w:rsid w:val="00A22801"/>
    <w:rsid w:val="00A22F8E"/>
    <w:rsid w:val="00A23264"/>
    <w:rsid w:val="00A23591"/>
    <w:rsid w:val="00A23865"/>
    <w:rsid w:val="00A23B8F"/>
    <w:rsid w:val="00A23E12"/>
    <w:rsid w:val="00A23E3C"/>
    <w:rsid w:val="00A23F6C"/>
    <w:rsid w:val="00A241F3"/>
    <w:rsid w:val="00A24797"/>
    <w:rsid w:val="00A24BC5"/>
    <w:rsid w:val="00A25982"/>
    <w:rsid w:val="00A262E0"/>
    <w:rsid w:val="00A265E8"/>
    <w:rsid w:val="00A267E9"/>
    <w:rsid w:val="00A268B9"/>
    <w:rsid w:val="00A26F78"/>
    <w:rsid w:val="00A26FBD"/>
    <w:rsid w:val="00A272F7"/>
    <w:rsid w:val="00A305CA"/>
    <w:rsid w:val="00A30D7A"/>
    <w:rsid w:val="00A3148D"/>
    <w:rsid w:val="00A31B5B"/>
    <w:rsid w:val="00A31B81"/>
    <w:rsid w:val="00A32211"/>
    <w:rsid w:val="00A325FE"/>
    <w:rsid w:val="00A32F3E"/>
    <w:rsid w:val="00A3356F"/>
    <w:rsid w:val="00A34543"/>
    <w:rsid w:val="00A34586"/>
    <w:rsid w:val="00A34E32"/>
    <w:rsid w:val="00A354C3"/>
    <w:rsid w:val="00A35515"/>
    <w:rsid w:val="00A355D4"/>
    <w:rsid w:val="00A35671"/>
    <w:rsid w:val="00A35F93"/>
    <w:rsid w:val="00A3619D"/>
    <w:rsid w:val="00A3667C"/>
    <w:rsid w:val="00A36735"/>
    <w:rsid w:val="00A369C9"/>
    <w:rsid w:val="00A36FAB"/>
    <w:rsid w:val="00A375FB"/>
    <w:rsid w:val="00A37726"/>
    <w:rsid w:val="00A37779"/>
    <w:rsid w:val="00A37EAD"/>
    <w:rsid w:val="00A4030A"/>
    <w:rsid w:val="00A40497"/>
    <w:rsid w:val="00A405C0"/>
    <w:rsid w:val="00A4174F"/>
    <w:rsid w:val="00A42195"/>
    <w:rsid w:val="00A43A10"/>
    <w:rsid w:val="00A43B0F"/>
    <w:rsid w:val="00A43D26"/>
    <w:rsid w:val="00A44077"/>
    <w:rsid w:val="00A441CB"/>
    <w:rsid w:val="00A44333"/>
    <w:rsid w:val="00A44416"/>
    <w:rsid w:val="00A44560"/>
    <w:rsid w:val="00A44937"/>
    <w:rsid w:val="00A44A29"/>
    <w:rsid w:val="00A44B08"/>
    <w:rsid w:val="00A4517E"/>
    <w:rsid w:val="00A452E5"/>
    <w:rsid w:val="00A4560F"/>
    <w:rsid w:val="00A45687"/>
    <w:rsid w:val="00A45D69"/>
    <w:rsid w:val="00A50337"/>
    <w:rsid w:val="00A503F5"/>
    <w:rsid w:val="00A517FF"/>
    <w:rsid w:val="00A51851"/>
    <w:rsid w:val="00A51E0C"/>
    <w:rsid w:val="00A52350"/>
    <w:rsid w:val="00A523D3"/>
    <w:rsid w:val="00A52515"/>
    <w:rsid w:val="00A532CF"/>
    <w:rsid w:val="00A53684"/>
    <w:rsid w:val="00A539EF"/>
    <w:rsid w:val="00A540D7"/>
    <w:rsid w:val="00A54119"/>
    <w:rsid w:val="00A546E1"/>
    <w:rsid w:val="00A54F68"/>
    <w:rsid w:val="00A553A1"/>
    <w:rsid w:val="00A558DD"/>
    <w:rsid w:val="00A558FD"/>
    <w:rsid w:val="00A55FA7"/>
    <w:rsid w:val="00A56A7B"/>
    <w:rsid w:val="00A573DE"/>
    <w:rsid w:val="00A574C1"/>
    <w:rsid w:val="00A575EC"/>
    <w:rsid w:val="00A5778C"/>
    <w:rsid w:val="00A578FD"/>
    <w:rsid w:val="00A57CB5"/>
    <w:rsid w:val="00A6029C"/>
    <w:rsid w:val="00A614CE"/>
    <w:rsid w:val="00A618C1"/>
    <w:rsid w:val="00A61AED"/>
    <w:rsid w:val="00A61DD7"/>
    <w:rsid w:val="00A620C9"/>
    <w:rsid w:val="00A62161"/>
    <w:rsid w:val="00A6242B"/>
    <w:rsid w:val="00A630D0"/>
    <w:rsid w:val="00A63D1E"/>
    <w:rsid w:val="00A64520"/>
    <w:rsid w:val="00A64A11"/>
    <w:rsid w:val="00A64A29"/>
    <w:rsid w:val="00A65269"/>
    <w:rsid w:val="00A65414"/>
    <w:rsid w:val="00A664C4"/>
    <w:rsid w:val="00A66B64"/>
    <w:rsid w:val="00A66D16"/>
    <w:rsid w:val="00A66DD0"/>
    <w:rsid w:val="00A670BB"/>
    <w:rsid w:val="00A674F1"/>
    <w:rsid w:val="00A67876"/>
    <w:rsid w:val="00A67965"/>
    <w:rsid w:val="00A7091E"/>
    <w:rsid w:val="00A70DED"/>
    <w:rsid w:val="00A70E79"/>
    <w:rsid w:val="00A70EC9"/>
    <w:rsid w:val="00A71436"/>
    <w:rsid w:val="00A718EC"/>
    <w:rsid w:val="00A73EC2"/>
    <w:rsid w:val="00A73EFD"/>
    <w:rsid w:val="00A743E3"/>
    <w:rsid w:val="00A74576"/>
    <w:rsid w:val="00A745AD"/>
    <w:rsid w:val="00A74A5D"/>
    <w:rsid w:val="00A74B3A"/>
    <w:rsid w:val="00A74CBD"/>
    <w:rsid w:val="00A7599F"/>
    <w:rsid w:val="00A75FE4"/>
    <w:rsid w:val="00A767E8"/>
    <w:rsid w:val="00A769A0"/>
    <w:rsid w:val="00A775F4"/>
    <w:rsid w:val="00A778DA"/>
    <w:rsid w:val="00A77926"/>
    <w:rsid w:val="00A77993"/>
    <w:rsid w:val="00A805D8"/>
    <w:rsid w:val="00A8063E"/>
    <w:rsid w:val="00A808A4"/>
    <w:rsid w:val="00A80AB9"/>
    <w:rsid w:val="00A80B0D"/>
    <w:rsid w:val="00A814B4"/>
    <w:rsid w:val="00A814C7"/>
    <w:rsid w:val="00A81B64"/>
    <w:rsid w:val="00A81F2A"/>
    <w:rsid w:val="00A8208C"/>
    <w:rsid w:val="00A820B0"/>
    <w:rsid w:val="00A826A1"/>
    <w:rsid w:val="00A826D7"/>
    <w:rsid w:val="00A82C32"/>
    <w:rsid w:val="00A830E7"/>
    <w:rsid w:val="00A83A7D"/>
    <w:rsid w:val="00A84234"/>
    <w:rsid w:val="00A856E1"/>
    <w:rsid w:val="00A8587F"/>
    <w:rsid w:val="00A85CBE"/>
    <w:rsid w:val="00A86095"/>
    <w:rsid w:val="00A86460"/>
    <w:rsid w:val="00A86733"/>
    <w:rsid w:val="00A86D6C"/>
    <w:rsid w:val="00A87289"/>
    <w:rsid w:val="00A878E2"/>
    <w:rsid w:val="00A90466"/>
    <w:rsid w:val="00A90FFC"/>
    <w:rsid w:val="00A9132B"/>
    <w:rsid w:val="00A91386"/>
    <w:rsid w:val="00A91C2F"/>
    <w:rsid w:val="00A91D85"/>
    <w:rsid w:val="00A91EE3"/>
    <w:rsid w:val="00A92599"/>
    <w:rsid w:val="00A93524"/>
    <w:rsid w:val="00A93880"/>
    <w:rsid w:val="00A9397C"/>
    <w:rsid w:val="00A941E4"/>
    <w:rsid w:val="00A944AF"/>
    <w:rsid w:val="00A94546"/>
    <w:rsid w:val="00A94F2D"/>
    <w:rsid w:val="00A94FF0"/>
    <w:rsid w:val="00A95166"/>
    <w:rsid w:val="00A9554B"/>
    <w:rsid w:val="00A9593C"/>
    <w:rsid w:val="00A9594A"/>
    <w:rsid w:val="00A96BB8"/>
    <w:rsid w:val="00A97005"/>
    <w:rsid w:val="00A975AD"/>
    <w:rsid w:val="00A976CB"/>
    <w:rsid w:val="00A9798E"/>
    <w:rsid w:val="00AA07D9"/>
    <w:rsid w:val="00AA0C9B"/>
    <w:rsid w:val="00AA0F98"/>
    <w:rsid w:val="00AA14BB"/>
    <w:rsid w:val="00AA197E"/>
    <w:rsid w:val="00AA1E64"/>
    <w:rsid w:val="00AA27FA"/>
    <w:rsid w:val="00AA2A5B"/>
    <w:rsid w:val="00AA3270"/>
    <w:rsid w:val="00AA46F6"/>
    <w:rsid w:val="00AA4815"/>
    <w:rsid w:val="00AA4A52"/>
    <w:rsid w:val="00AA4DE1"/>
    <w:rsid w:val="00AA55EF"/>
    <w:rsid w:val="00AA6062"/>
    <w:rsid w:val="00AA614B"/>
    <w:rsid w:val="00AA6A44"/>
    <w:rsid w:val="00AA6EE4"/>
    <w:rsid w:val="00AA7046"/>
    <w:rsid w:val="00AA74C5"/>
    <w:rsid w:val="00AA78CB"/>
    <w:rsid w:val="00AA7983"/>
    <w:rsid w:val="00AA7CBF"/>
    <w:rsid w:val="00AB016D"/>
    <w:rsid w:val="00AB0686"/>
    <w:rsid w:val="00AB133D"/>
    <w:rsid w:val="00AB1738"/>
    <w:rsid w:val="00AB1BBD"/>
    <w:rsid w:val="00AB238F"/>
    <w:rsid w:val="00AB3196"/>
    <w:rsid w:val="00AB36C7"/>
    <w:rsid w:val="00AB41B5"/>
    <w:rsid w:val="00AB465C"/>
    <w:rsid w:val="00AB506E"/>
    <w:rsid w:val="00AB5135"/>
    <w:rsid w:val="00AB541C"/>
    <w:rsid w:val="00AB5A3D"/>
    <w:rsid w:val="00AB5C0D"/>
    <w:rsid w:val="00AB5CF3"/>
    <w:rsid w:val="00AB698B"/>
    <w:rsid w:val="00AB6BCD"/>
    <w:rsid w:val="00AB6D42"/>
    <w:rsid w:val="00AB6DCC"/>
    <w:rsid w:val="00AB6EB1"/>
    <w:rsid w:val="00AB720D"/>
    <w:rsid w:val="00AB73A7"/>
    <w:rsid w:val="00AB75E3"/>
    <w:rsid w:val="00AB7875"/>
    <w:rsid w:val="00AB7DCF"/>
    <w:rsid w:val="00AB7E4A"/>
    <w:rsid w:val="00AC13FD"/>
    <w:rsid w:val="00AC1AA0"/>
    <w:rsid w:val="00AC2504"/>
    <w:rsid w:val="00AC36B7"/>
    <w:rsid w:val="00AC395C"/>
    <w:rsid w:val="00AC3B4D"/>
    <w:rsid w:val="00AC40E5"/>
    <w:rsid w:val="00AC554E"/>
    <w:rsid w:val="00AC5B0A"/>
    <w:rsid w:val="00AC670B"/>
    <w:rsid w:val="00AC6AB0"/>
    <w:rsid w:val="00AC76D0"/>
    <w:rsid w:val="00AC7C08"/>
    <w:rsid w:val="00AD02BB"/>
    <w:rsid w:val="00AD046F"/>
    <w:rsid w:val="00AD0D96"/>
    <w:rsid w:val="00AD126E"/>
    <w:rsid w:val="00AD1882"/>
    <w:rsid w:val="00AD18A4"/>
    <w:rsid w:val="00AD1F99"/>
    <w:rsid w:val="00AD2523"/>
    <w:rsid w:val="00AD2878"/>
    <w:rsid w:val="00AD2DD1"/>
    <w:rsid w:val="00AD2E49"/>
    <w:rsid w:val="00AD3352"/>
    <w:rsid w:val="00AD3578"/>
    <w:rsid w:val="00AD37C0"/>
    <w:rsid w:val="00AD4A42"/>
    <w:rsid w:val="00AD4E16"/>
    <w:rsid w:val="00AD5117"/>
    <w:rsid w:val="00AD55E5"/>
    <w:rsid w:val="00AD5951"/>
    <w:rsid w:val="00AD5EC4"/>
    <w:rsid w:val="00AD6728"/>
    <w:rsid w:val="00AD699D"/>
    <w:rsid w:val="00AD69DF"/>
    <w:rsid w:val="00AD6B93"/>
    <w:rsid w:val="00AD7997"/>
    <w:rsid w:val="00AD7F4F"/>
    <w:rsid w:val="00AE0979"/>
    <w:rsid w:val="00AE11CB"/>
    <w:rsid w:val="00AE142A"/>
    <w:rsid w:val="00AE27BB"/>
    <w:rsid w:val="00AE2A9D"/>
    <w:rsid w:val="00AE2B01"/>
    <w:rsid w:val="00AE39D5"/>
    <w:rsid w:val="00AE48E4"/>
    <w:rsid w:val="00AE4A05"/>
    <w:rsid w:val="00AE61BE"/>
    <w:rsid w:val="00AE6F3A"/>
    <w:rsid w:val="00AE705D"/>
    <w:rsid w:val="00AE793A"/>
    <w:rsid w:val="00AE7BFD"/>
    <w:rsid w:val="00AF011B"/>
    <w:rsid w:val="00AF02E2"/>
    <w:rsid w:val="00AF0AA9"/>
    <w:rsid w:val="00AF0D30"/>
    <w:rsid w:val="00AF1944"/>
    <w:rsid w:val="00AF22FF"/>
    <w:rsid w:val="00AF2D1E"/>
    <w:rsid w:val="00AF315B"/>
    <w:rsid w:val="00AF3486"/>
    <w:rsid w:val="00AF34E9"/>
    <w:rsid w:val="00AF4387"/>
    <w:rsid w:val="00AF4EA4"/>
    <w:rsid w:val="00AF51EF"/>
    <w:rsid w:val="00AF5ED4"/>
    <w:rsid w:val="00AF6282"/>
    <w:rsid w:val="00AF644E"/>
    <w:rsid w:val="00AF65F3"/>
    <w:rsid w:val="00AF6F14"/>
    <w:rsid w:val="00AF704D"/>
    <w:rsid w:val="00AF7568"/>
    <w:rsid w:val="00B01397"/>
    <w:rsid w:val="00B019BD"/>
    <w:rsid w:val="00B019CB"/>
    <w:rsid w:val="00B01D68"/>
    <w:rsid w:val="00B021B2"/>
    <w:rsid w:val="00B02A91"/>
    <w:rsid w:val="00B03016"/>
    <w:rsid w:val="00B0342C"/>
    <w:rsid w:val="00B034FE"/>
    <w:rsid w:val="00B03680"/>
    <w:rsid w:val="00B03833"/>
    <w:rsid w:val="00B045F7"/>
    <w:rsid w:val="00B05AB9"/>
    <w:rsid w:val="00B06143"/>
    <w:rsid w:val="00B069A1"/>
    <w:rsid w:val="00B06B95"/>
    <w:rsid w:val="00B06D15"/>
    <w:rsid w:val="00B06D87"/>
    <w:rsid w:val="00B07527"/>
    <w:rsid w:val="00B1015C"/>
    <w:rsid w:val="00B106F5"/>
    <w:rsid w:val="00B10712"/>
    <w:rsid w:val="00B10A6C"/>
    <w:rsid w:val="00B115DB"/>
    <w:rsid w:val="00B12532"/>
    <w:rsid w:val="00B13215"/>
    <w:rsid w:val="00B137E6"/>
    <w:rsid w:val="00B13CCB"/>
    <w:rsid w:val="00B13ECA"/>
    <w:rsid w:val="00B15676"/>
    <w:rsid w:val="00B16E55"/>
    <w:rsid w:val="00B16ED6"/>
    <w:rsid w:val="00B17035"/>
    <w:rsid w:val="00B17356"/>
    <w:rsid w:val="00B173B3"/>
    <w:rsid w:val="00B17532"/>
    <w:rsid w:val="00B20C5C"/>
    <w:rsid w:val="00B20DD9"/>
    <w:rsid w:val="00B20EA5"/>
    <w:rsid w:val="00B21336"/>
    <w:rsid w:val="00B21F04"/>
    <w:rsid w:val="00B230AD"/>
    <w:rsid w:val="00B2384A"/>
    <w:rsid w:val="00B25B7F"/>
    <w:rsid w:val="00B25D7C"/>
    <w:rsid w:val="00B25DBF"/>
    <w:rsid w:val="00B2616E"/>
    <w:rsid w:val="00B269A8"/>
    <w:rsid w:val="00B26EF0"/>
    <w:rsid w:val="00B304DA"/>
    <w:rsid w:val="00B31172"/>
    <w:rsid w:val="00B31333"/>
    <w:rsid w:val="00B31A4A"/>
    <w:rsid w:val="00B32211"/>
    <w:rsid w:val="00B329C6"/>
    <w:rsid w:val="00B32D41"/>
    <w:rsid w:val="00B32DB0"/>
    <w:rsid w:val="00B3368E"/>
    <w:rsid w:val="00B3379E"/>
    <w:rsid w:val="00B3385A"/>
    <w:rsid w:val="00B33B13"/>
    <w:rsid w:val="00B33F9D"/>
    <w:rsid w:val="00B3400F"/>
    <w:rsid w:val="00B34204"/>
    <w:rsid w:val="00B3454B"/>
    <w:rsid w:val="00B34A02"/>
    <w:rsid w:val="00B34D0C"/>
    <w:rsid w:val="00B35550"/>
    <w:rsid w:val="00B365B7"/>
    <w:rsid w:val="00B3699B"/>
    <w:rsid w:val="00B369B3"/>
    <w:rsid w:val="00B36E97"/>
    <w:rsid w:val="00B40471"/>
    <w:rsid w:val="00B40E00"/>
    <w:rsid w:val="00B4117D"/>
    <w:rsid w:val="00B41675"/>
    <w:rsid w:val="00B418AD"/>
    <w:rsid w:val="00B4236E"/>
    <w:rsid w:val="00B42A5C"/>
    <w:rsid w:val="00B42E52"/>
    <w:rsid w:val="00B42F3D"/>
    <w:rsid w:val="00B42F89"/>
    <w:rsid w:val="00B43507"/>
    <w:rsid w:val="00B4400A"/>
    <w:rsid w:val="00B44487"/>
    <w:rsid w:val="00B44598"/>
    <w:rsid w:val="00B4506E"/>
    <w:rsid w:val="00B45101"/>
    <w:rsid w:val="00B46487"/>
    <w:rsid w:val="00B46505"/>
    <w:rsid w:val="00B47291"/>
    <w:rsid w:val="00B477F6"/>
    <w:rsid w:val="00B47A62"/>
    <w:rsid w:val="00B5058C"/>
    <w:rsid w:val="00B50933"/>
    <w:rsid w:val="00B50A07"/>
    <w:rsid w:val="00B50CC9"/>
    <w:rsid w:val="00B50FE7"/>
    <w:rsid w:val="00B51387"/>
    <w:rsid w:val="00B51C7D"/>
    <w:rsid w:val="00B51D09"/>
    <w:rsid w:val="00B51E96"/>
    <w:rsid w:val="00B52615"/>
    <w:rsid w:val="00B530C1"/>
    <w:rsid w:val="00B5327C"/>
    <w:rsid w:val="00B53A36"/>
    <w:rsid w:val="00B53A8F"/>
    <w:rsid w:val="00B541B6"/>
    <w:rsid w:val="00B54605"/>
    <w:rsid w:val="00B547C8"/>
    <w:rsid w:val="00B547E5"/>
    <w:rsid w:val="00B54C98"/>
    <w:rsid w:val="00B557EF"/>
    <w:rsid w:val="00B5590A"/>
    <w:rsid w:val="00B55C18"/>
    <w:rsid w:val="00B55EE4"/>
    <w:rsid w:val="00B564EF"/>
    <w:rsid w:val="00B56724"/>
    <w:rsid w:val="00B56A6A"/>
    <w:rsid w:val="00B56C16"/>
    <w:rsid w:val="00B600BC"/>
    <w:rsid w:val="00B603C2"/>
    <w:rsid w:val="00B60CA8"/>
    <w:rsid w:val="00B6194D"/>
    <w:rsid w:val="00B621AF"/>
    <w:rsid w:val="00B62463"/>
    <w:rsid w:val="00B634F4"/>
    <w:rsid w:val="00B636CE"/>
    <w:rsid w:val="00B6435A"/>
    <w:rsid w:val="00B644B1"/>
    <w:rsid w:val="00B644D8"/>
    <w:rsid w:val="00B654A8"/>
    <w:rsid w:val="00B656F2"/>
    <w:rsid w:val="00B66574"/>
    <w:rsid w:val="00B66693"/>
    <w:rsid w:val="00B6739C"/>
    <w:rsid w:val="00B67882"/>
    <w:rsid w:val="00B70D0C"/>
    <w:rsid w:val="00B719A0"/>
    <w:rsid w:val="00B71E03"/>
    <w:rsid w:val="00B72A4E"/>
    <w:rsid w:val="00B731EC"/>
    <w:rsid w:val="00B733F0"/>
    <w:rsid w:val="00B74019"/>
    <w:rsid w:val="00B74A67"/>
    <w:rsid w:val="00B74B67"/>
    <w:rsid w:val="00B75051"/>
    <w:rsid w:val="00B750DF"/>
    <w:rsid w:val="00B75E12"/>
    <w:rsid w:val="00B77081"/>
    <w:rsid w:val="00B7733D"/>
    <w:rsid w:val="00B7779B"/>
    <w:rsid w:val="00B802DB"/>
    <w:rsid w:val="00B810F1"/>
    <w:rsid w:val="00B82302"/>
    <w:rsid w:val="00B825AB"/>
    <w:rsid w:val="00B826A6"/>
    <w:rsid w:val="00B82B9F"/>
    <w:rsid w:val="00B834FF"/>
    <w:rsid w:val="00B84941"/>
    <w:rsid w:val="00B84E67"/>
    <w:rsid w:val="00B852AB"/>
    <w:rsid w:val="00B856E6"/>
    <w:rsid w:val="00B85E8C"/>
    <w:rsid w:val="00B86FAE"/>
    <w:rsid w:val="00B87901"/>
    <w:rsid w:val="00B87AA6"/>
    <w:rsid w:val="00B87AD0"/>
    <w:rsid w:val="00B9032D"/>
    <w:rsid w:val="00B9076C"/>
    <w:rsid w:val="00B9076E"/>
    <w:rsid w:val="00B908CC"/>
    <w:rsid w:val="00B90AA5"/>
    <w:rsid w:val="00B918B5"/>
    <w:rsid w:val="00B918DA"/>
    <w:rsid w:val="00B92747"/>
    <w:rsid w:val="00B92816"/>
    <w:rsid w:val="00B929B9"/>
    <w:rsid w:val="00B92C3A"/>
    <w:rsid w:val="00B934CF"/>
    <w:rsid w:val="00B94451"/>
    <w:rsid w:val="00B94B53"/>
    <w:rsid w:val="00B951B9"/>
    <w:rsid w:val="00B956E4"/>
    <w:rsid w:val="00B95C04"/>
    <w:rsid w:val="00B9603E"/>
    <w:rsid w:val="00B96675"/>
    <w:rsid w:val="00B977B7"/>
    <w:rsid w:val="00B978A0"/>
    <w:rsid w:val="00BA00CA"/>
    <w:rsid w:val="00BA03A1"/>
    <w:rsid w:val="00BA13F1"/>
    <w:rsid w:val="00BA1693"/>
    <w:rsid w:val="00BA2829"/>
    <w:rsid w:val="00BA29AD"/>
    <w:rsid w:val="00BA315F"/>
    <w:rsid w:val="00BA320B"/>
    <w:rsid w:val="00BA3253"/>
    <w:rsid w:val="00BA38B9"/>
    <w:rsid w:val="00BA3A5A"/>
    <w:rsid w:val="00BA3B31"/>
    <w:rsid w:val="00BA4320"/>
    <w:rsid w:val="00BA4439"/>
    <w:rsid w:val="00BA44BC"/>
    <w:rsid w:val="00BA45C8"/>
    <w:rsid w:val="00BA4AEA"/>
    <w:rsid w:val="00BA5157"/>
    <w:rsid w:val="00BA5560"/>
    <w:rsid w:val="00BA5FE7"/>
    <w:rsid w:val="00BA62FA"/>
    <w:rsid w:val="00BA7340"/>
    <w:rsid w:val="00BA73C2"/>
    <w:rsid w:val="00BA743C"/>
    <w:rsid w:val="00BA7698"/>
    <w:rsid w:val="00BA769E"/>
    <w:rsid w:val="00BA77ED"/>
    <w:rsid w:val="00BA7AC6"/>
    <w:rsid w:val="00BB00E1"/>
    <w:rsid w:val="00BB08AE"/>
    <w:rsid w:val="00BB1155"/>
    <w:rsid w:val="00BB19FD"/>
    <w:rsid w:val="00BB1C49"/>
    <w:rsid w:val="00BB201B"/>
    <w:rsid w:val="00BB20E1"/>
    <w:rsid w:val="00BB22D4"/>
    <w:rsid w:val="00BB25C2"/>
    <w:rsid w:val="00BB25E1"/>
    <w:rsid w:val="00BB2AB1"/>
    <w:rsid w:val="00BB3258"/>
    <w:rsid w:val="00BB39D8"/>
    <w:rsid w:val="00BB3E98"/>
    <w:rsid w:val="00BB40C8"/>
    <w:rsid w:val="00BB431A"/>
    <w:rsid w:val="00BB4868"/>
    <w:rsid w:val="00BB682C"/>
    <w:rsid w:val="00BB6E22"/>
    <w:rsid w:val="00BC01AF"/>
    <w:rsid w:val="00BC039D"/>
    <w:rsid w:val="00BC0B64"/>
    <w:rsid w:val="00BC0E2E"/>
    <w:rsid w:val="00BC13E6"/>
    <w:rsid w:val="00BC16B5"/>
    <w:rsid w:val="00BC1A30"/>
    <w:rsid w:val="00BC32A6"/>
    <w:rsid w:val="00BC3499"/>
    <w:rsid w:val="00BC3C3A"/>
    <w:rsid w:val="00BC3EC2"/>
    <w:rsid w:val="00BC462F"/>
    <w:rsid w:val="00BC47A7"/>
    <w:rsid w:val="00BC4C3A"/>
    <w:rsid w:val="00BC4D1F"/>
    <w:rsid w:val="00BC52F8"/>
    <w:rsid w:val="00BC55DD"/>
    <w:rsid w:val="00BC5BE9"/>
    <w:rsid w:val="00BC6259"/>
    <w:rsid w:val="00BC6461"/>
    <w:rsid w:val="00BC71B5"/>
    <w:rsid w:val="00BC72AB"/>
    <w:rsid w:val="00BC757B"/>
    <w:rsid w:val="00BC79DA"/>
    <w:rsid w:val="00BC7DC6"/>
    <w:rsid w:val="00BC7E07"/>
    <w:rsid w:val="00BD0C83"/>
    <w:rsid w:val="00BD0DB2"/>
    <w:rsid w:val="00BD0F4E"/>
    <w:rsid w:val="00BD1167"/>
    <w:rsid w:val="00BD1506"/>
    <w:rsid w:val="00BD1978"/>
    <w:rsid w:val="00BD1BA8"/>
    <w:rsid w:val="00BD1BEB"/>
    <w:rsid w:val="00BD2A70"/>
    <w:rsid w:val="00BD2B33"/>
    <w:rsid w:val="00BD2D62"/>
    <w:rsid w:val="00BD3349"/>
    <w:rsid w:val="00BD33A7"/>
    <w:rsid w:val="00BD3BFF"/>
    <w:rsid w:val="00BD3E63"/>
    <w:rsid w:val="00BD5579"/>
    <w:rsid w:val="00BD57D6"/>
    <w:rsid w:val="00BD5994"/>
    <w:rsid w:val="00BD59B7"/>
    <w:rsid w:val="00BD6112"/>
    <w:rsid w:val="00BD6E0F"/>
    <w:rsid w:val="00BD6EEC"/>
    <w:rsid w:val="00BD701B"/>
    <w:rsid w:val="00BD7407"/>
    <w:rsid w:val="00BD7CFB"/>
    <w:rsid w:val="00BD7F07"/>
    <w:rsid w:val="00BD7FDA"/>
    <w:rsid w:val="00BE05C8"/>
    <w:rsid w:val="00BE0A8A"/>
    <w:rsid w:val="00BE0B6A"/>
    <w:rsid w:val="00BE0D78"/>
    <w:rsid w:val="00BE15ED"/>
    <w:rsid w:val="00BE18B6"/>
    <w:rsid w:val="00BE1A12"/>
    <w:rsid w:val="00BE215A"/>
    <w:rsid w:val="00BE2BD4"/>
    <w:rsid w:val="00BE3720"/>
    <w:rsid w:val="00BE3903"/>
    <w:rsid w:val="00BE4F1F"/>
    <w:rsid w:val="00BE523D"/>
    <w:rsid w:val="00BE538E"/>
    <w:rsid w:val="00BE56D9"/>
    <w:rsid w:val="00BE5861"/>
    <w:rsid w:val="00BE5F9D"/>
    <w:rsid w:val="00BE6505"/>
    <w:rsid w:val="00BE6D0F"/>
    <w:rsid w:val="00BE727E"/>
    <w:rsid w:val="00BE727F"/>
    <w:rsid w:val="00BE7641"/>
    <w:rsid w:val="00BE7BEC"/>
    <w:rsid w:val="00BE7F98"/>
    <w:rsid w:val="00BF0B67"/>
    <w:rsid w:val="00BF0F9B"/>
    <w:rsid w:val="00BF1C6F"/>
    <w:rsid w:val="00BF226E"/>
    <w:rsid w:val="00BF2326"/>
    <w:rsid w:val="00BF298F"/>
    <w:rsid w:val="00BF2B59"/>
    <w:rsid w:val="00BF2D7B"/>
    <w:rsid w:val="00BF37A8"/>
    <w:rsid w:val="00BF3880"/>
    <w:rsid w:val="00BF395A"/>
    <w:rsid w:val="00BF48AB"/>
    <w:rsid w:val="00BF4E3F"/>
    <w:rsid w:val="00BF4F51"/>
    <w:rsid w:val="00BF57E0"/>
    <w:rsid w:val="00BF6FD8"/>
    <w:rsid w:val="00C00EAA"/>
    <w:rsid w:val="00C017A0"/>
    <w:rsid w:val="00C018FB"/>
    <w:rsid w:val="00C02320"/>
    <w:rsid w:val="00C02D8A"/>
    <w:rsid w:val="00C02FAB"/>
    <w:rsid w:val="00C0322A"/>
    <w:rsid w:val="00C033D7"/>
    <w:rsid w:val="00C03AB9"/>
    <w:rsid w:val="00C04796"/>
    <w:rsid w:val="00C0516E"/>
    <w:rsid w:val="00C05374"/>
    <w:rsid w:val="00C054EC"/>
    <w:rsid w:val="00C05680"/>
    <w:rsid w:val="00C057D8"/>
    <w:rsid w:val="00C05F78"/>
    <w:rsid w:val="00C05FCF"/>
    <w:rsid w:val="00C0685E"/>
    <w:rsid w:val="00C06AAB"/>
    <w:rsid w:val="00C06BC2"/>
    <w:rsid w:val="00C06DE6"/>
    <w:rsid w:val="00C07414"/>
    <w:rsid w:val="00C07924"/>
    <w:rsid w:val="00C07E5E"/>
    <w:rsid w:val="00C101F4"/>
    <w:rsid w:val="00C10754"/>
    <w:rsid w:val="00C11735"/>
    <w:rsid w:val="00C11D1F"/>
    <w:rsid w:val="00C121FE"/>
    <w:rsid w:val="00C12ECE"/>
    <w:rsid w:val="00C13184"/>
    <w:rsid w:val="00C1330D"/>
    <w:rsid w:val="00C13C04"/>
    <w:rsid w:val="00C1474D"/>
    <w:rsid w:val="00C1491A"/>
    <w:rsid w:val="00C14C94"/>
    <w:rsid w:val="00C15A2D"/>
    <w:rsid w:val="00C16166"/>
    <w:rsid w:val="00C16AFF"/>
    <w:rsid w:val="00C17113"/>
    <w:rsid w:val="00C17170"/>
    <w:rsid w:val="00C175A1"/>
    <w:rsid w:val="00C17C59"/>
    <w:rsid w:val="00C17CF3"/>
    <w:rsid w:val="00C17E53"/>
    <w:rsid w:val="00C17F9A"/>
    <w:rsid w:val="00C208D7"/>
    <w:rsid w:val="00C20DB9"/>
    <w:rsid w:val="00C211F0"/>
    <w:rsid w:val="00C21D05"/>
    <w:rsid w:val="00C2245E"/>
    <w:rsid w:val="00C22550"/>
    <w:rsid w:val="00C229DF"/>
    <w:rsid w:val="00C22C4A"/>
    <w:rsid w:val="00C22DCD"/>
    <w:rsid w:val="00C23026"/>
    <w:rsid w:val="00C23199"/>
    <w:rsid w:val="00C23458"/>
    <w:rsid w:val="00C234AC"/>
    <w:rsid w:val="00C23A9B"/>
    <w:rsid w:val="00C23C56"/>
    <w:rsid w:val="00C23C92"/>
    <w:rsid w:val="00C24149"/>
    <w:rsid w:val="00C24847"/>
    <w:rsid w:val="00C24BC8"/>
    <w:rsid w:val="00C254A3"/>
    <w:rsid w:val="00C2635E"/>
    <w:rsid w:val="00C265C4"/>
    <w:rsid w:val="00C27E9C"/>
    <w:rsid w:val="00C3040D"/>
    <w:rsid w:val="00C30901"/>
    <w:rsid w:val="00C30AC2"/>
    <w:rsid w:val="00C30E3B"/>
    <w:rsid w:val="00C31081"/>
    <w:rsid w:val="00C310ED"/>
    <w:rsid w:val="00C31190"/>
    <w:rsid w:val="00C31371"/>
    <w:rsid w:val="00C317B6"/>
    <w:rsid w:val="00C31D0D"/>
    <w:rsid w:val="00C3300A"/>
    <w:rsid w:val="00C331B3"/>
    <w:rsid w:val="00C33658"/>
    <w:rsid w:val="00C336B7"/>
    <w:rsid w:val="00C33722"/>
    <w:rsid w:val="00C33A18"/>
    <w:rsid w:val="00C341A8"/>
    <w:rsid w:val="00C34347"/>
    <w:rsid w:val="00C34397"/>
    <w:rsid w:val="00C35358"/>
    <w:rsid w:val="00C36691"/>
    <w:rsid w:val="00C36B23"/>
    <w:rsid w:val="00C372C9"/>
    <w:rsid w:val="00C37361"/>
    <w:rsid w:val="00C40E52"/>
    <w:rsid w:val="00C41071"/>
    <w:rsid w:val="00C41292"/>
    <w:rsid w:val="00C41864"/>
    <w:rsid w:val="00C41DAA"/>
    <w:rsid w:val="00C42D19"/>
    <w:rsid w:val="00C42D87"/>
    <w:rsid w:val="00C42FB3"/>
    <w:rsid w:val="00C4312A"/>
    <w:rsid w:val="00C43759"/>
    <w:rsid w:val="00C437F1"/>
    <w:rsid w:val="00C43FAD"/>
    <w:rsid w:val="00C441DB"/>
    <w:rsid w:val="00C442FE"/>
    <w:rsid w:val="00C445FC"/>
    <w:rsid w:val="00C44D03"/>
    <w:rsid w:val="00C44E21"/>
    <w:rsid w:val="00C4528D"/>
    <w:rsid w:val="00C4545E"/>
    <w:rsid w:val="00C46BE4"/>
    <w:rsid w:val="00C46F62"/>
    <w:rsid w:val="00C47434"/>
    <w:rsid w:val="00C50495"/>
    <w:rsid w:val="00C504AD"/>
    <w:rsid w:val="00C50D66"/>
    <w:rsid w:val="00C512F0"/>
    <w:rsid w:val="00C513A2"/>
    <w:rsid w:val="00C515AB"/>
    <w:rsid w:val="00C51812"/>
    <w:rsid w:val="00C5198C"/>
    <w:rsid w:val="00C51A25"/>
    <w:rsid w:val="00C51D0A"/>
    <w:rsid w:val="00C520AD"/>
    <w:rsid w:val="00C5217B"/>
    <w:rsid w:val="00C527AD"/>
    <w:rsid w:val="00C529B8"/>
    <w:rsid w:val="00C52D85"/>
    <w:rsid w:val="00C53228"/>
    <w:rsid w:val="00C53BE3"/>
    <w:rsid w:val="00C542F8"/>
    <w:rsid w:val="00C54C7F"/>
    <w:rsid w:val="00C55201"/>
    <w:rsid w:val="00C55468"/>
    <w:rsid w:val="00C56531"/>
    <w:rsid w:val="00C56947"/>
    <w:rsid w:val="00C56996"/>
    <w:rsid w:val="00C56B0E"/>
    <w:rsid w:val="00C56C08"/>
    <w:rsid w:val="00C56DA0"/>
    <w:rsid w:val="00C57005"/>
    <w:rsid w:val="00C57202"/>
    <w:rsid w:val="00C57274"/>
    <w:rsid w:val="00C60094"/>
    <w:rsid w:val="00C600B9"/>
    <w:rsid w:val="00C603BD"/>
    <w:rsid w:val="00C60DF8"/>
    <w:rsid w:val="00C612E8"/>
    <w:rsid w:val="00C61817"/>
    <w:rsid w:val="00C61A54"/>
    <w:rsid w:val="00C63164"/>
    <w:rsid w:val="00C63213"/>
    <w:rsid w:val="00C6335D"/>
    <w:rsid w:val="00C6420F"/>
    <w:rsid w:val="00C64E00"/>
    <w:rsid w:val="00C650F0"/>
    <w:rsid w:val="00C6519E"/>
    <w:rsid w:val="00C65A14"/>
    <w:rsid w:val="00C6612B"/>
    <w:rsid w:val="00C66639"/>
    <w:rsid w:val="00C66924"/>
    <w:rsid w:val="00C67174"/>
    <w:rsid w:val="00C67688"/>
    <w:rsid w:val="00C67822"/>
    <w:rsid w:val="00C67BD2"/>
    <w:rsid w:val="00C7025B"/>
    <w:rsid w:val="00C703D4"/>
    <w:rsid w:val="00C706CB"/>
    <w:rsid w:val="00C707D3"/>
    <w:rsid w:val="00C708D6"/>
    <w:rsid w:val="00C70B7F"/>
    <w:rsid w:val="00C70BFB"/>
    <w:rsid w:val="00C70F9F"/>
    <w:rsid w:val="00C7194A"/>
    <w:rsid w:val="00C71D23"/>
    <w:rsid w:val="00C71E78"/>
    <w:rsid w:val="00C71FD3"/>
    <w:rsid w:val="00C72B0E"/>
    <w:rsid w:val="00C733AF"/>
    <w:rsid w:val="00C73797"/>
    <w:rsid w:val="00C73842"/>
    <w:rsid w:val="00C73C66"/>
    <w:rsid w:val="00C73D53"/>
    <w:rsid w:val="00C73F19"/>
    <w:rsid w:val="00C7435E"/>
    <w:rsid w:val="00C74438"/>
    <w:rsid w:val="00C746E7"/>
    <w:rsid w:val="00C74A6D"/>
    <w:rsid w:val="00C74A8B"/>
    <w:rsid w:val="00C74EB7"/>
    <w:rsid w:val="00C75111"/>
    <w:rsid w:val="00C752AD"/>
    <w:rsid w:val="00C753B4"/>
    <w:rsid w:val="00C75729"/>
    <w:rsid w:val="00C76709"/>
    <w:rsid w:val="00C76CAE"/>
    <w:rsid w:val="00C76D35"/>
    <w:rsid w:val="00C7711F"/>
    <w:rsid w:val="00C779F8"/>
    <w:rsid w:val="00C77B24"/>
    <w:rsid w:val="00C80FB9"/>
    <w:rsid w:val="00C81665"/>
    <w:rsid w:val="00C81B69"/>
    <w:rsid w:val="00C82245"/>
    <w:rsid w:val="00C829C0"/>
    <w:rsid w:val="00C8346E"/>
    <w:rsid w:val="00C83D34"/>
    <w:rsid w:val="00C84A72"/>
    <w:rsid w:val="00C84D3E"/>
    <w:rsid w:val="00C8500B"/>
    <w:rsid w:val="00C85263"/>
    <w:rsid w:val="00C85637"/>
    <w:rsid w:val="00C8570D"/>
    <w:rsid w:val="00C8578F"/>
    <w:rsid w:val="00C857F4"/>
    <w:rsid w:val="00C85A8D"/>
    <w:rsid w:val="00C868B2"/>
    <w:rsid w:val="00C86B8F"/>
    <w:rsid w:val="00C86C5D"/>
    <w:rsid w:val="00C87324"/>
    <w:rsid w:val="00C877CC"/>
    <w:rsid w:val="00C8799E"/>
    <w:rsid w:val="00C87C69"/>
    <w:rsid w:val="00C90647"/>
    <w:rsid w:val="00C906B0"/>
    <w:rsid w:val="00C90762"/>
    <w:rsid w:val="00C90CAC"/>
    <w:rsid w:val="00C91171"/>
    <w:rsid w:val="00C913DA"/>
    <w:rsid w:val="00C9140F"/>
    <w:rsid w:val="00C91A48"/>
    <w:rsid w:val="00C92026"/>
    <w:rsid w:val="00C9237E"/>
    <w:rsid w:val="00C923CF"/>
    <w:rsid w:val="00C92414"/>
    <w:rsid w:val="00C925DE"/>
    <w:rsid w:val="00C925EB"/>
    <w:rsid w:val="00C92825"/>
    <w:rsid w:val="00C92E70"/>
    <w:rsid w:val="00C93175"/>
    <w:rsid w:val="00C933C3"/>
    <w:rsid w:val="00C937E2"/>
    <w:rsid w:val="00C93991"/>
    <w:rsid w:val="00C94393"/>
    <w:rsid w:val="00C94801"/>
    <w:rsid w:val="00C94FB9"/>
    <w:rsid w:val="00C950C4"/>
    <w:rsid w:val="00C9533C"/>
    <w:rsid w:val="00C953F2"/>
    <w:rsid w:val="00C95CCC"/>
    <w:rsid w:val="00C97047"/>
    <w:rsid w:val="00C9798F"/>
    <w:rsid w:val="00CA015E"/>
    <w:rsid w:val="00CA07DD"/>
    <w:rsid w:val="00CA1496"/>
    <w:rsid w:val="00CA2125"/>
    <w:rsid w:val="00CA2837"/>
    <w:rsid w:val="00CA2F13"/>
    <w:rsid w:val="00CA4184"/>
    <w:rsid w:val="00CA4ADD"/>
    <w:rsid w:val="00CA5540"/>
    <w:rsid w:val="00CA5876"/>
    <w:rsid w:val="00CA6B26"/>
    <w:rsid w:val="00CA6D1D"/>
    <w:rsid w:val="00CA6EB4"/>
    <w:rsid w:val="00CA7C70"/>
    <w:rsid w:val="00CA7EEA"/>
    <w:rsid w:val="00CB0104"/>
    <w:rsid w:val="00CB0298"/>
    <w:rsid w:val="00CB0582"/>
    <w:rsid w:val="00CB07F4"/>
    <w:rsid w:val="00CB0A3F"/>
    <w:rsid w:val="00CB0B56"/>
    <w:rsid w:val="00CB0D41"/>
    <w:rsid w:val="00CB11A2"/>
    <w:rsid w:val="00CB1C28"/>
    <w:rsid w:val="00CB2E0C"/>
    <w:rsid w:val="00CB2FB8"/>
    <w:rsid w:val="00CB331D"/>
    <w:rsid w:val="00CB3521"/>
    <w:rsid w:val="00CB5AEC"/>
    <w:rsid w:val="00CB5F2A"/>
    <w:rsid w:val="00CB616A"/>
    <w:rsid w:val="00CB641A"/>
    <w:rsid w:val="00CB6CF1"/>
    <w:rsid w:val="00CB7008"/>
    <w:rsid w:val="00CB7211"/>
    <w:rsid w:val="00CB7548"/>
    <w:rsid w:val="00CB7702"/>
    <w:rsid w:val="00CB770D"/>
    <w:rsid w:val="00CC01FD"/>
    <w:rsid w:val="00CC088D"/>
    <w:rsid w:val="00CC09AA"/>
    <w:rsid w:val="00CC0A91"/>
    <w:rsid w:val="00CC0D0C"/>
    <w:rsid w:val="00CC1D6C"/>
    <w:rsid w:val="00CC246D"/>
    <w:rsid w:val="00CC25BC"/>
    <w:rsid w:val="00CC2F62"/>
    <w:rsid w:val="00CC307A"/>
    <w:rsid w:val="00CC33D9"/>
    <w:rsid w:val="00CC3BB0"/>
    <w:rsid w:val="00CC3C8A"/>
    <w:rsid w:val="00CC3E9B"/>
    <w:rsid w:val="00CC485A"/>
    <w:rsid w:val="00CC4869"/>
    <w:rsid w:val="00CC4D93"/>
    <w:rsid w:val="00CC523A"/>
    <w:rsid w:val="00CC5A8C"/>
    <w:rsid w:val="00CC5BAC"/>
    <w:rsid w:val="00CC61B9"/>
    <w:rsid w:val="00CC66FD"/>
    <w:rsid w:val="00CC67BE"/>
    <w:rsid w:val="00CC6F35"/>
    <w:rsid w:val="00CD06AB"/>
    <w:rsid w:val="00CD0CDD"/>
    <w:rsid w:val="00CD106C"/>
    <w:rsid w:val="00CD138C"/>
    <w:rsid w:val="00CD1C0C"/>
    <w:rsid w:val="00CD1FCC"/>
    <w:rsid w:val="00CD24BB"/>
    <w:rsid w:val="00CD3B09"/>
    <w:rsid w:val="00CD3E2C"/>
    <w:rsid w:val="00CD448A"/>
    <w:rsid w:val="00CD47A4"/>
    <w:rsid w:val="00CD497F"/>
    <w:rsid w:val="00CD4B7C"/>
    <w:rsid w:val="00CD4BF5"/>
    <w:rsid w:val="00CD557A"/>
    <w:rsid w:val="00CD57E8"/>
    <w:rsid w:val="00CD582E"/>
    <w:rsid w:val="00CD5CE4"/>
    <w:rsid w:val="00CD5D5F"/>
    <w:rsid w:val="00CD637E"/>
    <w:rsid w:val="00CD68A3"/>
    <w:rsid w:val="00CD6F05"/>
    <w:rsid w:val="00CD78D2"/>
    <w:rsid w:val="00CD79F1"/>
    <w:rsid w:val="00CE01C7"/>
    <w:rsid w:val="00CE044A"/>
    <w:rsid w:val="00CE0509"/>
    <w:rsid w:val="00CE0515"/>
    <w:rsid w:val="00CE0554"/>
    <w:rsid w:val="00CE06B5"/>
    <w:rsid w:val="00CE0AB3"/>
    <w:rsid w:val="00CE0CE0"/>
    <w:rsid w:val="00CE0F23"/>
    <w:rsid w:val="00CE1202"/>
    <w:rsid w:val="00CE1983"/>
    <w:rsid w:val="00CE1DFA"/>
    <w:rsid w:val="00CE224C"/>
    <w:rsid w:val="00CE2C11"/>
    <w:rsid w:val="00CE3265"/>
    <w:rsid w:val="00CE486A"/>
    <w:rsid w:val="00CE4F03"/>
    <w:rsid w:val="00CE5E6C"/>
    <w:rsid w:val="00CE623A"/>
    <w:rsid w:val="00CE63FC"/>
    <w:rsid w:val="00CE6B6A"/>
    <w:rsid w:val="00CE6CE1"/>
    <w:rsid w:val="00CE70DB"/>
    <w:rsid w:val="00CE7E99"/>
    <w:rsid w:val="00CF023E"/>
    <w:rsid w:val="00CF0406"/>
    <w:rsid w:val="00CF0657"/>
    <w:rsid w:val="00CF111A"/>
    <w:rsid w:val="00CF119E"/>
    <w:rsid w:val="00CF1425"/>
    <w:rsid w:val="00CF1532"/>
    <w:rsid w:val="00CF15F3"/>
    <w:rsid w:val="00CF188F"/>
    <w:rsid w:val="00CF1A1F"/>
    <w:rsid w:val="00CF1FE4"/>
    <w:rsid w:val="00CF2A40"/>
    <w:rsid w:val="00CF361D"/>
    <w:rsid w:val="00CF37DC"/>
    <w:rsid w:val="00CF3EB2"/>
    <w:rsid w:val="00CF657F"/>
    <w:rsid w:val="00CF6634"/>
    <w:rsid w:val="00CF67C0"/>
    <w:rsid w:val="00CF6837"/>
    <w:rsid w:val="00CF6A86"/>
    <w:rsid w:val="00CF7187"/>
    <w:rsid w:val="00CF7B93"/>
    <w:rsid w:val="00CF7D3E"/>
    <w:rsid w:val="00D0059B"/>
    <w:rsid w:val="00D006DD"/>
    <w:rsid w:val="00D0075D"/>
    <w:rsid w:val="00D00853"/>
    <w:rsid w:val="00D00EF3"/>
    <w:rsid w:val="00D0176D"/>
    <w:rsid w:val="00D01F84"/>
    <w:rsid w:val="00D01F9D"/>
    <w:rsid w:val="00D026DF"/>
    <w:rsid w:val="00D026ED"/>
    <w:rsid w:val="00D02808"/>
    <w:rsid w:val="00D029E5"/>
    <w:rsid w:val="00D02C89"/>
    <w:rsid w:val="00D034F6"/>
    <w:rsid w:val="00D03634"/>
    <w:rsid w:val="00D0467E"/>
    <w:rsid w:val="00D04BF8"/>
    <w:rsid w:val="00D0501A"/>
    <w:rsid w:val="00D05747"/>
    <w:rsid w:val="00D10D7B"/>
    <w:rsid w:val="00D11186"/>
    <w:rsid w:val="00D1136E"/>
    <w:rsid w:val="00D1175E"/>
    <w:rsid w:val="00D11873"/>
    <w:rsid w:val="00D11C0F"/>
    <w:rsid w:val="00D11FFF"/>
    <w:rsid w:val="00D12AF1"/>
    <w:rsid w:val="00D13413"/>
    <w:rsid w:val="00D136D0"/>
    <w:rsid w:val="00D1374A"/>
    <w:rsid w:val="00D13C23"/>
    <w:rsid w:val="00D13C85"/>
    <w:rsid w:val="00D13FA4"/>
    <w:rsid w:val="00D14B5D"/>
    <w:rsid w:val="00D16671"/>
    <w:rsid w:val="00D166D6"/>
    <w:rsid w:val="00D1759F"/>
    <w:rsid w:val="00D176D2"/>
    <w:rsid w:val="00D20294"/>
    <w:rsid w:val="00D214FB"/>
    <w:rsid w:val="00D2167A"/>
    <w:rsid w:val="00D2176D"/>
    <w:rsid w:val="00D22064"/>
    <w:rsid w:val="00D23685"/>
    <w:rsid w:val="00D23EB8"/>
    <w:rsid w:val="00D2429B"/>
    <w:rsid w:val="00D2433E"/>
    <w:rsid w:val="00D244A0"/>
    <w:rsid w:val="00D2454A"/>
    <w:rsid w:val="00D24B0B"/>
    <w:rsid w:val="00D24C47"/>
    <w:rsid w:val="00D25677"/>
    <w:rsid w:val="00D2620F"/>
    <w:rsid w:val="00D26360"/>
    <w:rsid w:val="00D268F9"/>
    <w:rsid w:val="00D26A1E"/>
    <w:rsid w:val="00D277FB"/>
    <w:rsid w:val="00D27E08"/>
    <w:rsid w:val="00D3025C"/>
    <w:rsid w:val="00D3030C"/>
    <w:rsid w:val="00D306CB"/>
    <w:rsid w:val="00D3091F"/>
    <w:rsid w:val="00D30B95"/>
    <w:rsid w:val="00D30CAC"/>
    <w:rsid w:val="00D30DF0"/>
    <w:rsid w:val="00D31A9F"/>
    <w:rsid w:val="00D31BA3"/>
    <w:rsid w:val="00D31D6E"/>
    <w:rsid w:val="00D32224"/>
    <w:rsid w:val="00D3230E"/>
    <w:rsid w:val="00D324DB"/>
    <w:rsid w:val="00D32A01"/>
    <w:rsid w:val="00D33601"/>
    <w:rsid w:val="00D33B3F"/>
    <w:rsid w:val="00D33E1E"/>
    <w:rsid w:val="00D33FA6"/>
    <w:rsid w:val="00D340C6"/>
    <w:rsid w:val="00D34A4E"/>
    <w:rsid w:val="00D34B24"/>
    <w:rsid w:val="00D34CC3"/>
    <w:rsid w:val="00D353C8"/>
    <w:rsid w:val="00D35760"/>
    <w:rsid w:val="00D35C78"/>
    <w:rsid w:val="00D36027"/>
    <w:rsid w:val="00D372A7"/>
    <w:rsid w:val="00D37B76"/>
    <w:rsid w:val="00D37F0E"/>
    <w:rsid w:val="00D40247"/>
    <w:rsid w:val="00D40248"/>
    <w:rsid w:val="00D40324"/>
    <w:rsid w:val="00D414A6"/>
    <w:rsid w:val="00D418A2"/>
    <w:rsid w:val="00D42351"/>
    <w:rsid w:val="00D42418"/>
    <w:rsid w:val="00D42946"/>
    <w:rsid w:val="00D42AD0"/>
    <w:rsid w:val="00D43664"/>
    <w:rsid w:val="00D436C3"/>
    <w:rsid w:val="00D4461E"/>
    <w:rsid w:val="00D45383"/>
    <w:rsid w:val="00D457EC"/>
    <w:rsid w:val="00D45A85"/>
    <w:rsid w:val="00D463E6"/>
    <w:rsid w:val="00D4697C"/>
    <w:rsid w:val="00D46981"/>
    <w:rsid w:val="00D46DBF"/>
    <w:rsid w:val="00D470FF"/>
    <w:rsid w:val="00D47843"/>
    <w:rsid w:val="00D4792E"/>
    <w:rsid w:val="00D47BEE"/>
    <w:rsid w:val="00D47C4F"/>
    <w:rsid w:val="00D50931"/>
    <w:rsid w:val="00D50DE1"/>
    <w:rsid w:val="00D517B6"/>
    <w:rsid w:val="00D51A7A"/>
    <w:rsid w:val="00D51CA0"/>
    <w:rsid w:val="00D51E29"/>
    <w:rsid w:val="00D52194"/>
    <w:rsid w:val="00D52A30"/>
    <w:rsid w:val="00D52BBA"/>
    <w:rsid w:val="00D532B4"/>
    <w:rsid w:val="00D539CF"/>
    <w:rsid w:val="00D5415F"/>
    <w:rsid w:val="00D547B3"/>
    <w:rsid w:val="00D5487F"/>
    <w:rsid w:val="00D55753"/>
    <w:rsid w:val="00D5585F"/>
    <w:rsid w:val="00D55941"/>
    <w:rsid w:val="00D55EC6"/>
    <w:rsid w:val="00D566C0"/>
    <w:rsid w:val="00D56B21"/>
    <w:rsid w:val="00D572ED"/>
    <w:rsid w:val="00D57307"/>
    <w:rsid w:val="00D579D3"/>
    <w:rsid w:val="00D57B9F"/>
    <w:rsid w:val="00D57FC6"/>
    <w:rsid w:val="00D616DD"/>
    <w:rsid w:val="00D61965"/>
    <w:rsid w:val="00D622BE"/>
    <w:rsid w:val="00D62741"/>
    <w:rsid w:val="00D62A63"/>
    <w:rsid w:val="00D62F80"/>
    <w:rsid w:val="00D63004"/>
    <w:rsid w:val="00D6344C"/>
    <w:rsid w:val="00D644BE"/>
    <w:rsid w:val="00D64C6C"/>
    <w:rsid w:val="00D65C88"/>
    <w:rsid w:val="00D66CC9"/>
    <w:rsid w:val="00D670F6"/>
    <w:rsid w:val="00D67B04"/>
    <w:rsid w:val="00D7094A"/>
    <w:rsid w:val="00D711D8"/>
    <w:rsid w:val="00D71FC5"/>
    <w:rsid w:val="00D71FF1"/>
    <w:rsid w:val="00D72037"/>
    <w:rsid w:val="00D72719"/>
    <w:rsid w:val="00D731A3"/>
    <w:rsid w:val="00D74A6D"/>
    <w:rsid w:val="00D74B52"/>
    <w:rsid w:val="00D74B6F"/>
    <w:rsid w:val="00D753C0"/>
    <w:rsid w:val="00D7644A"/>
    <w:rsid w:val="00D76CC8"/>
    <w:rsid w:val="00D7756B"/>
    <w:rsid w:val="00D77749"/>
    <w:rsid w:val="00D803FF"/>
    <w:rsid w:val="00D80B2B"/>
    <w:rsid w:val="00D817A4"/>
    <w:rsid w:val="00D822A2"/>
    <w:rsid w:val="00D828C6"/>
    <w:rsid w:val="00D82DA4"/>
    <w:rsid w:val="00D83007"/>
    <w:rsid w:val="00D83CCE"/>
    <w:rsid w:val="00D83EA1"/>
    <w:rsid w:val="00D8400B"/>
    <w:rsid w:val="00D84A2F"/>
    <w:rsid w:val="00D84C84"/>
    <w:rsid w:val="00D84F4B"/>
    <w:rsid w:val="00D8531E"/>
    <w:rsid w:val="00D854E8"/>
    <w:rsid w:val="00D85D3B"/>
    <w:rsid w:val="00D8682A"/>
    <w:rsid w:val="00D878CA"/>
    <w:rsid w:val="00D87C78"/>
    <w:rsid w:val="00D908C8"/>
    <w:rsid w:val="00D90CDC"/>
    <w:rsid w:val="00D91778"/>
    <w:rsid w:val="00D91A69"/>
    <w:rsid w:val="00D91FFA"/>
    <w:rsid w:val="00D92DA3"/>
    <w:rsid w:val="00D9346D"/>
    <w:rsid w:val="00D95542"/>
    <w:rsid w:val="00D95641"/>
    <w:rsid w:val="00D9572E"/>
    <w:rsid w:val="00D95AB1"/>
    <w:rsid w:val="00D95F3A"/>
    <w:rsid w:val="00D96303"/>
    <w:rsid w:val="00DA0906"/>
    <w:rsid w:val="00DA096D"/>
    <w:rsid w:val="00DA0B76"/>
    <w:rsid w:val="00DA0BB4"/>
    <w:rsid w:val="00DA0F2A"/>
    <w:rsid w:val="00DA1106"/>
    <w:rsid w:val="00DA114B"/>
    <w:rsid w:val="00DA1574"/>
    <w:rsid w:val="00DA15FD"/>
    <w:rsid w:val="00DA1D49"/>
    <w:rsid w:val="00DA1FD7"/>
    <w:rsid w:val="00DA20DE"/>
    <w:rsid w:val="00DA298E"/>
    <w:rsid w:val="00DA2BCF"/>
    <w:rsid w:val="00DA2CBA"/>
    <w:rsid w:val="00DA2E5F"/>
    <w:rsid w:val="00DA32F9"/>
    <w:rsid w:val="00DA3439"/>
    <w:rsid w:val="00DA41D6"/>
    <w:rsid w:val="00DA43E5"/>
    <w:rsid w:val="00DA5181"/>
    <w:rsid w:val="00DA53E6"/>
    <w:rsid w:val="00DA5947"/>
    <w:rsid w:val="00DA5B0D"/>
    <w:rsid w:val="00DA6072"/>
    <w:rsid w:val="00DA6351"/>
    <w:rsid w:val="00DA64F0"/>
    <w:rsid w:val="00DA66E8"/>
    <w:rsid w:val="00DA699F"/>
    <w:rsid w:val="00DA6C91"/>
    <w:rsid w:val="00DA7624"/>
    <w:rsid w:val="00DA7B36"/>
    <w:rsid w:val="00DB075A"/>
    <w:rsid w:val="00DB0B8D"/>
    <w:rsid w:val="00DB111D"/>
    <w:rsid w:val="00DB11F6"/>
    <w:rsid w:val="00DB33FF"/>
    <w:rsid w:val="00DB355F"/>
    <w:rsid w:val="00DB3AE4"/>
    <w:rsid w:val="00DB44D8"/>
    <w:rsid w:val="00DB5272"/>
    <w:rsid w:val="00DB5A6C"/>
    <w:rsid w:val="00DB6634"/>
    <w:rsid w:val="00DB6679"/>
    <w:rsid w:val="00DB6A55"/>
    <w:rsid w:val="00DB6C3F"/>
    <w:rsid w:val="00DB7041"/>
    <w:rsid w:val="00DB71DC"/>
    <w:rsid w:val="00DB74D6"/>
    <w:rsid w:val="00DB75F7"/>
    <w:rsid w:val="00DB76BF"/>
    <w:rsid w:val="00DB7834"/>
    <w:rsid w:val="00DB7B76"/>
    <w:rsid w:val="00DB7CC1"/>
    <w:rsid w:val="00DB7D8A"/>
    <w:rsid w:val="00DC09F6"/>
    <w:rsid w:val="00DC0B1E"/>
    <w:rsid w:val="00DC139D"/>
    <w:rsid w:val="00DC173C"/>
    <w:rsid w:val="00DC1851"/>
    <w:rsid w:val="00DC18C4"/>
    <w:rsid w:val="00DC1E55"/>
    <w:rsid w:val="00DC224D"/>
    <w:rsid w:val="00DC237F"/>
    <w:rsid w:val="00DC24EC"/>
    <w:rsid w:val="00DC28D8"/>
    <w:rsid w:val="00DC296E"/>
    <w:rsid w:val="00DC2EBF"/>
    <w:rsid w:val="00DC2FAF"/>
    <w:rsid w:val="00DC3057"/>
    <w:rsid w:val="00DC33D7"/>
    <w:rsid w:val="00DC395B"/>
    <w:rsid w:val="00DC44B1"/>
    <w:rsid w:val="00DC655C"/>
    <w:rsid w:val="00DC6EBF"/>
    <w:rsid w:val="00DC7B4C"/>
    <w:rsid w:val="00DC7E01"/>
    <w:rsid w:val="00DD04B8"/>
    <w:rsid w:val="00DD1E30"/>
    <w:rsid w:val="00DD2270"/>
    <w:rsid w:val="00DD27FF"/>
    <w:rsid w:val="00DD2E7B"/>
    <w:rsid w:val="00DD34B9"/>
    <w:rsid w:val="00DD34D4"/>
    <w:rsid w:val="00DD34D5"/>
    <w:rsid w:val="00DD3EC1"/>
    <w:rsid w:val="00DD4156"/>
    <w:rsid w:val="00DD4913"/>
    <w:rsid w:val="00DD524E"/>
    <w:rsid w:val="00DD5569"/>
    <w:rsid w:val="00DD5715"/>
    <w:rsid w:val="00DD5A2F"/>
    <w:rsid w:val="00DD628E"/>
    <w:rsid w:val="00DD62D9"/>
    <w:rsid w:val="00DD63A1"/>
    <w:rsid w:val="00DD64CF"/>
    <w:rsid w:val="00DD67BC"/>
    <w:rsid w:val="00DD6D18"/>
    <w:rsid w:val="00DD6F4F"/>
    <w:rsid w:val="00DD71A9"/>
    <w:rsid w:val="00DD7CC4"/>
    <w:rsid w:val="00DE085C"/>
    <w:rsid w:val="00DE0AF0"/>
    <w:rsid w:val="00DE1CB9"/>
    <w:rsid w:val="00DE1D94"/>
    <w:rsid w:val="00DE20CF"/>
    <w:rsid w:val="00DE2B3A"/>
    <w:rsid w:val="00DE3003"/>
    <w:rsid w:val="00DE3141"/>
    <w:rsid w:val="00DE3ED1"/>
    <w:rsid w:val="00DE60F8"/>
    <w:rsid w:val="00DE633B"/>
    <w:rsid w:val="00DE64F8"/>
    <w:rsid w:val="00DE6808"/>
    <w:rsid w:val="00DE6A3C"/>
    <w:rsid w:val="00DE6C4B"/>
    <w:rsid w:val="00DE715E"/>
    <w:rsid w:val="00DE78BF"/>
    <w:rsid w:val="00DE7AA0"/>
    <w:rsid w:val="00DE7B62"/>
    <w:rsid w:val="00DF0887"/>
    <w:rsid w:val="00DF13FF"/>
    <w:rsid w:val="00DF14B4"/>
    <w:rsid w:val="00DF1A08"/>
    <w:rsid w:val="00DF262C"/>
    <w:rsid w:val="00DF2E0E"/>
    <w:rsid w:val="00DF3269"/>
    <w:rsid w:val="00DF3317"/>
    <w:rsid w:val="00DF36AC"/>
    <w:rsid w:val="00DF40B1"/>
    <w:rsid w:val="00DF480A"/>
    <w:rsid w:val="00DF4E86"/>
    <w:rsid w:val="00DF5344"/>
    <w:rsid w:val="00DF54F9"/>
    <w:rsid w:val="00DF5576"/>
    <w:rsid w:val="00DF5D39"/>
    <w:rsid w:val="00DF63E1"/>
    <w:rsid w:val="00DF70DF"/>
    <w:rsid w:val="00DF740F"/>
    <w:rsid w:val="00DF77A0"/>
    <w:rsid w:val="00DF7A78"/>
    <w:rsid w:val="00E00254"/>
    <w:rsid w:val="00E0062E"/>
    <w:rsid w:val="00E0082A"/>
    <w:rsid w:val="00E00A85"/>
    <w:rsid w:val="00E01008"/>
    <w:rsid w:val="00E010B9"/>
    <w:rsid w:val="00E011ED"/>
    <w:rsid w:val="00E012CC"/>
    <w:rsid w:val="00E02B1B"/>
    <w:rsid w:val="00E02EB1"/>
    <w:rsid w:val="00E0335A"/>
    <w:rsid w:val="00E03AB3"/>
    <w:rsid w:val="00E03BF6"/>
    <w:rsid w:val="00E03DEE"/>
    <w:rsid w:val="00E04246"/>
    <w:rsid w:val="00E046CF"/>
    <w:rsid w:val="00E049B1"/>
    <w:rsid w:val="00E049F7"/>
    <w:rsid w:val="00E04A9D"/>
    <w:rsid w:val="00E04B79"/>
    <w:rsid w:val="00E04BD9"/>
    <w:rsid w:val="00E04E38"/>
    <w:rsid w:val="00E055A3"/>
    <w:rsid w:val="00E05A97"/>
    <w:rsid w:val="00E05ADB"/>
    <w:rsid w:val="00E067B0"/>
    <w:rsid w:val="00E07168"/>
    <w:rsid w:val="00E07247"/>
    <w:rsid w:val="00E07268"/>
    <w:rsid w:val="00E07363"/>
    <w:rsid w:val="00E076DF"/>
    <w:rsid w:val="00E100F3"/>
    <w:rsid w:val="00E10DA3"/>
    <w:rsid w:val="00E11194"/>
    <w:rsid w:val="00E11EF0"/>
    <w:rsid w:val="00E12519"/>
    <w:rsid w:val="00E129F9"/>
    <w:rsid w:val="00E12BA6"/>
    <w:rsid w:val="00E12C8B"/>
    <w:rsid w:val="00E132B1"/>
    <w:rsid w:val="00E154F2"/>
    <w:rsid w:val="00E156CD"/>
    <w:rsid w:val="00E15C70"/>
    <w:rsid w:val="00E15EC2"/>
    <w:rsid w:val="00E15F54"/>
    <w:rsid w:val="00E16032"/>
    <w:rsid w:val="00E1666C"/>
    <w:rsid w:val="00E16776"/>
    <w:rsid w:val="00E168D7"/>
    <w:rsid w:val="00E16A0E"/>
    <w:rsid w:val="00E16E13"/>
    <w:rsid w:val="00E16EEE"/>
    <w:rsid w:val="00E1725F"/>
    <w:rsid w:val="00E1731E"/>
    <w:rsid w:val="00E17CE9"/>
    <w:rsid w:val="00E209A9"/>
    <w:rsid w:val="00E20D92"/>
    <w:rsid w:val="00E21FF1"/>
    <w:rsid w:val="00E22A14"/>
    <w:rsid w:val="00E22ACA"/>
    <w:rsid w:val="00E22DDD"/>
    <w:rsid w:val="00E236B0"/>
    <w:rsid w:val="00E239A8"/>
    <w:rsid w:val="00E23B56"/>
    <w:rsid w:val="00E23DF4"/>
    <w:rsid w:val="00E245EB"/>
    <w:rsid w:val="00E24681"/>
    <w:rsid w:val="00E24897"/>
    <w:rsid w:val="00E249ED"/>
    <w:rsid w:val="00E25611"/>
    <w:rsid w:val="00E25B92"/>
    <w:rsid w:val="00E25C40"/>
    <w:rsid w:val="00E271A9"/>
    <w:rsid w:val="00E2753C"/>
    <w:rsid w:val="00E27589"/>
    <w:rsid w:val="00E27E84"/>
    <w:rsid w:val="00E305DA"/>
    <w:rsid w:val="00E3063D"/>
    <w:rsid w:val="00E306D5"/>
    <w:rsid w:val="00E30DAA"/>
    <w:rsid w:val="00E31AC8"/>
    <w:rsid w:val="00E322D9"/>
    <w:rsid w:val="00E32A27"/>
    <w:rsid w:val="00E32DB5"/>
    <w:rsid w:val="00E32E16"/>
    <w:rsid w:val="00E330E7"/>
    <w:rsid w:val="00E331A6"/>
    <w:rsid w:val="00E3379D"/>
    <w:rsid w:val="00E337BB"/>
    <w:rsid w:val="00E35000"/>
    <w:rsid w:val="00E3565A"/>
    <w:rsid w:val="00E35899"/>
    <w:rsid w:val="00E35C28"/>
    <w:rsid w:val="00E36C5D"/>
    <w:rsid w:val="00E36E2E"/>
    <w:rsid w:val="00E371FE"/>
    <w:rsid w:val="00E37350"/>
    <w:rsid w:val="00E37C56"/>
    <w:rsid w:val="00E37E7A"/>
    <w:rsid w:val="00E40386"/>
    <w:rsid w:val="00E405E5"/>
    <w:rsid w:val="00E40880"/>
    <w:rsid w:val="00E40A96"/>
    <w:rsid w:val="00E4236C"/>
    <w:rsid w:val="00E42660"/>
    <w:rsid w:val="00E42755"/>
    <w:rsid w:val="00E42970"/>
    <w:rsid w:val="00E44A04"/>
    <w:rsid w:val="00E44A3B"/>
    <w:rsid w:val="00E44BFF"/>
    <w:rsid w:val="00E44E57"/>
    <w:rsid w:val="00E45033"/>
    <w:rsid w:val="00E451FD"/>
    <w:rsid w:val="00E453E1"/>
    <w:rsid w:val="00E454F2"/>
    <w:rsid w:val="00E459A8"/>
    <w:rsid w:val="00E45A8F"/>
    <w:rsid w:val="00E46A49"/>
    <w:rsid w:val="00E47794"/>
    <w:rsid w:val="00E47A60"/>
    <w:rsid w:val="00E47D3E"/>
    <w:rsid w:val="00E50D2C"/>
    <w:rsid w:val="00E52E78"/>
    <w:rsid w:val="00E531F7"/>
    <w:rsid w:val="00E53687"/>
    <w:rsid w:val="00E53C56"/>
    <w:rsid w:val="00E543DE"/>
    <w:rsid w:val="00E546AC"/>
    <w:rsid w:val="00E550E3"/>
    <w:rsid w:val="00E55183"/>
    <w:rsid w:val="00E553C9"/>
    <w:rsid w:val="00E55400"/>
    <w:rsid w:val="00E55A52"/>
    <w:rsid w:val="00E55C44"/>
    <w:rsid w:val="00E55EE6"/>
    <w:rsid w:val="00E5621E"/>
    <w:rsid w:val="00E56961"/>
    <w:rsid w:val="00E56D0F"/>
    <w:rsid w:val="00E570DA"/>
    <w:rsid w:val="00E57148"/>
    <w:rsid w:val="00E5779A"/>
    <w:rsid w:val="00E57E3A"/>
    <w:rsid w:val="00E57FA0"/>
    <w:rsid w:val="00E6018F"/>
    <w:rsid w:val="00E60E25"/>
    <w:rsid w:val="00E60FF9"/>
    <w:rsid w:val="00E611FA"/>
    <w:rsid w:val="00E61CB3"/>
    <w:rsid w:val="00E62053"/>
    <w:rsid w:val="00E6286E"/>
    <w:rsid w:val="00E62ACA"/>
    <w:rsid w:val="00E62C1C"/>
    <w:rsid w:val="00E63AC8"/>
    <w:rsid w:val="00E6486F"/>
    <w:rsid w:val="00E65328"/>
    <w:rsid w:val="00E65438"/>
    <w:rsid w:val="00E66393"/>
    <w:rsid w:val="00E663AF"/>
    <w:rsid w:val="00E66806"/>
    <w:rsid w:val="00E66A14"/>
    <w:rsid w:val="00E66A2B"/>
    <w:rsid w:val="00E66A85"/>
    <w:rsid w:val="00E66BD3"/>
    <w:rsid w:val="00E66DAC"/>
    <w:rsid w:val="00E67C10"/>
    <w:rsid w:val="00E70724"/>
    <w:rsid w:val="00E714A4"/>
    <w:rsid w:val="00E725AE"/>
    <w:rsid w:val="00E726CA"/>
    <w:rsid w:val="00E72FA7"/>
    <w:rsid w:val="00E7365C"/>
    <w:rsid w:val="00E73E30"/>
    <w:rsid w:val="00E73F05"/>
    <w:rsid w:val="00E73F18"/>
    <w:rsid w:val="00E74DB5"/>
    <w:rsid w:val="00E7556C"/>
    <w:rsid w:val="00E7569C"/>
    <w:rsid w:val="00E759AF"/>
    <w:rsid w:val="00E767BE"/>
    <w:rsid w:val="00E76835"/>
    <w:rsid w:val="00E76B4C"/>
    <w:rsid w:val="00E8059E"/>
    <w:rsid w:val="00E805B1"/>
    <w:rsid w:val="00E82798"/>
    <w:rsid w:val="00E82830"/>
    <w:rsid w:val="00E83424"/>
    <w:rsid w:val="00E83C94"/>
    <w:rsid w:val="00E84755"/>
    <w:rsid w:val="00E8535D"/>
    <w:rsid w:val="00E85613"/>
    <w:rsid w:val="00E8638D"/>
    <w:rsid w:val="00E86649"/>
    <w:rsid w:val="00E86F00"/>
    <w:rsid w:val="00E87335"/>
    <w:rsid w:val="00E87984"/>
    <w:rsid w:val="00E903BB"/>
    <w:rsid w:val="00E90715"/>
    <w:rsid w:val="00E90912"/>
    <w:rsid w:val="00E90EB9"/>
    <w:rsid w:val="00E91065"/>
    <w:rsid w:val="00E9123E"/>
    <w:rsid w:val="00E91CE1"/>
    <w:rsid w:val="00E92451"/>
    <w:rsid w:val="00E92714"/>
    <w:rsid w:val="00E93370"/>
    <w:rsid w:val="00E93BD4"/>
    <w:rsid w:val="00E93CAB"/>
    <w:rsid w:val="00E93EBB"/>
    <w:rsid w:val="00E94047"/>
    <w:rsid w:val="00E945AA"/>
    <w:rsid w:val="00E94EF2"/>
    <w:rsid w:val="00E95EA5"/>
    <w:rsid w:val="00E96BC9"/>
    <w:rsid w:val="00E96C6B"/>
    <w:rsid w:val="00E96E61"/>
    <w:rsid w:val="00E97532"/>
    <w:rsid w:val="00EA048A"/>
    <w:rsid w:val="00EA0637"/>
    <w:rsid w:val="00EA0FD0"/>
    <w:rsid w:val="00EA11FB"/>
    <w:rsid w:val="00EA1646"/>
    <w:rsid w:val="00EA1690"/>
    <w:rsid w:val="00EA1CC6"/>
    <w:rsid w:val="00EA1E0F"/>
    <w:rsid w:val="00EA2518"/>
    <w:rsid w:val="00EA2549"/>
    <w:rsid w:val="00EA260F"/>
    <w:rsid w:val="00EA2A16"/>
    <w:rsid w:val="00EA2D77"/>
    <w:rsid w:val="00EA2DC3"/>
    <w:rsid w:val="00EA3415"/>
    <w:rsid w:val="00EA3459"/>
    <w:rsid w:val="00EA3646"/>
    <w:rsid w:val="00EA3882"/>
    <w:rsid w:val="00EA42E8"/>
    <w:rsid w:val="00EA4CBD"/>
    <w:rsid w:val="00EA4D49"/>
    <w:rsid w:val="00EA503F"/>
    <w:rsid w:val="00EA52F7"/>
    <w:rsid w:val="00EA55E9"/>
    <w:rsid w:val="00EA56A0"/>
    <w:rsid w:val="00EA6282"/>
    <w:rsid w:val="00EA6847"/>
    <w:rsid w:val="00EA72A3"/>
    <w:rsid w:val="00EA74BA"/>
    <w:rsid w:val="00EA75CA"/>
    <w:rsid w:val="00EB05B9"/>
    <w:rsid w:val="00EB0BA8"/>
    <w:rsid w:val="00EB1677"/>
    <w:rsid w:val="00EB1867"/>
    <w:rsid w:val="00EB19A0"/>
    <w:rsid w:val="00EB1C2F"/>
    <w:rsid w:val="00EB1CFE"/>
    <w:rsid w:val="00EB2530"/>
    <w:rsid w:val="00EB2931"/>
    <w:rsid w:val="00EB2ED1"/>
    <w:rsid w:val="00EB3226"/>
    <w:rsid w:val="00EB3544"/>
    <w:rsid w:val="00EB372C"/>
    <w:rsid w:val="00EB3799"/>
    <w:rsid w:val="00EB4244"/>
    <w:rsid w:val="00EB51E6"/>
    <w:rsid w:val="00EB5258"/>
    <w:rsid w:val="00EB5611"/>
    <w:rsid w:val="00EB589D"/>
    <w:rsid w:val="00EB5AF4"/>
    <w:rsid w:val="00EB63AE"/>
    <w:rsid w:val="00EB65D6"/>
    <w:rsid w:val="00EB674B"/>
    <w:rsid w:val="00EB6CD6"/>
    <w:rsid w:val="00EB70EA"/>
    <w:rsid w:val="00EB787D"/>
    <w:rsid w:val="00EB7C96"/>
    <w:rsid w:val="00EB7D39"/>
    <w:rsid w:val="00EC008C"/>
    <w:rsid w:val="00EC023E"/>
    <w:rsid w:val="00EC0725"/>
    <w:rsid w:val="00EC096C"/>
    <w:rsid w:val="00EC1C15"/>
    <w:rsid w:val="00EC1C4F"/>
    <w:rsid w:val="00EC202C"/>
    <w:rsid w:val="00EC22FB"/>
    <w:rsid w:val="00EC2530"/>
    <w:rsid w:val="00EC2AA0"/>
    <w:rsid w:val="00EC2B63"/>
    <w:rsid w:val="00EC30C8"/>
    <w:rsid w:val="00EC30F5"/>
    <w:rsid w:val="00EC42C6"/>
    <w:rsid w:val="00EC4A06"/>
    <w:rsid w:val="00EC5247"/>
    <w:rsid w:val="00EC55A4"/>
    <w:rsid w:val="00EC5BE3"/>
    <w:rsid w:val="00EC632D"/>
    <w:rsid w:val="00EC6F8F"/>
    <w:rsid w:val="00EC7223"/>
    <w:rsid w:val="00EC773C"/>
    <w:rsid w:val="00EC7830"/>
    <w:rsid w:val="00EC7B16"/>
    <w:rsid w:val="00EC7C93"/>
    <w:rsid w:val="00ED0220"/>
    <w:rsid w:val="00ED03D4"/>
    <w:rsid w:val="00ED0930"/>
    <w:rsid w:val="00ED0D40"/>
    <w:rsid w:val="00ED0D58"/>
    <w:rsid w:val="00ED1DFF"/>
    <w:rsid w:val="00ED1E85"/>
    <w:rsid w:val="00ED2823"/>
    <w:rsid w:val="00ED2D3C"/>
    <w:rsid w:val="00ED2E58"/>
    <w:rsid w:val="00ED2ECC"/>
    <w:rsid w:val="00ED31F2"/>
    <w:rsid w:val="00ED357A"/>
    <w:rsid w:val="00ED3C55"/>
    <w:rsid w:val="00ED4B3F"/>
    <w:rsid w:val="00ED4C13"/>
    <w:rsid w:val="00ED52B4"/>
    <w:rsid w:val="00ED535E"/>
    <w:rsid w:val="00ED6032"/>
    <w:rsid w:val="00ED6F7F"/>
    <w:rsid w:val="00ED7454"/>
    <w:rsid w:val="00ED75FA"/>
    <w:rsid w:val="00ED761C"/>
    <w:rsid w:val="00ED7E9C"/>
    <w:rsid w:val="00EE0195"/>
    <w:rsid w:val="00EE024E"/>
    <w:rsid w:val="00EE088C"/>
    <w:rsid w:val="00EE0BF5"/>
    <w:rsid w:val="00EE0D1A"/>
    <w:rsid w:val="00EE11ED"/>
    <w:rsid w:val="00EE12DA"/>
    <w:rsid w:val="00EE1985"/>
    <w:rsid w:val="00EE1CF9"/>
    <w:rsid w:val="00EE3568"/>
    <w:rsid w:val="00EE43E8"/>
    <w:rsid w:val="00EE473B"/>
    <w:rsid w:val="00EE5380"/>
    <w:rsid w:val="00EE6318"/>
    <w:rsid w:val="00EE65AD"/>
    <w:rsid w:val="00EE676B"/>
    <w:rsid w:val="00EE748F"/>
    <w:rsid w:val="00EE78C4"/>
    <w:rsid w:val="00EE7D31"/>
    <w:rsid w:val="00EE7DE4"/>
    <w:rsid w:val="00EF0388"/>
    <w:rsid w:val="00EF0EB9"/>
    <w:rsid w:val="00EF1B80"/>
    <w:rsid w:val="00EF24BB"/>
    <w:rsid w:val="00EF298F"/>
    <w:rsid w:val="00EF2EA3"/>
    <w:rsid w:val="00EF3389"/>
    <w:rsid w:val="00EF37F2"/>
    <w:rsid w:val="00EF39E4"/>
    <w:rsid w:val="00EF4138"/>
    <w:rsid w:val="00EF4144"/>
    <w:rsid w:val="00EF49E7"/>
    <w:rsid w:val="00EF5931"/>
    <w:rsid w:val="00EF5A33"/>
    <w:rsid w:val="00EF60F5"/>
    <w:rsid w:val="00EF610E"/>
    <w:rsid w:val="00EF651D"/>
    <w:rsid w:val="00EF6988"/>
    <w:rsid w:val="00EF6A91"/>
    <w:rsid w:val="00EF73B6"/>
    <w:rsid w:val="00EF7540"/>
    <w:rsid w:val="00EF7894"/>
    <w:rsid w:val="00EF7896"/>
    <w:rsid w:val="00EF789B"/>
    <w:rsid w:val="00EF7C76"/>
    <w:rsid w:val="00EF7E6B"/>
    <w:rsid w:val="00F003A5"/>
    <w:rsid w:val="00F0051D"/>
    <w:rsid w:val="00F005D2"/>
    <w:rsid w:val="00F00727"/>
    <w:rsid w:val="00F0073A"/>
    <w:rsid w:val="00F009D4"/>
    <w:rsid w:val="00F00EA7"/>
    <w:rsid w:val="00F00F25"/>
    <w:rsid w:val="00F0104B"/>
    <w:rsid w:val="00F0106D"/>
    <w:rsid w:val="00F01569"/>
    <w:rsid w:val="00F01A23"/>
    <w:rsid w:val="00F01CC6"/>
    <w:rsid w:val="00F01F7B"/>
    <w:rsid w:val="00F0201B"/>
    <w:rsid w:val="00F0246D"/>
    <w:rsid w:val="00F02485"/>
    <w:rsid w:val="00F02D31"/>
    <w:rsid w:val="00F03051"/>
    <w:rsid w:val="00F0422B"/>
    <w:rsid w:val="00F0456F"/>
    <w:rsid w:val="00F04D42"/>
    <w:rsid w:val="00F05306"/>
    <w:rsid w:val="00F054C8"/>
    <w:rsid w:val="00F05745"/>
    <w:rsid w:val="00F05B44"/>
    <w:rsid w:val="00F05CD8"/>
    <w:rsid w:val="00F066B3"/>
    <w:rsid w:val="00F06A70"/>
    <w:rsid w:val="00F11449"/>
    <w:rsid w:val="00F115CB"/>
    <w:rsid w:val="00F126C1"/>
    <w:rsid w:val="00F12B87"/>
    <w:rsid w:val="00F13604"/>
    <w:rsid w:val="00F13E45"/>
    <w:rsid w:val="00F13E65"/>
    <w:rsid w:val="00F147AB"/>
    <w:rsid w:val="00F153C4"/>
    <w:rsid w:val="00F15CF9"/>
    <w:rsid w:val="00F16319"/>
    <w:rsid w:val="00F166B5"/>
    <w:rsid w:val="00F16EFA"/>
    <w:rsid w:val="00F1703B"/>
    <w:rsid w:val="00F17631"/>
    <w:rsid w:val="00F17936"/>
    <w:rsid w:val="00F2110A"/>
    <w:rsid w:val="00F21343"/>
    <w:rsid w:val="00F2168C"/>
    <w:rsid w:val="00F21BE5"/>
    <w:rsid w:val="00F21CAE"/>
    <w:rsid w:val="00F21D13"/>
    <w:rsid w:val="00F22B70"/>
    <w:rsid w:val="00F22C79"/>
    <w:rsid w:val="00F22E86"/>
    <w:rsid w:val="00F22FE2"/>
    <w:rsid w:val="00F23244"/>
    <w:rsid w:val="00F23A51"/>
    <w:rsid w:val="00F2415B"/>
    <w:rsid w:val="00F24A80"/>
    <w:rsid w:val="00F25502"/>
    <w:rsid w:val="00F2578B"/>
    <w:rsid w:val="00F258A3"/>
    <w:rsid w:val="00F262A2"/>
    <w:rsid w:val="00F26937"/>
    <w:rsid w:val="00F26B26"/>
    <w:rsid w:val="00F26E45"/>
    <w:rsid w:val="00F278B4"/>
    <w:rsid w:val="00F27AAB"/>
    <w:rsid w:val="00F27D8A"/>
    <w:rsid w:val="00F30631"/>
    <w:rsid w:val="00F312FD"/>
    <w:rsid w:val="00F3137B"/>
    <w:rsid w:val="00F3142E"/>
    <w:rsid w:val="00F31ACB"/>
    <w:rsid w:val="00F31DDC"/>
    <w:rsid w:val="00F3201B"/>
    <w:rsid w:val="00F32DBA"/>
    <w:rsid w:val="00F32F3F"/>
    <w:rsid w:val="00F336FF"/>
    <w:rsid w:val="00F353EA"/>
    <w:rsid w:val="00F354B8"/>
    <w:rsid w:val="00F35B2F"/>
    <w:rsid w:val="00F35BDC"/>
    <w:rsid w:val="00F36193"/>
    <w:rsid w:val="00F363E4"/>
    <w:rsid w:val="00F37686"/>
    <w:rsid w:val="00F37E3A"/>
    <w:rsid w:val="00F401AF"/>
    <w:rsid w:val="00F401C6"/>
    <w:rsid w:val="00F4064A"/>
    <w:rsid w:val="00F406AF"/>
    <w:rsid w:val="00F40DBA"/>
    <w:rsid w:val="00F42EC5"/>
    <w:rsid w:val="00F4345B"/>
    <w:rsid w:val="00F447D3"/>
    <w:rsid w:val="00F44E31"/>
    <w:rsid w:val="00F453EA"/>
    <w:rsid w:val="00F46DC0"/>
    <w:rsid w:val="00F477E8"/>
    <w:rsid w:val="00F4780B"/>
    <w:rsid w:val="00F501D6"/>
    <w:rsid w:val="00F504A3"/>
    <w:rsid w:val="00F50513"/>
    <w:rsid w:val="00F505BC"/>
    <w:rsid w:val="00F5073E"/>
    <w:rsid w:val="00F507AB"/>
    <w:rsid w:val="00F5169F"/>
    <w:rsid w:val="00F52084"/>
    <w:rsid w:val="00F52124"/>
    <w:rsid w:val="00F52E63"/>
    <w:rsid w:val="00F530A3"/>
    <w:rsid w:val="00F531F1"/>
    <w:rsid w:val="00F531F9"/>
    <w:rsid w:val="00F538F4"/>
    <w:rsid w:val="00F539C0"/>
    <w:rsid w:val="00F53E71"/>
    <w:rsid w:val="00F54139"/>
    <w:rsid w:val="00F544D7"/>
    <w:rsid w:val="00F54598"/>
    <w:rsid w:val="00F54A7C"/>
    <w:rsid w:val="00F5530A"/>
    <w:rsid w:val="00F55C78"/>
    <w:rsid w:val="00F561F4"/>
    <w:rsid w:val="00F562CF"/>
    <w:rsid w:val="00F5630A"/>
    <w:rsid w:val="00F56A18"/>
    <w:rsid w:val="00F57271"/>
    <w:rsid w:val="00F57FBF"/>
    <w:rsid w:val="00F60B61"/>
    <w:rsid w:val="00F61387"/>
    <w:rsid w:val="00F6186E"/>
    <w:rsid w:val="00F61B39"/>
    <w:rsid w:val="00F61DD9"/>
    <w:rsid w:val="00F61E25"/>
    <w:rsid w:val="00F633EE"/>
    <w:rsid w:val="00F63A35"/>
    <w:rsid w:val="00F63CA3"/>
    <w:rsid w:val="00F63F9C"/>
    <w:rsid w:val="00F64199"/>
    <w:rsid w:val="00F64D49"/>
    <w:rsid w:val="00F64F8F"/>
    <w:rsid w:val="00F65BE5"/>
    <w:rsid w:val="00F6659C"/>
    <w:rsid w:val="00F667F1"/>
    <w:rsid w:val="00F66B80"/>
    <w:rsid w:val="00F66D1B"/>
    <w:rsid w:val="00F670C6"/>
    <w:rsid w:val="00F70F81"/>
    <w:rsid w:val="00F72AD5"/>
    <w:rsid w:val="00F72B05"/>
    <w:rsid w:val="00F73556"/>
    <w:rsid w:val="00F735E4"/>
    <w:rsid w:val="00F7368E"/>
    <w:rsid w:val="00F73BCD"/>
    <w:rsid w:val="00F73D2E"/>
    <w:rsid w:val="00F74250"/>
    <w:rsid w:val="00F7490F"/>
    <w:rsid w:val="00F74AA6"/>
    <w:rsid w:val="00F75022"/>
    <w:rsid w:val="00F75A8F"/>
    <w:rsid w:val="00F76116"/>
    <w:rsid w:val="00F762BE"/>
    <w:rsid w:val="00F7681C"/>
    <w:rsid w:val="00F77D3D"/>
    <w:rsid w:val="00F80DD1"/>
    <w:rsid w:val="00F81503"/>
    <w:rsid w:val="00F81689"/>
    <w:rsid w:val="00F81777"/>
    <w:rsid w:val="00F81A5D"/>
    <w:rsid w:val="00F81F5A"/>
    <w:rsid w:val="00F82466"/>
    <w:rsid w:val="00F826AF"/>
    <w:rsid w:val="00F83EF1"/>
    <w:rsid w:val="00F84014"/>
    <w:rsid w:val="00F840F9"/>
    <w:rsid w:val="00F8417C"/>
    <w:rsid w:val="00F85A45"/>
    <w:rsid w:val="00F85B60"/>
    <w:rsid w:val="00F85DB1"/>
    <w:rsid w:val="00F8600F"/>
    <w:rsid w:val="00F86119"/>
    <w:rsid w:val="00F863F9"/>
    <w:rsid w:val="00F86EF6"/>
    <w:rsid w:val="00F87352"/>
    <w:rsid w:val="00F87E9B"/>
    <w:rsid w:val="00F903D5"/>
    <w:rsid w:val="00F90B4D"/>
    <w:rsid w:val="00F90CA1"/>
    <w:rsid w:val="00F90DBC"/>
    <w:rsid w:val="00F91045"/>
    <w:rsid w:val="00F91A15"/>
    <w:rsid w:val="00F91C2C"/>
    <w:rsid w:val="00F91DA8"/>
    <w:rsid w:val="00F9209E"/>
    <w:rsid w:val="00F9257D"/>
    <w:rsid w:val="00F92711"/>
    <w:rsid w:val="00F92E6D"/>
    <w:rsid w:val="00F93B1C"/>
    <w:rsid w:val="00F93DEF"/>
    <w:rsid w:val="00F94720"/>
    <w:rsid w:val="00F94A43"/>
    <w:rsid w:val="00F94CB7"/>
    <w:rsid w:val="00F95106"/>
    <w:rsid w:val="00F95523"/>
    <w:rsid w:val="00F958FC"/>
    <w:rsid w:val="00F95BE3"/>
    <w:rsid w:val="00F95E33"/>
    <w:rsid w:val="00F964BE"/>
    <w:rsid w:val="00F96609"/>
    <w:rsid w:val="00F966B6"/>
    <w:rsid w:val="00F9740E"/>
    <w:rsid w:val="00F979DD"/>
    <w:rsid w:val="00FA16C1"/>
    <w:rsid w:val="00FA1DCE"/>
    <w:rsid w:val="00FA2351"/>
    <w:rsid w:val="00FA2A5E"/>
    <w:rsid w:val="00FA3296"/>
    <w:rsid w:val="00FA36DF"/>
    <w:rsid w:val="00FA373B"/>
    <w:rsid w:val="00FA3C6A"/>
    <w:rsid w:val="00FA4FE2"/>
    <w:rsid w:val="00FA50E3"/>
    <w:rsid w:val="00FA566A"/>
    <w:rsid w:val="00FA572B"/>
    <w:rsid w:val="00FA58E6"/>
    <w:rsid w:val="00FA6000"/>
    <w:rsid w:val="00FA630F"/>
    <w:rsid w:val="00FA649F"/>
    <w:rsid w:val="00FA6758"/>
    <w:rsid w:val="00FA6D12"/>
    <w:rsid w:val="00FA7631"/>
    <w:rsid w:val="00FA79A0"/>
    <w:rsid w:val="00FA7C01"/>
    <w:rsid w:val="00FA7E07"/>
    <w:rsid w:val="00FB011A"/>
    <w:rsid w:val="00FB0338"/>
    <w:rsid w:val="00FB04D2"/>
    <w:rsid w:val="00FB0BBA"/>
    <w:rsid w:val="00FB0DE8"/>
    <w:rsid w:val="00FB0E51"/>
    <w:rsid w:val="00FB1000"/>
    <w:rsid w:val="00FB2213"/>
    <w:rsid w:val="00FB2298"/>
    <w:rsid w:val="00FB24F3"/>
    <w:rsid w:val="00FB2719"/>
    <w:rsid w:val="00FB2946"/>
    <w:rsid w:val="00FB38A6"/>
    <w:rsid w:val="00FB3BA3"/>
    <w:rsid w:val="00FB3DE7"/>
    <w:rsid w:val="00FB439A"/>
    <w:rsid w:val="00FB446A"/>
    <w:rsid w:val="00FB46E3"/>
    <w:rsid w:val="00FB4D5E"/>
    <w:rsid w:val="00FB527A"/>
    <w:rsid w:val="00FB5324"/>
    <w:rsid w:val="00FB5335"/>
    <w:rsid w:val="00FB5C91"/>
    <w:rsid w:val="00FB6148"/>
    <w:rsid w:val="00FB632A"/>
    <w:rsid w:val="00FB6CAB"/>
    <w:rsid w:val="00FB7381"/>
    <w:rsid w:val="00FB763C"/>
    <w:rsid w:val="00FB77F8"/>
    <w:rsid w:val="00FB7DE1"/>
    <w:rsid w:val="00FC0A47"/>
    <w:rsid w:val="00FC1009"/>
    <w:rsid w:val="00FC127C"/>
    <w:rsid w:val="00FC192E"/>
    <w:rsid w:val="00FC1EFD"/>
    <w:rsid w:val="00FC1F4F"/>
    <w:rsid w:val="00FC2C35"/>
    <w:rsid w:val="00FC37F9"/>
    <w:rsid w:val="00FC4B68"/>
    <w:rsid w:val="00FC4BF7"/>
    <w:rsid w:val="00FC57BD"/>
    <w:rsid w:val="00FC5C56"/>
    <w:rsid w:val="00FC6CF1"/>
    <w:rsid w:val="00FC74F2"/>
    <w:rsid w:val="00FC76CE"/>
    <w:rsid w:val="00FC79EA"/>
    <w:rsid w:val="00FD0C6F"/>
    <w:rsid w:val="00FD0F0F"/>
    <w:rsid w:val="00FD1340"/>
    <w:rsid w:val="00FD15DB"/>
    <w:rsid w:val="00FD1800"/>
    <w:rsid w:val="00FD2493"/>
    <w:rsid w:val="00FD3C0A"/>
    <w:rsid w:val="00FD450B"/>
    <w:rsid w:val="00FD46F8"/>
    <w:rsid w:val="00FD485B"/>
    <w:rsid w:val="00FD578D"/>
    <w:rsid w:val="00FD5A1C"/>
    <w:rsid w:val="00FD651B"/>
    <w:rsid w:val="00FD6B42"/>
    <w:rsid w:val="00FD6BCD"/>
    <w:rsid w:val="00FD6D9D"/>
    <w:rsid w:val="00FD7472"/>
    <w:rsid w:val="00FD7836"/>
    <w:rsid w:val="00FD7BF2"/>
    <w:rsid w:val="00FD7DBD"/>
    <w:rsid w:val="00FE0020"/>
    <w:rsid w:val="00FE03D0"/>
    <w:rsid w:val="00FE0DAE"/>
    <w:rsid w:val="00FE0EAB"/>
    <w:rsid w:val="00FE1C9D"/>
    <w:rsid w:val="00FE2188"/>
    <w:rsid w:val="00FE25A0"/>
    <w:rsid w:val="00FE27E0"/>
    <w:rsid w:val="00FE2972"/>
    <w:rsid w:val="00FE2D25"/>
    <w:rsid w:val="00FE30A3"/>
    <w:rsid w:val="00FE3627"/>
    <w:rsid w:val="00FE38D9"/>
    <w:rsid w:val="00FE3A76"/>
    <w:rsid w:val="00FE3A79"/>
    <w:rsid w:val="00FE3C67"/>
    <w:rsid w:val="00FE4023"/>
    <w:rsid w:val="00FE41B2"/>
    <w:rsid w:val="00FE45C4"/>
    <w:rsid w:val="00FE5A24"/>
    <w:rsid w:val="00FE5B5B"/>
    <w:rsid w:val="00FE5B70"/>
    <w:rsid w:val="00FE60DD"/>
    <w:rsid w:val="00FE745E"/>
    <w:rsid w:val="00FE75A4"/>
    <w:rsid w:val="00FE75D5"/>
    <w:rsid w:val="00FE75E3"/>
    <w:rsid w:val="00FF082A"/>
    <w:rsid w:val="00FF15F0"/>
    <w:rsid w:val="00FF1DED"/>
    <w:rsid w:val="00FF336D"/>
    <w:rsid w:val="00FF3701"/>
    <w:rsid w:val="00FF3EEA"/>
    <w:rsid w:val="00FF5071"/>
    <w:rsid w:val="00FF5184"/>
    <w:rsid w:val="00FF54BB"/>
    <w:rsid w:val="00FF5600"/>
    <w:rsid w:val="00FF5F6B"/>
    <w:rsid w:val="00FF5F78"/>
    <w:rsid w:val="00FF6183"/>
    <w:rsid w:val="00FF6272"/>
    <w:rsid w:val="00FF63A0"/>
    <w:rsid w:val="00FF653D"/>
    <w:rsid w:val="00FF69A2"/>
    <w:rsid w:val="00FF6BE9"/>
    <w:rsid w:val="00FF6C5C"/>
    <w:rsid w:val="00FF710F"/>
    <w:rsid w:val="00FF7CEC"/>
    <w:rsid w:val="010655A2"/>
    <w:rsid w:val="010C4833"/>
    <w:rsid w:val="010C5E15"/>
    <w:rsid w:val="010E1EC8"/>
    <w:rsid w:val="010E7117"/>
    <w:rsid w:val="011473B7"/>
    <w:rsid w:val="01162FD7"/>
    <w:rsid w:val="011832C4"/>
    <w:rsid w:val="01197F1F"/>
    <w:rsid w:val="011D2DDF"/>
    <w:rsid w:val="01200D28"/>
    <w:rsid w:val="01217180"/>
    <w:rsid w:val="01247F61"/>
    <w:rsid w:val="012544D6"/>
    <w:rsid w:val="012B64AF"/>
    <w:rsid w:val="012F591E"/>
    <w:rsid w:val="01313179"/>
    <w:rsid w:val="0136417B"/>
    <w:rsid w:val="013A4168"/>
    <w:rsid w:val="013C16C2"/>
    <w:rsid w:val="013C4C9E"/>
    <w:rsid w:val="013C757C"/>
    <w:rsid w:val="013D45FE"/>
    <w:rsid w:val="014337F8"/>
    <w:rsid w:val="01444924"/>
    <w:rsid w:val="014E5113"/>
    <w:rsid w:val="014F1794"/>
    <w:rsid w:val="015123B9"/>
    <w:rsid w:val="01514515"/>
    <w:rsid w:val="01536538"/>
    <w:rsid w:val="01560FB4"/>
    <w:rsid w:val="01564BF5"/>
    <w:rsid w:val="015A5B7E"/>
    <w:rsid w:val="016B6AB5"/>
    <w:rsid w:val="0172589D"/>
    <w:rsid w:val="017370A1"/>
    <w:rsid w:val="017A1BCB"/>
    <w:rsid w:val="019127B6"/>
    <w:rsid w:val="019A5CB0"/>
    <w:rsid w:val="019B51C5"/>
    <w:rsid w:val="019D73AC"/>
    <w:rsid w:val="01A17CBB"/>
    <w:rsid w:val="01A7022B"/>
    <w:rsid w:val="01A753AC"/>
    <w:rsid w:val="01B256A2"/>
    <w:rsid w:val="01BE20F2"/>
    <w:rsid w:val="01C1249C"/>
    <w:rsid w:val="01C36F66"/>
    <w:rsid w:val="01C81F50"/>
    <w:rsid w:val="01CC20DF"/>
    <w:rsid w:val="01D03A33"/>
    <w:rsid w:val="01D84888"/>
    <w:rsid w:val="01DD7B21"/>
    <w:rsid w:val="01DF79CF"/>
    <w:rsid w:val="01E015AE"/>
    <w:rsid w:val="01E22BB5"/>
    <w:rsid w:val="01E23011"/>
    <w:rsid w:val="01E274B5"/>
    <w:rsid w:val="01E414B2"/>
    <w:rsid w:val="01E64624"/>
    <w:rsid w:val="01E70D5E"/>
    <w:rsid w:val="01E71506"/>
    <w:rsid w:val="01E80A81"/>
    <w:rsid w:val="01EA1CF7"/>
    <w:rsid w:val="01ED1BCF"/>
    <w:rsid w:val="01ED7E2C"/>
    <w:rsid w:val="01FE5434"/>
    <w:rsid w:val="0203289F"/>
    <w:rsid w:val="02034AEA"/>
    <w:rsid w:val="020923AA"/>
    <w:rsid w:val="021327A9"/>
    <w:rsid w:val="021963CC"/>
    <w:rsid w:val="02214D05"/>
    <w:rsid w:val="022A2464"/>
    <w:rsid w:val="022D3127"/>
    <w:rsid w:val="02370B76"/>
    <w:rsid w:val="023B2109"/>
    <w:rsid w:val="023C7EDE"/>
    <w:rsid w:val="023F5B23"/>
    <w:rsid w:val="02427F54"/>
    <w:rsid w:val="02482AAC"/>
    <w:rsid w:val="024A5CEF"/>
    <w:rsid w:val="024C752C"/>
    <w:rsid w:val="024D7A39"/>
    <w:rsid w:val="025008C3"/>
    <w:rsid w:val="02531CA3"/>
    <w:rsid w:val="02586E32"/>
    <w:rsid w:val="02594EE7"/>
    <w:rsid w:val="02595EC2"/>
    <w:rsid w:val="025A55ED"/>
    <w:rsid w:val="025A67AA"/>
    <w:rsid w:val="025D13F2"/>
    <w:rsid w:val="02636518"/>
    <w:rsid w:val="026378A7"/>
    <w:rsid w:val="02655B0B"/>
    <w:rsid w:val="02661E94"/>
    <w:rsid w:val="026659F0"/>
    <w:rsid w:val="026825AB"/>
    <w:rsid w:val="026A0A78"/>
    <w:rsid w:val="026A38A3"/>
    <w:rsid w:val="02783624"/>
    <w:rsid w:val="027A7E4F"/>
    <w:rsid w:val="027C43DB"/>
    <w:rsid w:val="027D5F16"/>
    <w:rsid w:val="027F6AB2"/>
    <w:rsid w:val="02875FCF"/>
    <w:rsid w:val="028E5BCE"/>
    <w:rsid w:val="02927999"/>
    <w:rsid w:val="029354A3"/>
    <w:rsid w:val="029506A9"/>
    <w:rsid w:val="029A5C54"/>
    <w:rsid w:val="029C00F5"/>
    <w:rsid w:val="029C7664"/>
    <w:rsid w:val="02A36C44"/>
    <w:rsid w:val="02A429BD"/>
    <w:rsid w:val="02A50ACA"/>
    <w:rsid w:val="02AE3703"/>
    <w:rsid w:val="02B0310F"/>
    <w:rsid w:val="02B10F41"/>
    <w:rsid w:val="02B20026"/>
    <w:rsid w:val="02B2411F"/>
    <w:rsid w:val="02B726F0"/>
    <w:rsid w:val="02B9536E"/>
    <w:rsid w:val="02BB66A5"/>
    <w:rsid w:val="02C03FFB"/>
    <w:rsid w:val="02C443A8"/>
    <w:rsid w:val="02C46BBB"/>
    <w:rsid w:val="02C70EF5"/>
    <w:rsid w:val="02C92192"/>
    <w:rsid w:val="02C95F7F"/>
    <w:rsid w:val="02CD6385"/>
    <w:rsid w:val="02CE1C55"/>
    <w:rsid w:val="02D00BBC"/>
    <w:rsid w:val="02D432A2"/>
    <w:rsid w:val="02D46DB3"/>
    <w:rsid w:val="02D74204"/>
    <w:rsid w:val="02D7536C"/>
    <w:rsid w:val="02E37041"/>
    <w:rsid w:val="02E64D83"/>
    <w:rsid w:val="02E67EE3"/>
    <w:rsid w:val="02E81B31"/>
    <w:rsid w:val="02ED5179"/>
    <w:rsid w:val="02EE269F"/>
    <w:rsid w:val="02EE6963"/>
    <w:rsid w:val="02F254D6"/>
    <w:rsid w:val="02F51C0E"/>
    <w:rsid w:val="02F70D3E"/>
    <w:rsid w:val="02F70F80"/>
    <w:rsid w:val="02F75787"/>
    <w:rsid w:val="02F76F90"/>
    <w:rsid w:val="02FB1C93"/>
    <w:rsid w:val="02FD7826"/>
    <w:rsid w:val="02FF58F8"/>
    <w:rsid w:val="02FF7BF3"/>
    <w:rsid w:val="03021B18"/>
    <w:rsid w:val="03032D3B"/>
    <w:rsid w:val="03086AA8"/>
    <w:rsid w:val="030C6716"/>
    <w:rsid w:val="030D0D1F"/>
    <w:rsid w:val="030E1CFE"/>
    <w:rsid w:val="0313159F"/>
    <w:rsid w:val="03161F29"/>
    <w:rsid w:val="031713E0"/>
    <w:rsid w:val="032D0B95"/>
    <w:rsid w:val="032D4F9A"/>
    <w:rsid w:val="033A4664"/>
    <w:rsid w:val="033D09EE"/>
    <w:rsid w:val="033D1D5A"/>
    <w:rsid w:val="033E411E"/>
    <w:rsid w:val="03413483"/>
    <w:rsid w:val="0345308A"/>
    <w:rsid w:val="03457CFC"/>
    <w:rsid w:val="03497EEA"/>
    <w:rsid w:val="03504F95"/>
    <w:rsid w:val="03555A65"/>
    <w:rsid w:val="0356075F"/>
    <w:rsid w:val="03596314"/>
    <w:rsid w:val="035D1DA6"/>
    <w:rsid w:val="03600692"/>
    <w:rsid w:val="03611902"/>
    <w:rsid w:val="03682F88"/>
    <w:rsid w:val="036C1BDF"/>
    <w:rsid w:val="036D2DAF"/>
    <w:rsid w:val="036E3160"/>
    <w:rsid w:val="036E6138"/>
    <w:rsid w:val="036F4D79"/>
    <w:rsid w:val="03704429"/>
    <w:rsid w:val="03714FFD"/>
    <w:rsid w:val="03726A49"/>
    <w:rsid w:val="03771E7F"/>
    <w:rsid w:val="037807E5"/>
    <w:rsid w:val="037D3E51"/>
    <w:rsid w:val="037D68B4"/>
    <w:rsid w:val="03800D34"/>
    <w:rsid w:val="0380478A"/>
    <w:rsid w:val="03811236"/>
    <w:rsid w:val="038451B4"/>
    <w:rsid w:val="03915FAB"/>
    <w:rsid w:val="03956FFF"/>
    <w:rsid w:val="03A1498E"/>
    <w:rsid w:val="03AD61CE"/>
    <w:rsid w:val="03B32B5C"/>
    <w:rsid w:val="03B4578D"/>
    <w:rsid w:val="03B46C2F"/>
    <w:rsid w:val="03B54872"/>
    <w:rsid w:val="03B95FF4"/>
    <w:rsid w:val="03C04AF7"/>
    <w:rsid w:val="03C3207F"/>
    <w:rsid w:val="03C86237"/>
    <w:rsid w:val="03C926DB"/>
    <w:rsid w:val="03CA1505"/>
    <w:rsid w:val="03D01228"/>
    <w:rsid w:val="03D047D4"/>
    <w:rsid w:val="03D24ED7"/>
    <w:rsid w:val="03D42EEA"/>
    <w:rsid w:val="03D45055"/>
    <w:rsid w:val="03D64E82"/>
    <w:rsid w:val="03D71CA5"/>
    <w:rsid w:val="03DB0759"/>
    <w:rsid w:val="03E249B3"/>
    <w:rsid w:val="03E7698E"/>
    <w:rsid w:val="03EA5586"/>
    <w:rsid w:val="03ED5320"/>
    <w:rsid w:val="03F375A3"/>
    <w:rsid w:val="03FB0462"/>
    <w:rsid w:val="03FC69E7"/>
    <w:rsid w:val="04052E66"/>
    <w:rsid w:val="0408579A"/>
    <w:rsid w:val="04094DCB"/>
    <w:rsid w:val="040F3F8E"/>
    <w:rsid w:val="0411576A"/>
    <w:rsid w:val="041678ED"/>
    <w:rsid w:val="04180066"/>
    <w:rsid w:val="041A739F"/>
    <w:rsid w:val="041F679F"/>
    <w:rsid w:val="042177DA"/>
    <w:rsid w:val="0428311F"/>
    <w:rsid w:val="0429367A"/>
    <w:rsid w:val="04294D98"/>
    <w:rsid w:val="042B5674"/>
    <w:rsid w:val="04322C06"/>
    <w:rsid w:val="04331E37"/>
    <w:rsid w:val="043F73EC"/>
    <w:rsid w:val="04474684"/>
    <w:rsid w:val="044C50BA"/>
    <w:rsid w:val="044C6B8D"/>
    <w:rsid w:val="044E56F3"/>
    <w:rsid w:val="044F4B2D"/>
    <w:rsid w:val="04543492"/>
    <w:rsid w:val="045452B7"/>
    <w:rsid w:val="045B52FD"/>
    <w:rsid w:val="045E2E8F"/>
    <w:rsid w:val="046274B1"/>
    <w:rsid w:val="046643CE"/>
    <w:rsid w:val="04675E05"/>
    <w:rsid w:val="046B2FCB"/>
    <w:rsid w:val="046E3061"/>
    <w:rsid w:val="04776F42"/>
    <w:rsid w:val="047A2EB4"/>
    <w:rsid w:val="047A75C2"/>
    <w:rsid w:val="047F70DC"/>
    <w:rsid w:val="048546EA"/>
    <w:rsid w:val="04896C3C"/>
    <w:rsid w:val="048C621A"/>
    <w:rsid w:val="04914983"/>
    <w:rsid w:val="04925621"/>
    <w:rsid w:val="04926F71"/>
    <w:rsid w:val="0498616F"/>
    <w:rsid w:val="049A1E34"/>
    <w:rsid w:val="049B7C6E"/>
    <w:rsid w:val="049F30FC"/>
    <w:rsid w:val="049F3FAA"/>
    <w:rsid w:val="04A01E56"/>
    <w:rsid w:val="04A278F1"/>
    <w:rsid w:val="04AC6351"/>
    <w:rsid w:val="04AE4A43"/>
    <w:rsid w:val="04B00B69"/>
    <w:rsid w:val="04B05649"/>
    <w:rsid w:val="04B239DE"/>
    <w:rsid w:val="04B25D3B"/>
    <w:rsid w:val="04B67CC9"/>
    <w:rsid w:val="04B758B6"/>
    <w:rsid w:val="04B82F5C"/>
    <w:rsid w:val="04B84979"/>
    <w:rsid w:val="04BA327C"/>
    <w:rsid w:val="04BC223F"/>
    <w:rsid w:val="04C904B8"/>
    <w:rsid w:val="04CD6FDD"/>
    <w:rsid w:val="04D779B9"/>
    <w:rsid w:val="04DA0918"/>
    <w:rsid w:val="04DA6C73"/>
    <w:rsid w:val="04E80538"/>
    <w:rsid w:val="04E87A8C"/>
    <w:rsid w:val="04EA4290"/>
    <w:rsid w:val="04EC5920"/>
    <w:rsid w:val="04EF43C3"/>
    <w:rsid w:val="04F26AA1"/>
    <w:rsid w:val="04F33C72"/>
    <w:rsid w:val="04F45EC4"/>
    <w:rsid w:val="04F82B4C"/>
    <w:rsid w:val="04F92836"/>
    <w:rsid w:val="04FE01EF"/>
    <w:rsid w:val="04FE7F9F"/>
    <w:rsid w:val="05002D4B"/>
    <w:rsid w:val="05053A7B"/>
    <w:rsid w:val="050E50E5"/>
    <w:rsid w:val="05107E95"/>
    <w:rsid w:val="05130784"/>
    <w:rsid w:val="05137986"/>
    <w:rsid w:val="05143E2A"/>
    <w:rsid w:val="05160245"/>
    <w:rsid w:val="051D7970"/>
    <w:rsid w:val="051F34D6"/>
    <w:rsid w:val="05237566"/>
    <w:rsid w:val="052404FF"/>
    <w:rsid w:val="052971A9"/>
    <w:rsid w:val="052B0E21"/>
    <w:rsid w:val="052E13C4"/>
    <w:rsid w:val="0530126A"/>
    <w:rsid w:val="053116F6"/>
    <w:rsid w:val="053C0564"/>
    <w:rsid w:val="053D179E"/>
    <w:rsid w:val="054109E1"/>
    <w:rsid w:val="05412745"/>
    <w:rsid w:val="05413C63"/>
    <w:rsid w:val="05452235"/>
    <w:rsid w:val="054A1045"/>
    <w:rsid w:val="054C619E"/>
    <w:rsid w:val="054D52F2"/>
    <w:rsid w:val="054E51F4"/>
    <w:rsid w:val="055033F9"/>
    <w:rsid w:val="0552470E"/>
    <w:rsid w:val="05532946"/>
    <w:rsid w:val="0559153F"/>
    <w:rsid w:val="055E2BE9"/>
    <w:rsid w:val="05675737"/>
    <w:rsid w:val="056900C2"/>
    <w:rsid w:val="056971B9"/>
    <w:rsid w:val="056C5A14"/>
    <w:rsid w:val="056F20A3"/>
    <w:rsid w:val="05704DC1"/>
    <w:rsid w:val="0571147B"/>
    <w:rsid w:val="05726F43"/>
    <w:rsid w:val="05734A91"/>
    <w:rsid w:val="057863D5"/>
    <w:rsid w:val="057E65B5"/>
    <w:rsid w:val="05815B77"/>
    <w:rsid w:val="05841259"/>
    <w:rsid w:val="05856AD5"/>
    <w:rsid w:val="05860AE5"/>
    <w:rsid w:val="05882122"/>
    <w:rsid w:val="05914E5F"/>
    <w:rsid w:val="059272BF"/>
    <w:rsid w:val="05942874"/>
    <w:rsid w:val="05943577"/>
    <w:rsid w:val="05950276"/>
    <w:rsid w:val="059565ED"/>
    <w:rsid w:val="05971933"/>
    <w:rsid w:val="0599715B"/>
    <w:rsid w:val="059B00A7"/>
    <w:rsid w:val="05A864A3"/>
    <w:rsid w:val="05AC73A1"/>
    <w:rsid w:val="05B33510"/>
    <w:rsid w:val="05B45DDF"/>
    <w:rsid w:val="05B9544F"/>
    <w:rsid w:val="05BA28F0"/>
    <w:rsid w:val="05BB5618"/>
    <w:rsid w:val="05BC1A61"/>
    <w:rsid w:val="05C9045F"/>
    <w:rsid w:val="05C943F5"/>
    <w:rsid w:val="05C96DAF"/>
    <w:rsid w:val="05CA5074"/>
    <w:rsid w:val="05CB2747"/>
    <w:rsid w:val="05CC3897"/>
    <w:rsid w:val="05CC6E57"/>
    <w:rsid w:val="05D0394B"/>
    <w:rsid w:val="05D23F59"/>
    <w:rsid w:val="05D50813"/>
    <w:rsid w:val="05DB04A3"/>
    <w:rsid w:val="05DB1181"/>
    <w:rsid w:val="05DD5A64"/>
    <w:rsid w:val="05E01F5E"/>
    <w:rsid w:val="05E160F2"/>
    <w:rsid w:val="05E342BE"/>
    <w:rsid w:val="05EA4B8A"/>
    <w:rsid w:val="05EE4B35"/>
    <w:rsid w:val="05F51706"/>
    <w:rsid w:val="06025CBD"/>
    <w:rsid w:val="06031125"/>
    <w:rsid w:val="06127E24"/>
    <w:rsid w:val="06174FC9"/>
    <w:rsid w:val="0620047B"/>
    <w:rsid w:val="062260D2"/>
    <w:rsid w:val="06252ACF"/>
    <w:rsid w:val="06253E14"/>
    <w:rsid w:val="06263CFB"/>
    <w:rsid w:val="062C1395"/>
    <w:rsid w:val="062C7D93"/>
    <w:rsid w:val="062D2926"/>
    <w:rsid w:val="062E62CB"/>
    <w:rsid w:val="06314567"/>
    <w:rsid w:val="06337F32"/>
    <w:rsid w:val="06374324"/>
    <w:rsid w:val="06386E82"/>
    <w:rsid w:val="063C4113"/>
    <w:rsid w:val="063F6787"/>
    <w:rsid w:val="06425657"/>
    <w:rsid w:val="06440BA2"/>
    <w:rsid w:val="06464601"/>
    <w:rsid w:val="064740F6"/>
    <w:rsid w:val="064C7899"/>
    <w:rsid w:val="064E676F"/>
    <w:rsid w:val="064E6EC7"/>
    <w:rsid w:val="06500E91"/>
    <w:rsid w:val="06507723"/>
    <w:rsid w:val="065C3A04"/>
    <w:rsid w:val="065D407D"/>
    <w:rsid w:val="065D710A"/>
    <w:rsid w:val="06604181"/>
    <w:rsid w:val="06655CF8"/>
    <w:rsid w:val="066837AF"/>
    <w:rsid w:val="066971DF"/>
    <w:rsid w:val="066C1A43"/>
    <w:rsid w:val="0671705A"/>
    <w:rsid w:val="06781924"/>
    <w:rsid w:val="067972B8"/>
    <w:rsid w:val="067A0774"/>
    <w:rsid w:val="067B5672"/>
    <w:rsid w:val="067E7F8E"/>
    <w:rsid w:val="067F52D3"/>
    <w:rsid w:val="06823E88"/>
    <w:rsid w:val="068404DA"/>
    <w:rsid w:val="06894493"/>
    <w:rsid w:val="06895061"/>
    <w:rsid w:val="068A12B8"/>
    <w:rsid w:val="068D09B5"/>
    <w:rsid w:val="06921130"/>
    <w:rsid w:val="069355D3"/>
    <w:rsid w:val="06974442"/>
    <w:rsid w:val="069A035E"/>
    <w:rsid w:val="069D39AB"/>
    <w:rsid w:val="06A0349B"/>
    <w:rsid w:val="06A305A3"/>
    <w:rsid w:val="06A905A2"/>
    <w:rsid w:val="06AA5AEC"/>
    <w:rsid w:val="06B5386B"/>
    <w:rsid w:val="06B81950"/>
    <w:rsid w:val="06C16EB4"/>
    <w:rsid w:val="06C21663"/>
    <w:rsid w:val="06C37A5E"/>
    <w:rsid w:val="06C51086"/>
    <w:rsid w:val="06C51E83"/>
    <w:rsid w:val="06D33B05"/>
    <w:rsid w:val="06D422A5"/>
    <w:rsid w:val="06DE24F0"/>
    <w:rsid w:val="06DF2215"/>
    <w:rsid w:val="06E06459"/>
    <w:rsid w:val="06E34014"/>
    <w:rsid w:val="06E54611"/>
    <w:rsid w:val="06E63FB9"/>
    <w:rsid w:val="06E672DF"/>
    <w:rsid w:val="06E710CA"/>
    <w:rsid w:val="06EA2918"/>
    <w:rsid w:val="06EB4A1E"/>
    <w:rsid w:val="06EB6E0C"/>
    <w:rsid w:val="06EE59D2"/>
    <w:rsid w:val="06F832D7"/>
    <w:rsid w:val="070659F4"/>
    <w:rsid w:val="07095027"/>
    <w:rsid w:val="070A64CF"/>
    <w:rsid w:val="070C2D9C"/>
    <w:rsid w:val="070F786C"/>
    <w:rsid w:val="07100975"/>
    <w:rsid w:val="07112BCD"/>
    <w:rsid w:val="07115D0D"/>
    <w:rsid w:val="07136746"/>
    <w:rsid w:val="07184F44"/>
    <w:rsid w:val="071E5DD5"/>
    <w:rsid w:val="0723095D"/>
    <w:rsid w:val="072639A0"/>
    <w:rsid w:val="072E39C5"/>
    <w:rsid w:val="072E3AB0"/>
    <w:rsid w:val="07302726"/>
    <w:rsid w:val="07321270"/>
    <w:rsid w:val="07333876"/>
    <w:rsid w:val="07351E35"/>
    <w:rsid w:val="07373ABA"/>
    <w:rsid w:val="073B0A10"/>
    <w:rsid w:val="073F521F"/>
    <w:rsid w:val="074215EE"/>
    <w:rsid w:val="07423951"/>
    <w:rsid w:val="0747744F"/>
    <w:rsid w:val="074945AD"/>
    <w:rsid w:val="074B3407"/>
    <w:rsid w:val="074C305D"/>
    <w:rsid w:val="074C5418"/>
    <w:rsid w:val="074D53D1"/>
    <w:rsid w:val="07520C39"/>
    <w:rsid w:val="07580F8D"/>
    <w:rsid w:val="075C5DF3"/>
    <w:rsid w:val="076646E5"/>
    <w:rsid w:val="076A47B3"/>
    <w:rsid w:val="076C2663"/>
    <w:rsid w:val="076E794A"/>
    <w:rsid w:val="076F17EB"/>
    <w:rsid w:val="07702B20"/>
    <w:rsid w:val="07787057"/>
    <w:rsid w:val="077A7E19"/>
    <w:rsid w:val="077E62B6"/>
    <w:rsid w:val="078723F4"/>
    <w:rsid w:val="078A03D3"/>
    <w:rsid w:val="078A0BDA"/>
    <w:rsid w:val="078A0DF5"/>
    <w:rsid w:val="07917CAA"/>
    <w:rsid w:val="079263EB"/>
    <w:rsid w:val="079C3C62"/>
    <w:rsid w:val="079F2B35"/>
    <w:rsid w:val="07A34818"/>
    <w:rsid w:val="07AB18D9"/>
    <w:rsid w:val="07AE3B04"/>
    <w:rsid w:val="07AF7E3A"/>
    <w:rsid w:val="07B35625"/>
    <w:rsid w:val="07B627BD"/>
    <w:rsid w:val="07BA363D"/>
    <w:rsid w:val="07BD20E0"/>
    <w:rsid w:val="07BD7B2C"/>
    <w:rsid w:val="07C6418F"/>
    <w:rsid w:val="07CB2327"/>
    <w:rsid w:val="07CB2F82"/>
    <w:rsid w:val="07CB35BD"/>
    <w:rsid w:val="07CB7104"/>
    <w:rsid w:val="07CB7F55"/>
    <w:rsid w:val="07CC279A"/>
    <w:rsid w:val="07CD6419"/>
    <w:rsid w:val="07CF228A"/>
    <w:rsid w:val="07D371FC"/>
    <w:rsid w:val="07D77390"/>
    <w:rsid w:val="07DB3861"/>
    <w:rsid w:val="07DB7818"/>
    <w:rsid w:val="07DC2DEC"/>
    <w:rsid w:val="07DC6755"/>
    <w:rsid w:val="07E102F6"/>
    <w:rsid w:val="07E5385B"/>
    <w:rsid w:val="07E57B14"/>
    <w:rsid w:val="07EA4131"/>
    <w:rsid w:val="07EC19EA"/>
    <w:rsid w:val="07EC4BEA"/>
    <w:rsid w:val="07F044FE"/>
    <w:rsid w:val="07F22232"/>
    <w:rsid w:val="07FB79E3"/>
    <w:rsid w:val="07FF37C7"/>
    <w:rsid w:val="07FF6A07"/>
    <w:rsid w:val="08031F33"/>
    <w:rsid w:val="0804125E"/>
    <w:rsid w:val="08055CAB"/>
    <w:rsid w:val="080C528C"/>
    <w:rsid w:val="080F2D79"/>
    <w:rsid w:val="080F4B40"/>
    <w:rsid w:val="0811670F"/>
    <w:rsid w:val="081355C5"/>
    <w:rsid w:val="08136C6A"/>
    <w:rsid w:val="08166865"/>
    <w:rsid w:val="08167EB9"/>
    <w:rsid w:val="081F1466"/>
    <w:rsid w:val="081F2D78"/>
    <w:rsid w:val="0821313F"/>
    <w:rsid w:val="082C6F4A"/>
    <w:rsid w:val="08300B52"/>
    <w:rsid w:val="083420ED"/>
    <w:rsid w:val="08375F38"/>
    <w:rsid w:val="08387E2F"/>
    <w:rsid w:val="083B392E"/>
    <w:rsid w:val="083C3D76"/>
    <w:rsid w:val="083F02AA"/>
    <w:rsid w:val="08422A5C"/>
    <w:rsid w:val="0843070D"/>
    <w:rsid w:val="084367D4"/>
    <w:rsid w:val="08450FED"/>
    <w:rsid w:val="08470D95"/>
    <w:rsid w:val="084916D5"/>
    <w:rsid w:val="08493DEA"/>
    <w:rsid w:val="084D495D"/>
    <w:rsid w:val="084F6F27"/>
    <w:rsid w:val="08555999"/>
    <w:rsid w:val="08591B53"/>
    <w:rsid w:val="085D6D08"/>
    <w:rsid w:val="086048F4"/>
    <w:rsid w:val="08624C71"/>
    <w:rsid w:val="086403B7"/>
    <w:rsid w:val="08674270"/>
    <w:rsid w:val="086F6B33"/>
    <w:rsid w:val="08702D74"/>
    <w:rsid w:val="08716E9D"/>
    <w:rsid w:val="0873065E"/>
    <w:rsid w:val="087439FA"/>
    <w:rsid w:val="08770434"/>
    <w:rsid w:val="087B0B27"/>
    <w:rsid w:val="087D1A24"/>
    <w:rsid w:val="087D2B60"/>
    <w:rsid w:val="087D7F38"/>
    <w:rsid w:val="088017D6"/>
    <w:rsid w:val="088274F0"/>
    <w:rsid w:val="088616D2"/>
    <w:rsid w:val="08863997"/>
    <w:rsid w:val="088C3CD7"/>
    <w:rsid w:val="088F71BE"/>
    <w:rsid w:val="08901A19"/>
    <w:rsid w:val="08A54B1C"/>
    <w:rsid w:val="08A77C84"/>
    <w:rsid w:val="08AB32C0"/>
    <w:rsid w:val="08AC4379"/>
    <w:rsid w:val="08AC7AE2"/>
    <w:rsid w:val="08AD7070"/>
    <w:rsid w:val="08B14852"/>
    <w:rsid w:val="08B35707"/>
    <w:rsid w:val="08B610CC"/>
    <w:rsid w:val="08B835C3"/>
    <w:rsid w:val="08BA2889"/>
    <w:rsid w:val="08BC455B"/>
    <w:rsid w:val="08BD7E26"/>
    <w:rsid w:val="08BF5DD3"/>
    <w:rsid w:val="08C07B9C"/>
    <w:rsid w:val="08C87503"/>
    <w:rsid w:val="08CB2A51"/>
    <w:rsid w:val="08CB42A2"/>
    <w:rsid w:val="08D35D0E"/>
    <w:rsid w:val="08D51B22"/>
    <w:rsid w:val="08DB04DD"/>
    <w:rsid w:val="08DD33A1"/>
    <w:rsid w:val="08E86BC6"/>
    <w:rsid w:val="08EC1F62"/>
    <w:rsid w:val="08F16230"/>
    <w:rsid w:val="08F9490C"/>
    <w:rsid w:val="08FD6983"/>
    <w:rsid w:val="09015A6D"/>
    <w:rsid w:val="09047D11"/>
    <w:rsid w:val="09073DD7"/>
    <w:rsid w:val="0913324E"/>
    <w:rsid w:val="09161F38"/>
    <w:rsid w:val="091740FD"/>
    <w:rsid w:val="09181DC4"/>
    <w:rsid w:val="09184496"/>
    <w:rsid w:val="091C32AD"/>
    <w:rsid w:val="092108C3"/>
    <w:rsid w:val="09243FFA"/>
    <w:rsid w:val="0930571C"/>
    <w:rsid w:val="09332F7E"/>
    <w:rsid w:val="09340F20"/>
    <w:rsid w:val="0935198D"/>
    <w:rsid w:val="09361CD1"/>
    <w:rsid w:val="09375024"/>
    <w:rsid w:val="094031C0"/>
    <w:rsid w:val="09436A8B"/>
    <w:rsid w:val="094E61B6"/>
    <w:rsid w:val="09553C00"/>
    <w:rsid w:val="09585588"/>
    <w:rsid w:val="095E0FA9"/>
    <w:rsid w:val="095E3DDF"/>
    <w:rsid w:val="096260F4"/>
    <w:rsid w:val="09693028"/>
    <w:rsid w:val="09694018"/>
    <w:rsid w:val="09727371"/>
    <w:rsid w:val="09727721"/>
    <w:rsid w:val="097955F8"/>
    <w:rsid w:val="097A4CF6"/>
    <w:rsid w:val="097D1B09"/>
    <w:rsid w:val="0988332F"/>
    <w:rsid w:val="098C6A5E"/>
    <w:rsid w:val="098D41AA"/>
    <w:rsid w:val="09900EA2"/>
    <w:rsid w:val="099161F0"/>
    <w:rsid w:val="099176DC"/>
    <w:rsid w:val="099C5AD9"/>
    <w:rsid w:val="09A04B9B"/>
    <w:rsid w:val="09A2231E"/>
    <w:rsid w:val="09A41FE3"/>
    <w:rsid w:val="09A64889"/>
    <w:rsid w:val="09A757B5"/>
    <w:rsid w:val="09AF2373"/>
    <w:rsid w:val="09B2793D"/>
    <w:rsid w:val="09B47D1B"/>
    <w:rsid w:val="09B52145"/>
    <w:rsid w:val="09B71227"/>
    <w:rsid w:val="09B776D8"/>
    <w:rsid w:val="09BB5D90"/>
    <w:rsid w:val="09BC4A90"/>
    <w:rsid w:val="09BF0D4C"/>
    <w:rsid w:val="09C556F2"/>
    <w:rsid w:val="09CB4CD3"/>
    <w:rsid w:val="09D973F0"/>
    <w:rsid w:val="09DA2324"/>
    <w:rsid w:val="09DA648A"/>
    <w:rsid w:val="09E11B99"/>
    <w:rsid w:val="09ED115E"/>
    <w:rsid w:val="09ED73AC"/>
    <w:rsid w:val="09EE44F4"/>
    <w:rsid w:val="09F01C79"/>
    <w:rsid w:val="09F17A9A"/>
    <w:rsid w:val="09F63640"/>
    <w:rsid w:val="09F746B0"/>
    <w:rsid w:val="09F74912"/>
    <w:rsid w:val="09FA1FB8"/>
    <w:rsid w:val="09FC5254"/>
    <w:rsid w:val="09FE5E97"/>
    <w:rsid w:val="0A0036AF"/>
    <w:rsid w:val="0A03074D"/>
    <w:rsid w:val="0A032C10"/>
    <w:rsid w:val="0A050D59"/>
    <w:rsid w:val="0A0A7361"/>
    <w:rsid w:val="0A0F2E11"/>
    <w:rsid w:val="0A107288"/>
    <w:rsid w:val="0A12645E"/>
    <w:rsid w:val="0A1641A0"/>
    <w:rsid w:val="0A177FD0"/>
    <w:rsid w:val="0A19048D"/>
    <w:rsid w:val="0A1E5822"/>
    <w:rsid w:val="0A1F5B55"/>
    <w:rsid w:val="0A283ED3"/>
    <w:rsid w:val="0A29427D"/>
    <w:rsid w:val="0A296C7B"/>
    <w:rsid w:val="0A304C16"/>
    <w:rsid w:val="0A3609ED"/>
    <w:rsid w:val="0A3A468D"/>
    <w:rsid w:val="0A4267FB"/>
    <w:rsid w:val="0A44785A"/>
    <w:rsid w:val="0A447D9D"/>
    <w:rsid w:val="0A4925B9"/>
    <w:rsid w:val="0A4C1970"/>
    <w:rsid w:val="0A4C6118"/>
    <w:rsid w:val="0A56111F"/>
    <w:rsid w:val="0A595E3B"/>
    <w:rsid w:val="0A5B52BF"/>
    <w:rsid w:val="0A602141"/>
    <w:rsid w:val="0A634F0B"/>
    <w:rsid w:val="0A666A4A"/>
    <w:rsid w:val="0A6D1CFC"/>
    <w:rsid w:val="0A720A8A"/>
    <w:rsid w:val="0A79472F"/>
    <w:rsid w:val="0A7B2255"/>
    <w:rsid w:val="0A8230C2"/>
    <w:rsid w:val="0A825391"/>
    <w:rsid w:val="0A834CAC"/>
    <w:rsid w:val="0A836C12"/>
    <w:rsid w:val="0A84735B"/>
    <w:rsid w:val="0A854E82"/>
    <w:rsid w:val="0A877BA6"/>
    <w:rsid w:val="0A8E622C"/>
    <w:rsid w:val="0A986064"/>
    <w:rsid w:val="0A9A1E42"/>
    <w:rsid w:val="0A9A6A84"/>
    <w:rsid w:val="0A9A6AD3"/>
    <w:rsid w:val="0A9D436D"/>
    <w:rsid w:val="0AA36849"/>
    <w:rsid w:val="0AAA48E8"/>
    <w:rsid w:val="0AAA62E9"/>
    <w:rsid w:val="0AB2437D"/>
    <w:rsid w:val="0AB400F6"/>
    <w:rsid w:val="0AB51809"/>
    <w:rsid w:val="0AB606B8"/>
    <w:rsid w:val="0AB96D1E"/>
    <w:rsid w:val="0AB9722F"/>
    <w:rsid w:val="0ABF7FCA"/>
    <w:rsid w:val="0AC1167A"/>
    <w:rsid w:val="0AC75C53"/>
    <w:rsid w:val="0AC90BD0"/>
    <w:rsid w:val="0AD97B07"/>
    <w:rsid w:val="0AE01453"/>
    <w:rsid w:val="0AE147AE"/>
    <w:rsid w:val="0AE222D4"/>
    <w:rsid w:val="0AE44EE3"/>
    <w:rsid w:val="0AE4604C"/>
    <w:rsid w:val="0AE579E2"/>
    <w:rsid w:val="0AE814BE"/>
    <w:rsid w:val="0AEA0950"/>
    <w:rsid w:val="0AED1671"/>
    <w:rsid w:val="0AEE711F"/>
    <w:rsid w:val="0AF049F1"/>
    <w:rsid w:val="0AF34CAE"/>
    <w:rsid w:val="0AF466FD"/>
    <w:rsid w:val="0AF67EFD"/>
    <w:rsid w:val="0AFB21D7"/>
    <w:rsid w:val="0AFD3FBB"/>
    <w:rsid w:val="0B042058"/>
    <w:rsid w:val="0B070EB3"/>
    <w:rsid w:val="0B094C47"/>
    <w:rsid w:val="0B097861"/>
    <w:rsid w:val="0B0A5387"/>
    <w:rsid w:val="0B0B2307"/>
    <w:rsid w:val="0B1174B2"/>
    <w:rsid w:val="0B187AA4"/>
    <w:rsid w:val="0B204BAA"/>
    <w:rsid w:val="0B275F39"/>
    <w:rsid w:val="0B2822B8"/>
    <w:rsid w:val="0B286739"/>
    <w:rsid w:val="0B2B6A8C"/>
    <w:rsid w:val="0B33273B"/>
    <w:rsid w:val="0B332B30"/>
    <w:rsid w:val="0B352404"/>
    <w:rsid w:val="0B36617C"/>
    <w:rsid w:val="0B3A3EBE"/>
    <w:rsid w:val="0B44764E"/>
    <w:rsid w:val="0B470389"/>
    <w:rsid w:val="0B4B60CB"/>
    <w:rsid w:val="0B4D1E43"/>
    <w:rsid w:val="0B4E34C6"/>
    <w:rsid w:val="0B5036E2"/>
    <w:rsid w:val="0B530F62"/>
    <w:rsid w:val="0B536EB0"/>
    <w:rsid w:val="0B537A86"/>
    <w:rsid w:val="0B5615F1"/>
    <w:rsid w:val="0B584344"/>
    <w:rsid w:val="0B5C0F00"/>
    <w:rsid w:val="0B5C2086"/>
    <w:rsid w:val="0B627DB2"/>
    <w:rsid w:val="0B664217"/>
    <w:rsid w:val="0B66511B"/>
    <w:rsid w:val="0B6B3B41"/>
    <w:rsid w:val="0B6E3B68"/>
    <w:rsid w:val="0B6F4E89"/>
    <w:rsid w:val="0B7024BF"/>
    <w:rsid w:val="0B732F2C"/>
    <w:rsid w:val="0B7A1EDF"/>
    <w:rsid w:val="0B7A7510"/>
    <w:rsid w:val="0B7C660F"/>
    <w:rsid w:val="0B7E626E"/>
    <w:rsid w:val="0B81787D"/>
    <w:rsid w:val="0B8A0CA7"/>
    <w:rsid w:val="0B8A58BE"/>
    <w:rsid w:val="0B8B5F47"/>
    <w:rsid w:val="0B945B79"/>
    <w:rsid w:val="0B990D37"/>
    <w:rsid w:val="0B9A0F0E"/>
    <w:rsid w:val="0B9E2DC7"/>
    <w:rsid w:val="0BA16188"/>
    <w:rsid w:val="0BA239E0"/>
    <w:rsid w:val="0BA43C34"/>
    <w:rsid w:val="0BA650B0"/>
    <w:rsid w:val="0BA80E28"/>
    <w:rsid w:val="0BAE0EE4"/>
    <w:rsid w:val="0BB04180"/>
    <w:rsid w:val="0BB1037C"/>
    <w:rsid w:val="0BB23908"/>
    <w:rsid w:val="0BB40E7E"/>
    <w:rsid w:val="0BBC0438"/>
    <w:rsid w:val="0BC14776"/>
    <w:rsid w:val="0BC92A33"/>
    <w:rsid w:val="0BC938DF"/>
    <w:rsid w:val="0BCA142C"/>
    <w:rsid w:val="0BCE2C80"/>
    <w:rsid w:val="0BD03F13"/>
    <w:rsid w:val="0BD240F7"/>
    <w:rsid w:val="0BD45F05"/>
    <w:rsid w:val="0BD72F55"/>
    <w:rsid w:val="0BD97DB6"/>
    <w:rsid w:val="0BE06CCA"/>
    <w:rsid w:val="0BE333E9"/>
    <w:rsid w:val="0BE45001"/>
    <w:rsid w:val="0BE466BD"/>
    <w:rsid w:val="0BE633F6"/>
    <w:rsid w:val="0BE827B0"/>
    <w:rsid w:val="0BED0F30"/>
    <w:rsid w:val="0BF05CF0"/>
    <w:rsid w:val="0BF805F4"/>
    <w:rsid w:val="0BF93961"/>
    <w:rsid w:val="0BFB6C44"/>
    <w:rsid w:val="0BFE313E"/>
    <w:rsid w:val="0BFE4EEC"/>
    <w:rsid w:val="0C0162A1"/>
    <w:rsid w:val="0C025941"/>
    <w:rsid w:val="0C032E93"/>
    <w:rsid w:val="0C040028"/>
    <w:rsid w:val="0C07297E"/>
    <w:rsid w:val="0C1042D4"/>
    <w:rsid w:val="0C1049D2"/>
    <w:rsid w:val="0C111F15"/>
    <w:rsid w:val="0C13779A"/>
    <w:rsid w:val="0C182A13"/>
    <w:rsid w:val="0C192E91"/>
    <w:rsid w:val="0C1B4A0E"/>
    <w:rsid w:val="0C223308"/>
    <w:rsid w:val="0C2465F4"/>
    <w:rsid w:val="0C2C7CAB"/>
    <w:rsid w:val="0C397DF7"/>
    <w:rsid w:val="0C4035FC"/>
    <w:rsid w:val="0C4162C7"/>
    <w:rsid w:val="0C4274CE"/>
    <w:rsid w:val="0C451B1C"/>
    <w:rsid w:val="0C486A24"/>
    <w:rsid w:val="0C495D0A"/>
    <w:rsid w:val="0C4C5E4E"/>
    <w:rsid w:val="0C517711"/>
    <w:rsid w:val="0C5745FC"/>
    <w:rsid w:val="0C5B378E"/>
    <w:rsid w:val="0C5C352A"/>
    <w:rsid w:val="0C647D22"/>
    <w:rsid w:val="0C6531BD"/>
    <w:rsid w:val="0C684A5B"/>
    <w:rsid w:val="0C6A3E91"/>
    <w:rsid w:val="0C741865"/>
    <w:rsid w:val="0C7547DB"/>
    <w:rsid w:val="0C775126"/>
    <w:rsid w:val="0C796C68"/>
    <w:rsid w:val="0C7E4506"/>
    <w:rsid w:val="0C7F581C"/>
    <w:rsid w:val="0C86594B"/>
    <w:rsid w:val="0C871385"/>
    <w:rsid w:val="0C8729A9"/>
    <w:rsid w:val="0C884166"/>
    <w:rsid w:val="0C8C0749"/>
    <w:rsid w:val="0C8C49ED"/>
    <w:rsid w:val="0C8F5628"/>
    <w:rsid w:val="0C963376"/>
    <w:rsid w:val="0C98243D"/>
    <w:rsid w:val="0CA017AB"/>
    <w:rsid w:val="0CA0305B"/>
    <w:rsid w:val="0CA23025"/>
    <w:rsid w:val="0CA92763"/>
    <w:rsid w:val="0CAB26A7"/>
    <w:rsid w:val="0CAF041D"/>
    <w:rsid w:val="0CB00F0A"/>
    <w:rsid w:val="0CB14EC5"/>
    <w:rsid w:val="0CB619E7"/>
    <w:rsid w:val="0CBB102F"/>
    <w:rsid w:val="0CBB1A7F"/>
    <w:rsid w:val="0CC2416B"/>
    <w:rsid w:val="0CC35612"/>
    <w:rsid w:val="0CC35AA1"/>
    <w:rsid w:val="0CC45C9D"/>
    <w:rsid w:val="0CC53CB4"/>
    <w:rsid w:val="0CC60974"/>
    <w:rsid w:val="0CC66CDF"/>
    <w:rsid w:val="0CC779D3"/>
    <w:rsid w:val="0CD0485D"/>
    <w:rsid w:val="0CD0561A"/>
    <w:rsid w:val="0CD60C01"/>
    <w:rsid w:val="0CD865B7"/>
    <w:rsid w:val="0CDC78B4"/>
    <w:rsid w:val="0CDD2BB2"/>
    <w:rsid w:val="0CE20369"/>
    <w:rsid w:val="0CE51C08"/>
    <w:rsid w:val="0CE71E24"/>
    <w:rsid w:val="0CE721BD"/>
    <w:rsid w:val="0CEF5C9B"/>
    <w:rsid w:val="0CF42BC9"/>
    <w:rsid w:val="0CF57F81"/>
    <w:rsid w:val="0D002EE5"/>
    <w:rsid w:val="0D0B0498"/>
    <w:rsid w:val="0D0C27F3"/>
    <w:rsid w:val="0D0E73B0"/>
    <w:rsid w:val="0D111318"/>
    <w:rsid w:val="0D135FD2"/>
    <w:rsid w:val="0D1E4C45"/>
    <w:rsid w:val="0D282E01"/>
    <w:rsid w:val="0D352B8F"/>
    <w:rsid w:val="0D4202D8"/>
    <w:rsid w:val="0D42705A"/>
    <w:rsid w:val="0D487FD9"/>
    <w:rsid w:val="0D5017D5"/>
    <w:rsid w:val="0D513D18"/>
    <w:rsid w:val="0D535750"/>
    <w:rsid w:val="0D5C3E87"/>
    <w:rsid w:val="0D62510F"/>
    <w:rsid w:val="0D6410B7"/>
    <w:rsid w:val="0D671862"/>
    <w:rsid w:val="0D683EEA"/>
    <w:rsid w:val="0D705975"/>
    <w:rsid w:val="0D7250DA"/>
    <w:rsid w:val="0D7A4A46"/>
    <w:rsid w:val="0D7C07BE"/>
    <w:rsid w:val="0D7D4536"/>
    <w:rsid w:val="0D7F1272"/>
    <w:rsid w:val="0D8148C5"/>
    <w:rsid w:val="0D826679"/>
    <w:rsid w:val="0D891ED6"/>
    <w:rsid w:val="0D8A27C9"/>
    <w:rsid w:val="0D910DA6"/>
    <w:rsid w:val="0DAC7225"/>
    <w:rsid w:val="0DAF0B93"/>
    <w:rsid w:val="0DB16A2D"/>
    <w:rsid w:val="0DB46D1A"/>
    <w:rsid w:val="0DC3111C"/>
    <w:rsid w:val="0DC90CC3"/>
    <w:rsid w:val="0DD75640"/>
    <w:rsid w:val="0DD931E1"/>
    <w:rsid w:val="0DDA11F9"/>
    <w:rsid w:val="0DDB50C1"/>
    <w:rsid w:val="0DDB5FB6"/>
    <w:rsid w:val="0DDC1A9C"/>
    <w:rsid w:val="0DE45ECB"/>
    <w:rsid w:val="0DED0DC4"/>
    <w:rsid w:val="0DED6FC6"/>
    <w:rsid w:val="0DEE7027"/>
    <w:rsid w:val="0DF00108"/>
    <w:rsid w:val="0DF04DC3"/>
    <w:rsid w:val="0DF32D67"/>
    <w:rsid w:val="0DFA54D1"/>
    <w:rsid w:val="0DFD5746"/>
    <w:rsid w:val="0DFD7024"/>
    <w:rsid w:val="0DFE3592"/>
    <w:rsid w:val="0DFE7425"/>
    <w:rsid w:val="0E025339"/>
    <w:rsid w:val="0E077452"/>
    <w:rsid w:val="0E0F55DA"/>
    <w:rsid w:val="0E171172"/>
    <w:rsid w:val="0E1953C8"/>
    <w:rsid w:val="0E196D5C"/>
    <w:rsid w:val="0E197DBB"/>
    <w:rsid w:val="0E22412F"/>
    <w:rsid w:val="0E2C2971"/>
    <w:rsid w:val="0E2C470C"/>
    <w:rsid w:val="0E2D4982"/>
    <w:rsid w:val="0E3177FA"/>
    <w:rsid w:val="0E320E7D"/>
    <w:rsid w:val="0E361814"/>
    <w:rsid w:val="0E367D92"/>
    <w:rsid w:val="0E3A0FFE"/>
    <w:rsid w:val="0E3E3C8E"/>
    <w:rsid w:val="0E413685"/>
    <w:rsid w:val="0E415563"/>
    <w:rsid w:val="0E43752E"/>
    <w:rsid w:val="0E4438A9"/>
    <w:rsid w:val="0E4B5E44"/>
    <w:rsid w:val="0E4D0E02"/>
    <w:rsid w:val="0E5434E9"/>
    <w:rsid w:val="0E543F24"/>
    <w:rsid w:val="0E5854F8"/>
    <w:rsid w:val="0E5A03D3"/>
    <w:rsid w:val="0E5B6C15"/>
    <w:rsid w:val="0E601E8E"/>
    <w:rsid w:val="0E63197E"/>
    <w:rsid w:val="0E66796C"/>
    <w:rsid w:val="0E685187"/>
    <w:rsid w:val="0E695150"/>
    <w:rsid w:val="0E701FC8"/>
    <w:rsid w:val="0E70259C"/>
    <w:rsid w:val="0E724643"/>
    <w:rsid w:val="0E745E99"/>
    <w:rsid w:val="0E753B3C"/>
    <w:rsid w:val="0E78791B"/>
    <w:rsid w:val="0E7A3E54"/>
    <w:rsid w:val="0E7D1D9F"/>
    <w:rsid w:val="0E7E4193"/>
    <w:rsid w:val="0E813004"/>
    <w:rsid w:val="0E831AF7"/>
    <w:rsid w:val="0E837C69"/>
    <w:rsid w:val="0E881809"/>
    <w:rsid w:val="0E8924D6"/>
    <w:rsid w:val="0E8C1CCB"/>
    <w:rsid w:val="0E8D04BE"/>
    <w:rsid w:val="0E8E1ABD"/>
    <w:rsid w:val="0E8F3FDC"/>
    <w:rsid w:val="0E910299"/>
    <w:rsid w:val="0E912964"/>
    <w:rsid w:val="0E925500"/>
    <w:rsid w:val="0E983B28"/>
    <w:rsid w:val="0E9E08AC"/>
    <w:rsid w:val="0EA004DC"/>
    <w:rsid w:val="0EA24C55"/>
    <w:rsid w:val="0EA46D70"/>
    <w:rsid w:val="0EA512A6"/>
    <w:rsid w:val="0EA717DE"/>
    <w:rsid w:val="0EA96B35"/>
    <w:rsid w:val="0EAA2504"/>
    <w:rsid w:val="0EAE4B15"/>
    <w:rsid w:val="0EB421D9"/>
    <w:rsid w:val="0EBB3118"/>
    <w:rsid w:val="0EBF4B32"/>
    <w:rsid w:val="0EC3329A"/>
    <w:rsid w:val="0EC44CB6"/>
    <w:rsid w:val="0EC71E62"/>
    <w:rsid w:val="0EC8618D"/>
    <w:rsid w:val="0ECC5C9F"/>
    <w:rsid w:val="0ECE1365"/>
    <w:rsid w:val="0ED6368F"/>
    <w:rsid w:val="0ED74256"/>
    <w:rsid w:val="0EE20F05"/>
    <w:rsid w:val="0EEB7DD1"/>
    <w:rsid w:val="0EEE0C9D"/>
    <w:rsid w:val="0EEF47EA"/>
    <w:rsid w:val="0EF361F7"/>
    <w:rsid w:val="0EF77BB1"/>
    <w:rsid w:val="0EF820C6"/>
    <w:rsid w:val="0EFA4488"/>
    <w:rsid w:val="0EFB3DC0"/>
    <w:rsid w:val="0EFD30DE"/>
    <w:rsid w:val="0EFE4AC2"/>
    <w:rsid w:val="0F037E9B"/>
    <w:rsid w:val="0F0942D3"/>
    <w:rsid w:val="0F0A1DF9"/>
    <w:rsid w:val="0F0A3BA7"/>
    <w:rsid w:val="0F0C48B1"/>
    <w:rsid w:val="0F0D5446"/>
    <w:rsid w:val="0F1862C4"/>
    <w:rsid w:val="0F1A20A8"/>
    <w:rsid w:val="0F224A6F"/>
    <w:rsid w:val="0F24110D"/>
    <w:rsid w:val="0F2A0B3D"/>
    <w:rsid w:val="0F2E5460"/>
    <w:rsid w:val="0F34443F"/>
    <w:rsid w:val="0F352B76"/>
    <w:rsid w:val="0F35777D"/>
    <w:rsid w:val="0F3A0931"/>
    <w:rsid w:val="0F3E035A"/>
    <w:rsid w:val="0F424AC8"/>
    <w:rsid w:val="0F442577"/>
    <w:rsid w:val="0F442BE5"/>
    <w:rsid w:val="0F451A0C"/>
    <w:rsid w:val="0F4A6DC9"/>
    <w:rsid w:val="0F4C3579"/>
    <w:rsid w:val="0F524584"/>
    <w:rsid w:val="0F5A58D6"/>
    <w:rsid w:val="0F610AF3"/>
    <w:rsid w:val="0F620C7C"/>
    <w:rsid w:val="0F6239E3"/>
    <w:rsid w:val="0F631CA0"/>
    <w:rsid w:val="0F66447A"/>
    <w:rsid w:val="0F6C776E"/>
    <w:rsid w:val="0F6E5F2E"/>
    <w:rsid w:val="0F7020EF"/>
    <w:rsid w:val="0F7216F4"/>
    <w:rsid w:val="0F731487"/>
    <w:rsid w:val="0F736EAB"/>
    <w:rsid w:val="0F740F9F"/>
    <w:rsid w:val="0F7461CB"/>
    <w:rsid w:val="0F7704E1"/>
    <w:rsid w:val="0F7A6F7F"/>
    <w:rsid w:val="0F811198"/>
    <w:rsid w:val="0F8751F8"/>
    <w:rsid w:val="0F8B5782"/>
    <w:rsid w:val="0F965DE7"/>
    <w:rsid w:val="0F9713C9"/>
    <w:rsid w:val="0F9811B3"/>
    <w:rsid w:val="0F990661"/>
    <w:rsid w:val="0F9B3DE6"/>
    <w:rsid w:val="0FA62D17"/>
    <w:rsid w:val="0FA925CB"/>
    <w:rsid w:val="0FAD22C0"/>
    <w:rsid w:val="0FAE3F35"/>
    <w:rsid w:val="0FAF75C0"/>
    <w:rsid w:val="0FB01205"/>
    <w:rsid w:val="0FB119FD"/>
    <w:rsid w:val="0FB51878"/>
    <w:rsid w:val="0FC06CA8"/>
    <w:rsid w:val="0FC1242F"/>
    <w:rsid w:val="0FC4644C"/>
    <w:rsid w:val="0FC63F72"/>
    <w:rsid w:val="0FC757C2"/>
    <w:rsid w:val="0FD4257E"/>
    <w:rsid w:val="0FD71154"/>
    <w:rsid w:val="0FDD727C"/>
    <w:rsid w:val="0FE2678F"/>
    <w:rsid w:val="0FE34E36"/>
    <w:rsid w:val="0FE645A0"/>
    <w:rsid w:val="0FE77BCB"/>
    <w:rsid w:val="0FE8038D"/>
    <w:rsid w:val="0FEB106E"/>
    <w:rsid w:val="0FEB7BEE"/>
    <w:rsid w:val="0FF05948"/>
    <w:rsid w:val="0FFE370C"/>
    <w:rsid w:val="10003FE8"/>
    <w:rsid w:val="10022AD1"/>
    <w:rsid w:val="100336EE"/>
    <w:rsid w:val="10036214"/>
    <w:rsid w:val="10060813"/>
    <w:rsid w:val="10086DA2"/>
    <w:rsid w:val="10093E5F"/>
    <w:rsid w:val="100A01B3"/>
    <w:rsid w:val="10161A85"/>
    <w:rsid w:val="10174748"/>
    <w:rsid w:val="101B4089"/>
    <w:rsid w:val="101C3768"/>
    <w:rsid w:val="10223A1E"/>
    <w:rsid w:val="10262ED6"/>
    <w:rsid w:val="102846AC"/>
    <w:rsid w:val="102E50C5"/>
    <w:rsid w:val="10333B0E"/>
    <w:rsid w:val="1033402C"/>
    <w:rsid w:val="10360822"/>
    <w:rsid w:val="10470A45"/>
    <w:rsid w:val="104979F8"/>
    <w:rsid w:val="104C32D2"/>
    <w:rsid w:val="10502AED"/>
    <w:rsid w:val="10597DA5"/>
    <w:rsid w:val="105C6B05"/>
    <w:rsid w:val="105F52B1"/>
    <w:rsid w:val="10614D1F"/>
    <w:rsid w:val="1063338F"/>
    <w:rsid w:val="10741FC3"/>
    <w:rsid w:val="10753829"/>
    <w:rsid w:val="1082046D"/>
    <w:rsid w:val="10843101"/>
    <w:rsid w:val="108604DA"/>
    <w:rsid w:val="108C6F6A"/>
    <w:rsid w:val="109D1729"/>
    <w:rsid w:val="109F3AAE"/>
    <w:rsid w:val="10A1752C"/>
    <w:rsid w:val="10AA3894"/>
    <w:rsid w:val="10AF2C58"/>
    <w:rsid w:val="10B169D0"/>
    <w:rsid w:val="10B212D4"/>
    <w:rsid w:val="10B43B65"/>
    <w:rsid w:val="10B65D95"/>
    <w:rsid w:val="10BB4431"/>
    <w:rsid w:val="10BE3641"/>
    <w:rsid w:val="10C07A34"/>
    <w:rsid w:val="10C154CB"/>
    <w:rsid w:val="10C16923"/>
    <w:rsid w:val="10C42989"/>
    <w:rsid w:val="10C8768C"/>
    <w:rsid w:val="10C9211B"/>
    <w:rsid w:val="10CA1840"/>
    <w:rsid w:val="10CC720C"/>
    <w:rsid w:val="10D34B99"/>
    <w:rsid w:val="10D35C8A"/>
    <w:rsid w:val="10DA2133"/>
    <w:rsid w:val="10DC05C5"/>
    <w:rsid w:val="10E13C2D"/>
    <w:rsid w:val="10E5667A"/>
    <w:rsid w:val="10E77058"/>
    <w:rsid w:val="10E866D0"/>
    <w:rsid w:val="10E943BC"/>
    <w:rsid w:val="10F32008"/>
    <w:rsid w:val="10F45EA3"/>
    <w:rsid w:val="10F55603"/>
    <w:rsid w:val="10F87E64"/>
    <w:rsid w:val="10FD39C4"/>
    <w:rsid w:val="10FE27ED"/>
    <w:rsid w:val="11103493"/>
    <w:rsid w:val="111533BB"/>
    <w:rsid w:val="1115453E"/>
    <w:rsid w:val="111643E8"/>
    <w:rsid w:val="11172BA0"/>
    <w:rsid w:val="11181EF9"/>
    <w:rsid w:val="111B7E54"/>
    <w:rsid w:val="111C6C40"/>
    <w:rsid w:val="11203944"/>
    <w:rsid w:val="112278CE"/>
    <w:rsid w:val="112F1255"/>
    <w:rsid w:val="112F5479"/>
    <w:rsid w:val="11325878"/>
    <w:rsid w:val="113413B0"/>
    <w:rsid w:val="113A1E82"/>
    <w:rsid w:val="113B0990"/>
    <w:rsid w:val="113B180E"/>
    <w:rsid w:val="113E2021"/>
    <w:rsid w:val="1144102D"/>
    <w:rsid w:val="114710E3"/>
    <w:rsid w:val="11472D96"/>
    <w:rsid w:val="114D632E"/>
    <w:rsid w:val="114E02A7"/>
    <w:rsid w:val="114F7F97"/>
    <w:rsid w:val="1150047D"/>
    <w:rsid w:val="11501060"/>
    <w:rsid w:val="11515FFD"/>
    <w:rsid w:val="11584331"/>
    <w:rsid w:val="115E7D6B"/>
    <w:rsid w:val="116C44D7"/>
    <w:rsid w:val="116D4E8A"/>
    <w:rsid w:val="11747E3D"/>
    <w:rsid w:val="11776C44"/>
    <w:rsid w:val="117A233C"/>
    <w:rsid w:val="117A4195"/>
    <w:rsid w:val="117C72F4"/>
    <w:rsid w:val="117D552F"/>
    <w:rsid w:val="117E1AE5"/>
    <w:rsid w:val="117E4D5A"/>
    <w:rsid w:val="11816D22"/>
    <w:rsid w:val="11862280"/>
    <w:rsid w:val="11865359"/>
    <w:rsid w:val="11867012"/>
    <w:rsid w:val="118C67C1"/>
    <w:rsid w:val="118E7DEF"/>
    <w:rsid w:val="119239B4"/>
    <w:rsid w:val="11982945"/>
    <w:rsid w:val="119836EC"/>
    <w:rsid w:val="11991213"/>
    <w:rsid w:val="119A73D4"/>
    <w:rsid w:val="119D20C9"/>
    <w:rsid w:val="11A14B86"/>
    <w:rsid w:val="11A15150"/>
    <w:rsid w:val="11A15DB9"/>
    <w:rsid w:val="11A7741A"/>
    <w:rsid w:val="11A93B4C"/>
    <w:rsid w:val="11A97681"/>
    <w:rsid w:val="11B02DF2"/>
    <w:rsid w:val="11B13761"/>
    <w:rsid w:val="11B25E22"/>
    <w:rsid w:val="11BC4814"/>
    <w:rsid w:val="11BE2D96"/>
    <w:rsid w:val="11C24D4A"/>
    <w:rsid w:val="11C462AD"/>
    <w:rsid w:val="11C70CED"/>
    <w:rsid w:val="11C71EF5"/>
    <w:rsid w:val="11D317CE"/>
    <w:rsid w:val="11D725A8"/>
    <w:rsid w:val="11D75233"/>
    <w:rsid w:val="11DD37F5"/>
    <w:rsid w:val="11DE7416"/>
    <w:rsid w:val="11E546C5"/>
    <w:rsid w:val="11EE77B0"/>
    <w:rsid w:val="11F410DA"/>
    <w:rsid w:val="11F55CF3"/>
    <w:rsid w:val="11FB68CF"/>
    <w:rsid w:val="11FC14C5"/>
    <w:rsid w:val="12035113"/>
    <w:rsid w:val="120B055F"/>
    <w:rsid w:val="120B5C96"/>
    <w:rsid w:val="1222745A"/>
    <w:rsid w:val="12237845"/>
    <w:rsid w:val="12241424"/>
    <w:rsid w:val="12274A70"/>
    <w:rsid w:val="122907E8"/>
    <w:rsid w:val="122B5C4E"/>
    <w:rsid w:val="122D02D9"/>
    <w:rsid w:val="12346D4B"/>
    <w:rsid w:val="123A5D4B"/>
    <w:rsid w:val="12401ECB"/>
    <w:rsid w:val="12413C2A"/>
    <w:rsid w:val="124861B0"/>
    <w:rsid w:val="124A6E51"/>
    <w:rsid w:val="12510646"/>
    <w:rsid w:val="12533D0E"/>
    <w:rsid w:val="125517F0"/>
    <w:rsid w:val="125A2B81"/>
    <w:rsid w:val="125A6E9B"/>
    <w:rsid w:val="125D45F6"/>
    <w:rsid w:val="125E5BEB"/>
    <w:rsid w:val="1260443F"/>
    <w:rsid w:val="12614612"/>
    <w:rsid w:val="1262744D"/>
    <w:rsid w:val="126465E1"/>
    <w:rsid w:val="12670F09"/>
    <w:rsid w:val="126A51FF"/>
    <w:rsid w:val="126D4B9C"/>
    <w:rsid w:val="126D5035"/>
    <w:rsid w:val="126E4812"/>
    <w:rsid w:val="126F716C"/>
    <w:rsid w:val="127661D6"/>
    <w:rsid w:val="12813286"/>
    <w:rsid w:val="128338A8"/>
    <w:rsid w:val="12891763"/>
    <w:rsid w:val="128B14A3"/>
    <w:rsid w:val="128C1DA1"/>
    <w:rsid w:val="128C562D"/>
    <w:rsid w:val="128F2D41"/>
    <w:rsid w:val="12974B2E"/>
    <w:rsid w:val="1299771C"/>
    <w:rsid w:val="129977F1"/>
    <w:rsid w:val="129B581C"/>
    <w:rsid w:val="129E4D32"/>
    <w:rsid w:val="12A15DBA"/>
    <w:rsid w:val="12A367ED"/>
    <w:rsid w:val="12A460C1"/>
    <w:rsid w:val="12A865B9"/>
    <w:rsid w:val="12A91049"/>
    <w:rsid w:val="12AB308D"/>
    <w:rsid w:val="12AC0948"/>
    <w:rsid w:val="12AD4425"/>
    <w:rsid w:val="12AE5A9E"/>
    <w:rsid w:val="12AE6DF8"/>
    <w:rsid w:val="12B0763F"/>
    <w:rsid w:val="12B91628"/>
    <w:rsid w:val="12BC2D2E"/>
    <w:rsid w:val="12C72A04"/>
    <w:rsid w:val="12CB482B"/>
    <w:rsid w:val="12CC039D"/>
    <w:rsid w:val="12CF115B"/>
    <w:rsid w:val="12D3486A"/>
    <w:rsid w:val="12D35EC6"/>
    <w:rsid w:val="12D652CD"/>
    <w:rsid w:val="12DE4BEB"/>
    <w:rsid w:val="12DF605B"/>
    <w:rsid w:val="12EA522B"/>
    <w:rsid w:val="12EB0F74"/>
    <w:rsid w:val="12EE1351"/>
    <w:rsid w:val="12EF65EB"/>
    <w:rsid w:val="12F15594"/>
    <w:rsid w:val="12F25A09"/>
    <w:rsid w:val="12F34CC6"/>
    <w:rsid w:val="12F40DF6"/>
    <w:rsid w:val="12F62DC0"/>
    <w:rsid w:val="12F7680B"/>
    <w:rsid w:val="12FD414F"/>
    <w:rsid w:val="13000FAB"/>
    <w:rsid w:val="13005187"/>
    <w:rsid w:val="13066F21"/>
    <w:rsid w:val="13086650"/>
    <w:rsid w:val="130A1E31"/>
    <w:rsid w:val="130C4747"/>
    <w:rsid w:val="130C4824"/>
    <w:rsid w:val="130F25FB"/>
    <w:rsid w:val="13134068"/>
    <w:rsid w:val="131414E4"/>
    <w:rsid w:val="131A564D"/>
    <w:rsid w:val="1327408C"/>
    <w:rsid w:val="132D0263"/>
    <w:rsid w:val="132D27BC"/>
    <w:rsid w:val="132D74EF"/>
    <w:rsid w:val="13335897"/>
    <w:rsid w:val="13337596"/>
    <w:rsid w:val="133B1867"/>
    <w:rsid w:val="133C48DA"/>
    <w:rsid w:val="133C5AB0"/>
    <w:rsid w:val="133D65E1"/>
    <w:rsid w:val="13411DD0"/>
    <w:rsid w:val="134529F6"/>
    <w:rsid w:val="134876AF"/>
    <w:rsid w:val="134B355F"/>
    <w:rsid w:val="134B3913"/>
    <w:rsid w:val="134B6A44"/>
    <w:rsid w:val="134C0C32"/>
    <w:rsid w:val="13514CC2"/>
    <w:rsid w:val="13515FFF"/>
    <w:rsid w:val="1353553E"/>
    <w:rsid w:val="135950FD"/>
    <w:rsid w:val="135A73CD"/>
    <w:rsid w:val="135B2C24"/>
    <w:rsid w:val="135D476C"/>
    <w:rsid w:val="13653C4D"/>
    <w:rsid w:val="1370350F"/>
    <w:rsid w:val="13737F6D"/>
    <w:rsid w:val="137D411A"/>
    <w:rsid w:val="137F237F"/>
    <w:rsid w:val="1380555F"/>
    <w:rsid w:val="13826402"/>
    <w:rsid w:val="138528A8"/>
    <w:rsid w:val="13871C6A"/>
    <w:rsid w:val="138965F6"/>
    <w:rsid w:val="13903213"/>
    <w:rsid w:val="13906D71"/>
    <w:rsid w:val="13976BA1"/>
    <w:rsid w:val="139B5470"/>
    <w:rsid w:val="139B7D64"/>
    <w:rsid w:val="13A248D1"/>
    <w:rsid w:val="13A34B19"/>
    <w:rsid w:val="13AB75EB"/>
    <w:rsid w:val="13B854B7"/>
    <w:rsid w:val="13BC4123"/>
    <w:rsid w:val="13BD743A"/>
    <w:rsid w:val="13C015DF"/>
    <w:rsid w:val="13C24DC1"/>
    <w:rsid w:val="13C331B2"/>
    <w:rsid w:val="13C46A1B"/>
    <w:rsid w:val="13C62793"/>
    <w:rsid w:val="13CA1363"/>
    <w:rsid w:val="13CC1D73"/>
    <w:rsid w:val="13CC62C0"/>
    <w:rsid w:val="13D269E4"/>
    <w:rsid w:val="13D33102"/>
    <w:rsid w:val="13D37961"/>
    <w:rsid w:val="13D44784"/>
    <w:rsid w:val="13D50C28"/>
    <w:rsid w:val="13DA0523"/>
    <w:rsid w:val="13ED35E2"/>
    <w:rsid w:val="13FF6AAB"/>
    <w:rsid w:val="14087FD8"/>
    <w:rsid w:val="14095C0F"/>
    <w:rsid w:val="140C000B"/>
    <w:rsid w:val="140F57D7"/>
    <w:rsid w:val="140F6944"/>
    <w:rsid w:val="14157276"/>
    <w:rsid w:val="14177669"/>
    <w:rsid w:val="141C4D94"/>
    <w:rsid w:val="14223741"/>
    <w:rsid w:val="1428142E"/>
    <w:rsid w:val="142D2C55"/>
    <w:rsid w:val="14305E5E"/>
    <w:rsid w:val="14333D94"/>
    <w:rsid w:val="14352380"/>
    <w:rsid w:val="14363D43"/>
    <w:rsid w:val="14370B51"/>
    <w:rsid w:val="143771ED"/>
    <w:rsid w:val="143C57C4"/>
    <w:rsid w:val="1441006B"/>
    <w:rsid w:val="144148A3"/>
    <w:rsid w:val="144F268D"/>
    <w:rsid w:val="14542C5A"/>
    <w:rsid w:val="145F36BD"/>
    <w:rsid w:val="1465262B"/>
    <w:rsid w:val="146567AF"/>
    <w:rsid w:val="146659C0"/>
    <w:rsid w:val="14681A9C"/>
    <w:rsid w:val="146A2B1E"/>
    <w:rsid w:val="146C7C56"/>
    <w:rsid w:val="147C5547"/>
    <w:rsid w:val="147D19E5"/>
    <w:rsid w:val="147D6A3B"/>
    <w:rsid w:val="148368D6"/>
    <w:rsid w:val="14855E4E"/>
    <w:rsid w:val="14856E13"/>
    <w:rsid w:val="1488270E"/>
    <w:rsid w:val="148E3627"/>
    <w:rsid w:val="149564EC"/>
    <w:rsid w:val="14971D45"/>
    <w:rsid w:val="14A139DC"/>
    <w:rsid w:val="14A221DF"/>
    <w:rsid w:val="14A56438"/>
    <w:rsid w:val="14B17E67"/>
    <w:rsid w:val="14B720DC"/>
    <w:rsid w:val="14B95F6E"/>
    <w:rsid w:val="14BC262F"/>
    <w:rsid w:val="14BF71E2"/>
    <w:rsid w:val="14C07A90"/>
    <w:rsid w:val="14C35BA2"/>
    <w:rsid w:val="14CC7FCE"/>
    <w:rsid w:val="14D53540"/>
    <w:rsid w:val="14D641CA"/>
    <w:rsid w:val="14D871B9"/>
    <w:rsid w:val="14E025AA"/>
    <w:rsid w:val="14E1225F"/>
    <w:rsid w:val="14E13D7A"/>
    <w:rsid w:val="14ED1FA1"/>
    <w:rsid w:val="14F379B4"/>
    <w:rsid w:val="14F4128D"/>
    <w:rsid w:val="14F52906"/>
    <w:rsid w:val="14FA5CD1"/>
    <w:rsid w:val="15031D63"/>
    <w:rsid w:val="15096BAB"/>
    <w:rsid w:val="150A35BF"/>
    <w:rsid w:val="150A4B93"/>
    <w:rsid w:val="15122772"/>
    <w:rsid w:val="15127634"/>
    <w:rsid w:val="15150728"/>
    <w:rsid w:val="151E5593"/>
    <w:rsid w:val="15203B2C"/>
    <w:rsid w:val="15205ED3"/>
    <w:rsid w:val="15213D69"/>
    <w:rsid w:val="152322BC"/>
    <w:rsid w:val="15234C39"/>
    <w:rsid w:val="15274742"/>
    <w:rsid w:val="152A0AFF"/>
    <w:rsid w:val="152E6043"/>
    <w:rsid w:val="152F60EE"/>
    <w:rsid w:val="15333F1E"/>
    <w:rsid w:val="153876C5"/>
    <w:rsid w:val="1543671D"/>
    <w:rsid w:val="15460A46"/>
    <w:rsid w:val="154949B8"/>
    <w:rsid w:val="155D5BBA"/>
    <w:rsid w:val="156231BA"/>
    <w:rsid w:val="156277FD"/>
    <w:rsid w:val="156649BE"/>
    <w:rsid w:val="1568787A"/>
    <w:rsid w:val="156D7BE8"/>
    <w:rsid w:val="15707BDA"/>
    <w:rsid w:val="15763D45"/>
    <w:rsid w:val="157B67D6"/>
    <w:rsid w:val="157D2774"/>
    <w:rsid w:val="1580424E"/>
    <w:rsid w:val="15840DEB"/>
    <w:rsid w:val="159032CC"/>
    <w:rsid w:val="15937B40"/>
    <w:rsid w:val="159601EA"/>
    <w:rsid w:val="15964CB5"/>
    <w:rsid w:val="15990F94"/>
    <w:rsid w:val="159B2338"/>
    <w:rsid w:val="159F14ED"/>
    <w:rsid w:val="15A5113D"/>
    <w:rsid w:val="15A77801"/>
    <w:rsid w:val="15AC7174"/>
    <w:rsid w:val="15AD234A"/>
    <w:rsid w:val="15AD657A"/>
    <w:rsid w:val="15B15BC6"/>
    <w:rsid w:val="15B66837"/>
    <w:rsid w:val="15B90CA2"/>
    <w:rsid w:val="15BF08B2"/>
    <w:rsid w:val="15C056E0"/>
    <w:rsid w:val="15CA22E2"/>
    <w:rsid w:val="15CB7611"/>
    <w:rsid w:val="15D51BBB"/>
    <w:rsid w:val="15D63471"/>
    <w:rsid w:val="15D656DB"/>
    <w:rsid w:val="15DC05DE"/>
    <w:rsid w:val="15E0481E"/>
    <w:rsid w:val="15E04F64"/>
    <w:rsid w:val="15EC529C"/>
    <w:rsid w:val="15ED1DCF"/>
    <w:rsid w:val="15F50D79"/>
    <w:rsid w:val="15F55CFA"/>
    <w:rsid w:val="16042570"/>
    <w:rsid w:val="16075903"/>
    <w:rsid w:val="160B5485"/>
    <w:rsid w:val="160B69DC"/>
    <w:rsid w:val="160E398C"/>
    <w:rsid w:val="16101FC1"/>
    <w:rsid w:val="1614577D"/>
    <w:rsid w:val="16161BB1"/>
    <w:rsid w:val="16175C4C"/>
    <w:rsid w:val="16176FAB"/>
    <w:rsid w:val="161A3688"/>
    <w:rsid w:val="16201386"/>
    <w:rsid w:val="162177EF"/>
    <w:rsid w:val="16224A55"/>
    <w:rsid w:val="162C08A7"/>
    <w:rsid w:val="162E0AC3"/>
    <w:rsid w:val="1630509A"/>
    <w:rsid w:val="1632506C"/>
    <w:rsid w:val="16346B99"/>
    <w:rsid w:val="16402070"/>
    <w:rsid w:val="164107F7"/>
    <w:rsid w:val="1648631A"/>
    <w:rsid w:val="16492F37"/>
    <w:rsid w:val="16551BAC"/>
    <w:rsid w:val="16581CEC"/>
    <w:rsid w:val="1664081C"/>
    <w:rsid w:val="16680D41"/>
    <w:rsid w:val="166A64FD"/>
    <w:rsid w:val="166C1C81"/>
    <w:rsid w:val="166D66AD"/>
    <w:rsid w:val="16727562"/>
    <w:rsid w:val="167365DE"/>
    <w:rsid w:val="16773D8C"/>
    <w:rsid w:val="16776079"/>
    <w:rsid w:val="16793769"/>
    <w:rsid w:val="167A0D83"/>
    <w:rsid w:val="167A206F"/>
    <w:rsid w:val="167A5AB7"/>
    <w:rsid w:val="16805485"/>
    <w:rsid w:val="1680635B"/>
    <w:rsid w:val="16845BDB"/>
    <w:rsid w:val="168626AD"/>
    <w:rsid w:val="16883D70"/>
    <w:rsid w:val="168E1562"/>
    <w:rsid w:val="16980B9D"/>
    <w:rsid w:val="169836F6"/>
    <w:rsid w:val="169E0CBC"/>
    <w:rsid w:val="16A502F9"/>
    <w:rsid w:val="16A632DE"/>
    <w:rsid w:val="16AC6E23"/>
    <w:rsid w:val="16AD3796"/>
    <w:rsid w:val="16AF39B2"/>
    <w:rsid w:val="16B16DC1"/>
    <w:rsid w:val="16B34B25"/>
    <w:rsid w:val="16B430D6"/>
    <w:rsid w:val="16B833F8"/>
    <w:rsid w:val="16BE66D7"/>
    <w:rsid w:val="16BF1E15"/>
    <w:rsid w:val="16C14830"/>
    <w:rsid w:val="16C34DA5"/>
    <w:rsid w:val="16C60CFC"/>
    <w:rsid w:val="16C96200"/>
    <w:rsid w:val="16CA0D4E"/>
    <w:rsid w:val="16D60C3A"/>
    <w:rsid w:val="16E70B2F"/>
    <w:rsid w:val="16E83516"/>
    <w:rsid w:val="16EC3D10"/>
    <w:rsid w:val="170309EB"/>
    <w:rsid w:val="170322FE"/>
    <w:rsid w:val="1703450A"/>
    <w:rsid w:val="170B3743"/>
    <w:rsid w:val="17136118"/>
    <w:rsid w:val="1715363F"/>
    <w:rsid w:val="171D4DF7"/>
    <w:rsid w:val="171F390A"/>
    <w:rsid w:val="172447C9"/>
    <w:rsid w:val="172C30BE"/>
    <w:rsid w:val="172C4927"/>
    <w:rsid w:val="172D17AE"/>
    <w:rsid w:val="17305119"/>
    <w:rsid w:val="17310C15"/>
    <w:rsid w:val="173B401F"/>
    <w:rsid w:val="173D196F"/>
    <w:rsid w:val="17446912"/>
    <w:rsid w:val="1749763D"/>
    <w:rsid w:val="174B6D3D"/>
    <w:rsid w:val="174C2E7D"/>
    <w:rsid w:val="174C5427"/>
    <w:rsid w:val="175059FE"/>
    <w:rsid w:val="175C39C9"/>
    <w:rsid w:val="175D62EC"/>
    <w:rsid w:val="176654FF"/>
    <w:rsid w:val="17693379"/>
    <w:rsid w:val="177464DC"/>
    <w:rsid w:val="177974EB"/>
    <w:rsid w:val="177B7D38"/>
    <w:rsid w:val="177C0E74"/>
    <w:rsid w:val="178169D1"/>
    <w:rsid w:val="178501EB"/>
    <w:rsid w:val="17887D5F"/>
    <w:rsid w:val="178D35C8"/>
    <w:rsid w:val="17924201"/>
    <w:rsid w:val="179C3559"/>
    <w:rsid w:val="17A2248B"/>
    <w:rsid w:val="17A57733"/>
    <w:rsid w:val="17A76437"/>
    <w:rsid w:val="17AC6427"/>
    <w:rsid w:val="17AD0BA3"/>
    <w:rsid w:val="17AE0C93"/>
    <w:rsid w:val="17AF4A72"/>
    <w:rsid w:val="17B42169"/>
    <w:rsid w:val="17B43E3E"/>
    <w:rsid w:val="17BA425F"/>
    <w:rsid w:val="17BB150F"/>
    <w:rsid w:val="17BB5D5F"/>
    <w:rsid w:val="17BB5E7B"/>
    <w:rsid w:val="17BB6387"/>
    <w:rsid w:val="17C376E5"/>
    <w:rsid w:val="17C5117D"/>
    <w:rsid w:val="17C73BD5"/>
    <w:rsid w:val="17C95DAD"/>
    <w:rsid w:val="17CA3600"/>
    <w:rsid w:val="17D17958"/>
    <w:rsid w:val="17D217A4"/>
    <w:rsid w:val="17D4376B"/>
    <w:rsid w:val="17D47543"/>
    <w:rsid w:val="17D66B6B"/>
    <w:rsid w:val="17D66E61"/>
    <w:rsid w:val="17D912A0"/>
    <w:rsid w:val="17DB1E09"/>
    <w:rsid w:val="17DD3099"/>
    <w:rsid w:val="17DE186A"/>
    <w:rsid w:val="17DF2075"/>
    <w:rsid w:val="17E0108B"/>
    <w:rsid w:val="17E11B73"/>
    <w:rsid w:val="17E66F5B"/>
    <w:rsid w:val="17EA0E9B"/>
    <w:rsid w:val="17EA3661"/>
    <w:rsid w:val="17EE4028"/>
    <w:rsid w:val="17F13B56"/>
    <w:rsid w:val="17F92A0B"/>
    <w:rsid w:val="17FE0021"/>
    <w:rsid w:val="18025D64"/>
    <w:rsid w:val="18057A07"/>
    <w:rsid w:val="18061A3F"/>
    <w:rsid w:val="1809704B"/>
    <w:rsid w:val="180B10BC"/>
    <w:rsid w:val="180C49DB"/>
    <w:rsid w:val="180D4EB4"/>
    <w:rsid w:val="180F4B76"/>
    <w:rsid w:val="181E2472"/>
    <w:rsid w:val="181E28F4"/>
    <w:rsid w:val="182504C7"/>
    <w:rsid w:val="182A0E16"/>
    <w:rsid w:val="182A1FB1"/>
    <w:rsid w:val="182B6AF0"/>
    <w:rsid w:val="182C755B"/>
    <w:rsid w:val="18410EE6"/>
    <w:rsid w:val="1841198E"/>
    <w:rsid w:val="18452F64"/>
    <w:rsid w:val="184D3F17"/>
    <w:rsid w:val="184E36D2"/>
    <w:rsid w:val="18502F73"/>
    <w:rsid w:val="18512713"/>
    <w:rsid w:val="18513268"/>
    <w:rsid w:val="185F36D5"/>
    <w:rsid w:val="18663B72"/>
    <w:rsid w:val="18716C5F"/>
    <w:rsid w:val="18747443"/>
    <w:rsid w:val="187511EB"/>
    <w:rsid w:val="18754787"/>
    <w:rsid w:val="187D188E"/>
    <w:rsid w:val="18865D14"/>
    <w:rsid w:val="18866995"/>
    <w:rsid w:val="18901CC5"/>
    <w:rsid w:val="18906382"/>
    <w:rsid w:val="189163A9"/>
    <w:rsid w:val="189346A9"/>
    <w:rsid w:val="189B46F2"/>
    <w:rsid w:val="189F150D"/>
    <w:rsid w:val="18A30098"/>
    <w:rsid w:val="18A62B93"/>
    <w:rsid w:val="18AC2047"/>
    <w:rsid w:val="18AE1A47"/>
    <w:rsid w:val="18B17727"/>
    <w:rsid w:val="18B352B0"/>
    <w:rsid w:val="18BD6266"/>
    <w:rsid w:val="18C13529"/>
    <w:rsid w:val="18C305DA"/>
    <w:rsid w:val="18C63C94"/>
    <w:rsid w:val="18C905A3"/>
    <w:rsid w:val="18C911F6"/>
    <w:rsid w:val="18CE2AA5"/>
    <w:rsid w:val="18CE7215"/>
    <w:rsid w:val="18CE7C1B"/>
    <w:rsid w:val="18CF62F0"/>
    <w:rsid w:val="18D05E62"/>
    <w:rsid w:val="18D33248"/>
    <w:rsid w:val="18D42982"/>
    <w:rsid w:val="18DC619C"/>
    <w:rsid w:val="18E41886"/>
    <w:rsid w:val="18E44D0C"/>
    <w:rsid w:val="18EA4161"/>
    <w:rsid w:val="18FE27D3"/>
    <w:rsid w:val="18FF5AD2"/>
    <w:rsid w:val="190272DE"/>
    <w:rsid w:val="1904467F"/>
    <w:rsid w:val="190517BF"/>
    <w:rsid w:val="19063631"/>
    <w:rsid w:val="19065493"/>
    <w:rsid w:val="190951EE"/>
    <w:rsid w:val="190A2450"/>
    <w:rsid w:val="1912647A"/>
    <w:rsid w:val="191621EF"/>
    <w:rsid w:val="19167C36"/>
    <w:rsid w:val="19177CAD"/>
    <w:rsid w:val="192B3098"/>
    <w:rsid w:val="19385BBD"/>
    <w:rsid w:val="193C6818"/>
    <w:rsid w:val="19410B0E"/>
    <w:rsid w:val="19421036"/>
    <w:rsid w:val="19444ACC"/>
    <w:rsid w:val="19477EA8"/>
    <w:rsid w:val="1948117E"/>
    <w:rsid w:val="19527F63"/>
    <w:rsid w:val="19537948"/>
    <w:rsid w:val="19551092"/>
    <w:rsid w:val="195645B9"/>
    <w:rsid w:val="19593F7E"/>
    <w:rsid w:val="195F2D42"/>
    <w:rsid w:val="196034D6"/>
    <w:rsid w:val="1961295B"/>
    <w:rsid w:val="196158DC"/>
    <w:rsid w:val="19630A84"/>
    <w:rsid w:val="196338E0"/>
    <w:rsid w:val="19676753"/>
    <w:rsid w:val="196B2C33"/>
    <w:rsid w:val="1973286D"/>
    <w:rsid w:val="197420E6"/>
    <w:rsid w:val="19790993"/>
    <w:rsid w:val="197D16CC"/>
    <w:rsid w:val="19811A6C"/>
    <w:rsid w:val="19850EDC"/>
    <w:rsid w:val="19880C79"/>
    <w:rsid w:val="198A030D"/>
    <w:rsid w:val="198E4B82"/>
    <w:rsid w:val="19900BA8"/>
    <w:rsid w:val="199103F7"/>
    <w:rsid w:val="19941B4A"/>
    <w:rsid w:val="19960D84"/>
    <w:rsid w:val="199649B5"/>
    <w:rsid w:val="19987519"/>
    <w:rsid w:val="19996473"/>
    <w:rsid w:val="199A1899"/>
    <w:rsid w:val="199A78B7"/>
    <w:rsid w:val="19A05E2F"/>
    <w:rsid w:val="19A30E80"/>
    <w:rsid w:val="19AC652B"/>
    <w:rsid w:val="19B5220A"/>
    <w:rsid w:val="19BB08C0"/>
    <w:rsid w:val="19BF24D1"/>
    <w:rsid w:val="19C31523"/>
    <w:rsid w:val="19C50B24"/>
    <w:rsid w:val="19C96DA9"/>
    <w:rsid w:val="19D05643"/>
    <w:rsid w:val="19D26DD3"/>
    <w:rsid w:val="19D276DF"/>
    <w:rsid w:val="19D35AD5"/>
    <w:rsid w:val="19D379B8"/>
    <w:rsid w:val="19D43BD5"/>
    <w:rsid w:val="19D91050"/>
    <w:rsid w:val="19DB061A"/>
    <w:rsid w:val="19DD25E4"/>
    <w:rsid w:val="19DD4FAE"/>
    <w:rsid w:val="19E043EA"/>
    <w:rsid w:val="19E45A28"/>
    <w:rsid w:val="19E605C7"/>
    <w:rsid w:val="19E818F1"/>
    <w:rsid w:val="19EA26FB"/>
    <w:rsid w:val="19EB7C61"/>
    <w:rsid w:val="19EE5AEC"/>
    <w:rsid w:val="19F26CD4"/>
    <w:rsid w:val="19F54CA5"/>
    <w:rsid w:val="19F77A9E"/>
    <w:rsid w:val="1A017590"/>
    <w:rsid w:val="1A02029D"/>
    <w:rsid w:val="1A0A3A4A"/>
    <w:rsid w:val="1A0C4C78"/>
    <w:rsid w:val="1A0F6EBC"/>
    <w:rsid w:val="1A135D6A"/>
    <w:rsid w:val="1A136006"/>
    <w:rsid w:val="1A141D7E"/>
    <w:rsid w:val="1A163D48"/>
    <w:rsid w:val="1A1A67B3"/>
    <w:rsid w:val="1A1C14E1"/>
    <w:rsid w:val="1A1C3DB2"/>
    <w:rsid w:val="1A1C6AF7"/>
    <w:rsid w:val="1A217E24"/>
    <w:rsid w:val="1A271AB1"/>
    <w:rsid w:val="1A2964F9"/>
    <w:rsid w:val="1A2E6BB1"/>
    <w:rsid w:val="1A37041C"/>
    <w:rsid w:val="1A4268EB"/>
    <w:rsid w:val="1A495ECC"/>
    <w:rsid w:val="1A4A739A"/>
    <w:rsid w:val="1A4D27B1"/>
    <w:rsid w:val="1A4E5290"/>
    <w:rsid w:val="1A561356"/>
    <w:rsid w:val="1A5D1977"/>
    <w:rsid w:val="1A5F736C"/>
    <w:rsid w:val="1A6049E8"/>
    <w:rsid w:val="1A62782B"/>
    <w:rsid w:val="1A6751A7"/>
    <w:rsid w:val="1A6A7BF0"/>
    <w:rsid w:val="1A6B4094"/>
    <w:rsid w:val="1A6C36F8"/>
    <w:rsid w:val="1A6F02EB"/>
    <w:rsid w:val="1A813B9E"/>
    <w:rsid w:val="1A8B6784"/>
    <w:rsid w:val="1A9C58C5"/>
    <w:rsid w:val="1A9D4B2C"/>
    <w:rsid w:val="1A9F4658"/>
    <w:rsid w:val="1AA22E12"/>
    <w:rsid w:val="1AA2584B"/>
    <w:rsid w:val="1AA83118"/>
    <w:rsid w:val="1AA97138"/>
    <w:rsid w:val="1AAC4E17"/>
    <w:rsid w:val="1AB07CF9"/>
    <w:rsid w:val="1AB23263"/>
    <w:rsid w:val="1AB53F6B"/>
    <w:rsid w:val="1AB84DFF"/>
    <w:rsid w:val="1ABA7E0E"/>
    <w:rsid w:val="1AC11F06"/>
    <w:rsid w:val="1AC45552"/>
    <w:rsid w:val="1AC824AD"/>
    <w:rsid w:val="1AC94917"/>
    <w:rsid w:val="1ACB4B33"/>
    <w:rsid w:val="1ACD2659"/>
    <w:rsid w:val="1ACF1ED8"/>
    <w:rsid w:val="1AD027E1"/>
    <w:rsid w:val="1AD12437"/>
    <w:rsid w:val="1AD55133"/>
    <w:rsid w:val="1AD82DAC"/>
    <w:rsid w:val="1AD95279"/>
    <w:rsid w:val="1ADB0E4F"/>
    <w:rsid w:val="1ADF0735"/>
    <w:rsid w:val="1AE07EA9"/>
    <w:rsid w:val="1AE14F6F"/>
    <w:rsid w:val="1AEC1D22"/>
    <w:rsid w:val="1AF47DF3"/>
    <w:rsid w:val="1AF773BC"/>
    <w:rsid w:val="1AF776D6"/>
    <w:rsid w:val="1AFD5F24"/>
    <w:rsid w:val="1AFF22F6"/>
    <w:rsid w:val="1B067F31"/>
    <w:rsid w:val="1B100797"/>
    <w:rsid w:val="1B1738D4"/>
    <w:rsid w:val="1B1D2AAE"/>
    <w:rsid w:val="1B1E55CC"/>
    <w:rsid w:val="1B276664"/>
    <w:rsid w:val="1B295128"/>
    <w:rsid w:val="1B2A1ECA"/>
    <w:rsid w:val="1B2B7D3D"/>
    <w:rsid w:val="1B2D759B"/>
    <w:rsid w:val="1B324BB2"/>
    <w:rsid w:val="1B3A6689"/>
    <w:rsid w:val="1B3B33B8"/>
    <w:rsid w:val="1B4006E4"/>
    <w:rsid w:val="1B40716F"/>
    <w:rsid w:val="1B4668DD"/>
    <w:rsid w:val="1B4B4085"/>
    <w:rsid w:val="1B4B70CF"/>
    <w:rsid w:val="1B4C6644"/>
    <w:rsid w:val="1B4F12C0"/>
    <w:rsid w:val="1B506DE6"/>
    <w:rsid w:val="1B577BEC"/>
    <w:rsid w:val="1B593EEC"/>
    <w:rsid w:val="1B5E7755"/>
    <w:rsid w:val="1B61557E"/>
    <w:rsid w:val="1B617245"/>
    <w:rsid w:val="1B642891"/>
    <w:rsid w:val="1B656570"/>
    <w:rsid w:val="1B68227C"/>
    <w:rsid w:val="1B682DA9"/>
    <w:rsid w:val="1B736848"/>
    <w:rsid w:val="1B772679"/>
    <w:rsid w:val="1B776A91"/>
    <w:rsid w:val="1B7D7DE0"/>
    <w:rsid w:val="1B7E041E"/>
    <w:rsid w:val="1B801669"/>
    <w:rsid w:val="1B8E0192"/>
    <w:rsid w:val="1B913DC8"/>
    <w:rsid w:val="1B9803E1"/>
    <w:rsid w:val="1B9D585E"/>
    <w:rsid w:val="1B9E44C1"/>
    <w:rsid w:val="1BA41562"/>
    <w:rsid w:val="1BA77BA7"/>
    <w:rsid w:val="1BA84E74"/>
    <w:rsid w:val="1BAB20D6"/>
    <w:rsid w:val="1BAB2B82"/>
    <w:rsid w:val="1BAB763B"/>
    <w:rsid w:val="1BB31EFD"/>
    <w:rsid w:val="1BBB6955"/>
    <w:rsid w:val="1BBD41BA"/>
    <w:rsid w:val="1BC17CE4"/>
    <w:rsid w:val="1BC7354C"/>
    <w:rsid w:val="1BCC2FDE"/>
    <w:rsid w:val="1BCD0437"/>
    <w:rsid w:val="1BCD48DA"/>
    <w:rsid w:val="1BD21EF1"/>
    <w:rsid w:val="1BD27C70"/>
    <w:rsid w:val="1BDF5C76"/>
    <w:rsid w:val="1BE629AC"/>
    <w:rsid w:val="1BE827C4"/>
    <w:rsid w:val="1BE85270"/>
    <w:rsid w:val="1BEB583C"/>
    <w:rsid w:val="1BF105C9"/>
    <w:rsid w:val="1BF33CE5"/>
    <w:rsid w:val="1BF72897"/>
    <w:rsid w:val="1BFB18C8"/>
    <w:rsid w:val="1C00302B"/>
    <w:rsid w:val="1C02398F"/>
    <w:rsid w:val="1C043805"/>
    <w:rsid w:val="1C073948"/>
    <w:rsid w:val="1C0A144D"/>
    <w:rsid w:val="1C113F74"/>
    <w:rsid w:val="1C1A6D7D"/>
    <w:rsid w:val="1C1E7EE3"/>
    <w:rsid w:val="1C235D18"/>
    <w:rsid w:val="1C250273"/>
    <w:rsid w:val="1C2A3ADB"/>
    <w:rsid w:val="1C2C07F7"/>
    <w:rsid w:val="1C326899"/>
    <w:rsid w:val="1C36422E"/>
    <w:rsid w:val="1C36598A"/>
    <w:rsid w:val="1C3B6EE0"/>
    <w:rsid w:val="1C3D6BFD"/>
    <w:rsid w:val="1C534DE0"/>
    <w:rsid w:val="1C5D30C3"/>
    <w:rsid w:val="1C5E5533"/>
    <w:rsid w:val="1C6012B6"/>
    <w:rsid w:val="1C603786"/>
    <w:rsid w:val="1C633BEB"/>
    <w:rsid w:val="1C6C6AF9"/>
    <w:rsid w:val="1C6E1C1A"/>
    <w:rsid w:val="1C6E27E5"/>
    <w:rsid w:val="1C71170A"/>
    <w:rsid w:val="1C737230"/>
    <w:rsid w:val="1C7B708E"/>
    <w:rsid w:val="1C7C1FC3"/>
    <w:rsid w:val="1C7E23FB"/>
    <w:rsid w:val="1C8165C5"/>
    <w:rsid w:val="1C822364"/>
    <w:rsid w:val="1C830D76"/>
    <w:rsid w:val="1C8821EB"/>
    <w:rsid w:val="1C8A66C6"/>
    <w:rsid w:val="1C8B5435"/>
    <w:rsid w:val="1C8B7602"/>
    <w:rsid w:val="1C8F6A18"/>
    <w:rsid w:val="1C9176B6"/>
    <w:rsid w:val="1C944660"/>
    <w:rsid w:val="1C9A6898"/>
    <w:rsid w:val="1CA473E9"/>
    <w:rsid w:val="1CA50E12"/>
    <w:rsid w:val="1CA530A1"/>
    <w:rsid w:val="1CA8381A"/>
    <w:rsid w:val="1CAA4B64"/>
    <w:rsid w:val="1CAC0996"/>
    <w:rsid w:val="1CAD2DBB"/>
    <w:rsid w:val="1CB13A5F"/>
    <w:rsid w:val="1CB30167"/>
    <w:rsid w:val="1CB3159A"/>
    <w:rsid w:val="1CBD78B1"/>
    <w:rsid w:val="1CBE4CBE"/>
    <w:rsid w:val="1CC05D1F"/>
    <w:rsid w:val="1CC25AC1"/>
    <w:rsid w:val="1CC4203E"/>
    <w:rsid w:val="1CC67163"/>
    <w:rsid w:val="1CC6763C"/>
    <w:rsid w:val="1CCB6D47"/>
    <w:rsid w:val="1CCC4B92"/>
    <w:rsid w:val="1CCC5E2A"/>
    <w:rsid w:val="1CD16B77"/>
    <w:rsid w:val="1CD4202A"/>
    <w:rsid w:val="1CD500B9"/>
    <w:rsid w:val="1CD63939"/>
    <w:rsid w:val="1CD65B5D"/>
    <w:rsid w:val="1CD759E4"/>
    <w:rsid w:val="1CD7649B"/>
    <w:rsid w:val="1CDE7F7F"/>
    <w:rsid w:val="1CDF0421"/>
    <w:rsid w:val="1CE16E3C"/>
    <w:rsid w:val="1CE70010"/>
    <w:rsid w:val="1CE86287"/>
    <w:rsid w:val="1CF5473F"/>
    <w:rsid w:val="1CF64DC7"/>
    <w:rsid w:val="1CFB0A17"/>
    <w:rsid w:val="1D05365A"/>
    <w:rsid w:val="1D085BCA"/>
    <w:rsid w:val="1D1233D7"/>
    <w:rsid w:val="1D125905"/>
    <w:rsid w:val="1D16100D"/>
    <w:rsid w:val="1D193BA5"/>
    <w:rsid w:val="1D1A1832"/>
    <w:rsid w:val="1D1A76AB"/>
    <w:rsid w:val="1D1B5A7D"/>
    <w:rsid w:val="1D27757E"/>
    <w:rsid w:val="1D293D92"/>
    <w:rsid w:val="1D2B561A"/>
    <w:rsid w:val="1D325F37"/>
    <w:rsid w:val="1D336B90"/>
    <w:rsid w:val="1D3432F9"/>
    <w:rsid w:val="1D3460F3"/>
    <w:rsid w:val="1D3D2706"/>
    <w:rsid w:val="1D491D3F"/>
    <w:rsid w:val="1D4B4730"/>
    <w:rsid w:val="1D4D54FD"/>
    <w:rsid w:val="1D4F1A4B"/>
    <w:rsid w:val="1D4F40D1"/>
    <w:rsid w:val="1D5052F0"/>
    <w:rsid w:val="1D5232E9"/>
    <w:rsid w:val="1D540E0F"/>
    <w:rsid w:val="1D563A30"/>
    <w:rsid w:val="1D570900"/>
    <w:rsid w:val="1D590F68"/>
    <w:rsid w:val="1D5A3F4C"/>
    <w:rsid w:val="1D5C5F16"/>
    <w:rsid w:val="1D601D35"/>
    <w:rsid w:val="1D605385"/>
    <w:rsid w:val="1D6243F5"/>
    <w:rsid w:val="1D6B2A83"/>
    <w:rsid w:val="1D7273BA"/>
    <w:rsid w:val="1D7414B2"/>
    <w:rsid w:val="1D750D86"/>
    <w:rsid w:val="1D7909C3"/>
    <w:rsid w:val="1D794079"/>
    <w:rsid w:val="1D7A6072"/>
    <w:rsid w:val="1D813BCE"/>
    <w:rsid w:val="1D840FC9"/>
    <w:rsid w:val="1D8A2A83"/>
    <w:rsid w:val="1D8B132E"/>
    <w:rsid w:val="1D8F0099"/>
    <w:rsid w:val="1D912AAC"/>
    <w:rsid w:val="1D9965DA"/>
    <w:rsid w:val="1D9B3EA3"/>
    <w:rsid w:val="1D9C0D1C"/>
    <w:rsid w:val="1D9F51C4"/>
    <w:rsid w:val="1DA04055"/>
    <w:rsid w:val="1DAF6046"/>
    <w:rsid w:val="1DB21DE8"/>
    <w:rsid w:val="1DB52923"/>
    <w:rsid w:val="1DB6189F"/>
    <w:rsid w:val="1DB74A03"/>
    <w:rsid w:val="1DBB4A8B"/>
    <w:rsid w:val="1DBC69B5"/>
    <w:rsid w:val="1DBE3AEB"/>
    <w:rsid w:val="1DC01FF0"/>
    <w:rsid w:val="1DC35F95"/>
    <w:rsid w:val="1DC47F93"/>
    <w:rsid w:val="1DC730E3"/>
    <w:rsid w:val="1DCD6587"/>
    <w:rsid w:val="1DD0092D"/>
    <w:rsid w:val="1DD137B6"/>
    <w:rsid w:val="1DD64E3C"/>
    <w:rsid w:val="1DD70678"/>
    <w:rsid w:val="1DD76B92"/>
    <w:rsid w:val="1DDB1191"/>
    <w:rsid w:val="1DDB32DF"/>
    <w:rsid w:val="1DE45854"/>
    <w:rsid w:val="1DE87F9E"/>
    <w:rsid w:val="1DEA038E"/>
    <w:rsid w:val="1DEC3986"/>
    <w:rsid w:val="1DF429AD"/>
    <w:rsid w:val="1DF47EFC"/>
    <w:rsid w:val="1DF60118"/>
    <w:rsid w:val="1DF9138C"/>
    <w:rsid w:val="1DF92D37"/>
    <w:rsid w:val="1DFE3F47"/>
    <w:rsid w:val="1E003563"/>
    <w:rsid w:val="1E0077D6"/>
    <w:rsid w:val="1E0246BD"/>
    <w:rsid w:val="1E0345E3"/>
    <w:rsid w:val="1E062D21"/>
    <w:rsid w:val="1E08268C"/>
    <w:rsid w:val="1E0B2298"/>
    <w:rsid w:val="1E0C16EA"/>
    <w:rsid w:val="1E0D3161"/>
    <w:rsid w:val="1E1962CE"/>
    <w:rsid w:val="1E1B4E7E"/>
    <w:rsid w:val="1E1F7131"/>
    <w:rsid w:val="1E201C55"/>
    <w:rsid w:val="1E22401A"/>
    <w:rsid w:val="1E286525"/>
    <w:rsid w:val="1E2A55E7"/>
    <w:rsid w:val="1E2C535C"/>
    <w:rsid w:val="1E2E11A7"/>
    <w:rsid w:val="1E33787C"/>
    <w:rsid w:val="1E360515"/>
    <w:rsid w:val="1E361E47"/>
    <w:rsid w:val="1E3C0899"/>
    <w:rsid w:val="1E4D6F06"/>
    <w:rsid w:val="1E566E09"/>
    <w:rsid w:val="1E586CAC"/>
    <w:rsid w:val="1E676920"/>
    <w:rsid w:val="1E6800C6"/>
    <w:rsid w:val="1E6A4A53"/>
    <w:rsid w:val="1E6E4153"/>
    <w:rsid w:val="1E6F44CA"/>
    <w:rsid w:val="1E6F65D4"/>
    <w:rsid w:val="1E73753A"/>
    <w:rsid w:val="1E794E7F"/>
    <w:rsid w:val="1E7C3E82"/>
    <w:rsid w:val="1E7C7082"/>
    <w:rsid w:val="1E875BF9"/>
    <w:rsid w:val="1E8C20AD"/>
    <w:rsid w:val="1E8F5E77"/>
    <w:rsid w:val="1E906DF8"/>
    <w:rsid w:val="1E92299B"/>
    <w:rsid w:val="1E923478"/>
    <w:rsid w:val="1EA13876"/>
    <w:rsid w:val="1EA863A9"/>
    <w:rsid w:val="1EAE0924"/>
    <w:rsid w:val="1EAE3989"/>
    <w:rsid w:val="1EAE454F"/>
    <w:rsid w:val="1EB352DE"/>
    <w:rsid w:val="1EB44A79"/>
    <w:rsid w:val="1EB454C1"/>
    <w:rsid w:val="1EB61240"/>
    <w:rsid w:val="1EBD0773"/>
    <w:rsid w:val="1EBD29E4"/>
    <w:rsid w:val="1EBD4EDF"/>
    <w:rsid w:val="1EBF675C"/>
    <w:rsid w:val="1EC20832"/>
    <w:rsid w:val="1EC41FC5"/>
    <w:rsid w:val="1EC5460A"/>
    <w:rsid w:val="1ECC43DD"/>
    <w:rsid w:val="1ED038BC"/>
    <w:rsid w:val="1ED07368"/>
    <w:rsid w:val="1ED1194C"/>
    <w:rsid w:val="1ED418F0"/>
    <w:rsid w:val="1ED7407C"/>
    <w:rsid w:val="1ED870BA"/>
    <w:rsid w:val="1EDC166C"/>
    <w:rsid w:val="1EDC60EE"/>
    <w:rsid w:val="1EE00481"/>
    <w:rsid w:val="1EE2582E"/>
    <w:rsid w:val="1EE85EF0"/>
    <w:rsid w:val="1EE95B8D"/>
    <w:rsid w:val="1EF414AC"/>
    <w:rsid w:val="1F032D2D"/>
    <w:rsid w:val="1F056602"/>
    <w:rsid w:val="1F066EA9"/>
    <w:rsid w:val="1F080558"/>
    <w:rsid w:val="1F0915B1"/>
    <w:rsid w:val="1F0B44EE"/>
    <w:rsid w:val="1F0B74D7"/>
    <w:rsid w:val="1F10520A"/>
    <w:rsid w:val="1F134CFA"/>
    <w:rsid w:val="1F151212"/>
    <w:rsid w:val="1F180273"/>
    <w:rsid w:val="1F2046D2"/>
    <w:rsid w:val="1F205370"/>
    <w:rsid w:val="1F2418D2"/>
    <w:rsid w:val="1F285F22"/>
    <w:rsid w:val="1F286070"/>
    <w:rsid w:val="1F2C36C6"/>
    <w:rsid w:val="1F2E38E2"/>
    <w:rsid w:val="1F3A3E5A"/>
    <w:rsid w:val="1F3A6346"/>
    <w:rsid w:val="1F3D79EA"/>
    <w:rsid w:val="1F3E050A"/>
    <w:rsid w:val="1F3F789D"/>
    <w:rsid w:val="1F407AE5"/>
    <w:rsid w:val="1F4849A4"/>
    <w:rsid w:val="1F484A43"/>
    <w:rsid w:val="1F4B0CD1"/>
    <w:rsid w:val="1F4B7FF0"/>
    <w:rsid w:val="1F501AAA"/>
    <w:rsid w:val="1F5140AB"/>
    <w:rsid w:val="1F550012"/>
    <w:rsid w:val="1F597BAA"/>
    <w:rsid w:val="1F5F3A9B"/>
    <w:rsid w:val="1F696070"/>
    <w:rsid w:val="1F707A57"/>
    <w:rsid w:val="1F73636E"/>
    <w:rsid w:val="1F7C12ED"/>
    <w:rsid w:val="1F7C4BCB"/>
    <w:rsid w:val="1F7E2725"/>
    <w:rsid w:val="1F810CAA"/>
    <w:rsid w:val="1F873FC8"/>
    <w:rsid w:val="1F8C06C8"/>
    <w:rsid w:val="1F8E612F"/>
    <w:rsid w:val="1F972110"/>
    <w:rsid w:val="1F99167F"/>
    <w:rsid w:val="1F9B6D2D"/>
    <w:rsid w:val="1FA63478"/>
    <w:rsid w:val="1FA77910"/>
    <w:rsid w:val="1FAB0A74"/>
    <w:rsid w:val="1FAD008D"/>
    <w:rsid w:val="1FAF5DB9"/>
    <w:rsid w:val="1FB00FED"/>
    <w:rsid w:val="1FB0179E"/>
    <w:rsid w:val="1FB060A5"/>
    <w:rsid w:val="1FB5190D"/>
    <w:rsid w:val="1FBC4A4A"/>
    <w:rsid w:val="1FBE2331"/>
    <w:rsid w:val="1FBF1277"/>
    <w:rsid w:val="1FC02662"/>
    <w:rsid w:val="1FC263A6"/>
    <w:rsid w:val="1FC52FAD"/>
    <w:rsid w:val="1FC62AF6"/>
    <w:rsid w:val="1FC87893"/>
    <w:rsid w:val="1FCA45F9"/>
    <w:rsid w:val="1FCD6C57"/>
    <w:rsid w:val="1FCF1843"/>
    <w:rsid w:val="1FD153AD"/>
    <w:rsid w:val="1FD4688B"/>
    <w:rsid w:val="1FD9384E"/>
    <w:rsid w:val="1FDA0E9C"/>
    <w:rsid w:val="1FDA11B6"/>
    <w:rsid w:val="1FDE70B6"/>
    <w:rsid w:val="1FE12702"/>
    <w:rsid w:val="1FE22B7B"/>
    <w:rsid w:val="1FE3513C"/>
    <w:rsid w:val="1FE3647B"/>
    <w:rsid w:val="1FE51794"/>
    <w:rsid w:val="1FEA7AAD"/>
    <w:rsid w:val="1FED18E2"/>
    <w:rsid w:val="1FF44B54"/>
    <w:rsid w:val="1FFC753C"/>
    <w:rsid w:val="1FFE5D4A"/>
    <w:rsid w:val="200837FA"/>
    <w:rsid w:val="200A6F86"/>
    <w:rsid w:val="2014250D"/>
    <w:rsid w:val="201A5DDC"/>
    <w:rsid w:val="201C62F8"/>
    <w:rsid w:val="201E0CB3"/>
    <w:rsid w:val="2020147D"/>
    <w:rsid w:val="2021722B"/>
    <w:rsid w:val="2021761B"/>
    <w:rsid w:val="202936E5"/>
    <w:rsid w:val="202A40A9"/>
    <w:rsid w:val="202C5EB3"/>
    <w:rsid w:val="202D3376"/>
    <w:rsid w:val="202E4274"/>
    <w:rsid w:val="20312395"/>
    <w:rsid w:val="20344F28"/>
    <w:rsid w:val="2034516F"/>
    <w:rsid w:val="203566B4"/>
    <w:rsid w:val="203C73EE"/>
    <w:rsid w:val="20471251"/>
    <w:rsid w:val="20483BFA"/>
    <w:rsid w:val="20487301"/>
    <w:rsid w:val="204C705C"/>
    <w:rsid w:val="20500B4A"/>
    <w:rsid w:val="20530084"/>
    <w:rsid w:val="206155F1"/>
    <w:rsid w:val="20626BAD"/>
    <w:rsid w:val="206362FE"/>
    <w:rsid w:val="20661F44"/>
    <w:rsid w:val="20721B65"/>
    <w:rsid w:val="20751465"/>
    <w:rsid w:val="20771F6B"/>
    <w:rsid w:val="207A1785"/>
    <w:rsid w:val="207A296E"/>
    <w:rsid w:val="207B39A0"/>
    <w:rsid w:val="207C5C65"/>
    <w:rsid w:val="2081248F"/>
    <w:rsid w:val="20826C4A"/>
    <w:rsid w:val="2089343F"/>
    <w:rsid w:val="20897CF7"/>
    <w:rsid w:val="208D1531"/>
    <w:rsid w:val="20902B53"/>
    <w:rsid w:val="20937578"/>
    <w:rsid w:val="20937EA1"/>
    <w:rsid w:val="20964AEE"/>
    <w:rsid w:val="20983EB6"/>
    <w:rsid w:val="209861AD"/>
    <w:rsid w:val="20987265"/>
    <w:rsid w:val="20987DD0"/>
    <w:rsid w:val="209958FD"/>
    <w:rsid w:val="209E4D89"/>
    <w:rsid w:val="20A0436C"/>
    <w:rsid w:val="20A04410"/>
    <w:rsid w:val="20A10E36"/>
    <w:rsid w:val="20A418DA"/>
    <w:rsid w:val="20A83439"/>
    <w:rsid w:val="20A84338"/>
    <w:rsid w:val="20AA14FA"/>
    <w:rsid w:val="20AB3B3A"/>
    <w:rsid w:val="20AD2FC4"/>
    <w:rsid w:val="20B816B5"/>
    <w:rsid w:val="20BF5498"/>
    <w:rsid w:val="20C26C3F"/>
    <w:rsid w:val="20C50ABF"/>
    <w:rsid w:val="20C718F8"/>
    <w:rsid w:val="20C91B14"/>
    <w:rsid w:val="20CA0A44"/>
    <w:rsid w:val="20CB5FE7"/>
    <w:rsid w:val="20D12DDC"/>
    <w:rsid w:val="20DA376C"/>
    <w:rsid w:val="20DD111C"/>
    <w:rsid w:val="20E93AA9"/>
    <w:rsid w:val="20EB0495"/>
    <w:rsid w:val="20EE4A28"/>
    <w:rsid w:val="20F06E0B"/>
    <w:rsid w:val="20F36B91"/>
    <w:rsid w:val="20F52F78"/>
    <w:rsid w:val="20F63F8C"/>
    <w:rsid w:val="21004E0A"/>
    <w:rsid w:val="2100717B"/>
    <w:rsid w:val="21030083"/>
    <w:rsid w:val="210775BE"/>
    <w:rsid w:val="210C5CAC"/>
    <w:rsid w:val="21162698"/>
    <w:rsid w:val="21174E62"/>
    <w:rsid w:val="21176DF9"/>
    <w:rsid w:val="211A0FDD"/>
    <w:rsid w:val="211D409C"/>
    <w:rsid w:val="21287281"/>
    <w:rsid w:val="2129610F"/>
    <w:rsid w:val="212A1E87"/>
    <w:rsid w:val="212C2CC3"/>
    <w:rsid w:val="212E76D6"/>
    <w:rsid w:val="213041DB"/>
    <w:rsid w:val="213500A1"/>
    <w:rsid w:val="2137738E"/>
    <w:rsid w:val="21396848"/>
    <w:rsid w:val="213E2FB3"/>
    <w:rsid w:val="214A44A5"/>
    <w:rsid w:val="214A7BC2"/>
    <w:rsid w:val="214E273E"/>
    <w:rsid w:val="214F061E"/>
    <w:rsid w:val="2150195F"/>
    <w:rsid w:val="21544134"/>
    <w:rsid w:val="21562840"/>
    <w:rsid w:val="215A7A30"/>
    <w:rsid w:val="215D400B"/>
    <w:rsid w:val="215E585C"/>
    <w:rsid w:val="21625A2A"/>
    <w:rsid w:val="21630F87"/>
    <w:rsid w:val="216476D3"/>
    <w:rsid w:val="216655B5"/>
    <w:rsid w:val="21690C01"/>
    <w:rsid w:val="216D6944"/>
    <w:rsid w:val="21714D2D"/>
    <w:rsid w:val="21725D08"/>
    <w:rsid w:val="217D645B"/>
    <w:rsid w:val="217F6677"/>
    <w:rsid w:val="21815F4B"/>
    <w:rsid w:val="21823A71"/>
    <w:rsid w:val="21857B26"/>
    <w:rsid w:val="2186530F"/>
    <w:rsid w:val="218C3069"/>
    <w:rsid w:val="218F5AAC"/>
    <w:rsid w:val="219A700D"/>
    <w:rsid w:val="219E6AFD"/>
    <w:rsid w:val="21A67A03"/>
    <w:rsid w:val="21A931FB"/>
    <w:rsid w:val="21AB706F"/>
    <w:rsid w:val="21B04A82"/>
    <w:rsid w:val="21B52099"/>
    <w:rsid w:val="21BC32B1"/>
    <w:rsid w:val="21C00D8A"/>
    <w:rsid w:val="21C24F10"/>
    <w:rsid w:val="21C526E4"/>
    <w:rsid w:val="21CB2A6E"/>
    <w:rsid w:val="21CE7AA5"/>
    <w:rsid w:val="21CF6601"/>
    <w:rsid w:val="21D17F00"/>
    <w:rsid w:val="21D201C6"/>
    <w:rsid w:val="21D34D91"/>
    <w:rsid w:val="21D41A4E"/>
    <w:rsid w:val="21D47FEE"/>
    <w:rsid w:val="21D50045"/>
    <w:rsid w:val="21D65868"/>
    <w:rsid w:val="21D75024"/>
    <w:rsid w:val="21DD49A5"/>
    <w:rsid w:val="21E87D78"/>
    <w:rsid w:val="21F26A25"/>
    <w:rsid w:val="21FA3CE5"/>
    <w:rsid w:val="21FA714E"/>
    <w:rsid w:val="21FB3F4F"/>
    <w:rsid w:val="21FD222B"/>
    <w:rsid w:val="21FF63D9"/>
    <w:rsid w:val="220050D4"/>
    <w:rsid w:val="22047779"/>
    <w:rsid w:val="220E499E"/>
    <w:rsid w:val="22140308"/>
    <w:rsid w:val="22154E03"/>
    <w:rsid w:val="22175F74"/>
    <w:rsid w:val="22183515"/>
    <w:rsid w:val="221F518B"/>
    <w:rsid w:val="22230DB0"/>
    <w:rsid w:val="222F2F4D"/>
    <w:rsid w:val="22354D5C"/>
    <w:rsid w:val="223607C4"/>
    <w:rsid w:val="223B07F0"/>
    <w:rsid w:val="223B3BE8"/>
    <w:rsid w:val="223C6A3A"/>
    <w:rsid w:val="223E3625"/>
    <w:rsid w:val="223F287C"/>
    <w:rsid w:val="224405F2"/>
    <w:rsid w:val="22476EDB"/>
    <w:rsid w:val="22487300"/>
    <w:rsid w:val="22495543"/>
    <w:rsid w:val="224D1F70"/>
    <w:rsid w:val="22514CF2"/>
    <w:rsid w:val="2254750D"/>
    <w:rsid w:val="225846EC"/>
    <w:rsid w:val="22592F53"/>
    <w:rsid w:val="225B1D0C"/>
    <w:rsid w:val="225C51D8"/>
    <w:rsid w:val="225F0322"/>
    <w:rsid w:val="22641EAC"/>
    <w:rsid w:val="22646871"/>
    <w:rsid w:val="226725FC"/>
    <w:rsid w:val="22680EB9"/>
    <w:rsid w:val="226B7ED1"/>
    <w:rsid w:val="22714212"/>
    <w:rsid w:val="2272042F"/>
    <w:rsid w:val="22781C87"/>
    <w:rsid w:val="227A2FB9"/>
    <w:rsid w:val="22813D29"/>
    <w:rsid w:val="228201CD"/>
    <w:rsid w:val="228B23FB"/>
    <w:rsid w:val="228C118B"/>
    <w:rsid w:val="228E3A1D"/>
    <w:rsid w:val="229121BE"/>
    <w:rsid w:val="22941CAE"/>
    <w:rsid w:val="22995D86"/>
    <w:rsid w:val="229F35BC"/>
    <w:rsid w:val="22A15FF9"/>
    <w:rsid w:val="22A30E8E"/>
    <w:rsid w:val="22AC6FF8"/>
    <w:rsid w:val="22AE00D2"/>
    <w:rsid w:val="22B145D6"/>
    <w:rsid w:val="22B850EC"/>
    <w:rsid w:val="22BE5A5C"/>
    <w:rsid w:val="22C6581D"/>
    <w:rsid w:val="22C67200"/>
    <w:rsid w:val="22C957F6"/>
    <w:rsid w:val="22D467A7"/>
    <w:rsid w:val="22D97A71"/>
    <w:rsid w:val="22DD0716"/>
    <w:rsid w:val="22DD1132"/>
    <w:rsid w:val="22E03145"/>
    <w:rsid w:val="22E04635"/>
    <w:rsid w:val="22E13D3C"/>
    <w:rsid w:val="22E455CE"/>
    <w:rsid w:val="22E62ECB"/>
    <w:rsid w:val="22ED3761"/>
    <w:rsid w:val="22EE5C8E"/>
    <w:rsid w:val="22F77D10"/>
    <w:rsid w:val="22FB1917"/>
    <w:rsid w:val="22FE16CD"/>
    <w:rsid w:val="23025705"/>
    <w:rsid w:val="230A5908"/>
    <w:rsid w:val="230C2B5E"/>
    <w:rsid w:val="230F4C98"/>
    <w:rsid w:val="231132FF"/>
    <w:rsid w:val="23187BD7"/>
    <w:rsid w:val="2319253E"/>
    <w:rsid w:val="231B23CF"/>
    <w:rsid w:val="231D3AA7"/>
    <w:rsid w:val="232312C4"/>
    <w:rsid w:val="23256DAA"/>
    <w:rsid w:val="23290648"/>
    <w:rsid w:val="232935DD"/>
    <w:rsid w:val="23333ABE"/>
    <w:rsid w:val="233B01E2"/>
    <w:rsid w:val="233B5D46"/>
    <w:rsid w:val="23447B56"/>
    <w:rsid w:val="234F026F"/>
    <w:rsid w:val="234F35BB"/>
    <w:rsid w:val="2350226A"/>
    <w:rsid w:val="235439F1"/>
    <w:rsid w:val="23546288"/>
    <w:rsid w:val="23565750"/>
    <w:rsid w:val="235D115E"/>
    <w:rsid w:val="236613BB"/>
    <w:rsid w:val="236B577B"/>
    <w:rsid w:val="236E5BB5"/>
    <w:rsid w:val="23711267"/>
    <w:rsid w:val="237140AF"/>
    <w:rsid w:val="237147B2"/>
    <w:rsid w:val="23727508"/>
    <w:rsid w:val="2375388E"/>
    <w:rsid w:val="23775858"/>
    <w:rsid w:val="23785CDD"/>
    <w:rsid w:val="237979F1"/>
    <w:rsid w:val="237C6220"/>
    <w:rsid w:val="23803558"/>
    <w:rsid w:val="23812AF5"/>
    <w:rsid w:val="23842AD3"/>
    <w:rsid w:val="23871813"/>
    <w:rsid w:val="238B4614"/>
    <w:rsid w:val="23944991"/>
    <w:rsid w:val="23976ED6"/>
    <w:rsid w:val="23995C11"/>
    <w:rsid w:val="239E7E17"/>
    <w:rsid w:val="239F2651"/>
    <w:rsid w:val="23A14683"/>
    <w:rsid w:val="23A321E5"/>
    <w:rsid w:val="23A42296"/>
    <w:rsid w:val="23AA6539"/>
    <w:rsid w:val="23AB3753"/>
    <w:rsid w:val="23AB5501"/>
    <w:rsid w:val="23B32608"/>
    <w:rsid w:val="23B7534F"/>
    <w:rsid w:val="23B8361D"/>
    <w:rsid w:val="23B96751"/>
    <w:rsid w:val="23CD3ACB"/>
    <w:rsid w:val="23CE49F6"/>
    <w:rsid w:val="23D05879"/>
    <w:rsid w:val="23D24F85"/>
    <w:rsid w:val="23D35767"/>
    <w:rsid w:val="23DA7B95"/>
    <w:rsid w:val="23DC12B7"/>
    <w:rsid w:val="23DC56BB"/>
    <w:rsid w:val="23E01642"/>
    <w:rsid w:val="23E12D3E"/>
    <w:rsid w:val="23ED1784"/>
    <w:rsid w:val="23F039B3"/>
    <w:rsid w:val="23FB02D0"/>
    <w:rsid w:val="24000B94"/>
    <w:rsid w:val="24030E99"/>
    <w:rsid w:val="2403213E"/>
    <w:rsid w:val="24051FA5"/>
    <w:rsid w:val="24123AD5"/>
    <w:rsid w:val="241E65F5"/>
    <w:rsid w:val="24254431"/>
    <w:rsid w:val="24287333"/>
    <w:rsid w:val="242B44AF"/>
    <w:rsid w:val="242C49F3"/>
    <w:rsid w:val="242D5EF4"/>
    <w:rsid w:val="242F1A87"/>
    <w:rsid w:val="242F228A"/>
    <w:rsid w:val="24335339"/>
    <w:rsid w:val="243A4734"/>
    <w:rsid w:val="243B27E1"/>
    <w:rsid w:val="2446347C"/>
    <w:rsid w:val="24480FA2"/>
    <w:rsid w:val="244A2F6C"/>
    <w:rsid w:val="24504F9C"/>
    <w:rsid w:val="245358AD"/>
    <w:rsid w:val="2455328E"/>
    <w:rsid w:val="245C794C"/>
    <w:rsid w:val="245F3A80"/>
    <w:rsid w:val="24695021"/>
    <w:rsid w:val="246C7B02"/>
    <w:rsid w:val="247022A7"/>
    <w:rsid w:val="24704ABB"/>
    <w:rsid w:val="24767D96"/>
    <w:rsid w:val="24771E68"/>
    <w:rsid w:val="24775767"/>
    <w:rsid w:val="247E2C16"/>
    <w:rsid w:val="247E49C4"/>
    <w:rsid w:val="24813D24"/>
    <w:rsid w:val="248719C1"/>
    <w:rsid w:val="24877F02"/>
    <w:rsid w:val="248D10AB"/>
    <w:rsid w:val="248E7F33"/>
    <w:rsid w:val="24972AF0"/>
    <w:rsid w:val="24973CD7"/>
    <w:rsid w:val="249F043C"/>
    <w:rsid w:val="24A2770B"/>
    <w:rsid w:val="24A73F1B"/>
    <w:rsid w:val="24A91B9E"/>
    <w:rsid w:val="24A93D28"/>
    <w:rsid w:val="24AC1531"/>
    <w:rsid w:val="24AD77B8"/>
    <w:rsid w:val="24B14424"/>
    <w:rsid w:val="24B9717A"/>
    <w:rsid w:val="24BC036B"/>
    <w:rsid w:val="24C36723"/>
    <w:rsid w:val="24C3687B"/>
    <w:rsid w:val="24C64B1C"/>
    <w:rsid w:val="24C84636"/>
    <w:rsid w:val="24C87ACE"/>
    <w:rsid w:val="24C90335"/>
    <w:rsid w:val="24C9250F"/>
    <w:rsid w:val="24C96E6B"/>
    <w:rsid w:val="24CA19B7"/>
    <w:rsid w:val="24CA2D6B"/>
    <w:rsid w:val="24CB39E1"/>
    <w:rsid w:val="24CE7295"/>
    <w:rsid w:val="24CF26C3"/>
    <w:rsid w:val="24D12734"/>
    <w:rsid w:val="24D42836"/>
    <w:rsid w:val="24D51EC8"/>
    <w:rsid w:val="24DF27E1"/>
    <w:rsid w:val="24E871BA"/>
    <w:rsid w:val="24EA0ECD"/>
    <w:rsid w:val="24F000BC"/>
    <w:rsid w:val="24F91CA0"/>
    <w:rsid w:val="24FA089C"/>
    <w:rsid w:val="24FA2088"/>
    <w:rsid w:val="24FD1013"/>
    <w:rsid w:val="250123F8"/>
    <w:rsid w:val="25014593"/>
    <w:rsid w:val="250309A2"/>
    <w:rsid w:val="25032462"/>
    <w:rsid w:val="25063EE7"/>
    <w:rsid w:val="25065E09"/>
    <w:rsid w:val="2508512A"/>
    <w:rsid w:val="250D7DC7"/>
    <w:rsid w:val="25104604"/>
    <w:rsid w:val="25163D49"/>
    <w:rsid w:val="251649A1"/>
    <w:rsid w:val="25172426"/>
    <w:rsid w:val="251938A9"/>
    <w:rsid w:val="25196F7A"/>
    <w:rsid w:val="251A293E"/>
    <w:rsid w:val="251D3ECD"/>
    <w:rsid w:val="251F61A7"/>
    <w:rsid w:val="251F7670"/>
    <w:rsid w:val="2524245F"/>
    <w:rsid w:val="252611F9"/>
    <w:rsid w:val="25263AAB"/>
    <w:rsid w:val="252E1765"/>
    <w:rsid w:val="252E6D68"/>
    <w:rsid w:val="252F5CBE"/>
    <w:rsid w:val="25302162"/>
    <w:rsid w:val="253B4B50"/>
    <w:rsid w:val="254063AA"/>
    <w:rsid w:val="254660DF"/>
    <w:rsid w:val="25487CC1"/>
    <w:rsid w:val="254942F8"/>
    <w:rsid w:val="254D3591"/>
    <w:rsid w:val="254E0EE0"/>
    <w:rsid w:val="2552732C"/>
    <w:rsid w:val="25537BFE"/>
    <w:rsid w:val="25557332"/>
    <w:rsid w:val="255717D4"/>
    <w:rsid w:val="25585215"/>
    <w:rsid w:val="25593998"/>
    <w:rsid w:val="255A0F8D"/>
    <w:rsid w:val="255B69DE"/>
    <w:rsid w:val="255F221E"/>
    <w:rsid w:val="255F6308"/>
    <w:rsid w:val="25627DE0"/>
    <w:rsid w:val="256409CA"/>
    <w:rsid w:val="25640DE3"/>
    <w:rsid w:val="2571156A"/>
    <w:rsid w:val="257F4C42"/>
    <w:rsid w:val="2580476C"/>
    <w:rsid w:val="258401AA"/>
    <w:rsid w:val="25851A27"/>
    <w:rsid w:val="2586353D"/>
    <w:rsid w:val="25883BEC"/>
    <w:rsid w:val="25887882"/>
    <w:rsid w:val="258C0EF6"/>
    <w:rsid w:val="258F14BE"/>
    <w:rsid w:val="25912D53"/>
    <w:rsid w:val="25924268"/>
    <w:rsid w:val="259A75DB"/>
    <w:rsid w:val="259C2163"/>
    <w:rsid w:val="259E3C20"/>
    <w:rsid w:val="25A1307D"/>
    <w:rsid w:val="25AA7E8B"/>
    <w:rsid w:val="25AB6E05"/>
    <w:rsid w:val="25AC59A6"/>
    <w:rsid w:val="25AE65FF"/>
    <w:rsid w:val="25AF69B6"/>
    <w:rsid w:val="25B032A3"/>
    <w:rsid w:val="25B05051"/>
    <w:rsid w:val="25B264BF"/>
    <w:rsid w:val="25B41EBB"/>
    <w:rsid w:val="25B80508"/>
    <w:rsid w:val="25B96792"/>
    <w:rsid w:val="25BC18EC"/>
    <w:rsid w:val="25C013BE"/>
    <w:rsid w:val="25C042C4"/>
    <w:rsid w:val="25C40C95"/>
    <w:rsid w:val="25C52082"/>
    <w:rsid w:val="25C64874"/>
    <w:rsid w:val="25CC0A5C"/>
    <w:rsid w:val="25D00CB9"/>
    <w:rsid w:val="25DB254C"/>
    <w:rsid w:val="25DD0D47"/>
    <w:rsid w:val="25E036C2"/>
    <w:rsid w:val="25E60A73"/>
    <w:rsid w:val="25E80EF3"/>
    <w:rsid w:val="25F61973"/>
    <w:rsid w:val="25F74A67"/>
    <w:rsid w:val="25FF7D86"/>
    <w:rsid w:val="260116B1"/>
    <w:rsid w:val="26027A09"/>
    <w:rsid w:val="26047770"/>
    <w:rsid w:val="260C7301"/>
    <w:rsid w:val="26151358"/>
    <w:rsid w:val="261C76EF"/>
    <w:rsid w:val="261D1952"/>
    <w:rsid w:val="261D2C8F"/>
    <w:rsid w:val="26217EE2"/>
    <w:rsid w:val="2624512F"/>
    <w:rsid w:val="26270BF1"/>
    <w:rsid w:val="262B3123"/>
    <w:rsid w:val="262F59F1"/>
    <w:rsid w:val="2630004E"/>
    <w:rsid w:val="26354DFC"/>
    <w:rsid w:val="26392551"/>
    <w:rsid w:val="26393298"/>
    <w:rsid w:val="263B1E67"/>
    <w:rsid w:val="263C4E8E"/>
    <w:rsid w:val="263E265D"/>
    <w:rsid w:val="263F63D5"/>
    <w:rsid w:val="26420B34"/>
    <w:rsid w:val="2644185E"/>
    <w:rsid w:val="264448F1"/>
    <w:rsid w:val="26444C9D"/>
    <w:rsid w:val="26493F29"/>
    <w:rsid w:val="264E742A"/>
    <w:rsid w:val="2650004B"/>
    <w:rsid w:val="26510729"/>
    <w:rsid w:val="265477C3"/>
    <w:rsid w:val="2657066E"/>
    <w:rsid w:val="265837C2"/>
    <w:rsid w:val="26585807"/>
    <w:rsid w:val="2659107C"/>
    <w:rsid w:val="26591245"/>
    <w:rsid w:val="265E0226"/>
    <w:rsid w:val="265E38E4"/>
    <w:rsid w:val="2665080F"/>
    <w:rsid w:val="26653B34"/>
    <w:rsid w:val="266627CD"/>
    <w:rsid w:val="266D3134"/>
    <w:rsid w:val="266F42A1"/>
    <w:rsid w:val="26717C87"/>
    <w:rsid w:val="26720558"/>
    <w:rsid w:val="26752071"/>
    <w:rsid w:val="267A696E"/>
    <w:rsid w:val="267B45D7"/>
    <w:rsid w:val="26816D86"/>
    <w:rsid w:val="268557F6"/>
    <w:rsid w:val="26885D80"/>
    <w:rsid w:val="268A2A8F"/>
    <w:rsid w:val="268A7650"/>
    <w:rsid w:val="26921B60"/>
    <w:rsid w:val="26933E81"/>
    <w:rsid w:val="269632A3"/>
    <w:rsid w:val="269E759F"/>
    <w:rsid w:val="269F29C5"/>
    <w:rsid w:val="269F55F8"/>
    <w:rsid w:val="26A44A67"/>
    <w:rsid w:val="26A76454"/>
    <w:rsid w:val="26AA1470"/>
    <w:rsid w:val="26AF2EC0"/>
    <w:rsid w:val="26B00748"/>
    <w:rsid w:val="26B302B4"/>
    <w:rsid w:val="26B75F6B"/>
    <w:rsid w:val="26C20C12"/>
    <w:rsid w:val="26C37006"/>
    <w:rsid w:val="26C66A4E"/>
    <w:rsid w:val="26C8461C"/>
    <w:rsid w:val="26CD7416"/>
    <w:rsid w:val="26CF59AB"/>
    <w:rsid w:val="26D22DA5"/>
    <w:rsid w:val="26D344B4"/>
    <w:rsid w:val="26D42FC1"/>
    <w:rsid w:val="26D4366F"/>
    <w:rsid w:val="26D729ED"/>
    <w:rsid w:val="26D731AF"/>
    <w:rsid w:val="26D80A89"/>
    <w:rsid w:val="26DE193C"/>
    <w:rsid w:val="26E06C14"/>
    <w:rsid w:val="26E20936"/>
    <w:rsid w:val="26E23E65"/>
    <w:rsid w:val="26E9435A"/>
    <w:rsid w:val="26EA2EE2"/>
    <w:rsid w:val="26EA604E"/>
    <w:rsid w:val="26EE4083"/>
    <w:rsid w:val="26EF283A"/>
    <w:rsid w:val="26EF7D71"/>
    <w:rsid w:val="26F00A07"/>
    <w:rsid w:val="26F447CE"/>
    <w:rsid w:val="26F74256"/>
    <w:rsid w:val="26F976BD"/>
    <w:rsid w:val="26FB2287"/>
    <w:rsid w:val="27001309"/>
    <w:rsid w:val="270113DA"/>
    <w:rsid w:val="27061364"/>
    <w:rsid w:val="270960B3"/>
    <w:rsid w:val="27124240"/>
    <w:rsid w:val="27134ECD"/>
    <w:rsid w:val="27135254"/>
    <w:rsid w:val="2716077D"/>
    <w:rsid w:val="27174C5C"/>
    <w:rsid w:val="27175366"/>
    <w:rsid w:val="271C2272"/>
    <w:rsid w:val="271E5FEA"/>
    <w:rsid w:val="27214CCB"/>
    <w:rsid w:val="27241B06"/>
    <w:rsid w:val="27257379"/>
    <w:rsid w:val="2728340B"/>
    <w:rsid w:val="27286B20"/>
    <w:rsid w:val="272A4478"/>
    <w:rsid w:val="272C6D60"/>
    <w:rsid w:val="27321583"/>
    <w:rsid w:val="27335F39"/>
    <w:rsid w:val="2738111C"/>
    <w:rsid w:val="273960EC"/>
    <w:rsid w:val="273B4DEE"/>
    <w:rsid w:val="273D1605"/>
    <w:rsid w:val="27441EF5"/>
    <w:rsid w:val="27466863"/>
    <w:rsid w:val="274A5031"/>
    <w:rsid w:val="274E2D73"/>
    <w:rsid w:val="274F4DDF"/>
    <w:rsid w:val="2753001D"/>
    <w:rsid w:val="27541A0C"/>
    <w:rsid w:val="275D2FB6"/>
    <w:rsid w:val="27601B60"/>
    <w:rsid w:val="2761268E"/>
    <w:rsid w:val="27622F60"/>
    <w:rsid w:val="276335FC"/>
    <w:rsid w:val="276C594F"/>
    <w:rsid w:val="277005F2"/>
    <w:rsid w:val="27713266"/>
    <w:rsid w:val="27762691"/>
    <w:rsid w:val="277D576B"/>
    <w:rsid w:val="277D6E4D"/>
    <w:rsid w:val="27844A86"/>
    <w:rsid w:val="27870033"/>
    <w:rsid w:val="27872B49"/>
    <w:rsid w:val="278A471E"/>
    <w:rsid w:val="278F244A"/>
    <w:rsid w:val="2791341F"/>
    <w:rsid w:val="27914BB6"/>
    <w:rsid w:val="27977181"/>
    <w:rsid w:val="279F1B04"/>
    <w:rsid w:val="27A2388D"/>
    <w:rsid w:val="27A40BE5"/>
    <w:rsid w:val="27A842FD"/>
    <w:rsid w:val="27AA0083"/>
    <w:rsid w:val="27AA4DAB"/>
    <w:rsid w:val="27AB0439"/>
    <w:rsid w:val="27AB264B"/>
    <w:rsid w:val="27AC7A9A"/>
    <w:rsid w:val="27AD0FDB"/>
    <w:rsid w:val="27AF76E5"/>
    <w:rsid w:val="27BE00D5"/>
    <w:rsid w:val="27C32315"/>
    <w:rsid w:val="27C5494C"/>
    <w:rsid w:val="27C6662C"/>
    <w:rsid w:val="27CB639B"/>
    <w:rsid w:val="27CF0934"/>
    <w:rsid w:val="27CF7BDD"/>
    <w:rsid w:val="27D52DDE"/>
    <w:rsid w:val="27D53A59"/>
    <w:rsid w:val="27D67706"/>
    <w:rsid w:val="27DC05DA"/>
    <w:rsid w:val="27DD56B6"/>
    <w:rsid w:val="27DF3C4C"/>
    <w:rsid w:val="27E00DBD"/>
    <w:rsid w:val="27E10241"/>
    <w:rsid w:val="27E23674"/>
    <w:rsid w:val="27E50A73"/>
    <w:rsid w:val="27E5752B"/>
    <w:rsid w:val="27E71F60"/>
    <w:rsid w:val="27E87055"/>
    <w:rsid w:val="27E92A9C"/>
    <w:rsid w:val="27E93CA2"/>
    <w:rsid w:val="27EB3ED9"/>
    <w:rsid w:val="27EF5E2F"/>
    <w:rsid w:val="27F1216C"/>
    <w:rsid w:val="27F60D15"/>
    <w:rsid w:val="27F642B5"/>
    <w:rsid w:val="27FF302A"/>
    <w:rsid w:val="28021DBF"/>
    <w:rsid w:val="28051823"/>
    <w:rsid w:val="28057E14"/>
    <w:rsid w:val="280813FC"/>
    <w:rsid w:val="280D24E3"/>
    <w:rsid w:val="280E6E3D"/>
    <w:rsid w:val="280E7CCE"/>
    <w:rsid w:val="2810627B"/>
    <w:rsid w:val="2819463F"/>
    <w:rsid w:val="281A61A3"/>
    <w:rsid w:val="28206E68"/>
    <w:rsid w:val="28210207"/>
    <w:rsid w:val="282734BF"/>
    <w:rsid w:val="282A17F6"/>
    <w:rsid w:val="282A2411"/>
    <w:rsid w:val="2831455A"/>
    <w:rsid w:val="283D06F2"/>
    <w:rsid w:val="28454359"/>
    <w:rsid w:val="28485A15"/>
    <w:rsid w:val="284D2117"/>
    <w:rsid w:val="28526FE4"/>
    <w:rsid w:val="28553C8E"/>
    <w:rsid w:val="28577A06"/>
    <w:rsid w:val="285838C7"/>
    <w:rsid w:val="285B1CD5"/>
    <w:rsid w:val="285B2691"/>
    <w:rsid w:val="285E3B54"/>
    <w:rsid w:val="285E6B6C"/>
    <w:rsid w:val="28630E76"/>
    <w:rsid w:val="28667F78"/>
    <w:rsid w:val="286955CC"/>
    <w:rsid w:val="286F2FA1"/>
    <w:rsid w:val="28700196"/>
    <w:rsid w:val="28734BA7"/>
    <w:rsid w:val="28746AB4"/>
    <w:rsid w:val="28775053"/>
    <w:rsid w:val="287A1946"/>
    <w:rsid w:val="287A36F4"/>
    <w:rsid w:val="287B7B98"/>
    <w:rsid w:val="287C1C05"/>
    <w:rsid w:val="28816292"/>
    <w:rsid w:val="288209DD"/>
    <w:rsid w:val="28863D83"/>
    <w:rsid w:val="28877485"/>
    <w:rsid w:val="288A7753"/>
    <w:rsid w:val="288B786E"/>
    <w:rsid w:val="288C20EB"/>
    <w:rsid w:val="288C2A40"/>
    <w:rsid w:val="28940E71"/>
    <w:rsid w:val="28981C2E"/>
    <w:rsid w:val="28997CF1"/>
    <w:rsid w:val="289B3A6A"/>
    <w:rsid w:val="289B75F9"/>
    <w:rsid w:val="289C346E"/>
    <w:rsid w:val="28A15125"/>
    <w:rsid w:val="28A63D46"/>
    <w:rsid w:val="28AA222B"/>
    <w:rsid w:val="28AE439C"/>
    <w:rsid w:val="28AE7DF8"/>
    <w:rsid w:val="28B22E8E"/>
    <w:rsid w:val="28B90D3B"/>
    <w:rsid w:val="28C53AAA"/>
    <w:rsid w:val="28D472A8"/>
    <w:rsid w:val="28D728F5"/>
    <w:rsid w:val="28DB6DA3"/>
    <w:rsid w:val="28DC03E0"/>
    <w:rsid w:val="28E011EF"/>
    <w:rsid w:val="28E81043"/>
    <w:rsid w:val="28EA087A"/>
    <w:rsid w:val="28F039B6"/>
    <w:rsid w:val="28F26B74"/>
    <w:rsid w:val="28FE064B"/>
    <w:rsid w:val="29001E4B"/>
    <w:rsid w:val="29067214"/>
    <w:rsid w:val="290804DC"/>
    <w:rsid w:val="29114058"/>
    <w:rsid w:val="291207C6"/>
    <w:rsid w:val="29127DD1"/>
    <w:rsid w:val="291375AF"/>
    <w:rsid w:val="291425A7"/>
    <w:rsid w:val="291912D0"/>
    <w:rsid w:val="291B13E3"/>
    <w:rsid w:val="291E46D6"/>
    <w:rsid w:val="291F3E45"/>
    <w:rsid w:val="29216FEA"/>
    <w:rsid w:val="29247407"/>
    <w:rsid w:val="29264CF8"/>
    <w:rsid w:val="29290258"/>
    <w:rsid w:val="292C1D2A"/>
    <w:rsid w:val="292D6B49"/>
    <w:rsid w:val="29316B30"/>
    <w:rsid w:val="29331975"/>
    <w:rsid w:val="2933652E"/>
    <w:rsid w:val="29370255"/>
    <w:rsid w:val="293B10D5"/>
    <w:rsid w:val="293C4051"/>
    <w:rsid w:val="293D18A6"/>
    <w:rsid w:val="29460FF7"/>
    <w:rsid w:val="29481638"/>
    <w:rsid w:val="294D73AF"/>
    <w:rsid w:val="295708BD"/>
    <w:rsid w:val="295B091E"/>
    <w:rsid w:val="295D729E"/>
    <w:rsid w:val="296014F1"/>
    <w:rsid w:val="29643F95"/>
    <w:rsid w:val="2967011C"/>
    <w:rsid w:val="296824FC"/>
    <w:rsid w:val="29697C71"/>
    <w:rsid w:val="296B7687"/>
    <w:rsid w:val="296C2256"/>
    <w:rsid w:val="296F0D7F"/>
    <w:rsid w:val="2970269C"/>
    <w:rsid w:val="29722D78"/>
    <w:rsid w:val="29781CE9"/>
    <w:rsid w:val="297A0274"/>
    <w:rsid w:val="297A4B3C"/>
    <w:rsid w:val="298011DE"/>
    <w:rsid w:val="29834AF8"/>
    <w:rsid w:val="298567F4"/>
    <w:rsid w:val="29886A5B"/>
    <w:rsid w:val="298E3BED"/>
    <w:rsid w:val="299111F2"/>
    <w:rsid w:val="29917C00"/>
    <w:rsid w:val="29930F11"/>
    <w:rsid w:val="2996455E"/>
    <w:rsid w:val="299F5B5D"/>
    <w:rsid w:val="29A1561E"/>
    <w:rsid w:val="29A2145F"/>
    <w:rsid w:val="29A35B5C"/>
    <w:rsid w:val="29AA075D"/>
    <w:rsid w:val="29AB29D6"/>
    <w:rsid w:val="29AC3D81"/>
    <w:rsid w:val="29B37DE4"/>
    <w:rsid w:val="29B956C5"/>
    <w:rsid w:val="29BB79BF"/>
    <w:rsid w:val="29BC1CEE"/>
    <w:rsid w:val="29C05E6C"/>
    <w:rsid w:val="29CA5988"/>
    <w:rsid w:val="29CF3C2C"/>
    <w:rsid w:val="29D075F3"/>
    <w:rsid w:val="29D62517"/>
    <w:rsid w:val="29D76C58"/>
    <w:rsid w:val="29D839AB"/>
    <w:rsid w:val="29DA08EE"/>
    <w:rsid w:val="29DA269C"/>
    <w:rsid w:val="29DF2214"/>
    <w:rsid w:val="29E150D7"/>
    <w:rsid w:val="29E54609"/>
    <w:rsid w:val="29E82E77"/>
    <w:rsid w:val="29EB7B06"/>
    <w:rsid w:val="29EF0399"/>
    <w:rsid w:val="29F23502"/>
    <w:rsid w:val="29FA4AED"/>
    <w:rsid w:val="29FB0865"/>
    <w:rsid w:val="2A01373F"/>
    <w:rsid w:val="2A0239A1"/>
    <w:rsid w:val="2A02753F"/>
    <w:rsid w:val="2A083801"/>
    <w:rsid w:val="2A0A716D"/>
    <w:rsid w:val="2A110088"/>
    <w:rsid w:val="2A1100F8"/>
    <w:rsid w:val="2A1D69D6"/>
    <w:rsid w:val="2A224043"/>
    <w:rsid w:val="2A2242D6"/>
    <w:rsid w:val="2A2677C7"/>
    <w:rsid w:val="2A2D3A48"/>
    <w:rsid w:val="2A2E65D6"/>
    <w:rsid w:val="2A301577"/>
    <w:rsid w:val="2A302350"/>
    <w:rsid w:val="2A323D84"/>
    <w:rsid w:val="2A3D4ED2"/>
    <w:rsid w:val="2A481CFC"/>
    <w:rsid w:val="2A4B786D"/>
    <w:rsid w:val="2A4C2E6E"/>
    <w:rsid w:val="2A4C6954"/>
    <w:rsid w:val="2A4E308A"/>
    <w:rsid w:val="2A534E6A"/>
    <w:rsid w:val="2A55261B"/>
    <w:rsid w:val="2A552B5B"/>
    <w:rsid w:val="2A57691F"/>
    <w:rsid w:val="2A6025AA"/>
    <w:rsid w:val="2A605A20"/>
    <w:rsid w:val="2A6428AE"/>
    <w:rsid w:val="2A686C1D"/>
    <w:rsid w:val="2A6A2CB1"/>
    <w:rsid w:val="2A712242"/>
    <w:rsid w:val="2A73785E"/>
    <w:rsid w:val="2A773C44"/>
    <w:rsid w:val="2A7C5C95"/>
    <w:rsid w:val="2A7E13AD"/>
    <w:rsid w:val="2A804402"/>
    <w:rsid w:val="2A807156"/>
    <w:rsid w:val="2A8B71DD"/>
    <w:rsid w:val="2A8D069A"/>
    <w:rsid w:val="2A9071FF"/>
    <w:rsid w:val="2A915F4D"/>
    <w:rsid w:val="2A944F41"/>
    <w:rsid w:val="2A947B39"/>
    <w:rsid w:val="2A9E2167"/>
    <w:rsid w:val="2A9E4276"/>
    <w:rsid w:val="2A9E5960"/>
    <w:rsid w:val="2AAB39FE"/>
    <w:rsid w:val="2AAB3F3C"/>
    <w:rsid w:val="2AB457EC"/>
    <w:rsid w:val="2AB86D81"/>
    <w:rsid w:val="2ABA0440"/>
    <w:rsid w:val="2ABB7DAF"/>
    <w:rsid w:val="2AC13ABF"/>
    <w:rsid w:val="2AC32164"/>
    <w:rsid w:val="2AC3280C"/>
    <w:rsid w:val="2AC50581"/>
    <w:rsid w:val="2AC550ED"/>
    <w:rsid w:val="2ACB023A"/>
    <w:rsid w:val="2ACD59E9"/>
    <w:rsid w:val="2AD06826"/>
    <w:rsid w:val="2AD32900"/>
    <w:rsid w:val="2AD43703"/>
    <w:rsid w:val="2AD4533E"/>
    <w:rsid w:val="2AE263E5"/>
    <w:rsid w:val="2AE61105"/>
    <w:rsid w:val="2AE7400C"/>
    <w:rsid w:val="2AEC2D14"/>
    <w:rsid w:val="2AF50495"/>
    <w:rsid w:val="2AFA6E42"/>
    <w:rsid w:val="2AFD7056"/>
    <w:rsid w:val="2AFF5F61"/>
    <w:rsid w:val="2B023CA3"/>
    <w:rsid w:val="2B0D5644"/>
    <w:rsid w:val="2B107F0E"/>
    <w:rsid w:val="2B116C6D"/>
    <w:rsid w:val="2B125E66"/>
    <w:rsid w:val="2B1A4E16"/>
    <w:rsid w:val="2B1D0E91"/>
    <w:rsid w:val="2B1D2A6A"/>
    <w:rsid w:val="2B22254D"/>
    <w:rsid w:val="2B2C0E3C"/>
    <w:rsid w:val="2B2D65EC"/>
    <w:rsid w:val="2B2F4B5E"/>
    <w:rsid w:val="2B30238E"/>
    <w:rsid w:val="2B3202B6"/>
    <w:rsid w:val="2B371479"/>
    <w:rsid w:val="2B3733EE"/>
    <w:rsid w:val="2B3C1135"/>
    <w:rsid w:val="2B3D3988"/>
    <w:rsid w:val="2B4104F9"/>
    <w:rsid w:val="2B4A3852"/>
    <w:rsid w:val="2B4B30BA"/>
    <w:rsid w:val="2B4E508A"/>
    <w:rsid w:val="2B5F1C59"/>
    <w:rsid w:val="2B5F42B8"/>
    <w:rsid w:val="2B6206C3"/>
    <w:rsid w:val="2B62658A"/>
    <w:rsid w:val="2B667FC3"/>
    <w:rsid w:val="2B683DD4"/>
    <w:rsid w:val="2B6A5CA2"/>
    <w:rsid w:val="2B6B0FC7"/>
    <w:rsid w:val="2B6C1B78"/>
    <w:rsid w:val="2B7263DC"/>
    <w:rsid w:val="2B7370A9"/>
    <w:rsid w:val="2B745C6F"/>
    <w:rsid w:val="2B7A5822"/>
    <w:rsid w:val="2B7D1A65"/>
    <w:rsid w:val="2B8054C5"/>
    <w:rsid w:val="2B82523D"/>
    <w:rsid w:val="2B836BF0"/>
    <w:rsid w:val="2B852ADC"/>
    <w:rsid w:val="2B8A2A44"/>
    <w:rsid w:val="2B8E7BE2"/>
    <w:rsid w:val="2B9A179C"/>
    <w:rsid w:val="2BA04405"/>
    <w:rsid w:val="2BA2368E"/>
    <w:rsid w:val="2BA47CAC"/>
    <w:rsid w:val="2BA54FD8"/>
    <w:rsid w:val="2BA938F4"/>
    <w:rsid w:val="2BB64646"/>
    <w:rsid w:val="2BB73BF6"/>
    <w:rsid w:val="2BBA1BDC"/>
    <w:rsid w:val="2BBE1B4A"/>
    <w:rsid w:val="2BBE5B76"/>
    <w:rsid w:val="2BC23436"/>
    <w:rsid w:val="2BC474B1"/>
    <w:rsid w:val="2BC76A54"/>
    <w:rsid w:val="2BC76C50"/>
    <w:rsid w:val="2BC8724D"/>
    <w:rsid w:val="2BC9779F"/>
    <w:rsid w:val="2BCA04EF"/>
    <w:rsid w:val="2BCA6741"/>
    <w:rsid w:val="2BCC3CA6"/>
    <w:rsid w:val="2BCF5CB2"/>
    <w:rsid w:val="2BD54A75"/>
    <w:rsid w:val="2BDB3D96"/>
    <w:rsid w:val="2BDD5F87"/>
    <w:rsid w:val="2BDE122B"/>
    <w:rsid w:val="2BE22969"/>
    <w:rsid w:val="2BE30049"/>
    <w:rsid w:val="2BE3477C"/>
    <w:rsid w:val="2BE504EF"/>
    <w:rsid w:val="2BEA7520"/>
    <w:rsid w:val="2BEB67CA"/>
    <w:rsid w:val="2BEF759B"/>
    <w:rsid w:val="2BF35C97"/>
    <w:rsid w:val="2BF60073"/>
    <w:rsid w:val="2BFC3E4B"/>
    <w:rsid w:val="2C014020"/>
    <w:rsid w:val="2C016920"/>
    <w:rsid w:val="2C0833AF"/>
    <w:rsid w:val="2C0B54C5"/>
    <w:rsid w:val="2C1520B2"/>
    <w:rsid w:val="2C1620E7"/>
    <w:rsid w:val="2C180719"/>
    <w:rsid w:val="2C29787D"/>
    <w:rsid w:val="2C2A71D2"/>
    <w:rsid w:val="2C2B4C00"/>
    <w:rsid w:val="2C31288C"/>
    <w:rsid w:val="2C33770D"/>
    <w:rsid w:val="2C372028"/>
    <w:rsid w:val="2C3E6647"/>
    <w:rsid w:val="2C4030E4"/>
    <w:rsid w:val="2C42277B"/>
    <w:rsid w:val="2C424A20"/>
    <w:rsid w:val="2C4402A1"/>
    <w:rsid w:val="2C493D7C"/>
    <w:rsid w:val="2C4A7CAC"/>
    <w:rsid w:val="2C5153B5"/>
    <w:rsid w:val="2C52573C"/>
    <w:rsid w:val="2C574E57"/>
    <w:rsid w:val="2C57506B"/>
    <w:rsid w:val="2C5E7A88"/>
    <w:rsid w:val="2C5E7AC0"/>
    <w:rsid w:val="2C5F4E1C"/>
    <w:rsid w:val="2C60369A"/>
    <w:rsid w:val="2C6878A8"/>
    <w:rsid w:val="2C762E09"/>
    <w:rsid w:val="2C792640"/>
    <w:rsid w:val="2C7B4AE0"/>
    <w:rsid w:val="2C7F39CF"/>
    <w:rsid w:val="2C8351CA"/>
    <w:rsid w:val="2C863366"/>
    <w:rsid w:val="2C876CEF"/>
    <w:rsid w:val="2C8A4182"/>
    <w:rsid w:val="2C8D7E9A"/>
    <w:rsid w:val="2C960442"/>
    <w:rsid w:val="2C977732"/>
    <w:rsid w:val="2C9D31F2"/>
    <w:rsid w:val="2CA405BD"/>
    <w:rsid w:val="2CA72050"/>
    <w:rsid w:val="2CB36EE2"/>
    <w:rsid w:val="2CB41A56"/>
    <w:rsid w:val="2CB52A9F"/>
    <w:rsid w:val="2CB55FE1"/>
    <w:rsid w:val="2CBC0A1D"/>
    <w:rsid w:val="2CBC42DB"/>
    <w:rsid w:val="2CC87124"/>
    <w:rsid w:val="2CCC51A5"/>
    <w:rsid w:val="2CCE5EFD"/>
    <w:rsid w:val="2CD170F4"/>
    <w:rsid w:val="2CD23EFB"/>
    <w:rsid w:val="2CD36119"/>
    <w:rsid w:val="2CD72EBF"/>
    <w:rsid w:val="2CE31CAB"/>
    <w:rsid w:val="2CE62168"/>
    <w:rsid w:val="2CE63277"/>
    <w:rsid w:val="2CE67783"/>
    <w:rsid w:val="2CE81574"/>
    <w:rsid w:val="2CED1CE7"/>
    <w:rsid w:val="2CF0507D"/>
    <w:rsid w:val="2CF11814"/>
    <w:rsid w:val="2CF47629"/>
    <w:rsid w:val="2CF7516A"/>
    <w:rsid w:val="2CF773A2"/>
    <w:rsid w:val="2CF90B07"/>
    <w:rsid w:val="2CFC5020"/>
    <w:rsid w:val="2D0007FB"/>
    <w:rsid w:val="2D006061"/>
    <w:rsid w:val="2D053F5D"/>
    <w:rsid w:val="2D0A14EA"/>
    <w:rsid w:val="2D0A5E6F"/>
    <w:rsid w:val="2D0C2D59"/>
    <w:rsid w:val="2D0F4AA3"/>
    <w:rsid w:val="2D0F7A90"/>
    <w:rsid w:val="2D12039F"/>
    <w:rsid w:val="2D122F01"/>
    <w:rsid w:val="2D1628A5"/>
    <w:rsid w:val="2D21032B"/>
    <w:rsid w:val="2D236B57"/>
    <w:rsid w:val="2D35033E"/>
    <w:rsid w:val="2D3A0A55"/>
    <w:rsid w:val="2D3A407A"/>
    <w:rsid w:val="2D3E2CF0"/>
    <w:rsid w:val="2D40315E"/>
    <w:rsid w:val="2D426D4B"/>
    <w:rsid w:val="2D431B02"/>
    <w:rsid w:val="2D436A42"/>
    <w:rsid w:val="2D4743E0"/>
    <w:rsid w:val="2D4F7DBC"/>
    <w:rsid w:val="2D5A680F"/>
    <w:rsid w:val="2D5B4A9E"/>
    <w:rsid w:val="2D6631DA"/>
    <w:rsid w:val="2D6F75A0"/>
    <w:rsid w:val="2D720D5B"/>
    <w:rsid w:val="2D742E08"/>
    <w:rsid w:val="2D763A3C"/>
    <w:rsid w:val="2D770995"/>
    <w:rsid w:val="2D7975BA"/>
    <w:rsid w:val="2D7B09A4"/>
    <w:rsid w:val="2D7E4E97"/>
    <w:rsid w:val="2D811CE4"/>
    <w:rsid w:val="2D824676"/>
    <w:rsid w:val="2D856BEB"/>
    <w:rsid w:val="2D88534B"/>
    <w:rsid w:val="2D8C0151"/>
    <w:rsid w:val="2D8E211C"/>
    <w:rsid w:val="2D8F19F0"/>
    <w:rsid w:val="2D92755B"/>
    <w:rsid w:val="2D983AFF"/>
    <w:rsid w:val="2D99077F"/>
    <w:rsid w:val="2DA24556"/>
    <w:rsid w:val="2DA269B6"/>
    <w:rsid w:val="2DA27975"/>
    <w:rsid w:val="2DA42713"/>
    <w:rsid w:val="2DA57014"/>
    <w:rsid w:val="2DAC0929"/>
    <w:rsid w:val="2DB36718"/>
    <w:rsid w:val="2DB72CF5"/>
    <w:rsid w:val="2DBA47FC"/>
    <w:rsid w:val="2DBC6B71"/>
    <w:rsid w:val="2DBE05AF"/>
    <w:rsid w:val="2DC16930"/>
    <w:rsid w:val="2DC33AC9"/>
    <w:rsid w:val="2DC41F4C"/>
    <w:rsid w:val="2DC50F07"/>
    <w:rsid w:val="2DC65964"/>
    <w:rsid w:val="2DC87FD4"/>
    <w:rsid w:val="2DCA28AD"/>
    <w:rsid w:val="2DCA4807"/>
    <w:rsid w:val="2DCE2518"/>
    <w:rsid w:val="2DD03F3A"/>
    <w:rsid w:val="2DD218DC"/>
    <w:rsid w:val="2DD265FE"/>
    <w:rsid w:val="2DD61A6C"/>
    <w:rsid w:val="2DDE1633"/>
    <w:rsid w:val="2DEC1392"/>
    <w:rsid w:val="2DF1175B"/>
    <w:rsid w:val="2DF24710"/>
    <w:rsid w:val="2DF31F7F"/>
    <w:rsid w:val="2DF8135E"/>
    <w:rsid w:val="2DFA55F1"/>
    <w:rsid w:val="2DFD3D19"/>
    <w:rsid w:val="2DFE1D48"/>
    <w:rsid w:val="2E0917A2"/>
    <w:rsid w:val="2E09445D"/>
    <w:rsid w:val="2E0A2781"/>
    <w:rsid w:val="2E0C6812"/>
    <w:rsid w:val="2E0D487C"/>
    <w:rsid w:val="2E0E599C"/>
    <w:rsid w:val="2E0E7218"/>
    <w:rsid w:val="2E1C34C2"/>
    <w:rsid w:val="2E1D6FFC"/>
    <w:rsid w:val="2E226177"/>
    <w:rsid w:val="2E261323"/>
    <w:rsid w:val="2E2760CC"/>
    <w:rsid w:val="2E291E44"/>
    <w:rsid w:val="2E293350"/>
    <w:rsid w:val="2E2C594D"/>
    <w:rsid w:val="2E2D7683"/>
    <w:rsid w:val="2E3275B4"/>
    <w:rsid w:val="2E386AC1"/>
    <w:rsid w:val="2E40663F"/>
    <w:rsid w:val="2E423A27"/>
    <w:rsid w:val="2E474F53"/>
    <w:rsid w:val="2E490BA4"/>
    <w:rsid w:val="2E4B1E86"/>
    <w:rsid w:val="2E4B7B3A"/>
    <w:rsid w:val="2E4F0FC4"/>
    <w:rsid w:val="2E512C0E"/>
    <w:rsid w:val="2E5179A4"/>
    <w:rsid w:val="2E5429BC"/>
    <w:rsid w:val="2E596837"/>
    <w:rsid w:val="2E5C350E"/>
    <w:rsid w:val="2E61244C"/>
    <w:rsid w:val="2E64152A"/>
    <w:rsid w:val="2E66321B"/>
    <w:rsid w:val="2E690493"/>
    <w:rsid w:val="2E693FEF"/>
    <w:rsid w:val="2E6B420B"/>
    <w:rsid w:val="2E725599"/>
    <w:rsid w:val="2E7313BD"/>
    <w:rsid w:val="2E825D42"/>
    <w:rsid w:val="2E872E34"/>
    <w:rsid w:val="2E8928E3"/>
    <w:rsid w:val="2E8E74AE"/>
    <w:rsid w:val="2E8F7622"/>
    <w:rsid w:val="2E93234D"/>
    <w:rsid w:val="2E935E2F"/>
    <w:rsid w:val="2E947BFA"/>
    <w:rsid w:val="2E974E75"/>
    <w:rsid w:val="2E9D6129"/>
    <w:rsid w:val="2E9E273B"/>
    <w:rsid w:val="2EA16DCA"/>
    <w:rsid w:val="2EA94D58"/>
    <w:rsid w:val="2EAA56F9"/>
    <w:rsid w:val="2EAB170E"/>
    <w:rsid w:val="2EAF0584"/>
    <w:rsid w:val="2EB04D81"/>
    <w:rsid w:val="2EB36697"/>
    <w:rsid w:val="2EC1207D"/>
    <w:rsid w:val="2EC60CFC"/>
    <w:rsid w:val="2EC6162D"/>
    <w:rsid w:val="2EC658E5"/>
    <w:rsid w:val="2EC70704"/>
    <w:rsid w:val="2ED95618"/>
    <w:rsid w:val="2EDE42EC"/>
    <w:rsid w:val="2EE12114"/>
    <w:rsid w:val="2EE43FBD"/>
    <w:rsid w:val="2EE56EFE"/>
    <w:rsid w:val="2EE57B8B"/>
    <w:rsid w:val="2EE8585B"/>
    <w:rsid w:val="2EED5B1F"/>
    <w:rsid w:val="2EEF3BF5"/>
    <w:rsid w:val="2EF60B73"/>
    <w:rsid w:val="2EF64CE3"/>
    <w:rsid w:val="2EF75808"/>
    <w:rsid w:val="2EF77FEA"/>
    <w:rsid w:val="2EF961BE"/>
    <w:rsid w:val="2EFA52CA"/>
    <w:rsid w:val="2F0200EB"/>
    <w:rsid w:val="2F046AC8"/>
    <w:rsid w:val="2F0475FE"/>
    <w:rsid w:val="2F050363"/>
    <w:rsid w:val="2F0D285F"/>
    <w:rsid w:val="2F124CD6"/>
    <w:rsid w:val="2F13147B"/>
    <w:rsid w:val="2F154C10"/>
    <w:rsid w:val="2F155F25"/>
    <w:rsid w:val="2F177EEF"/>
    <w:rsid w:val="2F185E34"/>
    <w:rsid w:val="2F191EB9"/>
    <w:rsid w:val="2F1D6149"/>
    <w:rsid w:val="2F1E7BF9"/>
    <w:rsid w:val="2F211E7B"/>
    <w:rsid w:val="2F252D56"/>
    <w:rsid w:val="2F256067"/>
    <w:rsid w:val="2F2E3C7B"/>
    <w:rsid w:val="2F3268F5"/>
    <w:rsid w:val="2F326F77"/>
    <w:rsid w:val="2F397E93"/>
    <w:rsid w:val="2F437CF0"/>
    <w:rsid w:val="2F475E9A"/>
    <w:rsid w:val="2F52297C"/>
    <w:rsid w:val="2F57653D"/>
    <w:rsid w:val="2F5E3639"/>
    <w:rsid w:val="2F626D88"/>
    <w:rsid w:val="2F6A5ECE"/>
    <w:rsid w:val="2F6D5D61"/>
    <w:rsid w:val="2F705914"/>
    <w:rsid w:val="2F7112DF"/>
    <w:rsid w:val="2F723A03"/>
    <w:rsid w:val="2F740E9D"/>
    <w:rsid w:val="2F79772F"/>
    <w:rsid w:val="2F817ECC"/>
    <w:rsid w:val="2F8310E0"/>
    <w:rsid w:val="2F866E22"/>
    <w:rsid w:val="2F8932DC"/>
    <w:rsid w:val="2F931905"/>
    <w:rsid w:val="2F94329D"/>
    <w:rsid w:val="2F9C45F7"/>
    <w:rsid w:val="2F9E416C"/>
    <w:rsid w:val="2FA23F3D"/>
    <w:rsid w:val="2FA501BC"/>
    <w:rsid w:val="2FA527B1"/>
    <w:rsid w:val="2FA96682"/>
    <w:rsid w:val="2FB43990"/>
    <w:rsid w:val="2FB6234B"/>
    <w:rsid w:val="2FB7778B"/>
    <w:rsid w:val="2FB837BA"/>
    <w:rsid w:val="2FBA5ADF"/>
    <w:rsid w:val="2FBB4D1E"/>
    <w:rsid w:val="2FBC2844"/>
    <w:rsid w:val="2FC10A4D"/>
    <w:rsid w:val="2FC546AE"/>
    <w:rsid w:val="2FCB41F7"/>
    <w:rsid w:val="2FCD06E2"/>
    <w:rsid w:val="2FD12E13"/>
    <w:rsid w:val="2FD63906"/>
    <w:rsid w:val="2FD9603A"/>
    <w:rsid w:val="2FDF668B"/>
    <w:rsid w:val="2FE03079"/>
    <w:rsid w:val="2FE9188B"/>
    <w:rsid w:val="2FED34EB"/>
    <w:rsid w:val="2FF308E8"/>
    <w:rsid w:val="2FF65D56"/>
    <w:rsid w:val="2FF86128"/>
    <w:rsid w:val="2FF9647A"/>
    <w:rsid w:val="2FFF5E52"/>
    <w:rsid w:val="30036D41"/>
    <w:rsid w:val="30056DFF"/>
    <w:rsid w:val="300B6BE0"/>
    <w:rsid w:val="300F5597"/>
    <w:rsid w:val="30112C2F"/>
    <w:rsid w:val="30124F73"/>
    <w:rsid w:val="301B48B5"/>
    <w:rsid w:val="301C4957"/>
    <w:rsid w:val="301C758C"/>
    <w:rsid w:val="30231C12"/>
    <w:rsid w:val="30266997"/>
    <w:rsid w:val="30294738"/>
    <w:rsid w:val="3029612C"/>
    <w:rsid w:val="302F1343"/>
    <w:rsid w:val="302F3016"/>
    <w:rsid w:val="302F46F8"/>
    <w:rsid w:val="30325BB6"/>
    <w:rsid w:val="3035143D"/>
    <w:rsid w:val="3038636F"/>
    <w:rsid w:val="303D5733"/>
    <w:rsid w:val="30414D4A"/>
    <w:rsid w:val="304200DA"/>
    <w:rsid w:val="30440085"/>
    <w:rsid w:val="30465C33"/>
    <w:rsid w:val="30467EE1"/>
    <w:rsid w:val="304765B2"/>
    <w:rsid w:val="30483335"/>
    <w:rsid w:val="304B1A54"/>
    <w:rsid w:val="304D2506"/>
    <w:rsid w:val="304F6E45"/>
    <w:rsid w:val="30515BD7"/>
    <w:rsid w:val="305359F7"/>
    <w:rsid w:val="30560458"/>
    <w:rsid w:val="305A4537"/>
    <w:rsid w:val="30603C38"/>
    <w:rsid w:val="306233EC"/>
    <w:rsid w:val="30677B4C"/>
    <w:rsid w:val="30693211"/>
    <w:rsid w:val="306D3113"/>
    <w:rsid w:val="30715A0D"/>
    <w:rsid w:val="30727791"/>
    <w:rsid w:val="30795B59"/>
    <w:rsid w:val="30872189"/>
    <w:rsid w:val="308B0BDF"/>
    <w:rsid w:val="308D6171"/>
    <w:rsid w:val="30900AB9"/>
    <w:rsid w:val="30911293"/>
    <w:rsid w:val="30965FD9"/>
    <w:rsid w:val="30997B52"/>
    <w:rsid w:val="309A3764"/>
    <w:rsid w:val="309A5180"/>
    <w:rsid w:val="309A7ADE"/>
    <w:rsid w:val="309E48E0"/>
    <w:rsid w:val="309E657C"/>
    <w:rsid w:val="30A1383D"/>
    <w:rsid w:val="30A50F1A"/>
    <w:rsid w:val="30A74A51"/>
    <w:rsid w:val="30A853C0"/>
    <w:rsid w:val="30AD52FC"/>
    <w:rsid w:val="30B05DF3"/>
    <w:rsid w:val="30B21407"/>
    <w:rsid w:val="30BA4C2F"/>
    <w:rsid w:val="30BB5A9C"/>
    <w:rsid w:val="30BC7A07"/>
    <w:rsid w:val="30C14E91"/>
    <w:rsid w:val="30C73BF0"/>
    <w:rsid w:val="30CA1736"/>
    <w:rsid w:val="30CB4EAC"/>
    <w:rsid w:val="30CB58CF"/>
    <w:rsid w:val="30CC6AB7"/>
    <w:rsid w:val="30CE152A"/>
    <w:rsid w:val="30D04F5E"/>
    <w:rsid w:val="30D0553B"/>
    <w:rsid w:val="30D10CD8"/>
    <w:rsid w:val="30D17023"/>
    <w:rsid w:val="30D43501"/>
    <w:rsid w:val="30D80060"/>
    <w:rsid w:val="30D86441"/>
    <w:rsid w:val="30DD7C4E"/>
    <w:rsid w:val="30DE0690"/>
    <w:rsid w:val="30DE0793"/>
    <w:rsid w:val="30DE07FA"/>
    <w:rsid w:val="30DE0EF8"/>
    <w:rsid w:val="30DF101B"/>
    <w:rsid w:val="30E1080C"/>
    <w:rsid w:val="30E32874"/>
    <w:rsid w:val="30EE4C7F"/>
    <w:rsid w:val="30F17A70"/>
    <w:rsid w:val="30F523AA"/>
    <w:rsid w:val="30F60DB5"/>
    <w:rsid w:val="30F62350"/>
    <w:rsid w:val="30FB40A7"/>
    <w:rsid w:val="30FB63ED"/>
    <w:rsid w:val="30FC46B5"/>
    <w:rsid w:val="30FE1366"/>
    <w:rsid w:val="31061630"/>
    <w:rsid w:val="310821E5"/>
    <w:rsid w:val="310A1C2D"/>
    <w:rsid w:val="310A46FB"/>
    <w:rsid w:val="3112425E"/>
    <w:rsid w:val="31126BC0"/>
    <w:rsid w:val="31182CAA"/>
    <w:rsid w:val="311A39DE"/>
    <w:rsid w:val="311A69F5"/>
    <w:rsid w:val="311D17D0"/>
    <w:rsid w:val="311E5564"/>
    <w:rsid w:val="31205709"/>
    <w:rsid w:val="31206349"/>
    <w:rsid w:val="312D28E9"/>
    <w:rsid w:val="31333ADE"/>
    <w:rsid w:val="313703D4"/>
    <w:rsid w:val="313A34AC"/>
    <w:rsid w:val="313A5EF2"/>
    <w:rsid w:val="313B30A8"/>
    <w:rsid w:val="314542C9"/>
    <w:rsid w:val="314975F2"/>
    <w:rsid w:val="314C6BAB"/>
    <w:rsid w:val="315369B1"/>
    <w:rsid w:val="3156796F"/>
    <w:rsid w:val="315A4A39"/>
    <w:rsid w:val="315B4BA6"/>
    <w:rsid w:val="31625043"/>
    <w:rsid w:val="31662E5A"/>
    <w:rsid w:val="3166740C"/>
    <w:rsid w:val="31671DC3"/>
    <w:rsid w:val="316D4F44"/>
    <w:rsid w:val="31742505"/>
    <w:rsid w:val="317558B3"/>
    <w:rsid w:val="3178185C"/>
    <w:rsid w:val="317909ED"/>
    <w:rsid w:val="317C0208"/>
    <w:rsid w:val="318141D8"/>
    <w:rsid w:val="318555E4"/>
    <w:rsid w:val="31864B96"/>
    <w:rsid w:val="3187372B"/>
    <w:rsid w:val="31897D10"/>
    <w:rsid w:val="318B5386"/>
    <w:rsid w:val="31921AAF"/>
    <w:rsid w:val="31956352"/>
    <w:rsid w:val="319C46DB"/>
    <w:rsid w:val="31A517E2"/>
    <w:rsid w:val="31A66EBE"/>
    <w:rsid w:val="31A71E36"/>
    <w:rsid w:val="31A74CD3"/>
    <w:rsid w:val="31B21520"/>
    <w:rsid w:val="31B45EC9"/>
    <w:rsid w:val="31BC6B2B"/>
    <w:rsid w:val="31BD2FCF"/>
    <w:rsid w:val="31BF293A"/>
    <w:rsid w:val="31C50BD2"/>
    <w:rsid w:val="31CC0B52"/>
    <w:rsid w:val="31CD1EAE"/>
    <w:rsid w:val="31DA6BF5"/>
    <w:rsid w:val="31DB3455"/>
    <w:rsid w:val="31DF50A9"/>
    <w:rsid w:val="31E2104A"/>
    <w:rsid w:val="31E30CB5"/>
    <w:rsid w:val="31E3230A"/>
    <w:rsid w:val="31E340B8"/>
    <w:rsid w:val="31E828C6"/>
    <w:rsid w:val="31EC53EB"/>
    <w:rsid w:val="31F05824"/>
    <w:rsid w:val="31F16507"/>
    <w:rsid w:val="31F2247B"/>
    <w:rsid w:val="31F305FD"/>
    <w:rsid w:val="31F51C45"/>
    <w:rsid w:val="31F664E1"/>
    <w:rsid w:val="31F74A6F"/>
    <w:rsid w:val="31FE5396"/>
    <w:rsid w:val="32024E86"/>
    <w:rsid w:val="320716F8"/>
    <w:rsid w:val="32084581"/>
    <w:rsid w:val="320A3D3B"/>
    <w:rsid w:val="320A3D5D"/>
    <w:rsid w:val="320D2D8A"/>
    <w:rsid w:val="320F03C1"/>
    <w:rsid w:val="321B1AA4"/>
    <w:rsid w:val="32221084"/>
    <w:rsid w:val="322867EB"/>
    <w:rsid w:val="322F554F"/>
    <w:rsid w:val="32335040"/>
    <w:rsid w:val="32430497"/>
    <w:rsid w:val="32457741"/>
    <w:rsid w:val="324C167F"/>
    <w:rsid w:val="32557B5F"/>
    <w:rsid w:val="32567BC6"/>
    <w:rsid w:val="325712DE"/>
    <w:rsid w:val="325A5108"/>
    <w:rsid w:val="3268280F"/>
    <w:rsid w:val="326878E4"/>
    <w:rsid w:val="326B1095"/>
    <w:rsid w:val="32752C8C"/>
    <w:rsid w:val="327B6EF5"/>
    <w:rsid w:val="327D59C0"/>
    <w:rsid w:val="3280045B"/>
    <w:rsid w:val="32862139"/>
    <w:rsid w:val="328B2591"/>
    <w:rsid w:val="328C0BF4"/>
    <w:rsid w:val="328D2B36"/>
    <w:rsid w:val="328E195F"/>
    <w:rsid w:val="328E1C01"/>
    <w:rsid w:val="328F427D"/>
    <w:rsid w:val="329047DC"/>
    <w:rsid w:val="329613AE"/>
    <w:rsid w:val="32A25012"/>
    <w:rsid w:val="32A30E65"/>
    <w:rsid w:val="32A41A99"/>
    <w:rsid w:val="32A44D73"/>
    <w:rsid w:val="32A95302"/>
    <w:rsid w:val="32AB16E3"/>
    <w:rsid w:val="32AF5408"/>
    <w:rsid w:val="32B31CDC"/>
    <w:rsid w:val="32BA7F8F"/>
    <w:rsid w:val="32BD0EC5"/>
    <w:rsid w:val="32BE3ED6"/>
    <w:rsid w:val="32BE6760"/>
    <w:rsid w:val="32C03149"/>
    <w:rsid w:val="32C1621A"/>
    <w:rsid w:val="32C24615"/>
    <w:rsid w:val="32C30D6A"/>
    <w:rsid w:val="32D47A70"/>
    <w:rsid w:val="32DF2AD1"/>
    <w:rsid w:val="32DF3D23"/>
    <w:rsid w:val="32E20814"/>
    <w:rsid w:val="32E351C5"/>
    <w:rsid w:val="32EA1203"/>
    <w:rsid w:val="32EA4F7A"/>
    <w:rsid w:val="32EB455D"/>
    <w:rsid w:val="32EF5F16"/>
    <w:rsid w:val="32F30808"/>
    <w:rsid w:val="32F45A53"/>
    <w:rsid w:val="32F617E1"/>
    <w:rsid w:val="32F6443A"/>
    <w:rsid w:val="32F857D6"/>
    <w:rsid w:val="32F87E76"/>
    <w:rsid w:val="32FB3683"/>
    <w:rsid w:val="32FE4043"/>
    <w:rsid w:val="32FF1BE1"/>
    <w:rsid w:val="330030A3"/>
    <w:rsid w:val="33017717"/>
    <w:rsid w:val="3302637B"/>
    <w:rsid w:val="330374D8"/>
    <w:rsid w:val="33065412"/>
    <w:rsid w:val="33095F7E"/>
    <w:rsid w:val="330C0CDE"/>
    <w:rsid w:val="33122172"/>
    <w:rsid w:val="33163535"/>
    <w:rsid w:val="33174961"/>
    <w:rsid w:val="33185297"/>
    <w:rsid w:val="331B573B"/>
    <w:rsid w:val="33213FA8"/>
    <w:rsid w:val="33236B54"/>
    <w:rsid w:val="33240E2C"/>
    <w:rsid w:val="33244988"/>
    <w:rsid w:val="332871FC"/>
    <w:rsid w:val="332901F1"/>
    <w:rsid w:val="332A5A6E"/>
    <w:rsid w:val="332C1A8F"/>
    <w:rsid w:val="332F0D60"/>
    <w:rsid w:val="33310A59"/>
    <w:rsid w:val="333142D5"/>
    <w:rsid w:val="33356648"/>
    <w:rsid w:val="333677FA"/>
    <w:rsid w:val="3338243D"/>
    <w:rsid w:val="333B1723"/>
    <w:rsid w:val="333E3074"/>
    <w:rsid w:val="333F0B0E"/>
    <w:rsid w:val="334172DD"/>
    <w:rsid w:val="3344502A"/>
    <w:rsid w:val="33452958"/>
    <w:rsid w:val="33490A9B"/>
    <w:rsid w:val="3349228A"/>
    <w:rsid w:val="334A6221"/>
    <w:rsid w:val="334D6C18"/>
    <w:rsid w:val="33561FA8"/>
    <w:rsid w:val="335665E6"/>
    <w:rsid w:val="3359409D"/>
    <w:rsid w:val="335D5922"/>
    <w:rsid w:val="33615BDC"/>
    <w:rsid w:val="33620C14"/>
    <w:rsid w:val="336318DB"/>
    <w:rsid w:val="33631954"/>
    <w:rsid w:val="336505D0"/>
    <w:rsid w:val="3366712B"/>
    <w:rsid w:val="336C3123"/>
    <w:rsid w:val="33707BCD"/>
    <w:rsid w:val="337817F8"/>
    <w:rsid w:val="337C26B5"/>
    <w:rsid w:val="337C47C4"/>
    <w:rsid w:val="33823918"/>
    <w:rsid w:val="33851E6E"/>
    <w:rsid w:val="338673F1"/>
    <w:rsid w:val="338E2A78"/>
    <w:rsid w:val="33913118"/>
    <w:rsid w:val="33916ED0"/>
    <w:rsid w:val="33917511"/>
    <w:rsid w:val="339249A8"/>
    <w:rsid w:val="33944889"/>
    <w:rsid w:val="339974B4"/>
    <w:rsid w:val="33997518"/>
    <w:rsid w:val="339B00AC"/>
    <w:rsid w:val="33A109BB"/>
    <w:rsid w:val="33A36954"/>
    <w:rsid w:val="33A55781"/>
    <w:rsid w:val="33A8076C"/>
    <w:rsid w:val="33B3264C"/>
    <w:rsid w:val="33B83A55"/>
    <w:rsid w:val="33B91313"/>
    <w:rsid w:val="33BF44FB"/>
    <w:rsid w:val="33C6636F"/>
    <w:rsid w:val="33C74DB4"/>
    <w:rsid w:val="33CF2B46"/>
    <w:rsid w:val="33D0588A"/>
    <w:rsid w:val="33D11859"/>
    <w:rsid w:val="33D14EF1"/>
    <w:rsid w:val="33D27C6A"/>
    <w:rsid w:val="33D90D7A"/>
    <w:rsid w:val="33DA0D21"/>
    <w:rsid w:val="33DF21EA"/>
    <w:rsid w:val="33E53E0B"/>
    <w:rsid w:val="33EC720F"/>
    <w:rsid w:val="33EE30FE"/>
    <w:rsid w:val="33EF1437"/>
    <w:rsid w:val="33F125DF"/>
    <w:rsid w:val="33F21E83"/>
    <w:rsid w:val="33F225DE"/>
    <w:rsid w:val="33F22CD8"/>
    <w:rsid w:val="33F46A50"/>
    <w:rsid w:val="33FD7467"/>
    <w:rsid w:val="340007DE"/>
    <w:rsid w:val="34000D8B"/>
    <w:rsid w:val="34030820"/>
    <w:rsid w:val="340321AC"/>
    <w:rsid w:val="340665EA"/>
    <w:rsid w:val="340D18C0"/>
    <w:rsid w:val="340E790C"/>
    <w:rsid w:val="341325CD"/>
    <w:rsid w:val="34170EF0"/>
    <w:rsid w:val="34183F7E"/>
    <w:rsid w:val="34271EC5"/>
    <w:rsid w:val="3429025D"/>
    <w:rsid w:val="3429313E"/>
    <w:rsid w:val="342A2472"/>
    <w:rsid w:val="343155AF"/>
    <w:rsid w:val="343230D5"/>
    <w:rsid w:val="34326B3C"/>
    <w:rsid w:val="343B0BB5"/>
    <w:rsid w:val="343D5197"/>
    <w:rsid w:val="34410EAC"/>
    <w:rsid w:val="344828F8"/>
    <w:rsid w:val="345179FF"/>
    <w:rsid w:val="345435AA"/>
    <w:rsid w:val="34545741"/>
    <w:rsid w:val="34586FDF"/>
    <w:rsid w:val="346468BD"/>
    <w:rsid w:val="34692F9B"/>
    <w:rsid w:val="346B6D66"/>
    <w:rsid w:val="346D7F39"/>
    <w:rsid w:val="346E25BF"/>
    <w:rsid w:val="34721217"/>
    <w:rsid w:val="34734EB6"/>
    <w:rsid w:val="34747C4C"/>
    <w:rsid w:val="34750EE9"/>
    <w:rsid w:val="34784197"/>
    <w:rsid w:val="3479537A"/>
    <w:rsid w:val="3480644D"/>
    <w:rsid w:val="34822379"/>
    <w:rsid w:val="34852DA3"/>
    <w:rsid w:val="348F2F8D"/>
    <w:rsid w:val="34902BF8"/>
    <w:rsid w:val="349B3907"/>
    <w:rsid w:val="349F6065"/>
    <w:rsid w:val="34A02734"/>
    <w:rsid w:val="34A30E01"/>
    <w:rsid w:val="34AC7166"/>
    <w:rsid w:val="34AD4C52"/>
    <w:rsid w:val="34B3673C"/>
    <w:rsid w:val="34B53E21"/>
    <w:rsid w:val="34B66335"/>
    <w:rsid w:val="34B8695E"/>
    <w:rsid w:val="34B91DC7"/>
    <w:rsid w:val="34BD5094"/>
    <w:rsid w:val="34BF2E1A"/>
    <w:rsid w:val="34C25939"/>
    <w:rsid w:val="34D87291"/>
    <w:rsid w:val="34DC2A5D"/>
    <w:rsid w:val="34E16FD5"/>
    <w:rsid w:val="34E235B8"/>
    <w:rsid w:val="34E70363"/>
    <w:rsid w:val="34F30AB6"/>
    <w:rsid w:val="34F46C62"/>
    <w:rsid w:val="34F5697F"/>
    <w:rsid w:val="35004C19"/>
    <w:rsid w:val="350848D4"/>
    <w:rsid w:val="350A0231"/>
    <w:rsid w:val="350B0717"/>
    <w:rsid w:val="350B1073"/>
    <w:rsid w:val="351034A3"/>
    <w:rsid w:val="35167660"/>
    <w:rsid w:val="351830D0"/>
    <w:rsid w:val="351A2EE6"/>
    <w:rsid w:val="351A7643"/>
    <w:rsid w:val="351B574E"/>
    <w:rsid w:val="351D4A2C"/>
    <w:rsid w:val="351E48FE"/>
    <w:rsid w:val="3524075B"/>
    <w:rsid w:val="35245113"/>
    <w:rsid w:val="352C3F5F"/>
    <w:rsid w:val="352E291A"/>
    <w:rsid w:val="352F7398"/>
    <w:rsid w:val="3532403F"/>
    <w:rsid w:val="35356B0F"/>
    <w:rsid w:val="354632DC"/>
    <w:rsid w:val="35496928"/>
    <w:rsid w:val="354D11F5"/>
    <w:rsid w:val="354D3C88"/>
    <w:rsid w:val="354E357B"/>
    <w:rsid w:val="354E3846"/>
    <w:rsid w:val="355178C4"/>
    <w:rsid w:val="355A6D87"/>
    <w:rsid w:val="355E3520"/>
    <w:rsid w:val="355F13F5"/>
    <w:rsid w:val="356166FC"/>
    <w:rsid w:val="356226C5"/>
    <w:rsid w:val="35645A23"/>
    <w:rsid w:val="35651874"/>
    <w:rsid w:val="35671533"/>
    <w:rsid w:val="35695BA3"/>
    <w:rsid w:val="356E45E1"/>
    <w:rsid w:val="357240D1"/>
    <w:rsid w:val="3575006C"/>
    <w:rsid w:val="357F42D5"/>
    <w:rsid w:val="35841358"/>
    <w:rsid w:val="35850EC9"/>
    <w:rsid w:val="358532E2"/>
    <w:rsid w:val="35866DBC"/>
    <w:rsid w:val="358B1050"/>
    <w:rsid w:val="358D4A67"/>
    <w:rsid w:val="35906305"/>
    <w:rsid w:val="359953B3"/>
    <w:rsid w:val="35A336CF"/>
    <w:rsid w:val="35A80EFE"/>
    <w:rsid w:val="35B53990"/>
    <w:rsid w:val="35B93EFE"/>
    <w:rsid w:val="35BB122E"/>
    <w:rsid w:val="35BE79BB"/>
    <w:rsid w:val="35C07152"/>
    <w:rsid w:val="35C12A75"/>
    <w:rsid w:val="35C62343"/>
    <w:rsid w:val="35C91928"/>
    <w:rsid w:val="35CA5CBB"/>
    <w:rsid w:val="35D57DE2"/>
    <w:rsid w:val="35D60958"/>
    <w:rsid w:val="35D72186"/>
    <w:rsid w:val="35DB2F92"/>
    <w:rsid w:val="35DC68CB"/>
    <w:rsid w:val="35EE32F2"/>
    <w:rsid w:val="35F52453"/>
    <w:rsid w:val="35F6430E"/>
    <w:rsid w:val="35F66D57"/>
    <w:rsid w:val="35FC0887"/>
    <w:rsid w:val="36036E68"/>
    <w:rsid w:val="36081400"/>
    <w:rsid w:val="360A0033"/>
    <w:rsid w:val="36105698"/>
    <w:rsid w:val="36150912"/>
    <w:rsid w:val="3616788A"/>
    <w:rsid w:val="361C2CAB"/>
    <w:rsid w:val="361F1AE1"/>
    <w:rsid w:val="36207909"/>
    <w:rsid w:val="36223849"/>
    <w:rsid w:val="36234099"/>
    <w:rsid w:val="36260A17"/>
    <w:rsid w:val="36261281"/>
    <w:rsid w:val="36284656"/>
    <w:rsid w:val="362F1DA9"/>
    <w:rsid w:val="36356EAC"/>
    <w:rsid w:val="363849D0"/>
    <w:rsid w:val="3642190C"/>
    <w:rsid w:val="364556F6"/>
    <w:rsid w:val="364B685B"/>
    <w:rsid w:val="364C1316"/>
    <w:rsid w:val="364F4412"/>
    <w:rsid w:val="364F7FEC"/>
    <w:rsid w:val="365D08DD"/>
    <w:rsid w:val="365D1DEE"/>
    <w:rsid w:val="366412DA"/>
    <w:rsid w:val="3668339F"/>
    <w:rsid w:val="366A793A"/>
    <w:rsid w:val="366D6F8D"/>
    <w:rsid w:val="366F0F07"/>
    <w:rsid w:val="366F591E"/>
    <w:rsid w:val="36764DE0"/>
    <w:rsid w:val="367A642B"/>
    <w:rsid w:val="367D1DCA"/>
    <w:rsid w:val="3682396C"/>
    <w:rsid w:val="36853887"/>
    <w:rsid w:val="368B2D7D"/>
    <w:rsid w:val="369721FC"/>
    <w:rsid w:val="369924BA"/>
    <w:rsid w:val="369947EC"/>
    <w:rsid w:val="369E0A48"/>
    <w:rsid w:val="369E3231"/>
    <w:rsid w:val="36A02F10"/>
    <w:rsid w:val="36A03562"/>
    <w:rsid w:val="36AB695D"/>
    <w:rsid w:val="36B10880"/>
    <w:rsid w:val="36B66528"/>
    <w:rsid w:val="36B9424F"/>
    <w:rsid w:val="36BA2D5D"/>
    <w:rsid w:val="36C02C1A"/>
    <w:rsid w:val="36C941C4"/>
    <w:rsid w:val="36CE0184"/>
    <w:rsid w:val="36CF2BE2"/>
    <w:rsid w:val="36D1141F"/>
    <w:rsid w:val="36D272D2"/>
    <w:rsid w:val="36D35131"/>
    <w:rsid w:val="36D52B69"/>
    <w:rsid w:val="36D70BCD"/>
    <w:rsid w:val="36D964FF"/>
    <w:rsid w:val="36DE12F2"/>
    <w:rsid w:val="36E22353"/>
    <w:rsid w:val="36F54760"/>
    <w:rsid w:val="36FB1EA4"/>
    <w:rsid w:val="36FD6BE2"/>
    <w:rsid w:val="36FF6853"/>
    <w:rsid w:val="37005482"/>
    <w:rsid w:val="37016BE7"/>
    <w:rsid w:val="3707636D"/>
    <w:rsid w:val="370A334C"/>
    <w:rsid w:val="370E1BD7"/>
    <w:rsid w:val="37106995"/>
    <w:rsid w:val="3711148E"/>
    <w:rsid w:val="3713154B"/>
    <w:rsid w:val="37153776"/>
    <w:rsid w:val="3715740A"/>
    <w:rsid w:val="371C75AC"/>
    <w:rsid w:val="371E1D43"/>
    <w:rsid w:val="37243142"/>
    <w:rsid w:val="372C0799"/>
    <w:rsid w:val="37326B9D"/>
    <w:rsid w:val="3733163E"/>
    <w:rsid w:val="37352647"/>
    <w:rsid w:val="3736112E"/>
    <w:rsid w:val="373B574E"/>
    <w:rsid w:val="373D000C"/>
    <w:rsid w:val="374730FD"/>
    <w:rsid w:val="37473866"/>
    <w:rsid w:val="374A165A"/>
    <w:rsid w:val="374A77A2"/>
    <w:rsid w:val="374A7909"/>
    <w:rsid w:val="374B5A83"/>
    <w:rsid w:val="375407E3"/>
    <w:rsid w:val="375B47F6"/>
    <w:rsid w:val="375D5B78"/>
    <w:rsid w:val="375E4D14"/>
    <w:rsid w:val="3765559F"/>
    <w:rsid w:val="37690B17"/>
    <w:rsid w:val="376C65F4"/>
    <w:rsid w:val="376D1BEC"/>
    <w:rsid w:val="376D2DA2"/>
    <w:rsid w:val="376D59EB"/>
    <w:rsid w:val="376E08C8"/>
    <w:rsid w:val="376F0D70"/>
    <w:rsid w:val="3772685D"/>
    <w:rsid w:val="37747464"/>
    <w:rsid w:val="37755CB2"/>
    <w:rsid w:val="377759CE"/>
    <w:rsid w:val="37777432"/>
    <w:rsid w:val="377B4227"/>
    <w:rsid w:val="377C1237"/>
    <w:rsid w:val="377D5DEC"/>
    <w:rsid w:val="37850545"/>
    <w:rsid w:val="37863126"/>
    <w:rsid w:val="37871CD1"/>
    <w:rsid w:val="378B3228"/>
    <w:rsid w:val="378C5846"/>
    <w:rsid w:val="37926CEB"/>
    <w:rsid w:val="37952808"/>
    <w:rsid w:val="37954057"/>
    <w:rsid w:val="37980529"/>
    <w:rsid w:val="37996825"/>
    <w:rsid w:val="379A0FF4"/>
    <w:rsid w:val="379A374C"/>
    <w:rsid w:val="379E0A05"/>
    <w:rsid w:val="37AA3479"/>
    <w:rsid w:val="37AE4673"/>
    <w:rsid w:val="37B451AB"/>
    <w:rsid w:val="37BF240D"/>
    <w:rsid w:val="37C45B0F"/>
    <w:rsid w:val="37C70B1D"/>
    <w:rsid w:val="37D45FCF"/>
    <w:rsid w:val="37D8717C"/>
    <w:rsid w:val="37DB4DCE"/>
    <w:rsid w:val="37DC7F27"/>
    <w:rsid w:val="37DE5A4E"/>
    <w:rsid w:val="37E339B8"/>
    <w:rsid w:val="37E55F28"/>
    <w:rsid w:val="37E60A97"/>
    <w:rsid w:val="37E72D7B"/>
    <w:rsid w:val="37E87D00"/>
    <w:rsid w:val="37EB72B3"/>
    <w:rsid w:val="37EC5842"/>
    <w:rsid w:val="37F637EC"/>
    <w:rsid w:val="37F67BB6"/>
    <w:rsid w:val="37F830A1"/>
    <w:rsid w:val="37FC7705"/>
    <w:rsid w:val="37FF3E14"/>
    <w:rsid w:val="38015C7F"/>
    <w:rsid w:val="38066D52"/>
    <w:rsid w:val="38141101"/>
    <w:rsid w:val="3814146F"/>
    <w:rsid w:val="3815158D"/>
    <w:rsid w:val="381901AA"/>
    <w:rsid w:val="381978DC"/>
    <w:rsid w:val="381A5848"/>
    <w:rsid w:val="381B24B1"/>
    <w:rsid w:val="381D263A"/>
    <w:rsid w:val="381E38D4"/>
    <w:rsid w:val="38224FD3"/>
    <w:rsid w:val="3823626A"/>
    <w:rsid w:val="38283227"/>
    <w:rsid w:val="382855F5"/>
    <w:rsid w:val="382B0567"/>
    <w:rsid w:val="382F50A6"/>
    <w:rsid w:val="38337B1F"/>
    <w:rsid w:val="383A3E34"/>
    <w:rsid w:val="38415760"/>
    <w:rsid w:val="384228C0"/>
    <w:rsid w:val="38454CBB"/>
    <w:rsid w:val="384A6C3F"/>
    <w:rsid w:val="384E4897"/>
    <w:rsid w:val="384E5B7F"/>
    <w:rsid w:val="385019A8"/>
    <w:rsid w:val="38543F62"/>
    <w:rsid w:val="38575800"/>
    <w:rsid w:val="385C2E16"/>
    <w:rsid w:val="385E65D1"/>
    <w:rsid w:val="3868603F"/>
    <w:rsid w:val="386F128C"/>
    <w:rsid w:val="3870102E"/>
    <w:rsid w:val="3870697D"/>
    <w:rsid w:val="38721E18"/>
    <w:rsid w:val="3873111E"/>
    <w:rsid w:val="38765C86"/>
    <w:rsid w:val="38775A95"/>
    <w:rsid w:val="38813D5B"/>
    <w:rsid w:val="3886548B"/>
    <w:rsid w:val="38934D6E"/>
    <w:rsid w:val="38971412"/>
    <w:rsid w:val="389E40F0"/>
    <w:rsid w:val="38A20D43"/>
    <w:rsid w:val="38AA1D2B"/>
    <w:rsid w:val="38B30C88"/>
    <w:rsid w:val="38B677B4"/>
    <w:rsid w:val="38BD1B07"/>
    <w:rsid w:val="38BD38B5"/>
    <w:rsid w:val="38BD50FA"/>
    <w:rsid w:val="38C10D68"/>
    <w:rsid w:val="38D71EED"/>
    <w:rsid w:val="38DB50A8"/>
    <w:rsid w:val="38DC0E34"/>
    <w:rsid w:val="38DC2CCE"/>
    <w:rsid w:val="38DE55D9"/>
    <w:rsid w:val="38E943C8"/>
    <w:rsid w:val="38EF1E71"/>
    <w:rsid w:val="38F34446"/>
    <w:rsid w:val="38F54C19"/>
    <w:rsid w:val="38F8669B"/>
    <w:rsid w:val="38FE43FA"/>
    <w:rsid w:val="38FE4DCF"/>
    <w:rsid w:val="38FF0AED"/>
    <w:rsid w:val="39041461"/>
    <w:rsid w:val="390B74E2"/>
    <w:rsid w:val="39112EB7"/>
    <w:rsid w:val="39121148"/>
    <w:rsid w:val="391D5F11"/>
    <w:rsid w:val="391E1F9A"/>
    <w:rsid w:val="391F3772"/>
    <w:rsid w:val="391F3DDF"/>
    <w:rsid w:val="39226967"/>
    <w:rsid w:val="39252B2E"/>
    <w:rsid w:val="392D5AF0"/>
    <w:rsid w:val="39304406"/>
    <w:rsid w:val="39387435"/>
    <w:rsid w:val="39494261"/>
    <w:rsid w:val="394F5C10"/>
    <w:rsid w:val="39511CC3"/>
    <w:rsid w:val="395316D0"/>
    <w:rsid w:val="39557F91"/>
    <w:rsid w:val="395675ED"/>
    <w:rsid w:val="39570C14"/>
    <w:rsid w:val="39572048"/>
    <w:rsid w:val="3957247C"/>
    <w:rsid w:val="39587616"/>
    <w:rsid w:val="395D0BF4"/>
    <w:rsid w:val="396106E4"/>
    <w:rsid w:val="39620D22"/>
    <w:rsid w:val="3962445C"/>
    <w:rsid w:val="3962685A"/>
    <w:rsid w:val="396316A3"/>
    <w:rsid w:val="39642E69"/>
    <w:rsid w:val="39644630"/>
    <w:rsid w:val="3967048A"/>
    <w:rsid w:val="39693A3D"/>
    <w:rsid w:val="397273BD"/>
    <w:rsid w:val="39731483"/>
    <w:rsid w:val="397831BF"/>
    <w:rsid w:val="39807F58"/>
    <w:rsid w:val="398330C3"/>
    <w:rsid w:val="39867CE3"/>
    <w:rsid w:val="398B08FC"/>
    <w:rsid w:val="398B1F67"/>
    <w:rsid w:val="39904B26"/>
    <w:rsid w:val="39930ABF"/>
    <w:rsid w:val="3994642F"/>
    <w:rsid w:val="39991D61"/>
    <w:rsid w:val="399A694D"/>
    <w:rsid w:val="399B0A74"/>
    <w:rsid w:val="399B6732"/>
    <w:rsid w:val="39A4531E"/>
    <w:rsid w:val="39A54028"/>
    <w:rsid w:val="39A66AEF"/>
    <w:rsid w:val="39A83DEF"/>
    <w:rsid w:val="39AA4FC5"/>
    <w:rsid w:val="39AC16A8"/>
    <w:rsid w:val="39AF335D"/>
    <w:rsid w:val="39B019B3"/>
    <w:rsid w:val="39B4658F"/>
    <w:rsid w:val="39B50E87"/>
    <w:rsid w:val="39BA4298"/>
    <w:rsid w:val="39BB0A68"/>
    <w:rsid w:val="39BD3BC3"/>
    <w:rsid w:val="39C20753"/>
    <w:rsid w:val="39C36698"/>
    <w:rsid w:val="39C63235"/>
    <w:rsid w:val="39C90037"/>
    <w:rsid w:val="39CA1C31"/>
    <w:rsid w:val="39CA1FD6"/>
    <w:rsid w:val="39CE1971"/>
    <w:rsid w:val="39CF1384"/>
    <w:rsid w:val="39D72837"/>
    <w:rsid w:val="39DA3062"/>
    <w:rsid w:val="39DB5F2C"/>
    <w:rsid w:val="39DD43D9"/>
    <w:rsid w:val="39E0677F"/>
    <w:rsid w:val="39E53719"/>
    <w:rsid w:val="39E57E99"/>
    <w:rsid w:val="39E72F63"/>
    <w:rsid w:val="39ED3DB0"/>
    <w:rsid w:val="39ED58C6"/>
    <w:rsid w:val="39F0242A"/>
    <w:rsid w:val="39FD6CA1"/>
    <w:rsid w:val="39FF0BE3"/>
    <w:rsid w:val="3A0112AF"/>
    <w:rsid w:val="3A024424"/>
    <w:rsid w:val="3A064DE8"/>
    <w:rsid w:val="3A107CFD"/>
    <w:rsid w:val="3A1230ED"/>
    <w:rsid w:val="3A127C30"/>
    <w:rsid w:val="3A177871"/>
    <w:rsid w:val="3A18053F"/>
    <w:rsid w:val="3A192D6D"/>
    <w:rsid w:val="3A1965A5"/>
    <w:rsid w:val="3A30455A"/>
    <w:rsid w:val="3A320D1F"/>
    <w:rsid w:val="3A323E2F"/>
    <w:rsid w:val="3A350099"/>
    <w:rsid w:val="3A36034B"/>
    <w:rsid w:val="3A367085"/>
    <w:rsid w:val="3A3A2CE3"/>
    <w:rsid w:val="3A3A6105"/>
    <w:rsid w:val="3A3C7886"/>
    <w:rsid w:val="3A4678DA"/>
    <w:rsid w:val="3A4751F8"/>
    <w:rsid w:val="3A47779C"/>
    <w:rsid w:val="3A494B9D"/>
    <w:rsid w:val="3A4E16E6"/>
    <w:rsid w:val="3A4F533A"/>
    <w:rsid w:val="3A512D5B"/>
    <w:rsid w:val="3A527F46"/>
    <w:rsid w:val="3A555D6F"/>
    <w:rsid w:val="3A555F83"/>
    <w:rsid w:val="3A577D39"/>
    <w:rsid w:val="3A591228"/>
    <w:rsid w:val="3A5913BB"/>
    <w:rsid w:val="3A59760D"/>
    <w:rsid w:val="3A5C3144"/>
    <w:rsid w:val="3A630B5F"/>
    <w:rsid w:val="3A684C76"/>
    <w:rsid w:val="3A6C2606"/>
    <w:rsid w:val="3A704957"/>
    <w:rsid w:val="3A7110B0"/>
    <w:rsid w:val="3A724923"/>
    <w:rsid w:val="3A762F75"/>
    <w:rsid w:val="3A7D3C17"/>
    <w:rsid w:val="3A852455"/>
    <w:rsid w:val="3A897795"/>
    <w:rsid w:val="3A912123"/>
    <w:rsid w:val="3A943639"/>
    <w:rsid w:val="3A9C51CC"/>
    <w:rsid w:val="3A9F3DB0"/>
    <w:rsid w:val="3AA35560"/>
    <w:rsid w:val="3AA45362"/>
    <w:rsid w:val="3AA60379"/>
    <w:rsid w:val="3AA63072"/>
    <w:rsid w:val="3AA965B3"/>
    <w:rsid w:val="3AAD25AF"/>
    <w:rsid w:val="3AB80978"/>
    <w:rsid w:val="3AC34EA3"/>
    <w:rsid w:val="3AC4382E"/>
    <w:rsid w:val="3AC727C9"/>
    <w:rsid w:val="3AC9371B"/>
    <w:rsid w:val="3AC9572F"/>
    <w:rsid w:val="3ACA2EDD"/>
    <w:rsid w:val="3AD300B5"/>
    <w:rsid w:val="3AD73E3E"/>
    <w:rsid w:val="3AD80922"/>
    <w:rsid w:val="3AD81DE4"/>
    <w:rsid w:val="3AD969A0"/>
    <w:rsid w:val="3AE77C46"/>
    <w:rsid w:val="3AE8303D"/>
    <w:rsid w:val="3AE853DF"/>
    <w:rsid w:val="3AE95277"/>
    <w:rsid w:val="3AF03E1F"/>
    <w:rsid w:val="3AF53F7B"/>
    <w:rsid w:val="3AF6108D"/>
    <w:rsid w:val="3AF758B4"/>
    <w:rsid w:val="3AF92883"/>
    <w:rsid w:val="3AFC50EB"/>
    <w:rsid w:val="3B03747B"/>
    <w:rsid w:val="3B0537B4"/>
    <w:rsid w:val="3B097EEB"/>
    <w:rsid w:val="3B0A0908"/>
    <w:rsid w:val="3B0E66CF"/>
    <w:rsid w:val="3B0F23C2"/>
    <w:rsid w:val="3B121569"/>
    <w:rsid w:val="3B1372CB"/>
    <w:rsid w:val="3B141D79"/>
    <w:rsid w:val="3B1C731C"/>
    <w:rsid w:val="3B1E2436"/>
    <w:rsid w:val="3B1E43B3"/>
    <w:rsid w:val="3B220005"/>
    <w:rsid w:val="3B2212C0"/>
    <w:rsid w:val="3B226650"/>
    <w:rsid w:val="3B244755"/>
    <w:rsid w:val="3B245220"/>
    <w:rsid w:val="3B252CA0"/>
    <w:rsid w:val="3B2B63E6"/>
    <w:rsid w:val="3B3053C9"/>
    <w:rsid w:val="3B310F1E"/>
    <w:rsid w:val="3B316915"/>
    <w:rsid w:val="3B323EFD"/>
    <w:rsid w:val="3B337998"/>
    <w:rsid w:val="3B373D7F"/>
    <w:rsid w:val="3B397FC6"/>
    <w:rsid w:val="3B3E6803"/>
    <w:rsid w:val="3B442FF7"/>
    <w:rsid w:val="3B446EE2"/>
    <w:rsid w:val="3B472CA9"/>
    <w:rsid w:val="3B490E6A"/>
    <w:rsid w:val="3B4A4354"/>
    <w:rsid w:val="3B566812"/>
    <w:rsid w:val="3B5A40C5"/>
    <w:rsid w:val="3B5D4EDB"/>
    <w:rsid w:val="3B5E56AF"/>
    <w:rsid w:val="3B615A7C"/>
    <w:rsid w:val="3B6201DB"/>
    <w:rsid w:val="3B650A98"/>
    <w:rsid w:val="3B677B08"/>
    <w:rsid w:val="3B6975CB"/>
    <w:rsid w:val="3B6A75F8"/>
    <w:rsid w:val="3B6A7EF1"/>
    <w:rsid w:val="3B7049DA"/>
    <w:rsid w:val="3B707BB7"/>
    <w:rsid w:val="3B707CFC"/>
    <w:rsid w:val="3B711FD8"/>
    <w:rsid w:val="3B7465E2"/>
    <w:rsid w:val="3B78264F"/>
    <w:rsid w:val="3B7E2C5A"/>
    <w:rsid w:val="3B7F2A2D"/>
    <w:rsid w:val="3B7F2EA4"/>
    <w:rsid w:val="3B806E1C"/>
    <w:rsid w:val="3B844B5E"/>
    <w:rsid w:val="3B892174"/>
    <w:rsid w:val="3B8A09CF"/>
    <w:rsid w:val="3B8E3D42"/>
    <w:rsid w:val="3B8F7560"/>
    <w:rsid w:val="3B963843"/>
    <w:rsid w:val="3B9E5AB8"/>
    <w:rsid w:val="3B9F3500"/>
    <w:rsid w:val="3BA1126C"/>
    <w:rsid w:val="3BA13248"/>
    <w:rsid w:val="3BA448B8"/>
    <w:rsid w:val="3BA8183E"/>
    <w:rsid w:val="3BA945C4"/>
    <w:rsid w:val="3BAA6093"/>
    <w:rsid w:val="3BAD3D18"/>
    <w:rsid w:val="3BAD5F67"/>
    <w:rsid w:val="3BB434E1"/>
    <w:rsid w:val="3BB51C71"/>
    <w:rsid w:val="3BB6168A"/>
    <w:rsid w:val="3BB62B28"/>
    <w:rsid w:val="3BB64B3A"/>
    <w:rsid w:val="3BBD7F6E"/>
    <w:rsid w:val="3BC00766"/>
    <w:rsid w:val="3BC87F87"/>
    <w:rsid w:val="3BCC3E0F"/>
    <w:rsid w:val="3BD05655"/>
    <w:rsid w:val="3BD2585B"/>
    <w:rsid w:val="3BD27A39"/>
    <w:rsid w:val="3BD3641F"/>
    <w:rsid w:val="3BD445EE"/>
    <w:rsid w:val="3BD51B9A"/>
    <w:rsid w:val="3BD80A06"/>
    <w:rsid w:val="3BE540CB"/>
    <w:rsid w:val="3BEB0D0D"/>
    <w:rsid w:val="3BEB3428"/>
    <w:rsid w:val="3BEB3453"/>
    <w:rsid w:val="3BEE1D52"/>
    <w:rsid w:val="3BF332A7"/>
    <w:rsid w:val="3BF409B2"/>
    <w:rsid w:val="3BF515B4"/>
    <w:rsid w:val="3BF806C6"/>
    <w:rsid w:val="3BF84C04"/>
    <w:rsid w:val="3BFA396D"/>
    <w:rsid w:val="3C085A7A"/>
    <w:rsid w:val="3C104741"/>
    <w:rsid w:val="3C1130FE"/>
    <w:rsid w:val="3C131A08"/>
    <w:rsid w:val="3C1329B7"/>
    <w:rsid w:val="3C1766A8"/>
    <w:rsid w:val="3C1A641C"/>
    <w:rsid w:val="3C1C4D96"/>
    <w:rsid w:val="3C2115B1"/>
    <w:rsid w:val="3C240AB3"/>
    <w:rsid w:val="3C2E799E"/>
    <w:rsid w:val="3C303F9E"/>
    <w:rsid w:val="3C315BF1"/>
    <w:rsid w:val="3C3B50C7"/>
    <w:rsid w:val="3C3E2F5F"/>
    <w:rsid w:val="3C49129B"/>
    <w:rsid w:val="3C4D6646"/>
    <w:rsid w:val="3C4F5130"/>
    <w:rsid w:val="3C5001A4"/>
    <w:rsid w:val="3C526A0A"/>
    <w:rsid w:val="3C5305B0"/>
    <w:rsid w:val="3C5502A8"/>
    <w:rsid w:val="3C557CF1"/>
    <w:rsid w:val="3C582258"/>
    <w:rsid w:val="3C616C4D"/>
    <w:rsid w:val="3C623091"/>
    <w:rsid w:val="3C6504EB"/>
    <w:rsid w:val="3C666012"/>
    <w:rsid w:val="3C687FDC"/>
    <w:rsid w:val="3C6E4EC6"/>
    <w:rsid w:val="3C753074"/>
    <w:rsid w:val="3C7902A7"/>
    <w:rsid w:val="3C79359A"/>
    <w:rsid w:val="3C797AF3"/>
    <w:rsid w:val="3C7A1452"/>
    <w:rsid w:val="3C7B065B"/>
    <w:rsid w:val="3C7B59D7"/>
    <w:rsid w:val="3C7D5CFE"/>
    <w:rsid w:val="3C7E6FBA"/>
    <w:rsid w:val="3C7F7A76"/>
    <w:rsid w:val="3C854596"/>
    <w:rsid w:val="3C8A1D00"/>
    <w:rsid w:val="3C8F6DDE"/>
    <w:rsid w:val="3C8F7316"/>
    <w:rsid w:val="3C9568F7"/>
    <w:rsid w:val="3C9B215F"/>
    <w:rsid w:val="3CA01523"/>
    <w:rsid w:val="3CA0162D"/>
    <w:rsid w:val="3CA40903"/>
    <w:rsid w:val="3CA85A6B"/>
    <w:rsid w:val="3CA94ABC"/>
    <w:rsid w:val="3CB42E89"/>
    <w:rsid w:val="3CB477D4"/>
    <w:rsid w:val="3CB603B0"/>
    <w:rsid w:val="3CC23ACA"/>
    <w:rsid w:val="3CC91C33"/>
    <w:rsid w:val="3CCD087D"/>
    <w:rsid w:val="3CCD541C"/>
    <w:rsid w:val="3CD121AE"/>
    <w:rsid w:val="3CD13DD3"/>
    <w:rsid w:val="3CDB07AE"/>
    <w:rsid w:val="3CE9202A"/>
    <w:rsid w:val="3CEF4E68"/>
    <w:rsid w:val="3CF11B0A"/>
    <w:rsid w:val="3CF1446A"/>
    <w:rsid w:val="3CF36472"/>
    <w:rsid w:val="3CF46673"/>
    <w:rsid w:val="3CFC0724"/>
    <w:rsid w:val="3CFD4BC8"/>
    <w:rsid w:val="3D003432"/>
    <w:rsid w:val="3D053A7C"/>
    <w:rsid w:val="3D0801FD"/>
    <w:rsid w:val="3D115F7D"/>
    <w:rsid w:val="3D162C46"/>
    <w:rsid w:val="3D1A1E88"/>
    <w:rsid w:val="3D1D2B74"/>
    <w:rsid w:val="3D1F2EDD"/>
    <w:rsid w:val="3D201A43"/>
    <w:rsid w:val="3D203D73"/>
    <w:rsid w:val="3D225E60"/>
    <w:rsid w:val="3D27193F"/>
    <w:rsid w:val="3D2839CF"/>
    <w:rsid w:val="3D2A3B61"/>
    <w:rsid w:val="3D2C2DB7"/>
    <w:rsid w:val="3D2E7FA8"/>
    <w:rsid w:val="3D30340C"/>
    <w:rsid w:val="3D353F72"/>
    <w:rsid w:val="3D3565E6"/>
    <w:rsid w:val="3D3678F2"/>
    <w:rsid w:val="3D3D4FC4"/>
    <w:rsid w:val="3D3D6B38"/>
    <w:rsid w:val="3D3E2AEA"/>
    <w:rsid w:val="3D3E3D60"/>
    <w:rsid w:val="3D3F2A58"/>
    <w:rsid w:val="3D452D6C"/>
    <w:rsid w:val="3D4C440A"/>
    <w:rsid w:val="3D517ABB"/>
    <w:rsid w:val="3D5642D8"/>
    <w:rsid w:val="3D56591B"/>
    <w:rsid w:val="3D5F2D7F"/>
    <w:rsid w:val="3D622942"/>
    <w:rsid w:val="3D6531A7"/>
    <w:rsid w:val="3D6D4DFD"/>
    <w:rsid w:val="3D6F1D21"/>
    <w:rsid w:val="3D7249AD"/>
    <w:rsid w:val="3D7343BC"/>
    <w:rsid w:val="3D737A96"/>
    <w:rsid w:val="3D763BD9"/>
    <w:rsid w:val="3D772C2E"/>
    <w:rsid w:val="3D7A080E"/>
    <w:rsid w:val="3D7A6218"/>
    <w:rsid w:val="3D7B26DC"/>
    <w:rsid w:val="3D822653"/>
    <w:rsid w:val="3D856183"/>
    <w:rsid w:val="3D8B05CF"/>
    <w:rsid w:val="3D8D2B04"/>
    <w:rsid w:val="3D8F6075"/>
    <w:rsid w:val="3D900B53"/>
    <w:rsid w:val="3D976355"/>
    <w:rsid w:val="3D9D3CB5"/>
    <w:rsid w:val="3DA232FD"/>
    <w:rsid w:val="3DA27397"/>
    <w:rsid w:val="3DA36A46"/>
    <w:rsid w:val="3DA925E4"/>
    <w:rsid w:val="3DA963FF"/>
    <w:rsid w:val="3DAA538B"/>
    <w:rsid w:val="3DAE4440"/>
    <w:rsid w:val="3DAE7C70"/>
    <w:rsid w:val="3DB23294"/>
    <w:rsid w:val="3DB32D59"/>
    <w:rsid w:val="3DB34142"/>
    <w:rsid w:val="3DB85F0B"/>
    <w:rsid w:val="3DBF16BA"/>
    <w:rsid w:val="3DBF1E7D"/>
    <w:rsid w:val="3DC25237"/>
    <w:rsid w:val="3DC54FBA"/>
    <w:rsid w:val="3DC77DC8"/>
    <w:rsid w:val="3DCB57BB"/>
    <w:rsid w:val="3DCC5B9F"/>
    <w:rsid w:val="3DD43EE2"/>
    <w:rsid w:val="3DD72EB4"/>
    <w:rsid w:val="3DD8255C"/>
    <w:rsid w:val="3DD87D21"/>
    <w:rsid w:val="3DDB4281"/>
    <w:rsid w:val="3DE17339"/>
    <w:rsid w:val="3DE37DAC"/>
    <w:rsid w:val="3DE50B32"/>
    <w:rsid w:val="3DE721EE"/>
    <w:rsid w:val="3DE86978"/>
    <w:rsid w:val="3DEB4FD0"/>
    <w:rsid w:val="3DEC41A3"/>
    <w:rsid w:val="3DEE19AF"/>
    <w:rsid w:val="3DF31B27"/>
    <w:rsid w:val="3DF42400"/>
    <w:rsid w:val="3DF54C7D"/>
    <w:rsid w:val="3DF7571C"/>
    <w:rsid w:val="3DF859CF"/>
    <w:rsid w:val="3DF93EE2"/>
    <w:rsid w:val="3DFA7E22"/>
    <w:rsid w:val="3DFC5CAF"/>
    <w:rsid w:val="3E006A17"/>
    <w:rsid w:val="3E046FBD"/>
    <w:rsid w:val="3E04789D"/>
    <w:rsid w:val="3E05640D"/>
    <w:rsid w:val="3E071FE3"/>
    <w:rsid w:val="3E0778F8"/>
    <w:rsid w:val="3E0815FA"/>
    <w:rsid w:val="3E09134A"/>
    <w:rsid w:val="3E0C2BE9"/>
    <w:rsid w:val="3E135D25"/>
    <w:rsid w:val="3E1577C8"/>
    <w:rsid w:val="3E183202"/>
    <w:rsid w:val="3E1D27EF"/>
    <w:rsid w:val="3E214CF8"/>
    <w:rsid w:val="3E240C46"/>
    <w:rsid w:val="3E241CE0"/>
    <w:rsid w:val="3E262116"/>
    <w:rsid w:val="3E2B6DB0"/>
    <w:rsid w:val="3E367454"/>
    <w:rsid w:val="3E371C92"/>
    <w:rsid w:val="3E3D3FF3"/>
    <w:rsid w:val="3E3D6DB6"/>
    <w:rsid w:val="3E3E425F"/>
    <w:rsid w:val="3E3E5D5A"/>
    <w:rsid w:val="3E3E7246"/>
    <w:rsid w:val="3E410AE4"/>
    <w:rsid w:val="3E45737B"/>
    <w:rsid w:val="3E4717E2"/>
    <w:rsid w:val="3E497999"/>
    <w:rsid w:val="3E4A1A07"/>
    <w:rsid w:val="3E4D3262"/>
    <w:rsid w:val="3E4D7489"/>
    <w:rsid w:val="3E515D1A"/>
    <w:rsid w:val="3E545E1C"/>
    <w:rsid w:val="3E554EAC"/>
    <w:rsid w:val="3E5636F5"/>
    <w:rsid w:val="3E5923A2"/>
    <w:rsid w:val="3E5C677A"/>
    <w:rsid w:val="3E642A25"/>
    <w:rsid w:val="3E682515"/>
    <w:rsid w:val="3E6B584C"/>
    <w:rsid w:val="3E6D5FAA"/>
    <w:rsid w:val="3E6D63A4"/>
    <w:rsid w:val="3E6F168B"/>
    <w:rsid w:val="3E750589"/>
    <w:rsid w:val="3E780624"/>
    <w:rsid w:val="3E7961C8"/>
    <w:rsid w:val="3E7C197B"/>
    <w:rsid w:val="3E7F369E"/>
    <w:rsid w:val="3E810EE1"/>
    <w:rsid w:val="3E854325"/>
    <w:rsid w:val="3E887272"/>
    <w:rsid w:val="3E8B7FB1"/>
    <w:rsid w:val="3E8F3FAA"/>
    <w:rsid w:val="3E930283"/>
    <w:rsid w:val="3E945BE4"/>
    <w:rsid w:val="3E962870"/>
    <w:rsid w:val="3E97005F"/>
    <w:rsid w:val="3E9B3D11"/>
    <w:rsid w:val="3E9C4531"/>
    <w:rsid w:val="3E9E0AFA"/>
    <w:rsid w:val="3EA01CAF"/>
    <w:rsid w:val="3EA575C4"/>
    <w:rsid w:val="3EA6276F"/>
    <w:rsid w:val="3EAC2237"/>
    <w:rsid w:val="3EAC739F"/>
    <w:rsid w:val="3EAE5536"/>
    <w:rsid w:val="3EB528E1"/>
    <w:rsid w:val="3EBE5472"/>
    <w:rsid w:val="3EC04666"/>
    <w:rsid w:val="3ECB6A21"/>
    <w:rsid w:val="3ECD65C2"/>
    <w:rsid w:val="3ECF3766"/>
    <w:rsid w:val="3ED06615"/>
    <w:rsid w:val="3ED72B21"/>
    <w:rsid w:val="3EDD2A69"/>
    <w:rsid w:val="3EE25259"/>
    <w:rsid w:val="3EE546AB"/>
    <w:rsid w:val="3EE663B5"/>
    <w:rsid w:val="3EED6576"/>
    <w:rsid w:val="3EEF0402"/>
    <w:rsid w:val="3EF20030"/>
    <w:rsid w:val="3EF24687"/>
    <w:rsid w:val="3F0364CE"/>
    <w:rsid w:val="3F055FB6"/>
    <w:rsid w:val="3F062798"/>
    <w:rsid w:val="3F0A050E"/>
    <w:rsid w:val="3F0B1289"/>
    <w:rsid w:val="3F0C2923"/>
    <w:rsid w:val="3F0C30FF"/>
    <w:rsid w:val="3F0C5F17"/>
    <w:rsid w:val="3F120455"/>
    <w:rsid w:val="3F144931"/>
    <w:rsid w:val="3F193301"/>
    <w:rsid w:val="3F1A59A1"/>
    <w:rsid w:val="3F1B484E"/>
    <w:rsid w:val="3F245C55"/>
    <w:rsid w:val="3F283A52"/>
    <w:rsid w:val="3F287A8E"/>
    <w:rsid w:val="3F3E7B79"/>
    <w:rsid w:val="3F4332B6"/>
    <w:rsid w:val="3F44328B"/>
    <w:rsid w:val="3F446992"/>
    <w:rsid w:val="3F4628F3"/>
    <w:rsid w:val="3F472E4B"/>
    <w:rsid w:val="3F485EA2"/>
    <w:rsid w:val="3F4940F4"/>
    <w:rsid w:val="3F496936"/>
    <w:rsid w:val="3F4D5267"/>
    <w:rsid w:val="3F543ADA"/>
    <w:rsid w:val="3F56236D"/>
    <w:rsid w:val="3F5B3E28"/>
    <w:rsid w:val="3F6137A1"/>
    <w:rsid w:val="3F614FE5"/>
    <w:rsid w:val="3F650802"/>
    <w:rsid w:val="3F670E59"/>
    <w:rsid w:val="3F6D6D9B"/>
    <w:rsid w:val="3F722EC1"/>
    <w:rsid w:val="3F762A0F"/>
    <w:rsid w:val="3F7D6038"/>
    <w:rsid w:val="3F824047"/>
    <w:rsid w:val="3F827606"/>
    <w:rsid w:val="3F834EE3"/>
    <w:rsid w:val="3F89533D"/>
    <w:rsid w:val="3F8A0269"/>
    <w:rsid w:val="3F9410E8"/>
    <w:rsid w:val="3F954118"/>
    <w:rsid w:val="3F961F3C"/>
    <w:rsid w:val="3F964792"/>
    <w:rsid w:val="3FA54C83"/>
    <w:rsid w:val="3FA550A3"/>
    <w:rsid w:val="3FA76AFE"/>
    <w:rsid w:val="3FA806EF"/>
    <w:rsid w:val="3FA837AE"/>
    <w:rsid w:val="3FAA1884"/>
    <w:rsid w:val="3FB4146E"/>
    <w:rsid w:val="3FB8351C"/>
    <w:rsid w:val="3FBA7E7A"/>
    <w:rsid w:val="3FBB48C6"/>
    <w:rsid w:val="3FC0607A"/>
    <w:rsid w:val="3FC10C55"/>
    <w:rsid w:val="3FC65745"/>
    <w:rsid w:val="3FC84219"/>
    <w:rsid w:val="3FC905B8"/>
    <w:rsid w:val="3FC90A0E"/>
    <w:rsid w:val="3FCE36DE"/>
    <w:rsid w:val="3FD339BE"/>
    <w:rsid w:val="3FD4479F"/>
    <w:rsid w:val="3FD46278"/>
    <w:rsid w:val="3FDD1AF8"/>
    <w:rsid w:val="3FE97E29"/>
    <w:rsid w:val="3FEE6A4A"/>
    <w:rsid w:val="3FEF631E"/>
    <w:rsid w:val="3FF14D7A"/>
    <w:rsid w:val="3FF15BB1"/>
    <w:rsid w:val="3FFA719D"/>
    <w:rsid w:val="3FFE3A57"/>
    <w:rsid w:val="3FFF2A05"/>
    <w:rsid w:val="40023792"/>
    <w:rsid w:val="400463C0"/>
    <w:rsid w:val="40055B41"/>
    <w:rsid w:val="4005697D"/>
    <w:rsid w:val="40071FA4"/>
    <w:rsid w:val="400B7282"/>
    <w:rsid w:val="400C6ED0"/>
    <w:rsid w:val="400F00E4"/>
    <w:rsid w:val="401140E0"/>
    <w:rsid w:val="401339A8"/>
    <w:rsid w:val="401475CB"/>
    <w:rsid w:val="40161AFD"/>
    <w:rsid w:val="40174A94"/>
    <w:rsid w:val="401900D2"/>
    <w:rsid w:val="40257038"/>
    <w:rsid w:val="40277AA5"/>
    <w:rsid w:val="40311531"/>
    <w:rsid w:val="40330C7D"/>
    <w:rsid w:val="4042147E"/>
    <w:rsid w:val="40474258"/>
    <w:rsid w:val="40503608"/>
    <w:rsid w:val="40532980"/>
    <w:rsid w:val="4053524B"/>
    <w:rsid w:val="40572235"/>
    <w:rsid w:val="4057639D"/>
    <w:rsid w:val="40587496"/>
    <w:rsid w:val="405A40DF"/>
    <w:rsid w:val="405C4DB5"/>
    <w:rsid w:val="40636C5D"/>
    <w:rsid w:val="406656F2"/>
    <w:rsid w:val="40666845"/>
    <w:rsid w:val="40672358"/>
    <w:rsid w:val="406829AA"/>
    <w:rsid w:val="406A5548"/>
    <w:rsid w:val="406C1BB3"/>
    <w:rsid w:val="406D3E12"/>
    <w:rsid w:val="406E0C4B"/>
    <w:rsid w:val="40737539"/>
    <w:rsid w:val="40737BAD"/>
    <w:rsid w:val="40762BF2"/>
    <w:rsid w:val="40770371"/>
    <w:rsid w:val="407716B1"/>
    <w:rsid w:val="407D77AD"/>
    <w:rsid w:val="40804E2F"/>
    <w:rsid w:val="4081166C"/>
    <w:rsid w:val="40830F72"/>
    <w:rsid w:val="408353E4"/>
    <w:rsid w:val="4085273F"/>
    <w:rsid w:val="40866CAC"/>
    <w:rsid w:val="40881B77"/>
    <w:rsid w:val="408E5B37"/>
    <w:rsid w:val="408F1632"/>
    <w:rsid w:val="40904852"/>
    <w:rsid w:val="409D53A7"/>
    <w:rsid w:val="40A07DEE"/>
    <w:rsid w:val="40AB09B9"/>
    <w:rsid w:val="40B04BE3"/>
    <w:rsid w:val="40B136BD"/>
    <w:rsid w:val="40B2262E"/>
    <w:rsid w:val="40B27A77"/>
    <w:rsid w:val="40B958E6"/>
    <w:rsid w:val="40BC4452"/>
    <w:rsid w:val="40BF109B"/>
    <w:rsid w:val="40C3789A"/>
    <w:rsid w:val="40C6523B"/>
    <w:rsid w:val="40C726AB"/>
    <w:rsid w:val="40C9061E"/>
    <w:rsid w:val="40C965EB"/>
    <w:rsid w:val="40CB0B39"/>
    <w:rsid w:val="40CB718C"/>
    <w:rsid w:val="40D1575F"/>
    <w:rsid w:val="40D21EC7"/>
    <w:rsid w:val="40D40599"/>
    <w:rsid w:val="40D77F71"/>
    <w:rsid w:val="40D83BBD"/>
    <w:rsid w:val="40D93256"/>
    <w:rsid w:val="40DE32F2"/>
    <w:rsid w:val="40DF464B"/>
    <w:rsid w:val="40E10761"/>
    <w:rsid w:val="40E25782"/>
    <w:rsid w:val="40E42F15"/>
    <w:rsid w:val="40E67721"/>
    <w:rsid w:val="40E9585F"/>
    <w:rsid w:val="40EA536D"/>
    <w:rsid w:val="40EF0922"/>
    <w:rsid w:val="40F167F2"/>
    <w:rsid w:val="40F327A9"/>
    <w:rsid w:val="40F40F69"/>
    <w:rsid w:val="40F7192E"/>
    <w:rsid w:val="40F77B80"/>
    <w:rsid w:val="40F837CB"/>
    <w:rsid w:val="40FF282A"/>
    <w:rsid w:val="410033A5"/>
    <w:rsid w:val="41040386"/>
    <w:rsid w:val="410F4ECA"/>
    <w:rsid w:val="41110554"/>
    <w:rsid w:val="41191839"/>
    <w:rsid w:val="41192347"/>
    <w:rsid w:val="411C4443"/>
    <w:rsid w:val="411E368B"/>
    <w:rsid w:val="411E371C"/>
    <w:rsid w:val="411E510D"/>
    <w:rsid w:val="412036B4"/>
    <w:rsid w:val="412148EC"/>
    <w:rsid w:val="412228A6"/>
    <w:rsid w:val="41230BD9"/>
    <w:rsid w:val="41262F83"/>
    <w:rsid w:val="41263C00"/>
    <w:rsid w:val="412B6E27"/>
    <w:rsid w:val="412C267E"/>
    <w:rsid w:val="412C3FE3"/>
    <w:rsid w:val="412C7BB0"/>
    <w:rsid w:val="412E1EDF"/>
    <w:rsid w:val="41322466"/>
    <w:rsid w:val="41331F90"/>
    <w:rsid w:val="413503F1"/>
    <w:rsid w:val="413571E4"/>
    <w:rsid w:val="41362CB7"/>
    <w:rsid w:val="41367F97"/>
    <w:rsid w:val="413B5CBF"/>
    <w:rsid w:val="413C37E5"/>
    <w:rsid w:val="413E38DA"/>
    <w:rsid w:val="4141103A"/>
    <w:rsid w:val="414150EA"/>
    <w:rsid w:val="4143258B"/>
    <w:rsid w:val="41451DEF"/>
    <w:rsid w:val="415450E0"/>
    <w:rsid w:val="415508D2"/>
    <w:rsid w:val="415C4886"/>
    <w:rsid w:val="415E6517"/>
    <w:rsid w:val="41654BBD"/>
    <w:rsid w:val="416741F2"/>
    <w:rsid w:val="41697A7D"/>
    <w:rsid w:val="416A0352"/>
    <w:rsid w:val="416B1338"/>
    <w:rsid w:val="416B4C00"/>
    <w:rsid w:val="417101F4"/>
    <w:rsid w:val="41764ED9"/>
    <w:rsid w:val="417753C0"/>
    <w:rsid w:val="417A16E8"/>
    <w:rsid w:val="417B1F29"/>
    <w:rsid w:val="417B430D"/>
    <w:rsid w:val="417E5822"/>
    <w:rsid w:val="4180784A"/>
    <w:rsid w:val="4182744A"/>
    <w:rsid w:val="41833AD0"/>
    <w:rsid w:val="41850CE8"/>
    <w:rsid w:val="41855566"/>
    <w:rsid w:val="41864379"/>
    <w:rsid w:val="41877134"/>
    <w:rsid w:val="41891FCA"/>
    <w:rsid w:val="418B23A1"/>
    <w:rsid w:val="418C5E88"/>
    <w:rsid w:val="4196657E"/>
    <w:rsid w:val="419A5929"/>
    <w:rsid w:val="419E3418"/>
    <w:rsid w:val="41A2189A"/>
    <w:rsid w:val="41A333B0"/>
    <w:rsid w:val="41A44B2E"/>
    <w:rsid w:val="41A53C6E"/>
    <w:rsid w:val="41A62044"/>
    <w:rsid w:val="41AC406D"/>
    <w:rsid w:val="41AF79C1"/>
    <w:rsid w:val="41BB0BAE"/>
    <w:rsid w:val="41BC4809"/>
    <w:rsid w:val="41BE79DC"/>
    <w:rsid w:val="41BF5FC4"/>
    <w:rsid w:val="41C00111"/>
    <w:rsid w:val="41CB5D4C"/>
    <w:rsid w:val="41CD4238"/>
    <w:rsid w:val="41CD74DC"/>
    <w:rsid w:val="41D05C2D"/>
    <w:rsid w:val="41D53004"/>
    <w:rsid w:val="41DC5939"/>
    <w:rsid w:val="41DD6BA9"/>
    <w:rsid w:val="41EC4E67"/>
    <w:rsid w:val="41EE70DB"/>
    <w:rsid w:val="41F52311"/>
    <w:rsid w:val="41F67E38"/>
    <w:rsid w:val="42010FB6"/>
    <w:rsid w:val="42064FAA"/>
    <w:rsid w:val="42084D9B"/>
    <w:rsid w:val="420C4CF1"/>
    <w:rsid w:val="420C70D6"/>
    <w:rsid w:val="420D2534"/>
    <w:rsid w:val="421631D9"/>
    <w:rsid w:val="42187DAE"/>
    <w:rsid w:val="421D2065"/>
    <w:rsid w:val="421F303E"/>
    <w:rsid w:val="42210A61"/>
    <w:rsid w:val="422150B4"/>
    <w:rsid w:val="42292828"/>
    <w:rsid w:val="42336996"/>
    <w:rsid w:val="424156A2"/>
    <w:rsid w:val="424824FE"/>
    <w:rsid w:val="424D7BEB"/>
    <w:rsid w:val="424F0C45"/>
    <w:rsid w:val="425A30A9"/>
    <w:rsid w:val="425F6ABD"/>
    <w:rsid w:val="42664196"/>
    <w:rsid w:val="426D36EC"/>
    <w:rsid w:val="427174BE"/>
    <w:rsid w:val="427B27A6"/>
    <w:rsid w:val="427E5208"/>
    <w:rsid w:val="42815953"/>
    <w:rsid w:val="428D143C"/>
    <w:rsid w:val="428E1F93"/>
    <w:rsid w:val="42925119"/>
    <w:rsid w:val="429338D8"/>
    <w:rsid w:val="42953BE5"/>
    <w:rsid w:val="429A5019"/>
    <w:rsid w:val="429C55F8"/>
    <w:rsid w:val="429C68F8"/>
    <w:rsid w:val="429F5DD9"/>
    <w:rsid w:val="42A1193C"/>
    <w:rsid w:val="42A63910"/>
    <w:rsid w:val="42AA4742"/>
    <w:rsid w:val="42AF23F1"/>
    <w:rsid w:val="42B34A32"/>
    <w:rsid w:val="42B45D29"/>
    <w:rsid w:val="42BD1F9A"/>
    <w:rsid w:val="42C23429"/>
    <w:rsid w:val="42C51D22"/>
    <w:rsid w:val="42D00689"/>
    <w:rsid w:val="42D12061"/>
    <w:rsid w:val="42D3521D"/>
    <w:rsid w:val="42D43182"/>
    <w:rsid w:val="42D82D68"/>
    <w:rsid w:val="42DA7688"/>
    <w:rsid w:val="42DC6E37"/>
    <w:rsid w:val="42DE5F31"/>
    <w:rsid w:val="42DF670B"/>
    <w:rsid w:val="42E44134"/>
    <w:rsid w:val="42E472FB"/>
    <w:rsid w:val="42E77532"/>
    <w:rsid w:val="42EA174A"/>
    <w:rsid w:val="42EB2CC6"/>
    <w:rsid w:val="42ED32FA"/>
    <w:rsid w:val="42F038C8"/>
    <w:rsid w:val="42F42EB4"/>
    <w:rsid w:val="42FB66F9"/>
    <w:rsid w:val="430431E7"/>
    <w:rsid w:val="430A303A"/>
    <w:rsid w:val="430F6213"/>
    <w:rsid w:val="43182148"/>
    <w:rsid w:val="43183F07"/>
    <w:rsid w:val="43184AB7"/>
    <w:rsid w:val="431E220B"/>
    <w:rsid w:val="43234D21"/>
    <w:rsid w:val="432C4D74"/>
    <w:rsid w:val="432C6C16"/>
    <w:rsid w:val="432D7889"/>
    <w:rsid w:val="432E2189"/>
    <w:rsid w:val="433030A7"/>
    <w:rsid w:val="43346E69"/>
    <w:rsid w:val="43364990"/>
    <w:rsid w:val="43395FAC"/>
    <w:rsid w:val="433C129E"/>
    <w:rsid w:val="434307E0"/>
    <w:rsid w:val="43447542"/>
    <w:rsid w:val="434762C9"/>
    <w:rsid w:val="434E3D6D"/>
    <w:rsid w:val="434F3081"/>
    <w:rsid w:val="43516F22"/>
    <w:rsid w:val="4356187D"/>
    <w:rsid w:val="4363365F"/>
    <w:rsid w:val="43670FED"/>
    <w:rsid w:val="43682F8A"/>
    <w:rsid w:val="436A288B"/>
    <w:rsid w:val="436B215F"/>
    <w:rsid w:val="436D486C"/>
    <w:rsid w:val="43774A71"/>
    <w:rsid w:val="437B1086"/>
    <w:rsid w:val="437E6337"/>
    <w:rsid w:val="43812A42"/>
    <w:rsid w:val="43815D42"/>
    <w:rsid w:val="43837717"/>
    <w:rsid w:val="438A0837"/>
    <w:rsid w:val="438A76AD"/>
    <w:rsid w:val="438C2802"/>
    <w:rsid w:val="438D2DA7"/>
    <w:rsid w:val="438F3163"/>
    <w:rsid w:val="439310F4"/>
    <w:rsid w:val="439907DA"/>
    <w:rsid w:val="439A219C"/>
    <w:rsid w:val="439A35B0"/>
    <w:rsid w:val="43A473B1"/>
    <w:rsid w:val="43B137F1"/>
    <w:rsid w:val="43B55E1A"/>
    <w:rsid w:val="43B70073"/>
    <w:rsid w:val="43B752BD"/>
    <w:rsid w:val="43B77CD5"/>
    <w:rsid w:val="43C3375F"/>
    <w:rsid w:val="43C45040"/>
    <w:rsid w:val="43C86526"/>
    <w:rsid w:val="43D15B38"/>
    <w:rsid w:val="43D2029A"/>
    <w:rsid w:val="43D41FB7"/>
    <w:rsid w:val="43D85A47"/>
    <w:rsid w:val="43DC6892"/>
    <w:rsid w:val="43DE376D"/>
    <w:rsid w:val="43E32606"/>
    <w:rsid w:val="43E85325"/>
    <w:rsid w:val="43EA3A0F"/>
    <w:rsid w:val="43EB71CB"/>
    <w:rsid w:val="43EC3073"/>
    <w:rsid w:val="43ED3409"/>
    <w:rsid w:val="43F01B48"/>
    <w:rsid w:val="43F35215"/>
    <w:rsid w:val="43FF145A"/>
    <w:rsid w:val="440402FE"/>
    <w:rsid w:val="440414D3"/>
    <w:rsid w:val="44050C56"/>
    <w:rsid w:val="44073EA6"/>
    <w:rsid w:val="440B5E1C"/>
    <w:rsid w:val="440D44E0"/>
    <w:rsid w:val="441050AE"/>
    <w:rsid w:val="441076DA"/>
    <w:rsid w:val="44113418"/>
    <w:rsid w:val="441D331E"/>
    <w:rsid w:val="44221742"/>
    <w:rsid w:val="442B0781"/>
    <w:rsid w:val="442B3DE5"/>
    <w:rsid w:val="442D7791"/>
    <w:rsid w:val="44353B31"/>
    <w:rsid w:val="443609BF"/>
    <w:rsid w:val="44364549"/>
    <w:rsid w:val="443A602E"/>
    <w:rsid w:val="443C7A5A"/>
    <w:rsid w:val="443E6D39"/>
    <w:rsid w:val="44413DD0"/>
    <w:rsid w:val="444C00E9"/>
    <w:rsid w:val="444D2DCC"/>
    <w:rsid w:val="44513BE9"/>
    <w:rsid w:val="44550E45"/>
    <w:rsid w:val="44564647"/>
    <w:rsid w:val="44565D50"/>
    <w:rsid w:val="446077EA"/>
    <w:rsid w:val="44615A3C"/>
    <w:rsid w:val="446363CE"/>
    <w:rsid w:val="4464712D"/>
    <w:rsid w:val="4467501D"/>
    <w:rsid w:val="446E2F4E"/>
    <w:rsid w:val="44740A0A"/>
    <w:rsid w:val="44755071"/>
    <w:rsid w:val="447A7159"/>
    <w:rsid w:val="4482101A"/>
    <w:rsid w:val="44874717"/>
    <w:rsid w:val="448C6035"/>
    <w:rsid w:val="4498514E"/>
    <w:rsid w:val="449B7626"/>
    <w:rsid w:val="44A457BE"/>
    <w:rsid w:val="44A55FA4"/>
    <w:rsid w:val="44A678F3"/>
    <w:rsid w:val="44AA53EF"/>
    <w:rsid w:val="44AC2A30"/>
    <w:rsid w:val="44B12ADE"/>
    <w:rsid w:val="44B34104"/>
    <w:rsid w:val="44B4392F"/>
    <w:rsid w:val="44BC70D1"/>
    <w:rsid w:val="44BE3F88"/>
    <w:rsid w:val="44C47D79"/>
    <w:rsid w:val="44C56C7E"/>
    <w:rsid w:val="44CF25EC"/>
    <w:rsid w:val="44D6004C"/>
    <w:rsid w:val="44D716AE"/>
    <w:rsid w:val="44D97CC8"/>
    <w:rsid w:val="44DF1996"/>
    <w:rsid w:val="44DF4466"/>
    <w:rsid w:val="44E222C8"/>
    <w:rsid w:val="44E623E5"/>
    <w:rsid w:val="44EB54E1"/>
    <w:rsid w:val="44EC44AD"/>
    <w:rsid w:val="44EE26BB"/>
    <w:rsid w:val="44EE2DF8"/>
    <w:rsid w:val="44F12976"/>
    <w:rsid w:val="44F50EC9"/>
    <w:rsid w:val="44FA7C3F"/>
    <w:rsid w:val="45014BED"/>
    <w:rsid w:val="45043707"/>
    <w:rsid w:val="45081431"/>
    <w:rsid w:val="450D7972"/>
    <w:rsid w:val="451231DA"/>
    <w:rsid w:val="45196317"/>
    <w:rsid w:val="451E638F"/>
    <w:rsid w:val="451F1453"/>
    <w:rsid w:val="45231DDC"/>
    <w:rsid w:val="45240818"/>
    <w:rsid w:val="45280575"/>
    <w:rsid w:val="452830FD"/>
    <w:rsid w:val="4528655A"/>
    <w:rsid w:val="452B5C72"/>
    <w:rsid w:val="452D625A"/>
    <w:rsid w:val="452F78E8"/>
    <w:rsid w:val="453341E6"/>
    <w:rsid w:val="453A7620"/>
    <w:rsid w:val="4545710C"/>
    <w:rsid w:val="454757AC"/>
    <w:rsid w:val="454809AA"/>
    <w:rsid w:val="454D1229"/>
    <w:rsid w:val="454E0AA9"/>
    <w:rsid w:val="45611A6C"/>
    <w:rsid w:val="45633A36"/>
    <w:rsid w:val="45682157"/>
    <w:rsid w:val="456D7F3F"/>
    <w:rsid w:val="4575462C"/>
    <w:rsid w:val="45762D24"/>
    <w:rsid w:val="45780A10"/>
    <w:rsid w:val="45791032"/>
    <w:rsid w:val="457A49E8"/>
    <w:rsid w:val="457B0A96"/>
    <w:rsid w:val="457D4CB1"/>
    <w:rsid w:val="458225F2"/>
    <w:rsid w:val="45860AC4"/>
    <w:rsid w:val="45873AFD"/>
    <w:rsid w:val="458931A3"/>
    <w:rsid w:val="45895163"/>
    <w:rsid w:val="45896BFF"/>
    <w:rsid w:val="458E2137"/>
    <w:rsid w:val="45936A17"/>
    <w:rsid w:val="45961716"/>
    <w:rsid w:val="45963843"/>
    <w:rsid w:val="459F4D9E"/>
    <w:rsid w:val="45A01A28"/>
    <w:rsid w:val="45A2455E"/>
    <w:rsid w:val="45A74804"/>
    <w:rsid w:val="45AC1C38"/>
    <w:rsid w:val="45B15D5A"/>
    <w:rsid w:val="45B20519"/>
    <w:rsid w:val="45B64BBF"/>
    <w:rsid w:val="45BC49E6"/>
    <w:rsid w:val="45BE0C7D"/>
    <w:rsid w:val="45BE2A1A"/>
    <w:rsid w:val="45BE2CC6"/>
    <w:rsid w:val="45C04B19"/>
    <w:rsid w:val="45C2730E"/>
    <w:rsid w:val="45C436B6"/>
    <w:rsid w:val="45C8527B"/>
    <w:rsid w:val="45CD3E16"/>
    <w:rsid w:val="45D14F79"/>
    <w:rsid w:val="45D41C7B"/>
    <w:rsid w:val="45D508A9"/>
    <w:rsid w:val="45D954B9"/>
    <w:rsid w:val="45DF41C7"/>
    <w:rsid w:val="45E00BEC"/>
    <w:rsid w:val="45E22163"/>
    <w:rsid w:val="45E57191"/>
    <w:rsid w:val="45E77104"/>
    <w:rsid w:val="45E829A9"/>
    <w:rsid w:val="45E85CE9"/>
    <w:rsid w:val="45ED0CA9"/>
    <w:rsid w:val="45EF78C1"/>
    <w:rsid w:val="45F440B0"/>
    <w:rsid w:val="45F52FD7"/>
    <w:rsid w:val="45F92AA4"/>
    <w:rsid w:val="45F945A1"/>
    <w:rsid w:val="45FA7333"/>
    <w:rsid w:val="45FD79E7"/>
    <w:rsid w:val="4602662A"/>
    <w:rsid w:val="46027484"/>
    <w:rsid w:val="460400D2"/>
    <w:rsid w:val="4605515C"/>
    <w:rsid w:val="4609638B"/>
    <w:rsid w:val="460C36F5"/>
    <w:rsid w:val="460E5F42"/>
    <w:rsid w:val="46144D30"/>
    <w:rsid w:val="461A7267"/>
    <w:rsid w:val="461B3652"/>
    <w:rsid w:val="46241190"/>
    <w:rsid w:val="46246B5D"/>
    <w:rsid w:val="4628514D"/>
    <w:rsid w:val="4629149B"/>
    <w:rsid w:val="46297E87"/>
    <w:rsid w:val="462E63EC"/>
    <w:rsid w:val="46321FD1"/>
    <w:rsid w:val="463246A7"/>
    <w:rsid w:val="4634573B"/>
    <w:rsid w:val="46386C71"/>
    <w:rsid w:val="463C0739"/>
    <w:rsid w:val="463C28F6"/>
    <w:rsid w:val="46410708"/>
    <w:rsid w:val="46481A27"/>
    <w:rsid w:val="46496788"/>
    <w:rsid w:val="464B6595"/>
    <w:rsid w:val="46517D32"/>
    <w:rsid w:val="465515D1"/>
    <w:rsid w:val="46597D36"/>
    <w:rsid w:val="465A7058"/>
    <w:rsid w:val="465B22EB"/>
    <w:rsid w:val="465D5923"/>
    <w:rsid w:val="4663728A"/>
    <w:rsid w:val="466438BC"/>
    <w:rsid w:val="4664607E"/>
    <w:rsid w:val="466A3D31"/>
    <w:rsid w:val="466C5A70"/>
    <w:rsid w:val="46715DE4"/>
    <w:rsid w:val="46780C54"/>
    <w:rsid w:val="467B090B"/>
    <w:rsid w:val="467B2DA9"/>
    <w:rsid w:val="4680478A"/>
    <w:rsid w:val="468330A4"/>
    <w:rsid w:val="468F2BBE"/>
    <w:rsid w:val="468F3D24"/>
    <w:rsid w:val="46916381"/>
    <w:rsid w:val="469305D9"/>
    <w:rsid w:val="469432BB"/>
    <w:rsid w:val="469449DB"/>
    <w:rsid w:val="469579AE"/>
    <w:rsid w:val="469A353E"/>
    <w:rsid w:val="469A5235"/>
    <w:rsid w:val="46A6383F"/>
    <w:rsid w:val="46A71175"/>
    <w:rsid w:val="46A7286E"/>
    <w:rsid w:val="46AA4A90"/>
    <w:rsid w:val="46AB7C9B"/>
    <w:rsid w:val="46AC31BB"/>
    <w:rsid w:val="46AF229A"/>
    <w:rsid w:val="46B27BA8"/>
    <w:rsid w:val="46B97F31"/>
    <w:rsid w:val="46BA3E1B"/>
    <w:rsid w:val="46BC1650"/>
    <w:rsid w:val="46BE62D0"/>
    <w:rsid w:val="46C00F13"/>
    <w:rsid w:val="46C636A1"/>
    <w:rsid w:val="46D254D3"/>
    <w:rsid w:val="46D3494A"/>
    <w:rsid w:val="46D5626E"/>
    <w:rsid w:val="46D87B1B"/>
    <w:rsid w:val="46D93BAB"/>
    <w:rsid w:val="46DA1C87"/>
    <w:rsid w:val="46DA1D85"/>
    <w:rsid w:val="46DE67C6"/>
    <w:rsid w:val="46DF6445"/>
    <w:rsid w:val="46E20A8C"/>
    <w:rsid w:val="46E25E07"/>
    <w:rsid w:val="46E44703"/>
    <w:rsid w:val="46EA1CF1"/>
    <w:rsid w:val="46EA51C7"/>
    <w:rsid w:val="46EE01A9"/>
    <w:rsid w:val="46EE37D3"/>
    <w:rsid w:val="46EF648C"/>
    <w:rsid w:val="46F25071"/>
    <w:rsid w:val="46F57BAA"/>
    <w:rsid w:val="46F81A26"/>
    <w:rsid w:val="47015A36"/>
    <w:rsid w:val="47017EC7"/>
    <w:rsid w:val="4703326F"/>
    <w:rsid w:val="47046B53"/>
    <w:rsid w:val="47151C87"/>
    <w:rsid w:val="47154D92"/>
    <w:rsid w:val="47185891"/>
    <w:rsid w:val="471C0D9D"/>
    <w:rsid w:val="471F4D62"/>
    <w:rsid w:val="47262F6D"/>
    <w:rsid w:val="47276E9D"/>
    <w:rsid w:val="472A7B8E"/>
    <w:rsid w:val="47313728"/>
    <w:rsid w:val="47385F24"/>
    <w:rsid w:val="473F27F4"/>
    <w:rsid w:val="47400988"/>
    <w:rsid w:val="47462CC7"/>
    <w:rsid w:val="474641C2"/>
    <w:rsid w:val="47490D60"/>
    <w:rsid w:val="474D60BF"/>
    <w:rsid w:val="474F4272"/>
    <w:rsid w:val="47530E78"/>
    <w:rsid w:val="475A7F84"/>
    <w:rsid w:val="47637F75"/>
    <w:rsid w:val="476A048C"/>
    <w:rsid w:val="477518CE"/>
    <w:rsid w:val="477534BF"/>
    <w:rsid w:val="477C3513"/>
    <w:rsid w:val="47811C1D"/>
    <w:rsid w:val="47817AA9"/>
    <w:rsid w:val="47837FE9"/>
    <w:rsid w:val="478A435A"/>
    <w:rsid w:val="478C28EC"/>
    <w:rsid w:val="47901DF8"/>
    <w:rsid w:val="479954ED"/>
    <w:rsid w:val="479B2A1A"/>
    <w:rsid w:val="47A0027A"/>
    <w:rsid w:val="47A00548"/>
    <w:rsid w:val="47A1713F"/>
    <w:rsid w:val="47A345BE"/>
    <w:rsid w:val="47AA383E"/>
    <w:rsid w:val="47AA5866"/>
    <w:rsid w:val="47AB46E6"/>
    <w:rsid w:val="47AD1557"/>
    <w:rsid w:val="47AE3786"/>
    <w:rsid w:val="47B032B4"/>
    <w:rsid w:val="47B340E0"/>
    <w:rsid w:val="47B6738E"/>
    <w:rsid w:val="47B70069"/>
    <w:rsid w:val="47BB4B0D"/>
    <w:rsid w:val="47C159A5"/>
    <w:rsid w:val="47C405CF"/>
    <w:rsid w:val="47C40C0C"/>
    <w:rsid w:val="47C66920"/>
    <w:rsid w:val="47E210AF"/>
    <w:rsid w:val="47E620F5"/>
    <w:rsid w:val="47EF15B1"/>
    <w:rsid w:val="47F02BF2"/>
    <w:rsid w:val="47F8698B"/>
    <w:rsid w:val="47FB1D04"/>
    <w:rsid w:val="47FB78D6"/>
    <w:rsid w:val="47FC5A7C"/>
    <w:rsid w:val="47FD2F18"/>
    <w:rsid w:val="47FD6861"/>
    <w:rsid w:val="48000D2C"/>
    <w:rsid w:val="48027536"/>
    <w:rsid w:val="480647F8"/>
    <w:rsid w:val="480908C5"/>
    <w:rsid w:val="480A54CF"/>
    <w:rsid w:val="480F52B3"/>
    <w:rsid w:val="48101921"/>
    <w:rsid w:val="48113C5F"/>
    <w:rsid w:val="481202C1"/>
    <w:rsid w:val="481D74E5"/>
    <w:rsid w:val="481E3C44"/>
    <w:rsid w:val="481E4F29"/>
    <w:rsid w:val="48217291"/>
    <w:rsid w:val="482A0030"/>
    <w:rsid w:val="482C0320"/>
    <w:rsid w:val="4833374F"/>
    <w:rsid w:val="48373809"/>
    <w:rsid w:val="483754F4"/>
    <w:rsid w:val="483A5C59"/>
    <w:rsid w:val="483B7C2D"/>
    <w:rsid w:val="483E2C37"/>
    <w:rsid w:val="483F494B"/>
    <w:rsid w:val="484216E1"/>
    <w:rsid w:val="4847602A"/>
    <w:rsid w:val="484C65AB"/>
    <w:rsid w:val="48517B76"/>
    <w:rsid w:val="485B251F"/>
    <w:rsid w:val="485E70F9"/>
    <w:rsid w:val="486008E2"/>
    <w:rsid w:val="48617710"/>
    <w:rsid w:val="486353A8"/>
    <w:rsid w:val="48640B1B"/>
    <w:rsid w:val="48667DE2"/>
    <w:rsid w:val="486B5EC2"/>
    <w:rsid w:val="48704C59"/>
    <w:rsid w:val="48711144"/>
    <w:rsid w:val="487E495D"/>
    <w:rsid w:val="487E7BC4"/>
    <w:rsid w:val="487F2D0F"/>
    <w:rsid w:val="48802209"/>
    <w:rsid w:val="488025C4"/>
    <w:rsid w:val="488241D3"/>
    <w:rsid w:val="48843B40"/>
    <w:rsid w:val="48877A3B"/>
    <w:rsid w:val="488937B4"/>
    <w:rsid w:val="488D6B56"/>
    <w:rsid w:val="488F7726"/>
    <w:rsid w:val="48921B9F"/>
    <w:rsid w:val="48931824"/>
    <w:rsid w:val="489B7043"/>
    <w:rsid w:val="489E6691"/>
    <w:rsid w:val="48AA285D"/>
    <w:rsid w:val="48AB097B"/>
    <w:rsid w:val="48AE7527"/>
    <w:rsid w:val="48B25951"/>
    <w:rsid w:val="48B30830"/>
    <w:rsid w:val="48B36B69"/>
    <w:rsid w:val="48B37652"/>
    <w:rsid w:val="48B46C75"/>
    <w:rsid w:val="48B53007"/>
    <w:rsid w:val="48B545A9"/>
    <w:rsid w:val="48BE3F72"/>
    <w:rsid w:val="48BE7347"/>
    <w:rsid w:val="48C34413"/>
    <w:rsid w:val="48C345CB"/>
    <w:rsid w:val="48C5445A"/>
    <w:rsid w:val="48C57852"/>
    <w:rsid w:val="48CD1AF9"/>
    <w:rsid w:val="48CD4800"/>
    <w:rsid w:val="48D367DD"/>
    <w:rsid w:val="48D42D7A"/>
    <w:rsid w:val="48D84509"/>
    <w:rsid w:val="48D950E2"/>
    <w:rsid w:val="48DB5FC5"/>
    <w:rsid w:val="48DE6E15"/>
    <w:rsid w:val="48E7246E"/>
    <w:rsid w:val="48EE7211"/>
    <w:rsid w:val="48F13D40"/>
    <w:rsid w:val="48F14EB5"/>
    <w:rsid w:val="48F350D1"/>
    <w:rsid w:val="48F44226"/>
    <w:rsid w:val="48F525A6"/>
    <w:rsid w:val="48F777FC"/>
    <w:rsid w:val="48FA3FD9"/>
    <w:rsid w:val="49024AB4"/>
    <w:rsid w:val="49076CCA"/>
    <w:rsid w:val="490E1F0B"/>
    <w:rsid w:val="490E4199"/>
    <w:rsid w:val="491267DE"/>
    <w:rsid w:val="49127B82"/>
    <w:rsid w:val="49185F82"/>
    <w:rsid w:val="491A08B0"/>
    <w:rsid w:val="491A6D15"/>
    <w:rsid w:val="492479BF"/>
    <w:rsid w:val="492E435B"/>
    <w:rsid w:val="492F13F5"/>
    <w:rsid w:val="493279A7"/>
    <w:rsid w:val="4935154C"/>
    <w:rsid w:val="49393C36"/>
    <w:rsid w:val="49396B78"/>
    <w:rsid w:val="493B5ECA"/>
    <w:rsid w:val="493C6617"/>
    <w:rsid w:val="49417BEA"/>
    <w:rsid w:val="49420415"/>
    <w:rsid w:val="49423962"/>
    <w:rsid w:val="49444B80"/>
    <w:rsid w:val="49451B8D"/>
    <w:rsid w:val="49492093"/>
    <w:rsid w:val="494B3260"/>
    <w:rsid w:val="494D32AE"/>
    <w:rsid w:val="494F32AE"/>
    <w:rsid w:val="49557B3A"/>
    <w:rsid w:val="49587FAC"/>
    <w:rsid w:val="495D2B24"/>
    <w:rsid w:val="4960311D"/>
    <w:rsid w:val="4962513A"/>
    <w:rsid w:val="49632135"/>
    <w:rsid w:val="49634005"/>
    <w:rsid w:val="4965085A"/>
    <w:rsid w:val="496679E4"/>
    <w:rsid w:val="49670A46"/>
    <w:rsid w:val="496718B1"/>
    <w:rsid w:val="496A3BAE"/>
    <w:rsid w:val="496B2EB9"/>
    <w:rsid w:val="496E289C"/>
    <w:rsid w:val="497253B6"/>
    <w:rsid w:val="497A1DE3"/>
    <w:rsid w:val="497C2BB7"/>
    <w:rsid w:val="497D0CC5"/>
    <w:rsid w:val="497D34BD"/>
    <w:rsid w:val="497E00F0"/>
    <w:rsid w:val="497E2BEC"/>
    <w:rsid w:val="49800200"/>
    <w:rsid w:val="4983205C"/>
    <w:rsid w:val="498367BD"/>
    <w:rsid w:val="498625E2"/>
    <w:rsid w:val="498C34CA"/>
    <w:rsid w:val="498E6664"/>
    <w:rsid w:val="49906739"/>
    <w:rsid w:val="49944B7F"/>
    <w:rsid w:val="499837EA"/>
    <w:rsid w:val="49993BE7"/>
    <w:rsid w:val="49995921"/>
    <w:rsid w:val="499B3AA4"/>
    <w:rsid w:val="499C384F"/>
    <w:rsid w:val="499D36B8"/>
    <w:rsid w:val="49A2124A"/>
    <w:rsid w:val="49AA406D"/>
    <w:rsid w:val="49B32E4B"/>
    <w:rsid w:val="49B56822"/>
    <w:rsid w:val="49BA2950"/>
    <w:rsid w:val="49BC03A9"/>
    <w:rsid w:val="49BD2922"/>
    <w:rsid w:val="49C837DD"/>
    <w:rsid w:val="49C94C41"/>
    <w:rsid w:val="49D13CB3"/>
    <w:rsid w:val="49D21D76"/>
    <w:rsid w:val="49D24B3B"/>
    <w:rsid w:val="49D631E4"/>
    <w:rsid w:val="49DA5957"/>
    <w:rsid w:val="49DE40A0"/>
    <w:rsid w:val="49E16D7F"/>
    <w:rsid w:val="49E65B2D"/>
    <w:rsid w:val="49EA025B"/>
    <w:rsid w:val="49EA19E9"/>
    <w:rsid w:val="49EC7AF2"/>
    <w:rsid w:val="49EF7AD0"/>
    <w:rsid w:val="49F17862"/>
    <w:rsid w:val="4A057E6B"/>
    <w:rsid w:val="4A084BAC"/>
    <w:rsid w:val="4A0C7239"/>
    <w:rsid w:val="4A0D3F70"/>
    <w:rsid w:val="4A125B6F"/>
    <w:rsid w:val="4A15570C"/>
    <w:rsid w:val="4A24789F"/>
    <w:rsid w:val="4A2F3299"/>
    <w:rsid w:val="4A304E9B"/>
    <w:rsid w:val="4A306792"/>
    <w:rsid w:val="4A331C29"/>
    <w:rsid w:val="4A37055F"/>
    <w:rsid w:val="4A393240"/>
    <w:rsid w:val="4A3A091B"/>
    <w:rsid w:val="4A3D0547"/>
    <w:rsid w:val="4A3E05CE"/>
    <w:rsid w:val="4A3F6F8A"/>
    <w:rsid w:val="4A45195C"/>
    <w:rsid w:val="4A456CE5"/>
    <w:rsid w:val="4A4A6F42"/>
    <w:rsid w:val="4A4B0CD6"/>
    <w:rsid w:val="4A4E1756"/>
    <w:rsid w:val="4A5C2116"/>
    <w:rsid w:val="4A5C5003"/>
    <w:rsid w:val="4A5F10EC"/>
    <w:rsid w:val="4A610602"/>
    <w:rsid w:val="4A6936F3"/>
    <w:rsid w:val="4A6F4794"/>
    <w:rsid w:val="4A706C62"/>
    <w:rsid w:val="4A730277"/>
    <w:rsid w:val="4A772729"/>
    <w:rsid w:val="4A7C0352"/>
    <w:rsid w:val="4A830EBB"/>
    <w:rsid w:val="4A866D79"/>
    <w:rsid w:val="4A8B1C82"/>
    <w:rsid w:val="4A8D09FA"/>
    <w:rsid w:val="4A8E1084"/>
    <w:rsid w:val="4A9F2514"/>
    <w:rsid w:val="4AA10333"/>
    <w:rsid w:val="4AA11346"/>
    <w:rsid w:val="4AA40193"/>
    <w:rsid w:val="4AA61B49"/>
    <w:rsid w:val="4AA714A5"/>
    <w:rsid w:val="4AA876F9"/>
    <w:rsid w:val="4AAE1C24"/>
    <w:rsid w:val="4AAF6DD6"/>
    <w:rsid w:val="4AB03279"/>
    <w:rsid w:val="4AB0359F"/>
    <w:rsid w:val="4AB32F15"/>
    <w:rsid w:val="4AB44A80"/>
    <w:rsid w:val="4AB47DC3"/>
    <w:rsid w:val="4AB72D47"/>
    <w:rsid w:val="4AB851D9"/>
    <w:rsid w:val="4AB9336C"/>
    <w:rsid w:val="4ABB7196"/>
    <w:rsid w:val="4ABD3BF4"/>
    <w:rsid w:val="4AC35C67"/>
    <w:rsid w:val="4AC933AC"/>
    <w:rsid w:val="4ACC3E2B"/>
    <w:rsid w:val="4AD351BA"/>
    <w:rsid w:val="4AD360AF"/>
    <w:rsid w:val="4AE463E6"/>
    <w:rsid w:val="4AE517C0"/>
    <w:rsid w:val="4AE65050"/>
    <w:rsid w:val="4AE66C1F"/>
    <w:rsid w:val="4AE7672F"/>
    <w:rsid w:val="4AF368C0"/>
    <w:rsid w:val="4AF51888"/>
    <w:rsid w:val="4AF9336F"/>
    <w:rsid w:val="4AFB4426"/>
    <w:rsid w:val="4AFF5FAF"/>
    <w:rsid w:val="4B02784D"/>
    <w:rsid w:val="4B0866BA"/>
    <w:rsid w:val="4B105AC6"/>
    <w:rsid w:val="4B1534DA"/>
    <w:rsid w:val="4B190521"/>
    <w:rsid w:val="4B1A55E7"/>
    <w:rsid w:val="4B1C4185"/>
    <w:rsid w:val="4B1D3871"/>
    <w:rsid w:val="4B20215A"/>
    <w:rsid w:val="4B210446"/>
    <w:rsid w:val="4B223970"/>
    <w:rsid w:val="4B2245E4"/>
    <w:rsid w:val="4B2356EC"/>
    <w:rsid w:val="4B254F7C"/>
    <w:rsid w:val="4B29302C"/>
    <w:rsid w:val="4B2C1853"/>
    <w:rsid w:val="4B2E5B16"/>
    <w:rsid w:val="4B303628"/>
    <w:rsid w:val="4B315A3D"/>
    <w:rsid w:val="4B3245DC"/>
    <w:rsid w:val="4B35496F"/>
    <w:rsid w:val="4B3A0A45"/>
    <w:rsid w:val="4B3A3A7D"/>
    <w:rsid w:val="4B3D0885"/>
    <w:rsid w:val="4B3D22A2"/>
    <w:rsid w:val="4B3F63AB"/>
    <w:rsid w:val="4B43726F"/>
    <w:rsid w:val="4B4B1FAE"/>
    <w:rsid w:val="4B5323DA"/>
    <w:rsid w:val="4B575535"/>
    <w:rsid w:val="4B5B376D"/>
    <w:rsid w:val="4B5D4A84"/>
    <w:rsid w:val="4B62209A"/>
    <w:rsid w:val="4B631BE2"/>
    <w:rsid w:val="4B65000B"/>
    <w:rsid w:val="4B652275"/>
    <w:rsid w:val="4B6B6DB6"/>
    <w:rsid w:val="4B6D2173"/>
    <w:rsid w:val="4B6D651D"/>
    <w:rsid w:val="4B736055"/>
    <w:rsid w:val="4B74216C"/>
    <w:rsid w:val="4B7446A4"/>
    <w:rsid w:val="4B7B2B01"/>
    <w:rsid w:val="4B7F2C4C"/>
    <w:rsid w:val="4B822940"/>
    <w:rsid w:val="4B887BF1"/>
    <w:rsid w:val="4B8A461E"/>
    <w:rsid w:val="4B923FA5"/>
    <w:rsid w:val="4B991F60"/>
    <w:rsid w:val="4B9D3AAD"/>
    <w:rsid w:val="4B9D4CD4"/>
    <w:rsid w:val="4B9F509C"/>
    <w:rsid w:val="4BA17066"/>
    <w:rsid w:val="4BA31226"/>
    <w:rsid w:val="4BAB2A59"/>
    <w:rsid w:val="4BAB333E"/>
    <w:rsid w:val="4BAC0577"/>
    <w:rsid w:val="4BB01057"/>
    <w:rsid w:val="4BC0053D"/>
    <w:rsid w:val="4BC0573E"/>
    <w:rsid w:val="4BC15B0F"/>
    <w:rsid w:val="4BC418C4"/>
    <w:rsid w:val="4BC52D55"/>
    <w:rsid w:val="4BC60382"/>
    <w:rsid w:val="4BC8070F"/>
    <w:rsid w:val="4BCC108F"/>
    <w:rsid w:val="4BCC18E3"/>
    <w:rsid w:val="4BD56D10"/>
    <w:rsid w:val="4BDA4E4D"/>
    <w:rsid w:val="4BDD31FF"/>
    <w:rsid w:val="4BDE2880"/>
    <w:rsid w:val="4BDE55FE"/>
    <w:rsid w:val="4BE54122"/>
    <w:rsid w:val="4BE920E2"/>
    <w:rsid w:val="4BED014A"/>
    <w:rsid w:val="4BEE4E6A"/>
    <w:rsid w:val="4BF1565C"/>
    <w:rsid w:val="4BF207AC"/>
    <w:rsid w:val="4BF326CA"/>
    <w:rsid w:val="4BF67980"/>
    <w:rsid w:val="4BF833ED"/>
    <w:rsid w:val="4C00758B"/>
    <w:rsid w:val="4C03387D"/>
    <w:rsid w:val="4C070B90"/>
    <w:rsid w:val="4C0953B7"/>
    <w:rsid w:val="4C0A0767"/>
    <w:rsid w:val="4C0D531B"/>
    <w:rsid w:val="4C0D64AA"/>
    <w:rsid w:val="4C0D771F"/>
    <w:rsid w:val="4C143D01"/>
    <w:rsid w:val="4C144F36"/>
    <w:rsid w:val="4C171F88"/>
    <w:rsid w:val="4C1751F2"/>
    <w:rsid w:val="4C194E4E"/>
    <w:rsid w:val="4C1C1A4F"/>
    <w:rsid w:val="4C1D0685"/>
    <w:rsid w:val="4C1D6BC6"/>
    <w:rsid w:val="4C240293"/>
    <w:rsid w:val="4C2B3FC9"/>
    <w:rsid w:val="4C3153BB"/>
    <w:rsid w:val="4C332CF2"/>
    <w:rsid w:val="4C3365A1"/>
    <w:rsid w:val="4C365A00"/>
    <w:rsid w:val="4C371778"/>
    <w:rsid w:val="4C3A2451"/>
    <w:rsid w:val="4C3C118D"/>
    <w:rsid w:val="4C40213B"/>
    <w:rsid w:val="4C441DAB"/>
    <w:rsid w:val="4C4617EA"/>
    <w:rsid w:val="4C4822A5"/>
    <w:rsid w:val="4C494BD9"/>
    <w:rsid w:val="4C4C15AE"/>
    <w:rsid w:val="4C5121C0"/>
    <w:rsid w:val="4C5276A7"/>
    <w:rsid w:val="4C5916EF"/>
    <w:rsid w:val="4C5A01C6"/>
    <w:rsid w:val="4C5C5DC3"/>
    <w:rsid w:val="4C6267F5"/>
    <w:rsid w:val="4C630B4D"/>
    <w:rsid w:val="4C6563BC"/>
    <w:rsid w:val="4C6A7A74"/>
    <w:rsid w:val="4C6D519A"/>
    <w:rsid w:val="4C6E3986"/>
    <w:rsid w:val="4C7753A9"/>
    <w:rsid w:val="4C79261D"/>
    <w:rsid w:val="4C883CC3"/>
    <w:rsid w:val="4C88589D"/>
    <w:rsid w:val="4C8A7D68"/>
    <w:rsid w:val="4C8E13D7"/>
    <w:rsid w:val="4C90757E"/>
    <w:rsid w:val="4C910D10"/>
    <w:rsid w:val="4C91594E"/>
    <w:rsid w:val="4C9411F9"/>
    <w:rsid w:val="4C944B27"/>
    <w:rsid w:val="4C9C1338"/>
    <w:rsid w:val="4C9C23B1"/>
    <w:rsid w:val="4C9C662B"/>
    <w:rsid w:val="4C9C7D19"/>
    <w:rsid w:val="4C9F2DAB"/>
    <w:rsid w:val="4CA85F4D"/>
    <w:rsid w:val="4CAA3CF8"/>
    <w:rsid w:val="4CAB3DA9"/>
    <w:rsid w:val="4CAD180A"/>
    <w:rsid w:val="4CB15D67"/>
    <w:rsid w:val="4CB167D1"/>
    <w:rsid w:val="4CB46925"/>
    <w:rsid w:val="4CBD3798"/>
    <w:rsid w:val="4CBD5192"/>
    <w:rsid w:val="4CBE64B5"/>
    <w:rsid w:val="4CC527A0"/>
    <w:rsid w:val="4CC60166"/>
    <w:rsid w:val="4CC748AA"/>
    <w:rsid w:val="4CCE00A6"/>
    <w:rsid w:val="4CD8404D"/>
    <w:rsid w:val="4CDB0356"/>
    <w:rsid w:val="4CDB7AA2"/>
    <w:rsid w:val="4CDD0EA3"/>
    <w:rsid w:val="4CDF4F47"/>
    <w:rsid w:val="4CE02417"/>
    <w:rsid w:val="4CE3590C"/>
    <w:rsid w:val="4CE43BE3"/>
    <w:rsid w:val="4CE627DD"/>
    <w:rsid w:val="4CE83301"/>
    <w:rsid w:val="4CF5766A"/>
    <w:rsid w:val="4CF74EEA"/>
    <w:rsid w:val="4CF8395D"/>
    <w:rsid w:val="4CF94388"/>
    <w:rsid w:val="4D0620C8"/>
    <w:rsid w:val="4D0620EB"/>
    <w:rsid w:val="4D087102"/>
    <w:rsid w:val="4D090A1F"/>
    <w:rsid w:val="4D09442A"/>
    <w:rsid w:val="4D1473C4"/>
    <w:rsid w:val="4D177FED"/>
    <w:rsid w:val="4D1A70D0"/>
    <w:rsid w:val="4D2121FE"/>
    <w:rsid w:val="4D255A31"/>
    <w:rsid w:val="4D272911"/>
    <w:rsid w:val="4D275349"/>
    <w:rsid w:val="4D2E3F3F"/>
    <w:rsid w:val="4D337467"/>
    <w:rsid w:val="4D381C1C"/>
    <w:rsid w:val="4D3B752D"/>
    <w:rsid w:val="4D3D1B17"/>
    <w:rsid w:val="4D3F470C"/>
    <w:rsid w:val="4D3F4C97"/>
    <w:rsid w:val="4D484E3F"/>
    <w:rsid w:val="4D4A6C80"/>
    <w:rsid w:val="4D4E5B12"/>
    <w:rsid w:val="4D512440"/>
    <w:rsid w:val="4D592FC3"/>
    <w:rsid w:val="4D5C3245"/>
    <w:rsid w:val="4D5C7917"/>
    <w:rsid w:val="4D5F0953"/>
    <w:rsid w:val="4D614E9A"/>
    <w:rsid w:val="4D685F57"/>
    <w:rsid w:val="4D6A6183"/>
    <w:rsid w:val="4D7367E0"/>
    <w:rsid w:val="4D760272"/>
    <w:rsid w:val="4D7709E5"/>
    <w:rsid w:val="4D776A44"/>
    <w:rsid w:val="4D7A21CB"/>
    <w:rsid w:val="4D7C5550"/>
    <w:rsid w:val="4D7D5A5A"/>
    <w:rsid w:val="4D7F681C"/>
    <w:rsid w:val="4D814A59"/>
    <w:rsid w:val="4D8200E8"/>
    <w:rsid w:val="4D826A23"/>
    <w:rsid w:val="4D834C75"/>
    <w:rsid w:val="4D882D3E"/>
    <w:rsid w:val="4D891B60"/>
    <w:rsid w:val="4D896004"/>
    <w:rsid w:val="4D8A7E91"/>
    <w:rsid w:val="4D8E6ED6"/>
    <w:rsid w:val="4D951771"/>
    <w:rsid w:val="4D96092E"/>
    <w:rsid w:val="4D965269"/>
    <w:rsid w:val="4D9724CF"/>
    <w:rsid w:val="4D97427D"/>
    <w:rsid w:val="4D9D7727"/>
    <w:rsid w:val="4DA3663C"/>
    <w:rsid w:val="4DA45DC7"/>
    <w:rsid w:val="4DA513A6"/>
    <w:rsid w:val="4DA8356F"/>
    <w:rsid w:val="4DAB32F8"/>
    <w:rsid w:val="4DAB5F7A"/>
    <w:rsid w:val="4DAC2D37"/>
    <w:rsid w:val="4DAD1CF2"/>
    <w:rsid w:val="4DB641E5"/>
    <w:rsid w:val="4DBA3FD7"/>
    <w:rsid w:val="4DBB0877"/>
    <w:rsid w:val="4DBB6D7A"/>
    <w:rsid w:val="4DC45FBC"/>
    <w:rsid w:val="4DC82DB2"/>
    <w:rsid w:val="4DCE3A17"/>
    <w:rsid w:val="4DD023AF"/>
    <w:rsid w:val="4DD13801"/>
    <w:rsid w:val="4DD21759"/>
    <w:rsid w:val="4DD454A1"/>
    <w:rsid w:val="4DD57B61"/>
    <w:rsid w:val="4DD86643"/>
    <w:rsid w:val="4DDD1074"/>
    <w:rsid w:val="4DDD5A4B"/>
    <w:rsid w:val="4DE14306"/>
    <w:rsid w:val="4DEE5E67"/>
    <w:rsid w:val="4DF05E73"/>
    <w:rsid w:val="4DF16C43"/>
    <w:rsid w:val="4DF74D1B"/>
    <w:rsid w:val="4DFB44CF"/>
    <w:rsid w:val="4E00129A"/>
    <w:rsid w:val="4E0169D2"/>
    <w:rsid w:val="4E020B74"/>
    <w:rsid w:val="4E067654"/>
    <w:rsid w:val="4E092CA1"/>
    <w:rsid w:val="4E0D1C22"/>
    <w:rsid w:val="4E121B55"/>
    <w:rsid w:val="4E140493"/>
    <w:rsid w:val="4E153C74"/>
    <w:rsid w:val="4E1A4EAE"/>
    <w:rsid w:val="4E1B528E"/>
    <w:rsid w:val="4E1C6E78"/>
    <w:rsid w:val="4E1E298C"/>
    <w:rsid w:val="4E234AD2"/>
    <w:rsid w:val="4E2556E4"/>
    <w:rsid w:val="4E2C4407"/>
    <w:rsid w:val="4E2E6196"/>
    <w:rsid w:val="4E326AC0"/>
    <w:rsid w:val="4E340E57"/>
    <w:rsid w:val="4E387431"/>
    <w:rsid w:val="4E39282C"/>
    <w:rsid w:val="4E393586"/>
    <w:rsid w:val="4E3937B1"/>
    <w:rsid w:val="4E3E6DEE"/>
    <w:rsid w:val="4E413FA7"/>
    <w:rsid w:val="4E415909"/>
    <w:rsid w:val="4E4264C4"/>
    <w:rsid w:val="4E431565"/>
    <w:rsid w:val="4E461935"/>
    <w:rsid w:val="4E473EF5"/>
    <w:rsid w:val="4E4837C9"/>
    <w:rsid w:val="4E4A7541"/>
    <w:rsid w:val="4E4A7BFE"/>
    <w:rsid w:val="4E4B5067"/>
    <w:rsid w:val="4E4C280E"/>
    <w:rsid w:val="4E4D5283"/>
    <w:rsid w:val="4E500844"/>
    <w:rsid w:val="4E532E29"/>
    <w:rsid w:val="4E5403C0"/>
    <w:rsid w:val="4E54216E"/>
    <w:rsid w:val="4E582450"/>
    <w:rsid w:val="4E592984"/>
    <w:rsid w:val="4E5A52AA"/>
    <w:rsid w:val="4E5A7158"/>
    <w:rsid w:val="4E5C62DB"/>
    <w:rsid w:val="4E63311D"/>
    <w:rsid w:val="4E673DA2"/>
    <w:rsid w:val="4E745F45"/>
    <w:rsid w:val="4E787117"/>
    <w:rsid w:val="4E795424"/>
    <w:rsid w:val="4E7C1546"/>
    <w:rsid w:val="4E7D780A"/>
    <w:rsid w:val="4E832A53"/>
    <w:rsid w:val="4E871A25"/>
    <w:rsid w:val="4E8C56D1"/>
    <w:rsid w:val="4E8E06C7"/>
    <w:rsid w:val="4E902D32"/>
    <w:rsid w:val="4E966BEC"/>
    <w:rsid w:val="4E9837C4"/>
    <w:rsid w:val="4E987E8B"/>
    <w:rsid w:val="4E995E03"/>
    <w:rsid w:val="4E9C5079"/>
    <w:rsid w:val="4E9E2EC7"/>
    <w:rsid w:val="4EA74993"/>
    <w:rsid w:val="4EA76CA4"/>
    <w:rsid w:val="4EAA4D6E"/>
    <w:rsid w:val="4EAC4FCA"/>
    <w:rsid w:val="4EAF7709"/>
    <w:rsid w:val="4EB05B38"/>
    <w:rsid w:val="4EB66156"/>
    <w:rsid w:val="4EBA15A6"/>
    <w:rsid w:val="4EBB4161"/>
    <w:rsid w:val="4EC24C24"/>
    <w:rsid w:val="4EC54E1A"/>
    <w:rsid w:val="4EC56BC8"/>
    <w:rsid w:val="4ECA40DD"/>
    <w:rsid w:val="4ECE0095"/>
    <w:rsid w:val="4ED1068F"/>
    <w:rsid w:val="4ED27537"/>
    <w:rsid w:val="4ED74DB7"/>
    <w:rsid w:val="4EE36613"/>
    <w:rsid w:val="4EE3677C"/>
    <w:rsid w:val="4EE3760C"/>
    <w:rsid w:val="4EE901EF"/>
    <w:rsid w:val="4EEB4B96"/>
    <w:rsid w:val="4EED611E"/>
    <w:rsid w:val="4EED6FDC"/>
    <w:rsid w:val="4EEF18EE"/>
    <w:rsid w:val="4EF51B58"/>
    <w:rsid w:val="4EF51E1C"/>
    <w:rsid w:val="4EF54C9D"/>
    <w:rsid w:val="4EF80D12"/>
    <w:rsid w:val="4EFD54CE"/>
    <w:rsid w:val="4EFF40ED"/>
    <w:rsid w:val="4EFF7FF5"/>
    <w:rsid w:val="4F0040A4"/>
    <w:rsid w:val="4F005CD8"/>
    <w:rsid w:val="4F043B94"/>
    <w:rsid w:val="4F047DD7"/>
    <w:rsid w:val="4F0B1DA6"/>
    <w:rsid w:val="4F0D63A0"/>
    <w:rsid w:val="4F1033D0"/>
    <w:rsid w:val="4F1162B1"/>
    <w:rsid w:val="4F123A3D"/>
    <w:rsid w:val="4F185B89"/>
    <w:rsid w:val="4F1978BD"/>
    <w:rsid w:val="4F1A560D"/>
    <w:rsid w:val="4F1C4843"/>
    <w:rsid w:val="4F216DC3"/>
    <w:rsid w:val="4F22735C"/>
    <w:rsid w:val="4F236A01"/>
    <w:rsid w:val="4F247D92"/>
    <w:rsid w:val="4F291238"/>
    <w:rsid w:val="4F296B4F"/>
    <w:rsid w:val="4F2A14D9"/>
    <w:rsid w:val="4F2C4D5F"/>
    <w:rsid w:val="4F2E62CF"/>
    <w:rsid w:val="4F3123C7"/>
    <w:rsid w:val="4F34135B"/>
    <w:rsid w:val="4F3B034C"/>
    <w:rsid w:val="4F440434"/>
    <w:rsid w:val="4F487B1C"/>
    <w:rsid w:val="4F495A4B"/>
    <w:rsid w:val="4F4A2D46"/>
    <w:rsid w:val="4F4E7E56"/>
    <w:rsid w:val="4F5148FF"/>
    <w:rsid w:val="4F563CC4"/>
    <w:rsid w:val="4F564EEC"/>
    <w:rsid w:val="4F5B5C90"/>
    <w:rsid w:val="4F5B7F53"/>
    <w:rsid w:val="4F5D145B"/>
    <w:rsid w:val="4F60137E"/>
    <w:rsid w:val="4F615899"/>
    <w:rsid w:val="4F616415"/>
    <w:rsid w:val="4F652159"/>
    <w:rsid w:val="4F67104F"/>
    <w:rsid w:val="4F675ED1"/>
    <w:rsid w:val="4F67729E"/>
    <w:rsid w:val="4F6D7CF1"/>
    <w:rsid w:val="4F785006"/>
    <w:rsid w:val="4F7A7B0B"/>
    <w:rsid w:val="4F7D0B7D"/>
    <w:rsid w:val="4F80712F"/>
    <w:rsid w:val="4F882511"/>
    <w:rsid w:val="4F8D2ECF"/>
    <w:rsid w:val="4F8F3A74"/>
    <w:rsid w:val="4F9B0F8C"/>
    <w:rsid w:val="4F9F0602"/>
    <w:rsid w:val="4FAC1C1C"/>
    <w:rsid w:val="4FAE1D52"/>
    <w:rsid w:val="4FB62945"/>
    <w:rsid w:val="4FB6616A"/>
    <w:rsid w:val="4FBF3F5F"/>
    <w:rsid w:val="4FBF5BAF"/>
    <w:rsid w:val="4FC13297"/>
    <w:rsid w:val="4FC47B62"/>
    <w:rsid w:val="4FC656A4"/>
    <w:rsid w:val="4FCA5E4E"/>
    <w:rsid w:val="4FCD41A9"/>
    <w:rsid w:val="4FD24C3C"/>
    <w:rsid w:val="4FD6010C"/>
    <w:rsid w:val="4FD71CF0"/>
    <w:rsid w:val="4FD856E5"/>
    <w:rsid w:val="4FDB062B"/>
    <w:rsid w:val="4FDE2600"/>
    <w:rsid w:val="4FE34160"/>
    <w:rsid w:val="4FE35F73"/>
    <w:rsid w:val="4FE42D23"/>
    <w:rsid w:val="4FE6773D"/>
    <w:rsid w:val="4FE752EC"/>
    <w:rsid w:val="4FE75B98"/>
    <w:rsid w:val="4FE90F7D"/>
    <w:rsid w:val="4FF04285"/>
    <w:rsid w:val="4FF04EC5"/>
    <w:rsid w:val="4FF237D3"/>
    <w:rsid w:val="4FFE6764"/>
    <w:rsid w:val="500179C9"/>
    <w:rsid w:val="5003209D"/>
    <w:rsid w:val="50055843"/>
    <w:rsid w:val="5008077C"/>
    <w:rsid w:val="500B0F52"/>
    <w:rsid w:val="500B1837"/>
    <w:rsid w:val="500B7506"/>
    <w:rsid w:val="50145DBD"/>
    <w:rsid w:val="50177BE9"/>
    <w:rsid w:val="501B49A9"/>
    <w:rsid w:val="501D4E39"/>
    <w:rsid w:val="501F30E5"/>
    <w:rsid w:val="50255F3E"/>
    <w:rsid w:val="50267B3A"/>
    <w:rsid w:val="50271710"/>
    <w:rsid w:val="502816AD"/>
    <w:rsid w:val="503B61DB"/>
    <w:rsid w:val="503F29AA"/>
    <w:rsid w:val="503F65DD"/>
    <w:rsid w:val="5040767A"/>
    <w:rsid w:val="504730AF"/>
    <w:rsid w:val="504B439D"/>
    <w:rsid w:val="5050022A"/>
    <w:rsid w:val="50506965"/>
    <w:rsid w:val="505221E4"/>
    <w:rsid w:val="5058192F"/>
    <w:rsid w:val="505A5A36"/>
    <w:rsid w:val="505B3B28"/>
    <w:rsid w:val="50604E04"/>
    <w:rsid w:val="50681F00"/>
    <w:rsid w:val="506929F7"/>
    <w:rsid w:val="506F010C"/>
    <w:rsid w:val="50704B5F"/>
    <w:rsid w:val="50715259"/>
    <w:rsid w:val="50750B5C"/>
    <w:rsid w:val="507C5DC5"/>
    <w:rsid w:val="507E49BA"/>
    <w:rsid w:val="50836B84"/>
    <w:rsid w:val="50885920"/>
    <w:rsid w:val="508B408C"/>
    <w:rsid w:val="508D1967"/>
    <w:rsid w:val="508F4F0E"/>
    <w:rsid w:val="509308B0"/>
    <w:rsid w:val="509B0528"/>
    <w:rsid w:val="509D3630"/>
    <w:rsid w:val="509E0F40"/>
    <w:rsid w:val="509F252D"/>
    <w:rsid w:val="509F6B75"/>
    <w:rsid w:val="50A11925"/>
    <w:rsid w:val="50A23368"/>
    <w:rsid w:val="50A25670"/>
    <w:rsid w:val="50A55D08"/>
    <w:rsid w:val="50A62F41"/>
    <w:rsid w:val="50A92A0F"/>
    <w:rsid w:val="50AD025B"/>
    <w:rsid w:val="50B03F31"/>
    <w:rsid w:val="50B1337A"/>
    <w:rsid w:val="50B45146"/>
    <w:rsid w:val="50BB4726"/>
    <w:rsid w:val="50BF0FAF"/>
    <w:rsid w:val="50C71F09"/>
    <w:rsid w:val="50C90E38"/>
    <w:rsid w:val="50CB384E"/>
    <w:rsid w:val="50CD4459"/>
    <w:rsid w:val="50D04202"/>
    <w:rsid w:val="50D05581"/>
    <w:rsid w:val="50D11BCF"/>
    <w:rsid w:val="50D94BAC"/>
    <w:rsid w:val="50DB7A39"/>
    <w:rsid w:val="50DF67A8"/>
    <w:rsid w:val="50E039FF"/>
    <w:rsid w:val="50E03FA2"/>
    <w:rsid w:val="50E04FAE"/>
    <w:rsid w:val="50E32779"/>
    <w:rsid w:val="50E517A3"/>
    <w:rsid w:val="50E53551"/>
    <w:rsid w:val="50E72ECF"/>
    <w:rsid w:val="50F93C13"/>
    <w:rsid w:val="50FD52C1"/>
    <w:rsid w:val="51031865"/>
    <w:rsid w:val="510C31D4"/>
    <w:rsid w:val="510D0179"/>
    <w:rsid w:val="511178EE"/>
    <w:rsid w:val="51140696"/>
    <w:rsid w:val="51155F6F"/>
    <w:rsid w:val="511C22D1"/>
    <w:rsid w:val="511F3FB9"/>
    <w:rsid w:val="51204589"/>
    <w:rsid w:val="51206937"/>
    <w:rsid w:val="51224A8E"/>
    <w:rsid w:val="51236914"/>
    <w:rsid w:val="51343B5E"/>
    <w:rsid w:val="513918BD"/>
    <w:rsid w:val="51392F9A"/>
    <w:rsid w:val="5139564B"/>
    <w:rsid w:val="513C64C2"/>
    <w:rsid w:val="51485910"/>
    <w:rsid w:val="51497E7E"/>
    <w:rsid w:val="514B3F24"/>
    <w:rsid w:val="514D6F20"/>
    <w:rsid w:val="51515544"/>
    <w:rsid w:val="5153495F"/>
    <w:rsid w:val="515C08B4"/>
    <w:rsid w:val="51687B3B"/>
    <w:rsid w:val="517072F9"/>
    <w:rsid w:val="51712D10"/>
    <w:rsid w:val="517168C3"/>
    <w:rsid w:val="51723068"/>
    <w:rsid w:val="51736F4F"/>
    <w:rsid w:val="51754739"/>
    <w:rsid w:val="5176689F"/>
    <w:rsid w:val="51774F03"/>
    <w:rsid w:val="517C2581"/>
    <w:rsid w:val="517E3138"/>
    <w:rsid w:val="5180102A"/>
    <w:rsid w:val="5182059C"/>
    <w:rsid w:val="51877145"/>
    <w:rsid w:val="51891D1B"/>
    <w:rsid w:val="5189579A"/>
    <w:rsid w:val="51897A55"/>
    <w:rsid w:val="518A40F8"/>
    <w:rsid w:val="518D5FDE"/>
    <w:rsid w:val="518F3414"/>
    <w:rsid w:val="519136D9"/>
    <w:rsid w:val="51951DEF"/>
    <w:rsid w:val="51977785"/>
    <w:rsid w:val="519A4BA7"/>
    <w:rsid w:val="519D3E2C"/>
    <w:rsid w:val="51A433FA"/>
    <w:rsid w:val="51B328BE"/>
    <w:rsid w:val="51B40E81"/>
    <w:rsid w:val="51B46958"/>
    <w:rsid w:val="51B55619"/>
    <w:rsid w:val="51B56B51"/>
    <w:rsid w:val="51B717C3"/>
    <w:rsid w:val="51B842C7"/>
    <w:rsid w:val="51B93A62"/>
    <w:rsid w:val="51BA0636"/>
    <w:rsid w:val="51C44945"/>
    <w:rsid w:val="51C57EC3"/>
    <w:rsid w:val="51C723E6"/>
    <w:rsid w:val="51CA7754"/>
    <w:rsid w:val="51CF76F2"/>
    <w:rsid w:val="51D27F79"/>
    <w:rsid w:val="51D55369"/>
    <w:rsid w:val="51D65948"/>
    <w:rsid w:val="51D659AF"/>
    <w:rsid w:val="51D830B6"/>
    <w:rsid w:val="51DD3323"/>
    <w:rsid w:val="51E122A9"/>
    <w:rsid w:val="51E15AFC"/>
    <w:rsid w:val="51E41569"/>
    <w:rsid w:val="51E80763"/>
    <w:rsid w:val="51F22585"/>
    <w:rsid w:val="51F73981"/>
    <w:rsid w:val="51FB4E52"/>
    <w:rsid w:val="51FE0D6E"/>
    <w:rsid w:val="51FF6894"/>
    <w:rsid w:val="52036385"/>
    <w:rsid w:val="52046D7E"/>
    <w:rsid w:val="52075B85"/>
    <w:rsid w:val="52097713"/>
    <w:rsid w:val="520A2F94"/>
    <w:rsid w:val="520B2839"/>
    <w:rsid w:val="520B5239"/>
    <w:rsid w:val="52122920"/>
    <w:rsid w:val="52132340"/>
    <w:rsid w:val="52160466"/>
    <w:rsid w:val="52182D16"/>
    <w:rsid w:val="521E3E27"/>
    <w:rsid w:val="521F2DAC"/>
    <w:rsid w:val="52233658"/>
    <w:rsid w:val="52263E21"/>
    <w:rsid w:val="5227510E"/>
    <w:rsid w:val="52285DEB"/>
    <w:rsid w:val="522D181F"/>
    <w:rsid w:val="522D2748"/>
    <w:rsid w:val="5233653E"/>
    <w:rsid w:val="52336A96"/>
    <w:rsid w:val="52387A7E"/>
    <w:rsid w:val="523A1E1D"/>
    <w:rsid w:val="523A6756"/>
    <w:rsid w:val="5240491E"/>
    <w:rsid w:val="524731FD"/>
    <w:rsid w:val="52493F1E"/>
    <w:rsid w:val="524A0294"/>
    <w:rsid w:val="524A231E"/>
    <w:rsid w:val="52531358"/>
    <w:rsid w:val="52536A73"/>
    <w:rsid w:val="5255496A"/>
    <w:rsid w:val="52570FF6"/>
    <w:rsid w:val="525E6CC5"/>
    <w:rsid w:val="525F19EA"/>
    <w:rsid w:val="526239D6"/>
    <w:rsid w:val="52681CE6"/>
    <w:rsid w:val="526D50F1"/>
    <w:rsid w:val="527210F9"/>
    <w:rsid w:val="52732831"/>
    <w:rsid w:val="52752790"/>
    <w:rsid w:val="527B1570"/>
    <w:rsid w:val="527E1EAF"/>
    <w:rsid w:val="527E6149"/>
    <w:rsid w:val="5280622B"/>
    <w:rsid w:val="52833489"/>
    <w:rsid w:val="52836986"/>
    <w:rsid w:val="52862B12"/>
    <w:rsid w:val="5287468A"/>
    <w:rsid w:val="5288003B"/>
    <w:rsid w:val="52880638"/>
    <w:rsid w:val="528A06C4"/>
    <w:rsid w:val="528A40D5"/>
    <w:rsid w:val="528B5952"/>
    <w:rsid w:val="528F3582"/>
    <w:rsid w:val="528F66BD"/>
    <w:rsid w:val="528F7C18"/>
    <w:rsid w:val="529415BE"/>
    <w:rsid w:val="52955899"/>
    <w:rsid w:val="529609EB"/>
    <w:rsid w:val="529E2F27"/>
    <w:rsid w:val="529F291F"/>
    <w:rsid w:val="52A31916"/>
    <w:rsid w:val="52A336C4"/>
    <w:rsid w:val="52A86F2C"/>
    <w:rsid w:val="52AA5C80"/>
    <w:rsid w:val="52AB56E6"/>
    <w:rsid w:val="52AE4304"/>
    <w:rsid w:val="52B61649"/>
    <w:rsid w:val="52BF6CE4"/>
    <w:rsid w:val="52C17810"/>
    <w:rsid w:val="52C2674E"/>
    <w:rsid w:val="52C546A4"/>
    <w:rsid w:val="52CB32A1"/>
    <w:rsid w:val="52CD24EF"/>
    <w:rsid w:val="52CD6993"/>
    <w:rsid w:val="52CF44B9"/>
    <w:rsid w:val="52D0237D"/>
    <w:rsid w:val="52D06E49"/>
    <w:rsid w:val="52D16A3B"/>
    <w:rsid w:val="52D715BF"/>
    <w:rsid w:val="52D969A2"/>
    <w:rsid w:val="52DE29E2"/>
    <w:rsid w:val="52E2108D"/>
    <w:rsid w:val="52E36CFF"/>
    <w:rsid w:val="52E8557B"/>
    <w:rsid w:val="52EB2107"/>
    <w:rsid w:val="52EF6909"/>
    <w:rsid w:val="52F111ED"/>
    <w:rsid w:val="52FC2CBD"/>
    <w:rsid w:val="52FE37A2"/>
    <w:rsid w:val="52FE4D9E"/>
    <w:rsid w:val="53047800"/>
    <w:rsid w:val="53110444"/>
    <w:rsid w:val="5311062D"/>
    <w:rsid w:val="53151984"/>
    <w:rsid w:val="53165C53"/>
    <w:rsid w:val="53166804"/>
    <w:rsid w:val="531865A9"/>
    <w:rsid w:val="531A4957"/>
    <w:rsid w:val="531B2907"/>
    <w:rsid w:val="531C2F50"/>
    <w:rsid w:val="53230ACF"/>
    <w:rsid w:val="53231E39"/>
    <w:rsid w:val="532540D9"/>
    <w:rsid w:val="53266D73"/>
    <w:rsid w:val="532D7BD3"/>
    <w:rsid w:val="533B38FC"/>
    <w:rsid w:val="533E0788"/>
    <w:rsid w:val="534A7CCD"/>
    <w:rsid w:val="534D5C76"/>
    <w:rsid w:val="53531B94"/>
    <w:rsid w:val="53566988"/>
    <w:rsid w:val="53591FD4"/>
    <w:rsid w:val="535A7601"/>
    <w:rsid w:val="535D3873"/>
    <w:rsid w:val="535D78A6"/>
    <w:rsid w:val="535F7161"/>
    <w:rsid w:val="53651D71"/>
    <w:rsid w:val="53682554"/>
    <w:rsid w:val="53732E91"/>
    <w:rsid w:val="53747734"/>
    <w:rsid w:val="537B1F4B"/>
    <w:rsid w:val="537D3F15"/>
    <w:rsid w:val="53813702"/>
    <w:rsid w:val="53873836"/>
    <w:rsid w:val="538A4B1D"/>
    <w:rsid w:val="538A71A4"/>
    <w:rsid w:val="53915C12"/>
    <w:rsid w:val="53946890"/>
    <w:rsid w:val="539574B0"/>
    <w:rsid w:val="53A05E55"/>
    <w:rsid w:val="53A16149"/>
    <w:rsid w:val="53A21BCD"/>
    <w:rsid w:val="53A62838"/>
    <w:rsid w:val="53AE1C3A"/>
    <w:rsid w:val="53B04709"/>
    <w:rsid w:val="53B44AFB"/>
    <w:rsid w:val="53B512A1"/>
    <w:rsid w:val="53B54458"/>
    <w:rsid w:val="53B72DA1"/>
    <w:rsid w:val="53B84907"/>
    <w:rsid w:val="53BB3592"/>
    <w:rsid w:val="53C14D7B"/>
    <w:rsid w:val="53C77EB0"/>
    <w:rsid w:val="53CA4C80"/>
    <w:rsid w:val="53D61877"/>
    <w:rsid w:val="53D67148"/>
    <w:rsid w:val="53D855EF"/>
    <w:rsid w:val="53E06252"/>
    <w:rsid w:val="53E45D42"/>
    <w:rsid w:val="53E5700D"/>
    <w:rsid w:val="53E93358"/>
    <w:rsid w:val="53F20208"/>
    <w:rsid w:val="53F24654"/>
    <w:rsid w:val="53F90E43"/>
    <w:rsid w:val="53FA293C"/>
    <w:rsid w:val="53FA5543"/>
    <w:rsid w:val="53FF5859"/>
    <w:rsid w:val="540208BE"/>
    <w:rsid w:val="540766F4"/>
    <w:rsid w:val="540814BE"/>
    <w:rsid w:val="54100D7D"/>
    <w:rsid w:val="541E2A0D"/>
    <w:rsid w:val="54250FCF"/>
    <w:rsid w:val="54260108"/>
    <w:rsid w:val="542761D8"/>
    <w:rsid w:val="542F25BA"/>
    <w:rsid w:val="543237D1"/>
    <w:rsid w:val="54344C9D"/>
    <w:rsid w:val="54360C18"/>
    <w:rsid w:val="54367041"/>
    <w:rsid w:val="54392B3C"/>
    <w:rsid w:val="543A0058"/>
    <w:rsid w:val="543E557A"/>
    <w:rsid w:val="543F566E"/>
    <w:rsid w:val="54414048"/>
    <w:rsid w:val="54414992"/>
    <w:rsid w:val="54476B04"/>
    <w:rsid w:val="54493DF7"/>
    <w:rsid w:val="54533734"/>
    <w:rsid w:val="545A4256"/>
    <w:rsid w:val="545C48D1"/>
    <w:rsid w:val="545D78A2"/>
    <w:rsid w:val="545E208B"/>
    <w:rsid w:val="545F7ABE"/>
    <w:rsid w:val="546614DC"/>
    <w:rsid w:val="546B238B"/>
    <w:rsid w:val="546D1910"/>
    <w:rsid w:val="546E5FF7"/>
    <w:rsid w:val="54735527"/>
    <w:rsid w:val="547370C6"/>
    <w:rsid w:val="54750BB1"/>
    <w:rsid w:val="547A0EF8"/>
    <w:rsid w:val="547A55AF"/>
    <w:rsid w:val="547C241E"/>
    <w:rsid w:val="547D50D2"/>
    <w:rsid w:val="547E7F44"/>
    <w:rsid w:val="54837309"/>
    <w:rsid w:val="54854100"/>
    <w:rsid w:val="548922E1"/>
    <w:rsid w:val="548D0CAB"/>
    <w:rsid w:val="548E36D4"/>
    <w:rsid w:val="548E4AFA"/>
    <w:rsid w:val="5491480A"/>
    <w:rsid w:val="54930158"/>
    <w:rsid w:val="5493095A"/>
    <w:rsid w:val="549D2B88"/>
    <w:rsid w:val="549D7752"/>
    <w:rsid w:val="549E1894"/>
    <w:rsid w:val="54A20D14"/>
    <w:rsid w:val="54A31759"/>
    <w:rsid w:val="54A852EA"/>
    <w:rsid w:val="54B06B75"/>
    <w:rsid w:val="54B33AF8"/>
    <w:rsid w:val="54B52059"/>
    <w:rsid w:val="54BA327B"/>
    <w:rsid w:val="54BB2F47"/>
    <w:rsid w:val="54BE51D9"/>
    <w:rsid w:val="54BF230B"/>
    <w:rsid w:val="54C07226"/>
    <w:rsid w:val="54C125DA"/>
    <w:rsid w:val="54C37A39"/>
    <w:rsid w:val="54C5368C"/>
    <w:rsid w:val="54C55B73"/>
    <w:rsid w:val="54C64956"/>
    <w:rsid w:val="54C81CFB"/>
    <w:rsid w:val="54CA1624"/>
    <w:rsid w:val="54CC6CAA"/>
    <w:rsid w:val="54D36F0C"/>
    <w:rsid w:val="54D8796C"/>
    <w:rsid w:val="54D97871"/>
    <w:rsid w:val="54DC4F17"/>
    <w:rsid w:val="54DC6522"/>
    <w:rsid w:val="54E064FE"/>
    <w:rsid w:val="54E263C2"/>
    <w:rsid w:val="54E330C5"/>
    <w:rsid w:val="54E658DC"/>
    <w:rsid w:val="54E74D33"/>
    <w:rsid w:val="54EB2034"/>
    <w:rsid w:val="54EE63AD"/>
    <w:rsid w:val="54F1675A"/>
    <w:rsid w:val="54F20787"/>
    <w:rsid w:val="54F40207"/>
    <w:rsid w:val="54F442B1"/>
    <w:rsid w:val="54F84EFF"/>
    <w:rsid w:val="54F902A6"/>
    <w:rsid w:val="54F9581D"/>
    <w:rsid w:val="54FC5913"/>
    <w:rsid w:val="5504702F"/>
    <w:rsid w:val="550661CF"/>
    <w:rsid w:val="55093111"/>
    <w:rsid w:val="550C2DDA"/>
    <w:rsid w:val="551663CF"/>
    <w:rsid w:val="55173EF5"/>
    <w:rsid w:val="551E742C"/>
    <w:rsid w:val="552108D6"/>
    <w:rsid w:val="55230D93"/>
    <w:rsid w:val="552325E2"/>
    <w:rsid w:val="55236D3E"/>
    <w:rsid w:val="552710B1"/>
    <w:rsid w:val="55276E8C"/>
    <w:rsid w:val="55295C4A"/>
    <w:rsid w:val="552A1E7A"/>
    <w:rsid w:val="552B57AD"/>
    <w:rsid w:val="552C5250"/>
    <w:rsid w:val="552D1801"/>
    <w:rsid w:val="55342CE1"/>
    <w:rsid w:val="55347A06"/>
    <w:rsid w:val="55366C42"/>
    <w:rsid w:val="55396360"/>
    <w:rsid w:val="553C1871"/>
    <w:rsid w:val="553C395C"/>
    <w:rsid w:val="553D62B5"/>
    <w:rsid w:val="553F3121"/>
    <w:rsid w:val="55451D0B"/>
    <w:rsid w:val="554E58A6"/>
    <w:rsid w:val="554F368F"/>
    <w:rsid w:val="55510CFA"/>
    <w:rsid w:val="555541E8"/>
    <w:rsid w:val="55560EC1"/>
    <w:rsid w:val="55597AAC"/>
    <w:rsid w:val="555B0C27"/>
    <w:rsid w:val="555C53C5"/>
    <w:rsid w:val="556A7F69"/>
    <w:rsid w:val="556E25E3"/>
    <w:rsid w:val="556F3D31"/>
    <w:rsid w:val="557320E4"/>
    <w:rsid w:val="55732A82"/>
    <w:rsid w:val="55767B09"/>
    <w:rsid w:val="557B0928"/>
    <w:rsid w:val="557B2A48"/>
    <w:rsid w:val="55833483"/>
    <w:rsid w:val="55853555"/>
    <w:rsid w:val="558C48E3"/>
    <w:rsid w:val="55911EF9"/>
    <w:rsid w:val="559519EA"/>
    <w:rsid w:val="559612BE"/>
    <w:rsid w:val="55980D16"/>
    <w:rsid w:val="55A03EEB"/>
    <w:rsid w:val="55A17753"/>
    <w:rsid w:val="55A66AF3"/>
    <w:rsid w:val="55B00076"/>
    <w:rsid w:val="55B0678F"/>
    <w:rsid w:val="55B44F27"/>
    <w:rsid w:val="55B65466"/>
    <w:rsid w:val="55B766CD"/>
    <w:rsid w:val="55BD60E0"/>
    <w:rsid w:val="55BF164C"/>
    <w:rsid w:val="55C0563F"/>
    <w:rsid w:val="55C26FF9"/>
    <w:rsid w:val="55C43DD7"/>
    <w:rsid w:val="55C563C7"/>
    <w:rsid w:val="55C65403"/>
    <w:rsid w:val="55C951EF"/>
    <w:rsid w:val="55CB7312"/>
    <w:rsid w:val="55CD4DAE"/>
    <w:rsid w:val="55D00815"/>
    <w:rsid w:val="55D02B82"/>
    <w:rsid w:val="55D22A99"/>
    <w:rsid w:val="55D74AC1"/>
    <w:rsid w:val="55DA1393"/>
    <w:rsid w:val="55DA3B36"/>
    <w:rsid w:val="55DE7A6A"/>
    <w:rsid w:val="55E27EE1"/>
    <w:rsid w:val="55E74CB1"/>
    <w:rsid w:val="55E77D6B"/>
    <w:rsid w:val="55F1565F"/>
    <w:rsid w:val="55F35019"/>
    <w:rsid w:val="55F63224"/>
    <w:rsid w:val="55F92AC0"/>
    <w:rsid w:val="55FA4904"/>
    <w:rsid w:val="55FE00C4"/>
    <w:rsid w:val="56002CAA"/>
    <w:rsid w:val="560E306E"/>
    <w:rsid w:val="56127FB8"/>
    <w:rsid w:val="561346BC"/>
    <w:rsid w:val="561548D9"/>
    <w:rsid w:val="561641AD"/>
    <w:rsid w:val="561B4C31"/>
    <w:rsid w:val="561B549E"/>
    <w:rsid w:val="561D378D"/>
    <w:rsid w:val="561D4A89"/>
    <w:rsid w:val="561D698E"/>
    <w:rsid w:val="562403AC"/>
    <w:rsid w:val="562946AD"/>
    <w:rsid w:val="562E6787"/>
    <w:rsid w:val="56343C1C"/>
    <w:rsid w:val="56382375"/>
    <w:rsid w:val="563A6BA3"/>
    <w:rsid w:val="563C719E"/>
    <w:rsid w:val="565C5F68"/>
    <w:rsid w:val="565D3B8A"/>
    <w:rsid w:val="565F7902"/>
    <w:rsid w:val="56684566"/>
    <w:rsid w:val="566A0472"/>
    <w:rsid w:val="566A1ED0"/>
    <w:rsid w:val="566B3D9F"/>
    <w:rsid w:val="566D64C3"/>
    <w:rsid w:val="566F4984"/>
    <w:rsid w:val="56782907"/>
    <w:rsid w:val="567A72D5"/>
    <w:rsid w:val="567A779C"/>
    <w:rsid w:val="567F6657"/>
    <w:rsid w:val="56807924"/>
    <w:rsid w:val="56824391"/>
    <w:rsid w:val="56850484"/>
    <w:rsid w:val="568776DE"/>
    <w:rsid w:val="568E6F1D"/>
    <w:rsid w:val="568F00FD"/>
    <w:rsid w:val="569159F4"/>
    <w:rsid w:val="56955A19"/>
    <w:rsid w:val="56983941"/>
    <w:rsid w:val="56A3515A"/>
    <w:rsid w:val="56AA24E8"/>
    <w:rsid w:val="56AE4205"/>
    <w:rsid w:val="56B20030"/>
    <w:rsid w:val="56B36ECD"/>
    <w:rsid w:val="56B55774"/>
    <w:rsid w:val="56B55D14"/>
    <w:rsid w:val="56B823F9"/>
    <w:rsid w:val="56BB2421"/>
    <w:rsid w:val="56BB2CC5"/>
    <w:rsid w:val="56BC2FA6"/>
    <w:rsid w:val="56C15C44"/>
    <w:rsid w:val="56C37E91"/>
    <w:rsid w:val="56C41358"/>
    <w:rsid w:val="56C53E5D"/>
    <w:rsid w:val="56D46542"/>
    <w:rsid w:val="56D64D67"/>
    <w:rsid w:val="56D71B8E"/>
    <w:rsid w:val="56DB636A"/>
    <w:rsid w:val="56E40CAB"/>
    <w:rsid w:val="56E574DD"/>
    <w:rsid w:val="56E611A0"/>
    <w:rsid w:val="56E823DA"/>
    <w:rsid w:val="56E8633C"/>
    <w:rsid w:val="56E96E48"/>
    <w:rsid w:val="56ED24DE"/>
    <w:rsid w:val="56EE327A"/>
    <w:rsid w:val="56FA5B6A"/>
    <w:rsid w:val="57013551"/>
    <w:rsid w:val="57030BD5"/>
    <w:rsid w:val="5705670D"/>
    <w:rsid w:val="57073011"/>
    <w:rsid w:val="570A5ABF"/>
    <w:rsid w:val="570D2590"/>
    <w:rsid w:val="570D55B0"/>
    <w:rsid w:val="570F6C54"/>
    <w:rsid w:val="571946AB"/>
    <w:rsid w:val="571961D9"/>
    <w:rsid w:val="571A287C"/>
    <w:rsid w:val="571B1C2F"/>
    <w:rsid w:val="571D0DDD"/>
    <w:rsid w:val="571F7091"/>
    <w:rsid w:val="57202366"/>
    <w:rsid w:val="572648C3"/>
    <w:rsid w:val="57266B83"/>
    <w:rsid w:val="572758B8"/>
    <w:rsid w:val="572A6162"/>
    <w:rsid w:val="57307D64"/>
    <w:rsid w:val="573318C6"/>
    <w:rsid w:val="5734055B"/>
    <w:rsid w:val="573D4214"/>
    <w:rsid w:val="573E7E5F"/>
    <w:rsid w:val="57403036"/>
    <w:rsid w:val="57454D3E"/>
    <w:rsid w:val="574E08CD"/>
    <w:rsid w:val="57580F21"/>
    <w:rsid w:val="57581602"/>
    <w:rsid w:val="57592547"/>
    <w:rsid w:val="575B27BF"/>
    <w:rsid w:val="575D3CB3"/>
    <w:rsid w:val="575F0777"/>
    <w:rsid w:val="57641F6E"/>
    <w:rsid w:val="57683DBD"/>
    <w:rsid w:val="576A6B99"/>
    <w:rsid w:val="57740A80"/>
    <w:rsid w:val="57771A60"/>
    <w:rsid w:val="577B61D9"/>
    <w:rsid w:val="577C44E3"/>
    <w:rsid w:val="57803283"/>
    <w:rsid w:val="578148DF"/>
    <w:rsid w:val="578222A5"/>
    <w:rsid w:val="57860A7E"/>
    <w:rsid w:val="578930D5"/>
    <w:rsid w:val="578D059E"/>
    <w:rsid w:val="578D1AA0"/>
    <w:rsid w:val="578F1C73"/>
    <w:rsid w:val="57915CB1"/>
    <w:rsid w:val="57930461"/>
    <w:rsid w:val="5794182D"/>
    <w:rsid w:val="579D7124"/>
    <w:rsid w:val="579F31C5"/>
    <w:rsid w:val="579F39E7"/>
    <w:rsid w:val="57A23F4A"/>
    <w:rsid w:val="57A5206E"/>
    <w:rsid w:val="57AC540A"/>
    <w:rsid w:val="57B6568C"/>
    <w:rsid w:val="57B65C47"/>
    <w:rsid w:val="57B67EA4"/>
    <w:rsid w:val="57B7082C"/>
    <w:rsid w:val="57BA0B3F"/>
    <w:rsid w:val="57CA58A2"/>
    <w:rsid w:val="57CB27F3"/>
    <w:rsid w:val="57CC0FC7"/>
    <w:rsid w:val="57CE11E3"/>
    <w:rsid w:val="57D2463E"/>
    <w:rsid w:val="57D47381"/>
    <w:rsid w:val="57D65C93"/>
    <w:rsid w:val="57D74425"/>
    <w:rsid w:val="57D75472"/>
    <w:rsid w:val="57D8504B"/>
    <w:rsid w:val="57D9198D"/>
    <w:rsid w:val="57DD287B"/>
    <w:rsid w:val="57E04A72"/>
    <w:rsid w:val="57E13E64"/>
    <w:rsid w:val="57E31D0E"/>
    <w:rsid w:val="57E500CA"/>
    <w:rsid w:val="57EA2A0F"/>
    <w:rsid w:val="57EC3281"/>
    <w:rsid w:val="57F22EC2"/>
    <w:rsid w:val="57FF52C2"/>
    <w:rsid w:val="58003366"/>
    <w:rsid w:val="580469B3"/>
    <w:rsid w:val="580F4AE2"/>
    <w:rsid w:val="5811255D"/>
    <w:rsid w:val="5812749B"/>
    <w:rsid w:val="58163064"/>
    <w:rsid w:val="5816330B"/>
    <w:rsid w:val="581666E6"/>
    <w:rsid w:val="5818245E"/>
    <w:rsid w:val="58222FAC"/>
    <w:rsid w:val="58223AF8"/>
    <w:rsid w:val="582241C7"/>
    <w:rsid w:val="5825093C"/>
    <w:rsid w:val="582A1F91"/>
    <w:rsid w:val="582A39FB"/>
    <w:rsid w:val="583653C6"/>
    <w:rsid w:val="58382B00"/>
    <w:rsid w:val="583C223F"/>
    <w:rsid w:val="583D1EC5"/>
    <w:rsid w:val="583E5224"/>
    <w:rsid w:val="583E6D3C"/>
    <w:rsid w:val="58414213"/>
    <w:rsid w:val="58475473"/>
    <w:rsid w:val="584946AC"/>
    <w:rsid w:val="584C035A"/>
    <w:rsid w:val="584D1320"/>
    <w:rsid w:val="58523BC2"/>
    <w:rsid w:val="585255B0"/>
    <w:rsid w:val="58526210"/>
    <w:rsid w:val="58530F63"/>
    <w:rsid w:val="5862775F"/>
    <w:rsid w:val="58635207"/>
    <w:rsid w:val="586756F1"/>
    <w:rsid w:val="586E2CBD"/>
    <w:rsid w:val="587575A0"/>
    <w:rsid w:val="58771E67"/>
    <w:rsid w:val="5879252E"/>
    <w:rsid w:val="587A3596"/>
    <w:rsid w:val="58824652"/>
    <w:rsid w:val="588703B5"/>
    <w:rsid w:val="58874CDC"/>
    <w:rsid w:val="588E0B2D"/>
    <w:rsid w:val="588F1522"/>
    <w:rsid w:val="589143B8"/>
    <w:rsid w:val="58917DEE"/>
    <w:rsid w:val="58931AE5"/>
    <w:rsid w:val="58954A9A"/>
    <w:rsid w:val="589555B9"/>
    <w:rsid w:val="58984DB5"/>
    <w:rsid w:val="589D2408"/>
    <w:rsid w:val="589E5C9B"/>
    <w:rsid w:val="58A27F7A"/>
    <w:rsid w:val="58A32966"/>
    <w:rsid w:val="58A5364D"/>
    <w:rsid w:val="58A649F2"/>
    <w:rsid w:val="58A81A34"/>
    <w:rsid w:val="58AE763F"/>
    <w:rsid w:val="58B17757"/>
    <w:rsid w:val="58B1795A"/>
    <w:rsid w:val="58B2640F"/>
    <w:rsid w:val="58B469F6"/>
    <w:rsid w:val="58C04BAC"/>
    <w:rsid w:val="58C11D94"/>
    <w:rsid w:val="58C360F6"/>
    <w:rsid w:val="58C626F4"/>
    <w:rsid w:val="58C919AA"/>
    <w:rsid w:val="58CA28F9"/>
    <w:rsid w:val="58CE0D6F"/>
    <w:rsid w:val="58D042ED"/>
    <w:rsid w:val="58DA1E34"/>
    <w:rsid w:val="58E95B2D"/>
    <w:rsid w:val="58ED7447"/>
    <w:rsid w:val="58F33FA5"/>
    <w:rsid w:val="58F509F1"/>
    <w:rsid w:val="58FA2261"/>
    <w:rsid w:val="58FB1A84"/>
    <w:rsid w:val="590105D3"/>
    <w:rsid w:val="59011144"/>
    <w:rsid w:val="59030A18"/>
    <w:rsid w:val="5906675A"/>
    <w:rsid w:val="59096026"/>
    <w:rsid w:val="590D1A1B"/>
    <w:rsid w:val="590E3DCD"/>
    <w:rsid w:val="59136835"/>
    <w:rsid w:val="59144B47"/>
    <w:rsid w:val="591742E3"/>
    <w:rsid w:val="591B4F5D"/>
    <w:rsid w:val="591D0B7D"/>
    <w:rsid w:val="59235B4C"/>
    <w:rsid w:val="59284FA8"/>
    <w:rsid w:val="5929150A"/>
    <w:rsid w:val="592A41FA"/>
    <w:rsid w:val="592E1CE6"/>
    <w:rsid w:val="592F4A12"/>
    <w:rsid w:val="59306EB1"/>
    <w:rsid w:val="59365ECD"/>
    <w:rsid w:val="59437B9F"/>
    <w:rsid w:val="594554D5"/>
    <w:rsid w:val="594740B6"/>
    <w:rsid w:val="59484C42"/>
    <w:rsid w:val="59493DF9"/>
    <w:rsid w:val="594E342F"/>
    <w:rsid w:val="59506632"/>
    <w:rsid w:val="5954396A"/>
    <w:rsid w:val="595726B1"/>
    <w:rsid w:val="59577367"/>
    <w:rsid w:val="595A2CE1"/>
    <w:rsid w:val="595E7161"/>
    <w:rsid w:val="59602F33"/>
    <w:rsid w:val="59616525"/>
    <w:rsid w:val="59625A2D"/>
    <w:rsid w:val="59661A48"/>
    <w:rsid w:val="5969099A"/>
    <w:rsid w:val="596C2A61"/>
    <w:rsid w:val="596C33BD"/>
    <w:rsid w:val="596F1284"/>
    <w:rsid w:val="596F21A7"/>
    <w:rsid w:val="596F2552"/>
    <w:rsid w:val="59701E26"/>
    <w:rsid w:val="59710F4A"/>
    <w:rsid w:val="59725B9E"/>
    <w:rsid w:val="59734EFF"/>
    <w:rsid w:val="597D6BAC"/>
    <w:rsid w:val="5981799C"/>
    <w:rsid w:val="598269D2"/>
    <w:rsid w:val="598479A4"/>
    <w:rsid w:val="59872E05"/>
    <w:rsid w:val="598A36F6"/>
    <w:rsid w:val="598F37F6"/>
    <w:rsid w:val="59915D9D"/>
    <w:rsid w:val="59934492"/>
    <w:rsid w:val="59965A03"/>
    <w:rsid w:val="599F472B"/>
    <w:rsid w:val="59A13DC4"/>
    <w:rsid w:val="59A1562D"/>
    <w:rsid w:val="59A541C5"/>
    <w:rsid w:val="59B01E89"/>
    <w:rsid w:val="59B3743B"/>
    <w:rsid w:val="59B83EF9"/>
    <w:rsid w:val="59BA5735"/>
    <w:rsid w:val="59BC2451"/>
    <w:rsid w:val="59BE2450"/>
    <w:rsid w:val="59BE4103"/>
    <w:rsid w:val="59BF4640"/>
    <w:rsid w:val="59C2676B"/>
    <w:rsid w:val="59C34356"/>
    <w:rsid w:val="59CF09A0"/>
    <w:rsid w:val="59CF113C"/>
    <w:rsid w:val="59CF38E3"/>
    <w:rsid w:val="59D112F1"/>
    <w:rsid w:val="59D34AF6"/>
    <w:rsid w:val="59D50461"/>
    <w:rsid w:val="59D52CB9"/>
    <w:rsid w:val="59D82DE9"/>
    <w:rsid w:val="59DA161F"/>
    <w:rsid w:val="59DA6F89"/>
    <w:rsid w:val="59DC44B8"/>
    <w:rsid w:val="59DE508A"/>
    <w:rsid w:val="59DF41DE"/>
    <w:rsid w:val="59E67589"/>
    <w:rsid w:val="59E910B9"/>
    <w:rsid w:val="59EC3F66"/>
    <w:rsid w:val="59F056E4"/>
    <w:rsid w:val="59F10072"/>
    <w:rsid w:val="59F1740B"/>
    <w:rsid w:val="59F56FDA"/>
    <w:rsid w:val="59F66811"/>
    <w:rsid w:val="59FD2B85"/>
    <w:rsid w:val="59FE21C2"/>
    <w:rsid w:val="5A006ADF"/>
    <w:rsid w:val="5A01602E"/>
    <w:rsid w:val="5A03744D"/>
    <w:rsid w:val="5A0802B0"/>
    <w:rsid w:val="5A087B80"/>
    <w:rsid w:val="5A0A4028"/>
    <w:rsid w:val="5A111F61"/>
    <w:rsid w:val="5A131922"/>
    <w:rsid w:val="5A173AB2"/>
    <w:rsid w:val="5A1C429B"/>
    <w:rsid w:val="5A205010"/>
    <w:rsid w:val="5A255B38"/>
    <w:rsid w:val="5A267B67"/>
    <w:rsid w:val="5A272FC8"/>
    <w:rsid w:val="5A28037F"/>
    <w:rsid w:val="5A2946FB"/>
    <w:rsid w:val="5A331FA7"/>
    <w:rsid w:val="5A3410A5"/>
    <w:rsid w:val="5A3504D8"/>
    <w:rsid w:val="5A380B96"/>
    <w:rsid w:val="5A3A2C3E"/>
    <w:rsid w:val="5A3C6C6B"/>
    <w:rsid w:val="5A3C728F"/>
    <w:rsid w:val="5A3D101D"/>
    <w:rsid w:val="5A427392"/>
    <w:rsid w:val="5A44777C"/>
    <w:rsid w:val="5A4724D4"/>
    <w:rsid w:val="5A591C0D"/>
    <w:rsid w:val="5A5B3AB6"/>
    <w:rsid w:val="5A604FF1"/>
    <w:rsid w:val="5A6558B4"/>
    <w:rsid w:val="5A6A6970"/>
    <w:rsid w:val="5A737CAF"/>
    <w:rsid w:val="5A7929C6"/>
    <w:rsid w:val="5A7C4F26"/>
    <w:rsid w:val="5A7F67C4"/>
    <w:rsid w:val="5A804D22"/>
    <w:rsid w:val="5A85684B"/>
    <w:rsid w:val="5A8C2C8F"/>
    <w:rsid w:val="5A8D128D"/>
    <w:rsid w:val="5A900CD3"/>
    <w:rsid w:val="5A904284"/>
    <w:rsid w:val="5A9052D6"/>
    <w:rsid w:val="5A917EE0"/>
    <w:rsid w:val="5A927254"/>
    <w:rsid w:val="5A99562C"/>
    <w:rsid w:val="5AA168D6"/>
    <w:rsid w:val="5AAB580B"/>
    <w:rsid w:val="5AAE18B0"/>
    <w:rsid w:val="5AAF48DF"/>
    <w:rsid w:val="5AB24583"/>
    <w:rsid w:val="5AB3357C"/>
    <w:rsid w:val="5AB34D0B"/>
    <w:rsid w:val="5AB65C83"/>
    <w:rsid w:val="5ABC3575"/>
    <w:rsid w:val="5AC15B84"/>
    <w:rsid w:val="5AC266B1"/>
    <w:rsid w:val="5AC31353"/>
    <w:rsid w:val="5AC661A1"/>
    <w:rsid w:val="5AC864E3"/>
    <w:rsid w:val="5ACA724D"/>
    <w:rsid w:val="5AD51A72"/>
    <w:rsid w:val="5AD54636"/>
    <w:rsid w:val="5AD71725"/>
    <w:rsid w:val="5ADF5317"/>
    <w:rsid w:val="5AE26499"/>
    <w:rsid w:val="5AE26D53"/>
    <w:rsid w:val="5AE329DB"/>
    <w:rsid w:val="5AED2355"/>
    <w:rsid w:val="5AED7BD2"/>
    <w:rsid w:val="5AF47DA0"/>
    <w:rsid w:val="5AF92343"/>
    <w:rsid w:val="5AF9666C"/>
    <w:rsid w:val="5AFF070A"/>
    <w:rsid w:val="5B070518"/>
    <w:rsid w:val="5B07285D"/>
    <w:rsid w:val="5B0930E0"/>
    <w:rsid w:val="5B1909C7"/>
    <w:rsid w:val="5B205A3B"/>
    <w:rsid w:val="5B225781"/>
    <w:rsid w:val="5B2335F4"/>
    <w:rsid w:val="5B2A0D28"/>
    <w:rsid w:val="5B2B4256"/>
    <w:rsid w:val="5B302EAE"/>
    <w:rsid w:val="5B3D7BCE"/>
    <w:rsid w:val="5B3F2968"/>
    <w:rsid w:val="5B411CCC"/>
    <w:rsid w:val="5B420901"/>
    <w:rsid w:val="5B444218"/>
    <w:rsid w:val="5B49104F"/>
    <w:rsid w:val="5B4F654B"/>
    <w:rsid w:val="5B5017AC"/>
    <w:rsid w:val="5B5A2D8E"/>
    <w:rsid w:val="5B5E287E"/>
    <w:rsid w:val="5B647755"/>
    <w:rsid w:val="5B6979EE"/>
    <w:rsid w:val="5B6E589D"/>
    <w:rsid w:val="5B747B2B"/>
    <w:rsid w:val="5B77290F"/>
    <w:rsid w:val="5B784226"/>
    <w:rsid w:val="5B816F68"/>
    <w:rsid w:val="5B876FF1"/>
    <w:rsid w:val="5B8C5245"/>
    <w:rsid w:val="5B8D3163"/>
    <w:rsid w:val="5B90640D"/>
    <w:rsid w:val="5B972013"/>
    <w:rsid w:val="5B9B3BD6"/>
    <w:rsid w:val="5B9B60D1"/>
    <w:rsid w:val="5B9F1AC0"/>
    <w:rsid w:val="5BA25CE6"/>
    <w:rsid w:val="5BA86E0A"/>
    <w:rsid w:val="5BB81099"/>
    <w:rsid w:val="5BBA2B43"/>
    <w:rsid w:val="5BBA7C93"/>
    <w:rsid w:val="5BBD3A7B"/>
    <w:rsid w:val="5BBE0267"/>
    <w:rsid w:val="5BC270DD"/>
    <w:rsid w:val="5BC621D1"/>
    <w:rsid w:val="5BC70EC1"/>
    <w:rsid w:val="5BCD65B0"/>
    <w:rsid w:val="5BCD7094"/>
    <w:rsid w:val="5BD7618C"/>
    <w:rsid w:val="5BD82A18"/>
    <w:rsid w:val="5BDB5BC7"/>
    <w:rsid w:val="5BDE6927"/>
    <w:rsid w:val="5BE663CF"/>
    <w:rsid w:val="5BE81193"/>
    <w:rsid w:val="5BE82147"/>
    <w:rsid w:val="5BEA1CFD"/>
    <w:rsid w:val="5BEB57FC"/>
    <w:rsid w:val="5BEC0CB6"/>
    <w:rsid w:val="5BEF24E2"/>
    <w:rsid w:val="5BF21832"/>
    <w:rsid w:val="5BF24C96"/>
    <w:rsid w:val="5BF46EA7"/>
    <w:rsid w:val="5BF65950"/>
    <w:rsid w:val="5BF8682E"/>
    <w:rsid w:val="5BFB1B82"/>
    <w:rsid w:val="5C0444BA"/>
    <w:rsid w:val="5C045974"/>
    <w:rsid w:val="5C08686E"/>
    <w:rsid w:val="5C0A136B"/>
    <w:rsid w:val="5C0A6562"/>
    <w:rsid w:val="5C0C257E"/>
    <w:rsid w:val="5C185A80"/>
    <w:rsid w:val="5C284387"/>
    <w:rsid w:val="5C29540E"/>
    <w:rsid w:val="5C2C64D8"/>
    <w:rsid w:val="5C31457A"/>
    <w:rsid w:val="5C354D96"/>
    <w:rsid w:val="5C375B1D"/>
    <w:rsid w:val="5C3F3BEE"/>
    <w:rsid w:val="5C412022"/>
    <w:rsid w:val="5C45784D"/>
    <w:rsid w:val="5C4C7F07"/>
    <w:rsid w:val="5C503C1F"/>
    <w:rsid w:val="5C5045A4"/>
    <w:rsid w:val="5C53280C"/>
    <w:rsid w:val="5C5575D0"/>
    <w:rsid w:val="5C5627A6"/>
    <w:rsid w:val="5C5D4291"/>
    <w:rsid w:val="5C634B60"/>
    <w:rsid w:val="5C6A75C1"/>
    <w:rsid w:val="5C707B47"/>
    <w:rsid w:val="5C710C66"/>
    <w:rsid w:val="5C71213D"/>
    <w:rsid w:val="5C713FD0"/>
    <w:rsid w:val="5C7334E7"/>
    <w:rsid w:val="5C741140"/>
    <w:rsid w:val="5C74377D"/>
    <w:rsid w:val="5C76108B"/>
    <w:rsid w:val="5C796C27"/>
    <w:rsid w:val="5C797B9C"/>
    <w:rsid w:val="5C7D4F86"/>
    <w:rsid w:val="5C7F0CFE"/>
    <w:rsid w:val="5C7F7C8D"/>
    <w:rsid w:val="5C805D9D"/>
    <w:rsid w:val="5C806824"/>
    <w:rsid w:val="5C811016"/>
    <w:rsid w:val="5C857479"/>
    <w:rsid w:val="5C8958FE"/>
    <w:rsid w:val="5C8A1E1D"/>
    <w:rsid w:val="5C92608B"/>
    <w:rsid w:val="5C9C2F95"/>
    <w:rsid w:val="5CA138C2"/>
    <w:rsid w:val="5CA34645"/>
    <w:rsid w:val="5CA9021F"/>
    <w:rsid w:val="5CAB0B4D"/>
    <w:rsid w:val="5CAE3391"/>
    <w:rsid w:val="5CB12E81"/>
    <w:rsid w:val="5CB30B56"/>
    <w:rsid w:val="5CB7229E"/>
    <w:rsid w:val="5CBA1392"/>
    <w:rsid w:val="5CBF10FA"/>
    <w:rsid w:val="5CC74453"/>
    <w:rsid w:val="5CCE0C6B"/>
    <w:rsid w:val="5CD043F9"/>
    <w:rsid w:val="5CD86660"/>
    <w:rsid w:val="5CE241FD"/>
    <w:rsid w:val="5CE86F8C"/>
    <w:rsid w:val="5CEE7C31"/>
    <w:rsid w:val="5CF57128"/>
    <w:rsid w:val="5CF71797"/>
    <w:rsid w:val="5CF74D38"/>
    <w:rsid w:val="5CF756A8"/>
    <w:rsid w:val="5CF7608A"/>
    <w:rsid w:val="5D070CE9"/>
    <w:rsid w:val="5D092070"/>
    <w:rsid w:val="5D095E94"/>
    <w:rsid w:val="5D0B6D51"/>
    <w:rsid w:val="5D0E5BDE"/>
    <w:rsid w:val="5D0F32E2"/>
    <w:rsid w:val="5D172CE4"/>
    <w:rsid w:val="5D185543"/>
    <w:rsid w:val="5D1B1AB2"/>
    <w:rsid w:val="5D1C10DF"/>
    <w:rsid w:val="5D1F3745"/>
    <w:rsid w:val="5D1F7DEB"/>
    <w:rsid w:val="5D21055F"/>
    <w:rsid w:val="5D212CC5"/>
    <w:rsid w:val="5D2334CC"/>
    <w:rsid w:val="5D270124"/>
    <w:rsid w:val="5D314E8C"/>
    <w:rsid w:val="5D316D3F"/>
    <w:rsid w:val="5D322AA8"/>
    <w:rsid w:val="5D340D9D"/>
    <w:rsid w:val="5D340DF9"/>
    <w:rsid w:val="5D367698"/>
    <w:rsid w:val="5D381106"/>
    <w:rsid w:val="5D3D0CCD"/>
    <w:rsid w:val="5D3E6583"/>
    <w:rsid w:val="5D431D2B"/>
    <w:rsid w:val="5D433029"/>
    <w:rsid w:val="5D45063D"/>
    <w:rsid w:val="5D4A242A"/>
    <w:rsid w:val="5D5228B3"/>
    <w:rsid w:val="5D533559"/>
    <w:rsid w:val="5D557591"/>
    <w:rsid w:val="5D5870B9"/>
    <w:rsid w:val="5D6531F1"/>
    <w:rsid w:val="5D67582D"/>
    <w:rsid w:val="5D6B74D4"/>
    <w:rsid w:val="5D6F60F1"/>
    <w:rsid w:val="5D703B0A"/>
    <w:rsid w:val="5D734BE0"/>
    <w:rsid w:val="5D754814"/>
    <w:rsid w:val="5D7643F6"/>
    <w:rsid w:val="5D7719D5"/>
    <w:rsid w:val="5D780D8A"/>
    <w:rsid w:val="5D7C348F"/>
    <w:rsid w:val="5D855229"/>
    <w:rsid w:val="5D873FCD"/>
    <w:rsid w:val="5D8A5BAC"/>
    <w:rsid w:val="5D8B5EAA"/>
    <w:rsid w:val="5D8E0C9B"/>
    <w:rsid w:val="5D8E518D"/>
    <w:rsid w:val="5D9748FB"/>
    <w:rsid w:val="5D98671D"/>
    <w:rsid w:val="5D990A1B"/>
    <w:rsid w:val="5D9B41F0"/>
    <w:rsid w:val="5D9C4CC5"/>
    <w:rsid w:val="5DA41EB0"/>
    <w:rsid w:val="5DA712E4"/>
    <w:rsid w:val="5DAD3649"/>
    <w:rsid w:val="5DAE2BF0"/>
    <w:rsid w:val="5DB20C5F"/>
    <w:rsid w:val="5DB31771"/>
    <w:rsid w:val="5DB657AE"/>
    <w:rsid w:val="5DBA2811"/>
    <w:rsid w:val="5DC17A41"/>
    <w:rsid w:val="5DC85989"/>
    <w:rsid w:val="5DCF0BF4"/>
    <w:rsid w:val="5DCF7A63"/>
    <w:rsid w:val="5DDC2D14"/>
    <w:rsid w:val="5DE62F05"/>
    <w:rsid w:val="5DEA6E36"/>
    <w:rsid w:val="5DF03535"/>
    <w:rsid w:val="5DF23751"/>
    <w:rsid w:val="5DF40F6B"/>
    <w:rsid w:val="5DF86036"/>
    <w:rsid w:val="5DFB03C6"/>
    <w:rsid w:val="5DFD0DA6"/>
    <w:rsid w:val="5DFD6725"/>
    <w:rsid w:val="5E022726"/>
    <w:rsid w:val="5E046D19"/>
    <w:rsid w:val="5E0F16C9"/>
    <w:rsid w:val="5E114573"/>
    <w:rsid w:val="5E125A4A"/>
    <w:rsid w:val="5E1831B8"/>
    <w:rsid w:val="5E1B424F"/>
    <w:rsid w:val="5E1F0B22"/>
    <w:rsid w:val="5E2558D5"/>
    <w:rsid w:val="5E261D61"/>
    <w:rsid w:val="5E27164D"/>
    <w:rsid w:val="5E287ED3"/>
    <w:rsid w:val="5E2D5E54"/>
    <w:rsid w:val="5E321914"/>
    <w:rsid w:val="5E325431"/>
    <w:rsid w:val="5E341674"/>
    <w:rsid w:val="5E3B582C"/>
    <w:rsid w:val="5E3C67C4"/>
    <w:rsid w:val="5E3D646B"/>
    <w:rsid w:val="5E403002"/>
    <w:rsid w:val="5E4D2736"/>
    <w:rsid w:val="5E4F3F78"/>
    <w:rsid w:val="5E547DA4"/>
    <w:rsid w:val="5E58443E"/>
    <w:rsid w:val="5E5F6123"/>
    <w:rsid w:val="5E60690D"/>
    <w:rsid w:val="5E6737F7"/>
    <w:rsid w:val="5E6C2693"/>
    <w:rsid w:val="5E6D388A"/>
    <w:rsid w:val="5E71553F"/>
    <w:rsid w:val="5E7708C8"/>
    <w:rsid w:val="5E79352B"/>
    <w:rsid w:val="5E7B6249"/>
    <w:rsid w:val="5E821F33"/>
    <w:rsid w:val="5E8374BB"/>
    <w:rsid w:val="5E8C0452"/>
    <w:rsid w:val="5E8E2A3B"/>
    <w:rsid w:val="5E8E5228"/>
    <w:rsid w:val="5E8F45F3"/>
    <w:rsid w:val="5E95752D"/>
    <w:rsid w:val="5E975BD9"/>
    <w:rsid w:val="5E9860A7"/>
    <w:rsid w:val="5E9912E8"/>
    <w:rsid w:val="5E9C6DB0"/>
    <w:rsid w:val="5E9D546B"/>
    <w:rsid w:val="5EA71848"/>
    <w:rsid w:val="5EA7453C"/>
    <w:rsid w:val="5EB50B46"/>
    <w:rsid w:val="5EBC39A2"/>
    <w:rsid w:val="5EBE2261"/>
    <w:rsid w:val="5EBE3110"/>
    <w:rsid w:val="5ECA337A"/>
    <w:rsid w:val="5ECA43D6"/>
    <w:rsid w:val="5ECE4454"/>
    <w:rsid w:val="5ED24C9B"/>
    <w:rsid w:val="5ED42711"/>
    <w:rsid w:val="5ED42B77"/>
    <w:rsid w:val="5ED43B02"/>
    <w:rsid w:val="5ED817F5"/>
    <w:rsid w:val="5ED91CC8"/>
    <w:rsid w:val="5EDB45A9"/>
    <w:rsid w:val="5EDD2B3F"/>
    <w:rsid w:val="5EE00A1F"/>
    <w:rsid w:val="5EE30DFC"/>
    <w:rsid w:val="5EEC5CE3"/>
    <w:rsid w:val="5EEE4E80"/>
    <w:rsid w:val="5EF14391"/>
    <w:rsid w:val="5EF332DD"/>
    <w:rsid w:val="5EF6315F"/>
    <w:rsid w:val="5EF77271"/>
    <w:rsid w:val="5F04066F"/>
    <w:rsid w:val="5F0408D3"/>
    <w:rsid w:val="5F054F33"/>
    <w:rsid w:val="5F0F0C81"/>
    <w:rsid w:val="5F0F7998"/>
    <w:rsid w:val="5F164078"/>
    <w:rsid w:val="5F17145D"/>
    <w:rsid w:val="5F182D44"/>
    <w:rsid w:val="5F1A4D0E"/>
    <w:rsid w:val="5F1B5CA4"/>
    <w:rsid w:val="5F1B6898"/>
    <w:rsid w:val="5F232818"/>
    <w:rsid w:val="5F234253"/>
    <w:rsid w:val="5F24793A"/>
    <w:rsid w:val="5F283B0E"/>
    <w:rsid w:val="5F293B1B"/>
    <w:rsid w:val="5F2A22DF"/>
    <w:rsid w:val="5F2E65C5"/>
    <w:rsid w:val="5F3062DF"/>
    <w:rsid w:val="5F311287"/>
    <w:rsid w:val="5F32793B"/>
    <w:rsid w:val="5F3C1128"/>
    <w:rsid w:val="5F3C5FD9"/>
    <w:rsid w:val="5F3E25AC"/>
    <w:rsid w:val="5F4104EC"/>
    <w:rsid w:val="5F420856"/>
    <w:rsid w:val="5F427DC1"/>
    <w:rsid w:val="5F4668AA"/>
    <w:rsid w:val="5F4D0FCE"/>
    <w:rsid w:val="5F4F0E5B"/>
    <w:rsid w:val="5F533870"/>
    <w:rsid w:val="5F570AA6"/>
    <w:rsid w:val="5F5D07C6"/>
    <w:rsid w:val="5F5E109E"/>
    <w:rsid w:val="5F6A1C2C"/>
    <w:rsid w:val="5F6B752F"/>
    <w:rsid w:val="5F6D17C7"/>
    <w:rsid w:val="5F6D682F"/>
    <w:rsid w:val="5F70492E"/>
    <w:rsid w:val="5F772160"/>
    <w:rsid w:val="5F783E00"/>
    <w:rsid w:val="5F7A0485"/>
    <w:rsid w:val="5F7B49D3"/>
    <w:rsid w:val="5F7E7748"/>
    <w:rsid w:val="5F8116F7"/>
    <w:rsid w:val="5F811ED6"/>
    <w:rsid w:val="5F816177"/>
    <w:rsid w:val="5F85448F"/>
    <w:rsid w:val="5F8B348B"/>
    <w:rsid w:val="5F930A7B"/>
    <w:rsid w:val="5F933BD1"/>
    <w:rsid w:val="5F9E2D8B"/>
    <w:rsid w:val="5F9F1AF5"/>
    <w:rsid w:val="5FA46886"/>
    <w:rsid w:val="5FAB3BB8"/>
    <w:rsid w:val="5FAE2DC3"/>
    <w:rsid w:val="5FAE7D9C"/>
    <w:rsid w:val="5FAF36A8"/>
    <w:rsid w:val="5FB93DED"/>
    <w:rsid w:val="5FBC5A0A"/>
    <w:rsid w:val="5FBD45A7"/>
    <w:rsid w:val="5FC10C13"/>
    <w:rsid w:val="5FC829BC"/>
    <w:rsid w:val="5FCA10F2"/>
    <w:rsid w:val="5FCB35FB"/>
    <w:rsid w:val="5FD054D2"/>
    <w:rsid w:val="5FD06547"/>
    <w:rsid w:val="5FD45C0C"/>
    <w:rsid w:val="5FD50C35"/>
    <w:rsid w:val="5FD8524E"/>
    <w:rsid w:val="5FDC4D04"/>
    <w:rsid w:val="5FE377F5"/>
    <w:rsid w:val="5FE51C35"/>
    <w:rsid w:val="5FE64BF0"/>
    <w:rsid w:val="5FE77AA9"/>
    <w:rsid w:val="5FEE7F16"/>
    <w:rsid w:val="5FF31ECE"/>
    <w:rsid w:val="5FF64B22"/>
    <w:rsid w:val="5FFA43B5"/>
    <w:rsid w:val="5FFA539B"/>
    <w:rsid w:val="5FFE7F0A"/>
    <w:rsid w:val="60003F04"/>
    <w:rsid w:val="60072DCE"/>
    <w:rsid w:val="60076B58"/>
    <w:rsid w:val="6009588A"/>
    <w:rsid w:val="600A626B"/>
    <w:rsid w:val="600C433D"/>
    <w:rsid w:val="600C68E0"/>
    <w:rsid w:val="60117DC5"/>
    <w:rsid w:val="60133411"/>
    <w:rsid w:val="601B3520"/>
    <w:rsid w:val="601E084D"/>
    <w:rsid w:val="601E78CA"/>
    <w:rsid w:val="60200911"/>
    <w:rsid w:val="602A2D54"/>
    <w:rsid w:val="602D06B5"/>
    <w:rsid w:val="60310561"/>
    <w:rsid w:val="6031454E"/>
    <w:rsid w:val="6038460F"/>
    <w:rsid w:val="60392C81"/>
    <w:rsid w:val="603E135D"/>
    <w:rsid w:val="603E705D"/>
    <w:rsid w:val="6041161F"/>
    <w:rsid w:val="6042276E"/>
    <w:rsid w:val="60423096"/>
    <w:rsid w:val="60431934"/>
    <w:rsid w:val="6045041A"/>
    <w:rsid w:val="60456DEA"/>
    <w:rsid w:val="60484349"/>
    <w:rsid w:val="60491AC4"/>
    <w:rsid w:val="604949CC"/>
    <w:rsid w:val="604C7149"/>
    <w:rsid w:val="60536998"/>
    <w:rsid w:val="60561D75"/>
    <w:rsid w:val="6057789C"/>
    <w:rsid w:val="605C4EB2"/>
    <w:rsid w:val="60625175"/>
    <w:rsid w:val="607852BF"/>
    <w:rsid w:val="60790BFD"/>
    <w:rsid w:val="608032FA"/>
    <w:rsid w:val="608532B7"/>
    <w:rsid w:val="60855F63"/>
    <w:rsid w:val="6089791D"/>
    <w:rsid w:val="608E7761"/>
    <w:rsid w:val="608F5287"/>
    <w:rsid w:val="609214DB"/>
    <w:rsid w:val="60952DEE"/>
    <w:rsid w:val="609603C4"/>
    <w:rsid w:val="6096209C"/>
    <w:rsid w:val="609849EC"/>
    <w:rsid w:val="60984C34"/>
    <w:rsid w:val="609A2273"/>
    <w:rsid w:val="609C117D"/>
    <w:rsid w:val="609C3355"/>
    <w:rsid w:val="609F1B33"/>
    <w:rsid w:val="60A13D31"/>
    <w:rsid w:val="60A4446D"/>
    <w:rsid w:val="60A819C6"/>
    <w:rsid w:val="60A9234A"/>
    <w:rsid w:val="60AA4CCD"/>
    <w:rsid w:val="60AA651C"/>
    <w:rsid w:val="60AC6FED"/>
    <w:rsid w:val="60AC77AE"/>
    <w:rsid w:val="60AE53AF"/>
    <w:rsid w:val="60B039A0"/>
    <w:rsid w:val="60B116A2"/>
    <w:rsid w:val="60B15183"/>
    <w:rsid w:val="60B45C30"/>
    <w:rsid w:val="60B90243"/>
    <w:rsid w:val="60B91957"/>
    <w:rsid w:val="60BD0FEA"/>
    <w:rsid w:val="60BE7DED"/>
    <w:rsid w:val="60C44177"/>
    <w:rsid w:val="60D4713E"/>
    <w:rsid w:val="60D6056A"/>
    <w:rsid w:val="60DB2563"/>
    <w:rsid w:val="60E4260C"/>
    <w:rsid w:val="60E4778C"/>
    <w:rsid w:val="60EA7F6B"/>
    <w:rsid w:val="60EB615E"/>
    <w:rsid w:val="60EE6452"/>
    <w:rsid w:val="60EE6A0D"/>
    <w:rsid w:val="60F03F78"/>
    <w:rsid w:val="60F5328B"/>
    <w:rsid w:val="60F903F6"/>
    <w:rsid w:val="60FD0925"/>
    <w:rsid w:val="610247E6"/>
    <w:rsid w:val="61026EFB"/>
    <w:rsid w:val="611212B4"/>
    <w:rsid w:val="61144EB1"/>
    <w:rsid w:val="61163042"/>
    <w:rsid w:val="6118165A"/>
    <w:rsid w:val="6120141C"/>
    <w:rsid w:val="61202383"/>
    <w:rsid w:val="61203CD8"/>
    <w:rsid w:val="61224373"/>
    <w:rsid w:val="612273F9"/>
    <w:rsid w:val="61227C45"/>
    <w:rsid w:val="612A701D"/>
    <w:rsid w:val="612C1EAE"/>
    <w:rsid w:val="612E171F"/>
    <w:rsid w:val="612F12D2"/>
    <w:rsid w:val="61317910"/>
    <w:rsid w:val="61366E0A"/>
    <w:rsid w:val="6138629F"/>
    <w:rsid w:val="61391BC8"/>
    <w:rsid w:val="613A1697"/>
    <w:rsid w:val="613D7701"/>
    <w:rsid w:val="613E2F29"/>
    <w:rsid w:val="61406F42"/>
    <w:rsid w:val="61460CA6"/>
    <w:rsid w:val="6147266D"/>
    <w:rsid w:val="61500EBB"/>
    <w:rsid w:val="61510EFB"/>
    <w:rsid w:val="61520A88"/>
    <w:rsid w:val="6153290B"/>
    <w:rsid w:val="61543DC5"/>
    <w:rsid w:val="61596F28"/>
    <w:rsid w:val="61636E0C"/>
    <w:rsid w:val="61730705"/>
    <w:rsid w:val="617A3B89"/>
    <w:rsid w:val="617B4E74"/>
    <w:rsid w:val="618572B3"/>
    <w:rsid w:val="61860438"/>
    <w:rsid w:val="618B42A3"/>
    <w:rsid w:val="618B614D"/>
    <w:rsid w:val="618F19E3"/>
    <w:rsid w:val="618F1BCD"/>
    <w:rsid w:val="61914A31"/>
    <w:rsid w:val="61966BAF"/>
    <w:rsid w:val="61970898"/>
    <w:rsid w:val="619E7662"/>
    <w:rsid w:val="61A3478B"/>
    <w:rsid w:val="61AE36FE"/>
    <w:rsid w:val="61AE5BE1"/>
    <w:rsid w:val="61B03707"/>
    <w:rsid w:val="61B31479"/>
    <w:rsid w:val="61B35437"/>
    <w:rsid w:val="61BF394A"/>
    <w:rsid w:val="61C1601E"/>
    <w:rsid w:val="61C34415"/>
    <w:rsid w:val="61C36D94"/>
    <w:rsid w:val="61CE1DDF"/>
    <w:rsid w:val="61CE776D"/>
    <w:rsid w:val="61CF09AB"/>
    <w:rsid w:val="61D5316E"/>
    <w:rsid w:val="61D64B22"/>
    <w:rsid w:val="61DB7278"/>
    <w:rsid w:val="61DC44FC"/>
    <w:rsid w:val="61DE7024"/>
    <w:rsid w:val="61E37639"/>
    <w:rsid w:val="61EC2E04"/>
    <w:rsid w:val="61ED2CB5"/>
    <w:rsid w:val="61F327E3"/>
    <w:rsid w:val="61F40A0D"/>
    <w:rsid w:val="61F41846"/>
    <w:rsid w:val="61F44BA5"/>
    <w:rsid w:val="61FC3A19"/>
    <w:rsid w:val="61FE118D"/>
    <w:rsid w:val="620A5A65"/>
    <w:rsid w:val="620D46B6"/>
    <w:rsid w:val="621041A6"/>
    <w:rsid w:val="6217367E"/>
    <w:rsid w:val="621A6DD3"/>
    <w:rsid w:val="621B1B9B"/>
    <w:rsid w:val="621E22D4"/>
    <w:rsid w:val="622331C9"/>
    <w:rsid w:val="62257C51"/>
    <w:rsid w:val="62291D8A"/>
    <w:rsid w:val="622B7A00"/>
    <w:rsid w:val="622E08CC"/>
    <w:rsid w:val="622E6850"/>
    <w:rsid w:val="62313DA5"/>
    <w:rsid w:val="62346B6D"/>
    <w:rsid w:val="623641F9"/>
    <w:rsid w:val="62373E29"/>
    <w:rsid w:val="623954AB"/>
    <w:rsid w:val="623C1B8D"/>
    <w:rsid w:val="623D2038"/>
    <w:rsid w:val="623F5520"/>
    <w:rsid w:val="6240391F"/>
    <w:rsid w:val="62446B35"/>
    <w:rsid w:val="624731B6"/>
    <w:rsid w:val="62477BFC"/>
    <w:rsid w:val="624A66F5"/>
    <w:rsid w:val="624C0958"/>
    <w:rsid w:val="624D3C77"/>
    <w:rsid w:val="624F5FC8"/>
    <w:rsid w:val="625247BE"/>
    <w:rsid w:val="625C3E0F"/>
    <w:rsid w:val="625C6A63"/>
    <w:rsid w:val="625D523E"/>
    <w:rsid w:val="625E0EF1"/>
    <w:rsid w:val="62600C89"/>
    <w:rsid w:val="62605164"/>
    <w:rsid w:val="62643B72"/>
    <w:rsid w:val="62651B6C"/>
    <w:rsid w:val="62663830"/>
    <w:rsid w:val="626927B8"/>
    <w:rsid w:val="627273AC"/>
    <w:rsid w:val="62764951"/>
    <w:rsid w:val="627B6200"/>
    <w:rsid w:val="62805601"/>
    <w:rsid w:val="62813525"/>
    <w:rsid w:val="628320D0"/>
    <w:rsid w:val="6288257A"/>
    <w:rsid w:val="62894684"/>
    <w:rsid w:val="628A21AA"/>
    <w:rsid w:val="628A4CA7"/>
    <w:rsid w:val="628C7CD0"/>
    <w:rsid w:val="6290252A"/>
    <w:rsid w:val="629C7054"/>
    <w:rsid w:val="629D3D58"/>
    <w:rsid w:val="62A34856"/>
    <w:rsid w:val="62AA5BDB"/>
    <w:rsid w:val="62AB6B75"/>
    <w:rsid w:val="62AC2F68"/>
    <w:rsid w:val="62AD04B4"/>
    <w:rsid w:val="62B21AE4"/>
    <w:rsid w:val="62B3483D"/>
    <w:rsid w:val="62B436A4"/>
    <w:rsid w:val="62B47F03"/>
    <w:rsid w:val="62C32C21"/>
    <w:rsid w:val="62C46576"/>
    <w:rsid w:val="62C73FE6"/>
    <w:rsid w:val="62C83CA5"/>
    <w:rsid w:val="62CA0686"/>
    <w:rsid w:val="62D92C9B"/>
    <w:rsid w:val="62D95F81"/>
    <w:rsid w:val="62DC32BC"/>
    <w:rsid w:val="62DE71C4"/>
    <w:rsid w:val="62DF4795"/>
    <w:rsid w:val="62E418BB"/>
    <w:rsid w:val="62E66631"/>
    <w:rsid w:val="62EA5D2C"/>
    <w:rsid w:val="62EE0ADA"/>
    <w:rsid w:val="62F256F2"/>
    <w:rsid w:val="62F36540"/>
    <w:rsid w:val="62F45876"/>
    <w:rsid w:val="62F72598"/>
    <w:rsid w:val="62FC0121"/>
    <w:rsid w:val="62FD2D32"/>
    <w:rsid w:val="630516CD"/>
    <w:rsid w:val="63065CD5"/>
    <w:rsid w:val="630C2BBF"/>
    <w:rsid w:val="630F1459"/>
    <w:rsid w:val="63137A0E"/>
    <w:rsid w:val="631822F6"/>
    <w:rsid w:val="631A352E"/>
    <w:rsid w:val="631A5C4A"/>
    <w:rsid w:val="631F5FF2"/>
    <w:rsid w:val="63214DD4"/>
    <w:rsid w:val="63220635"/>
    <w:rsid w:val="63251B06"/>
    <w:rsid w:val="632554A3"/>
    <w:rsid w:val="632570AD"/>
    <w:rsid w:val="63330B54"/>
    <w:rsid w:val="633640E0"/>
    <w:rsid w:val="63365E8E"/>
    <w:rsid w:val="634369D4"/>
    <w:rsid w:val="63461422"/>
    <w:rsid w:val="634924F6"/>
    <w:rsid w:val="634B514E"/>
    <w:rsid w:val="634E142A"/>
    <w:rsid w:val="634E4F86"/>
    <w:rsid w:val="63501120"/>
    <w:rsid w:val="6350241C"/>
    <w:rsid w:val="63585E05"/>
    <w:rsid w:val="635A0EB8"/>
    <w:rsid w:val="636370E9"/>
    <w:rsid w:val="636969D6"/>
    <w:rsid w:val="63703956"/>
    <w:rsid w:val="63747D62"/>
    <w:rsid w:val="63762E7B"/>
    <w:rsid w:val="637752F7"/>
    <w:rsid w:val="637C6B3C"/>
    <w:rsid w:val="63807109"/>
    <w:rsid w:val="63864720"/>
    <w:rsid w:val="63867E4A"/>
    <w:rsid w:val="63892AC9"/>
    <w:rsid w:val="638C5954"/>
    <w:rsid w:val="638D1F52"/>
    <w:rsid w:val="638D5B7C"/>
    <w:rsid w:val="63915AF6"/>
    <w:rsid w:val="63947B42"/>
    <w:rsid w:val="63952539"/>
    <w:rsid w:val="639C03E7"/>
    <w:rsid w:val="63A05284"/>
    <w:rsid w:val="63A16E7E"/>
    <w:rsid w:val="63A177AC"/>
    <w:rsid w:val="63A67BCF"/>
    <w:rsid w:val="63AC4910"/>
    <w:rsid w:val="63AE1984"/>
    <w:rsid w:val="63B05C41"/>
    <w:rsid w:val="63B13E74"/>
    <w:rsid w:val="63B2486E"/>
    <w:rsid w:val="63B57D1B"/>
    <w:rsid w:val="63B90713"/>
    <w:rsid w:val="63BD5E4C"/>
    <w:rsid w:val="63C25C12"/>
    <w:rsid w:val="63C82F8A"/>
    <w:rsid w:val="63C84BC3"/>
    <w:rsid w:val="63CC4EC7"/>
    <w:rsid w:val="63D52F02"/>
    <w:rsid w:val="63DB2E6E"/>
    <w:rsid w:val="63DB6012"/>
    <w:rsid w:val="63E34D49"/>
    <w:rsid w:val="63E5392E"/>
    <w:rsid w:val="63E81D70"/>
    <w:rsid w:val="63E83405"/>
    <w:rsid w:val="63E92F01"/>
    <w:rsid w:val="63EA704D"/>
    <w:rsid w:val="63F166C0"/>
    <w:rsid w:val="63F21DB5"/>
    <w:rsid w:val="63F55E9F"/>
    <w:rsid w:val="63FD6018"/>
    <w:rsid w:val="63FF133F"/>
    <w:rsid w:val="6402648D"/>
    <w:rsid w:val="64125E7C"/>
    <w:rsid w:val="641A36C1"/>
    <w:rsid w:val="641D4A61"/>
    <w:rsid w:val="641E0DFC"/>
    <w:rsid w:val="641F31CC"/>
    <w:rsid w:val="642212D6"/>
    <w:rsid w:val="64227C5A"/>
    <w:rsid w:val="64234383"/>
    <w:rsid w:val="64242B73"/>
    <w:rsid w:val="6426798C"/>
    <w:rsid w:val="64346872"/>
    <w:rsid w:val="643873C5"/>
    <w:rsid w:val="643B228F"/>
    <w:rsid w:val="64412796"/>
    <w:rsid w:val="644246CB"/>
    <w:rsid w:val="64487B9B"/>
    <w:rsid w:val="644E1BCF"/>
    <w:rsid w:val="64505BB2"/>
    <w:rsid w:val="645379B5"/>
    <w:rsid w:val="645613DE"/>
    <w:rsid w:val="64562340"/>
    <w:rsid w:val="645962D8"/>
    <w:rsid w:val="645C168D"/>
    <w:rsid w:val="646507D9"/>
    <w:rsid w:val="646549D9"/>
    <w:rsid w:val="646754AC"/>
    <w:rsid w:val="646B1ECE"/>
    <w:rsid w:val="646B7E83"/>
    <w:rsid w:val="646C59A0"/>
    <w:rsid w:val="646D58E0"/>
    <w:rsid w:val="64700044"/>
    <w:rsid w:val="64717168"/>
    <w:rsid w:val="64744FDF"/>
    <w:rsid w:val="64763314"/>
    <w:rsid w:val="64790728"/>
    <w:rsid w:val="647C6CC8"/>
    <w:rsid w:val="647D743B"/>
    <w:rsid w:val="6486074F"/>
    <w:rsid w:val="648A6492"/>
    <w:rsid w:val="648B3FB8"/>
    <w:rsid w:val="64921CC2"/>
    <w:rsid w:val="649D5F25"/>
    <w:rsid w:val="64A059D0"/>
    <w:rsid w:val="64A214CB"/>
    <w:rsid w:val="64A57F17"/>
    <w:rsid w:val="64A70ECC"/>
    <w:rsid w:val="64A77413"/>
    <w:rsid w:val="64A94D86"/>
    <w:rsid w:val="64B13A1E"/>
    <w:rsid w:val="64B16958"/>
    <w:rsid w:val="64B66CA4"/>
    <w:rsid w:val="64B7699F"/>
    <w:rsid w:val="64BD335A"/>
    <w:rsid w:val="64C01EB3"/>
    <w:rsid w:val="64C124AF"/>
    <w:rsid w:val="64C146A5"/>
    <w:rsid w:val="64C611E6"/>
    <w:rsid w:val="64C73242"/>
    <w:rsid w:val="64CB50BC"/>
    <w:rsid w:val="64CC0858"/>
    <w:rsid w:val="64CC2B58"/>
    <w:rsid w:val="64D27AC2"/>
    <w:rsid w:val="64D611A6"/>
    <w:rsid w:val="64DA7159"/>
    <w:rsid w:val="64DD686B"/>
    <w:rsid w:val="64E13483"/>
    <w:rsid w:val="64E82958"/>
    <w:rsid w:val="64EE6835"/>
    <w:rsid w:val="64F1206D"/>
    <w:rsid w:val="64F13811"/>
    <w:rsid w:val="64F27596"/>
    <w:rsid w:val="64F953C5"/>
    <w:rsid w:val="64FA3C26"/>
    <w:rsid w:val="6507106A"/>
    <w:rsid w:val="65085F18"/>
    <w:rsid w:val="650B2F54"/>
    <w:rsid w:val="65117C00"/>
    <w:rsid w:val="65150612"/>
    <w:rsid w:val="651A6F56"/>
    <w:rsid w:val="651C76EC"/>
    <w:rsid w:val="651D29FB"/>
    <w:rsid w:val="651E6BDA"/>
    <w:rsid w:val="651F18C8"/>
    <w:rsid w:val="65206DF6"/>
    <w:rsid w:val="65293EFC"/>
    <w:rsid w:val="652A557F"/>
    <w:rsid w:val="652B5768"/>
    <w:rsid w:val="653434CD"/>
    <w:rsid w:val="65345D2E"/>
    <w:rsid w:val="65357ADB"/>
    <w:rsid w:val="6536135B"/>
    <w:rsid w:val="65385EEE"/>
    <w:rsid w:val="65440528"/>
    <w:rsid w:val="65444892"/>
    <w:rsid w:val="65482C37"/>
    <w:rsid w:val="655340BC"/>
    <w:rsid w:val="655512DA"/>
    <w:rsid w:val="65556197"/>
    <w:rsid w:val="65580442"/>
    <w:rsid w:val="65591F7B"/>
    <w:rsid w:val="655A5E64"/>
    <w:rsid w:val="655D56B3"/>
    <w:rsid w:val="655D5954"/>
    <w:rsid w:val="6562530D"/>
    <w:rsid w:val="6565702A"/>
    <w:rsid w:val="656626FA"/>
    <w:rsid w:val="65674629"/>
    <w:rsid w:val="656B62C3"/>
    <w:rsid w:val="656C208F"/>
    <w:rsid w:val="656C422F"/>
    <w:rsid w:val="656D2107"/>
    <w:rsid w:val="656D2A2B"/>
    <w:rsid w:val="656F0561"/>
    <w:rsid w:val="656F62D4"/>
    <w:rsid w:val="65704A7B"/>
    <w:rsid w:val="657368BA"/>
    <w:rsid w:val="657C227E"/>
    <w:rsid w:val="657F31E2"/>
    <w:rsid w:val="6588414C"/>
    <w:rsid w:val="658F5D67"/>
    <w:rsid w:val="6590531D"/>
    <w:rsid w:val="65984BDE"/>
    <w:rsid w:val="659E2641"/>
    <w:rsid w:val="65A04022"/>
    <w:rsid w:val="65A11326"/>
    <w:rsid w:val="65A9401C"/>
    <w:rsid w:val="65B20CDB"/>
    <w:rsid w:val="65B35574"/>
    <w:rsid w:val="65B747E6"/>
    <w:rsid w:val="65C21B14"/>
    <w:rsid w:val="65C2493F"/>
    <w:rsid w:val="65C35855"/>
    <w:rsid w:val="65C60574"/>
    <w:rsid w:val="65C618E2"/>
    <w:rsid w:val="65C65DFC"/>
    <w:rsid w:val="65CC737D"/>
    <w:rsid w:val="65CE0600"/>
    <w:rsid w:val="65CE70EA"/>
    <w:rsid w:val="65D11CC9"/>
    <w:rsid w:val="65D76F94"/>
    <w:rsid w:val="65D8322D"/>
    <w:rsid w:val="65DD59F5"/>
    <w:rsid w:val="65DE4DBC"/>
    <w:rsid w:val="65E262F0"/>
    <w:rsid w:val="65E9368C"/>
    <w:rsid w:val="65E96FB8"/>
    <w:rsid w:val="65EE3E3B"/>
    <w:rsid w:val="65EE47FE"/>
    <w:rsid w:val="65EE7FC1"/>
    <w:rsid w:val="65F24288"/>
    <w:rsid w:val="65F25956"/>
    <w:rsid w:val="65F311B5"/>
    <w:rsid w:val="65F75DA9"/>
    <w:rsid w:val="660A266E"/>
    <w:rsid w:val="660C2F51"/>
    <w:rsid w:val="660C696E"/>
    <w:rsid w:val="660F4027"/>
    <w:rsid w:val="661269E4"/>
    <w:rsid w:val="6616155C"/>
    <w:rsid w:val="661640B1"/>
    <w:rsid w:val="6618290C"/>
    <w:rsid w:val="661E0ABD"/>
    <w:rsid w:val="662033CE"/>
    <w:rsid w:val="66231B64"/>
    <w:rsid w:val="66263F98"/>
    <w:rsid w:val="662A3575"/>
    <w:rsid w:val="6630312C"/>
    <w:rsid w:val="6639183A"/>
    <w:rsid w:val="66397EE6"/>
    <w:rsid w:val="663A3697"/>
    <w:rsid w:val="663A3F34"/>
    <w:rsid w:val="664803B2"/>
    <w:rsid w:val="66482160"/>
    <w:rsid w:val="66484E0C"/>
    <w:rsid w:val="664F56E6"/>
    <w:rsid w:val="665178FB"/>
    <w:rsid w:val="66551203"/>
    <w:rsid w:val="6659364A"/>
    <w:rsid w:val="665F6DDE"/>
    <w:rsid w:val="66621295"/>
    <w:rsid w:val="66644DF5"/>
    <w:rsid w:val="66657F9B"/>
    <w:rsid w:val="66681210"/>
    <w:rsid w:val="666F1DE3"/>
    <w:rsid w:val="666F3B91"/>
    <w:rsid w:val="667167D1"/>
    <w:rsid w:val="667967BE"/>
    <w:rsid w:val="667B1085"/>
    <w:rsid w:val="667E5B82"/>
    <w:rsid w:val="66846F11"/>
    <w:rsid w:val="66861C46"/>
    <w:rsid w:val="66872C6C"/>
    <w:rsid w:val="66894BC4"/>
    <w:rsid w:val="66894BEB"/>
    <w:rsid w:val="668A09CB"/>
    <w:rsid w:val="668C014D"/>
    <w:rsid w:val="668E3529"/>
    <w:rsid w:val="66925E1D"/>
    <w:rsid w:val="6696140D"/>
    <w:rsid w:val="669658EE"/>
    <w:rsid w:val="669727D3"/>
    <w:rsid w:val="66990C0E"/>
    <w:rsid w:val="66991D50"/>
    <w:rsid w:val="669929BC"/>
    <w:rsid w:val="66A331E7"/>
    <w:rsid w:val="66A42859"/>
    <w:rsid w:val="66A64FA3"/>
    <w:rsid w:val="66AC520C"/>
    <w:rsid w:val="66B12C3F"/>
    <w:rsid w:val="66B426A9"/>
    <w:rsid w:val="66B71094"/>
    <w:rsid w:val="66BB2D7B"/>
    <w:rsid w:val="66BB411C"/>
    <w:rsid w:val="66BB4BE8"/>
    <w:rsid w:val="66BE16E0"/>
    <w:rsid w:val="66BF597C"/>
    <w:rsid w:val="66C36E40"/>
    <w:rsid w:val="66CA49C4"/>
    <w:rsid w:val="66D954AE"/>
    <w:rsid w:val="66D96753"/>
    <w:rsid w:val="66DF6401"/>
    <w:rsid w:val="66E1073F"/>
    <w:rsid w:val="66E10D66"/>
    <w:rsid w:val="66E22EDB"/>
    <w:rsid w:val="66E52E22"/>
    <w:rsid w:val="66E6231C"/>
    <w:rsid w:val="66E705D9"/>
    <w:rsid w:val="66EA1EFB"/>
    <w:rsid w:val="66EC3434"/>
    <w:rsid w:val="66EC4FC3"/>
    <w:rsid w:val="66EC51E2"/>
    <w:rsid w:val="66EC75C1"/>
    <w:rsid w:val="66ED23FB"/>
    <w:rsid w:val="66F606AE"/>
    <w:rsid w:val="66FC2629"/>
    <w:rsid w:val="66FC31EF"/>
    <w:rsid w:val="66FD13FE"/>
    <w:rsid w:val="670544F5"/>
    <w:rsid w:val="670964B1"/>
    <w:rsid w:val="670D4305"/>
    <w:rsid w:val="670E0B54"/>
    <w:rsid w:val="670E731B"/>
    <w:rsid w:val="67185FD7"/>
    <w:rsid w:val="67195BDD"/>
    <w:rsid w:val="671B4C60"/>
    <w:rsid w:val="671C049D"/>
    <w:rsid w:val="671E087F"/>
    <w:rsid w:val="67220595"/>
    <w:rsid w:val="67264120"/>
    <w:rsid w:val="672713CF"/>
    <w:rsid w:val="67297B5D"/>
    <w:rsid w:val="672A4303"/>
    <w:rsid w:val="672E721B"/>
    <w:rsid w:val="673528D0"/>
    <w:rsid w:val="67390A4E"/>
    <w:rsid w:val="673E681D"/>
    <w:rsid w:val="67404958"/>
    <w:rsid w:val="67486190"/>
    <w:rsid w:val="67491E01"/>
    <w:rsid w:val="674956D0"/>
    <w:rsid w:val="674B39A2"/>
    <w:rsid w:val="674E4785"/>
    <w:rsid w:val="67562A34"/>
    <w:rsid w:val="67562C61"/>
    <w:rsid w:val="675A2DE0"/>
    <w:rsid w:val="675A37D7"/>
    <w:rsid w:val="675D7E8D"/>
    <w:rsid w:val="676163FD"/>
    <w:rsid w:val="67647E76"/>
    <w:rsid w:val="67650C5A"/>
    <w:rsid w:val="67654F94"/>
    <w:rsid w:val="67671B4F"/>
    <w:rsid w:val="67697250"/>
    <w:rsid w:val="67736049"/>
    <w:rsid w:val="677447C6"/>
    <w:rsid w:val="6775060D"/>
    <w:rsid w:val="67782356"/>
    <w:rsid w:val="677B0266"/>
    <w:rsid w:val="6785752C"/>
    <w:rsid w:val="678928DB"/>
    <w:rsid w:val="678E0047"/>
    <w:rsid w:val="67937692"/>
    <w:rsid w:val="679D101F"/>
    <w:rsid w:val="67A47E70"/>
    <w:rsid w:val="67A535E2"/>
    <w:rsid w:val="67A72718"/>
    <w:rsid w:val="67B10C2F"/>
    <w:rsid w:val="67B116EE"/>
    <w:rsid w:val="67B657F0"/>
    <w:rsid w:val="67B70710"/>
    <w:rsid w:val="67BC08BC"/>
    <w:rsid w:val="67BD73E8"/>
    <w:rsid w:val="67C00465"/>
    <w:rsid w:val="67C53719"/>
    <w:rsid w:val="67CE0D8B"/>
    <w:rsid w:val="67CF5116"/>
    <w:rsid w:val="67D01241"/>
    <w:rsid w:val="67D34770"/>
    <w:rsid w:val="67D6379C"/>
    <w:rsid w:val="67D77C40"/>
    <w:rsid w:val="67D8462D"/>
    <w:rsid w:val="67D9201D"/>
    <w:rsid w:val="67DC5230"/>
    <w:rsid w:val="67DE3759"/>
    <w:rsid w:val="67E34A62"/>
    <w:rsid w:val="67E66778"/>
    <w:rsid w:val="67EC2FBF"/>
    <w:rsid w:val="68004140"/>
    <w:rsid w:val="68056011"/>
    <w:rsid w:val="680774E2"/>
    <w:rsid w:val="680B6DE8"/>
    <w:rsid w:val="681124FD"/>
    <w:rsid w:val="68130230"/>
    <w:rsid w:val="68130BFB"/>
    <w:rsid w:val="68142EF1"/>
    <w:rsid w:val="681755A7"/>
    <w:rsid w:val="681D003D"/>
    <w:rsid w:val="682328F6"/>
    <w:rsid w:val="682471D7"/>
    <w:rsid w:val="682978C8"/>
    <w:rsid w:val="682A51AE"/>
    <w:rsid w:val="682C7E23"/>
    <w:rsid w:val="682D040A"/>
    <w:rsid w:val="682D5AB2"/>
    <w:rsid w:val="68305CF1"/>
    <w:rsid w:val="683773C6"/>
    <w:rsid w:val="683C3F47"/>
    <w:rsid w:val="68407F3A"/>
    <w:rsid w:val="684954F3"/>
    <w:rsid w:val="684D680A"/>
    <w:rsid w:val="684F3BD0"/>
    <w:rsid w:val="684F484A"/>
    <w:rsid w:val="68541456"/>
    <w:rsid w:val="68542FB8"/>
    <w:rsid w:val="685A617B"/>
    <w:rsid w:val="685B3242"/>
    <w:rsid w:val="68617C05"/>
    <w:rsid w:val="686478F5"/>
    <w:rsid w:val="686A0AB4"/>
    <w:rsid w:val="686A2219"/>
    <w:rsid w:val="687069C7"/>
    <w:rsid w:val="68721150"/>
    <w:rsid w:val="687423D4"/>
    <w:rsid w:val="68746FA1"/>
    <w:rsid w:val="687515C2"/>
    <w:rsid w:val="687C45D0"/>
    <w:rsid w:val="687D69EF"/>
    <w:rsid w:val="687E156E"/>
    <w:rsid w:val="68820399"/>
    <w:rsid w:val="68835CD9"/>
    <w:rsid w:val="68850A0C"/>
    <w:rsid w:val="68891B98"/>
    <w:rsid w:val="6890730D"/>
    <w:rsid w:val="68916EBF"/>
    <w:rsid w:val="689A0C6D"/>
    <w:rsid w:val="689F713F"/>
    <w:rsid w:val="68A35D74"/>
    <w:rsid w:val="68A613C0"/>
    <w:rsid w:val="68B640CB"/>
    <w:rsid w:val="68B67CF7"/>
    <w:rsid w:val="68BD62F8"/>
    <w:rsid w:val="68C302B9"/>
    <w:rsid w:val="68C31739"/>
    <w:rsid w:val="68C74910"/>
    <w:rsid w:val="68C804DB"/>
    <w:rsid w:val="68CA77A4"/>
    <w:rsid w:val="68CC4E6E"/>
    <w:rsid w:val="68CF4DBB"/>
    <w:rsid w:val="68CF7246"/>
    <w:rsid w:val="68D34336"/>
    <w:rsid w:val="68D74CE3"/>
    <w:rsid w:val="68DA27F3"/>
    <w:rsid w:val="68DB3760"/>
    <w:rsid w:val="68DC4DE2"/>
    <w:rsid w:val="68E3245D"/>
    <w:rsid w:val="68E80438"/>
    <w:rsid w:val="68E87C2B"/>
    <w:rsid w:val="68EA585E"/>
    <w:rsid w:val="68EA746C"/>
    <w:rsid w:val="68EE5B69"/>
    <w:rsid w:val="68EF6EE2"/>
    <w:rsid w:val="68F11942"/>
    <w:rsid w:val="68F14D31"/>
    <w:rsid w:val="68F51DB6"/>
    <w:rsid w:val="68F73421"/>
    <w:rsid w:val="68FC41F3"/>
    <w:rsid w:val="69046090"/>
    <w:rsid w:val="69076ADD"/>
    <w:rsid w:val="69081040"/>
    <w:rsid w:val="690E610D"/>
    <w:rsid w:val="691479E5"/>
    <w:rsid w:val="69160A30"/>
    <w:rsid w:val="69205616"/>
    <w:rsid w:val="692075BE"/>
    <w:rsid w:val="6927411D"/>
    <w:rsid w:val="692C0EDF"/>
    <w:rsid w:val="692C5D11"/>
    <w:rsid w:val="693437F6"/>
    <w:rsid w:val="69361FF9"/>
    <w:rsid w:val="693F1FE4"/>
    <w:rsid w:val="694109E6"/>
    <w:rsid w:val="69474E37"/>
    <w:rsid w:val="69492010"/>
    <w:rsid w:val="695670DC"/>
    <w:rsid w:val="695750AF"/>
    <w:rsid w:val="69643755"/>
    <w:rsid w:val="69653029"/>
    <w:rsid w:val="6965582B"/>
    <w:rsid w:val="69674FF3"/>
    <w:rsid w:val="696A3AC0"/>
    <w:rsid w:val="696F0309"/>
    <w:rsid w:val="696F20FA"/>
    <w:rsid w:val="69705B32"/>
    <w:rsid w:val="697069D6"/>
    <w:rsid w:val="69787200"/>
    <w:rsid w:val="697B45FB"/>
    <w:rsid w:val="697E2871"/>
    <w:rsid w:val="69852275"/>
    <w:rsid w:val="69867637"/>
    <w:rsid w:val="6987095D"/>
    <w:rsid w:val="698711F2"/>
    <w:rsid w:val="698935C0"/>
    <w:rsid w:val="698A025C"/>
    <w:rsid w:val="698C1570"/>
    <w:rsid w:val="6992469E"/>
    <w:rsid w:val="6994430D"/>
    <w:rsid w:val="6996107F"/>
    <w:rsid w:val="69962050"/>
    <w:rsid w:val="699B2906"/>
    <w:rsid w:val="699B4C9D"/>
    <w:rsid w:val="699D6BDF"/>
    <w:rsid w:val="69A1069E"/>
    <w:rsid w:val="69A37F5C"/>
    <w:rsid w:val="69A47FF6"/>
    <w:rsid w:val="69A55DAA"/>
    <w:rsid w:val="69A7402E"/>
    <w:rsid w:val="69A960A1"/>
    <w:rsid w:val="69AA3132"/>
    <w:rsid w:val="69B05D54"/>
    <w:rsid w:val="69B1626F"/>
    <w:rsid w:val="69B23B62"/>
    <w:rsid w:val="69B63885"/>
    <w:rsid w:val="69BC3C21"/>
    <w:rsid w:val="69BF098B"/>
    <w:rsid w:val="69C20043"/>
    <w:rsid w:val="69C826A1"/>
    <w:rsid w:val="69C94386"/>
    <w:rsid w:val="69C949A4"/>
    <w:rsid w:val="69CA35A4"/>
    <w:rsid w:val="69CE3EE1"/>
    <w:rsid w:val="69D23D08"/>
    <w:rsid w:val="69D30A0C"/>
    <w:rsid w:val="69D61DBC"/>
    <w:rsid w:val="69D7233F"/>
    <w:rsid w:val="69D9102B"/>
    <w:rsid w:val="69DA57C5"/>
    <w:rsid w:val="69DA721A"/>
    <w:rsid w:val="69DC569B"/>
    <w:rsid w:val="69E421A0"/>
    <w:rsid w:val="69E76134"/>
    <w:rsid w:val="69EA1D90"/>
    <w:rsid w:val="69EC2F4C"/>
    <w:rsid w:val="69F12EA6"/>
    <w:rsid w:val="69F66377"/>
    <w:rsid w:val="69F92903"/>
    <w:rsid w:val="69FA7873"/>
    <w:rsid w:val="69FC4669"/>
    <w:rsid w:val="69FD7893"/>
    <w:rsid w:val="6A015FEF"/>
    <w:rsid w:val="6A046029"/>
    <w:rsid w:val="6A072332"/>
    <w:rsid w:val="6A100787"/>
    <w:rsid w:val="6A14250A"/>
    <w:rsid w:val="6A15460F"/>
    <w:rsid w:val="6A1908DC"/>
    <w:rsid w:val="6A2073DE"/>
    <w:rsid w:val="6A2A6814"/>
    <w:rsid w:val="6A2D5072"/>
    <w:rsid w:val="6A3205E4"/>
    <w:rsid w:val="6A325136"/>
    <w:rsid w:val="6A3264CC"/>
    <w:rsid w:val="6A355CBF"/>
    <w:rsid w:val="6A37046F"/>
    <w:rsid w:val="6A387DFC"/>
    <w:rsid w:val="6A3A4A86"/>
    <w:rsid w:val="6A3F7D1E"/>
    <w:rsid w:val="6A48619E"/>
    <w:rsid w:val="6A4C3424"/>
    <w:rsid w:val="6A4E73DC"/>
    <w:rsid w:val="6A51320A"/>
    <w:rsid w:val="6A51544F"/>
    <w:rsid w:val="6A5B3DFF"/>
    <w:rsid w:val="6A5C391F"/>
    <w:rsid w:val="6A5D01A4"/>
    <w:rsid w:val="6A5F5EA6"/>
    <w:rsid w:val="6A5F7EF0"/>
    <w:rsid w:val="6A633A0D"/>
    <w:rsid w:val="6A6509FA"/>
    <w:rsid w:val="6A684DAE"/>
    <w:rsid w:val="6A6B1D0C"/>
    <w:rsid w:val="6A700969"/>
    <w:rsid w:val="6A701B1F"/>
    <w:rsid w:val="6A72160B"/>
    <w:rsid w:val="6A724877"/>
    <w:rsid w:val="6A750FF0"/>
    <w:rsid w:val="6A7E5269"/>
    <w:rsid w:val="6A865571"/>
    <w:rsid w:val="6A8B08AC"/>
    <w:rsid w:val="6A8B42F1"/>
    <w:rsid w:val="6A8D6CDC"/>
    <w:rsid w:val="6A921342"/>
    <w:rsid w:val="6A930CBE"/>
    <w:rsid w:val="6A9E7F18"/>
    <w:rsid w:val="6AA048F1"/>
    <w:rsid w:val="6AA66A23"/>
    <w:rsid w:val="6AA83588"/>
    <w:rsid w:val="6AA90E48"/>
    <w:rsid w:val="6AAF6C52"/>
    <w:rsid w:val="6AB20E0F"/>
    <w:rsid w:val="6AB50DF1"/>
    <w:rsid w:val="6AB565F2"/>
    <w:rsid w:val="6AB62CB6"/>
    <w:rsid w:val="6AB93D41"/>
    <w:rsid w:val="6ABA6EF4"/>
    <w:rsid w:val="6ABB6100"/>
    <w:rsid w:val="6ABD109F"/>
    <w:rsid w:val="6ABF3336"/>
    <w:rsid w:val="6ABF4DAA"/>
    <w:rsid w:val="6AC364A4"/>
    <w:rsid w:val="6AD032E8"/>
    <w:rsid w:val="6AD16C8B"/>
    <w:rsid w:val="6AD20B92"/>
    <w:rsid w:val="6AD322BF"/>
    <w:rsid w:val="6AD93CCF"/>
    <w:rsid w:val="6ADF1321"/>
    <w:rsid w:val="6AE46A29"/>
    <w:rsid w:val="6AE9098B"/>
    <w:rsid w:val="6AEC0869"/>
    <w:rsid w:val="6AEC3D2A"/>
    <w:rsid w:val="6AEC6B4E"/>
    <w:rsid w:val="6AEF2842"/>
    <w:rsid w:val="6AEF2D5B"/>
    <w:rsid w:val="6AF43FAC"/>
    <w:rsid w:val="6AF44764"/>
    <w:rsid w:val="6AF54717"/>
    <w:rsid w:val="6AF56E4A"/>
    <w:rsid w:val="6AF705F9"/>
    <w:rsid w:val="6B0B6C1B"/>
    <w:rsid w:val="6B0C5E52"/>
    <w:rsid w:val="6B0D5287"/>
    <w:rsid w:val="6B1169F9"/>
    <w:rsid w:val="6B14354A"/>
    <w:rsid w:val="6B1765A5"/>
    <w:rsid w:val="6B186E44"/>
    <w:rsid w:val="6B190515"/>
    <w:rsid w:val="6B1A2FDC"/>
    <w:rsid w:val="6B1B1433"/>
    <w:rsid w:val="6B1D03FD"/>
    <w:rsid w:val="6B22166D"/>
    <w:rsid w:val="6B2219F7"/>
    <w:rsid w:val="6B2313EE"/>
    <w:rsid w:val="6B256F14"/>
    <w:rsid w:val="6B281815"/>
    <w:rsid w:val="6B2972FC"/>
    <w:rsid w:val="6B2E5C84"/>
    <w:rsid w:val="6B32518D"/>
    <w:rsid w:val="6B340F05"/>
    <w:rsid w:val="6B342947"/>
    <w:rsid w:val="6B355B93"/>
    <w:rsid w:val="6B39651C"/>
    <w:rsid w:val="6B3A1E5E"/>
    <w:rsid w:val="6B3A6865"/>
    <w:rsid w:val="6B3B4B64"/>
    <w:rsid w:val="6B3D73FB"/>
    <w:rsid w:val="6B401165"/>
    <w:rsid w:val="6B421874"/>
    <w:rsid w:val="6B455C57"/>
    <w:rsid w:val="6B4C5BEE"/>
    <w:rsid w:val="6B4D5D81"/>
    <w:rsid w:val="6B51565C"/>
    <w:rsid w:val="6B5415A7"/>
    <w:rsid w:val="6B5875B3"/>
    <w:rsid w:val="6B5972AA"/>
    <w:rsid w:val="6B64181A"/>
    <w:rsid w:val="6B657311"/>
    <w:rsid w:val="6B662BA7"/>
    <w:rsid w:val="6B6B2AE0"/>
    <w:rsid w:val="6B6E578F"/>
    <w:rsid w:val="6B704B14"/>
    <w:rsid w:val="6B76151E"/>
    <w:rsid w:val="6B7A07FC"/>
    <w:rsid w:val="6B80414A"/>
    <w:rsid w:val="6B8326DF"/>
    <w:rsid w:val="6B841E8D"/>
    <w:rsid w:val="6B8452A6"/>
    <w:rsid w:val="6B851547"/>
    <w:rsid w:val="6B871CF0"/>
    <w:rsid w:val="6B94642D"/>
    <w:rsid w:val="6B9B35CB"/>
    <w:rsid w:val="6B9B7FF2"/>
    <w:rsid w:val="6BA03510"/>
    <w:rsid w:val="6BA5443D"/>
    <w:rsid w:val="6BA979DF"/>
    <w:rsid w:val="6BAC3F89"/>
    <w:rsid w:val="6BAE318D"/>
    <w:rsid w:val="6BAF40B2"/>
    <w:rsid w:val="6BB22E5F"/>
    <w:rsid w:val="6BB31CC1"/>
    <w:rsid w:val="6BB410F1"/>
    <w:rsid w:val="6BB43D54"/>
    <w:rsid w:val="6BB52B1F"/>
    <w:rsid w:val="6BBC35DE"/>
    <w:rsid w:val="6BC21BF5"/>
    <w:rsid w:val="6BCD7EBB"/>
    <w:rsid w:val="6BD3601F"/>
    <w:rsid w:val="6BDC4C6E"/>
    <w:rsid w:val="6BDD159D"/>
    <w:rsid w:val="6BDD46E3"/>
    <w:rsid w:val="6BDF3567"/>
    <w:rsid w:val="6BE10F68"/>
    <w:rsid w:val="6BE11186"/>
    <w:rsid w:val="6BE82D19"/>
    <w:rsid w:val="6BE90881"/>
    <w:rsid w:val="6BE97B6E"/>
    <w:rsid w:val="6BEC06D3"/>
    <w:rsid w:val="6BEE37AA"/>
    <w:rsid w:val="6BF12DD8"/>
    <w:rsid w:val="6BF84522"/>
    <w:rsid w:val="6BFC7C1C"/>
    <w:rsid w:val="6BFE5F0F"/>
    <w:rsid w:val="6BFF1F68"/>
    <w:rsid w:val="6BFF59B7"/>
    <w:rsid w:val="6C092392"/>
    <w:rsid w:val="6C0C59DE"/>
    <w:rsid w:val="6C1345C6"/>
    <w:rsid w:val="6C18455E"/>
    <w:rsid w:val="6C342C19"/>
    <w:rsid w:val="6C347406"/>
    <w:rsid w:val="6C350CA3"/>
    <w:rsid w:val="6C360C9D"/>
    <w:rsid w:val="6C460BA8"/>
    <w:rsid w:val="6C4A1A14"/>
    <w:rsid w:val="6C4F02F4"/>
    <w:rsid w:val="6C507881"/>
    <w:rsid w:val="6C557385"/>
    <w:rsid w:val="6C5F1FB2"/>
    <w:rsid w:val="6C613F7C"/>
    <w:rsid w:val="6C621AA2"/>
    <w:rsid w:val="6C644BDB"/>
    <w:rsid w:val="6C650B6D"/>
    <w:rsid w:val="6C657179"/>
    <w:rsid w:val="6C6802A9"/>
    <w:rsid w:val="6C692AAD"/>
    <w:rsid w:val="6C6972D4"/>
    <w:rsid w:val="6C6A4059"/>
    <w:rsid w:val="6C755C79"/>
    <w:rsid w:val="6C765F89"/>
    <w:rsid w:val="6C7A3290"/>
    <w:rsid w:val="6C7D40F6"/>
    <w:rsid w:val="6C7F0515"/>
    <w:rsid w:val="6C81636B"/>
    <w:rsid w:val="6C844451"/>
    <w:rsid w:val="6C853749"/>
    <w:rsid w:val="6C8668C3"/>
    <w:rsid w:val="6C88775B"/>
    <w:rsid w:val="6C8971E4"/>
    <w:rsid w:val="6C8C45E8"/>
    <w:rsid w:val="6C8D4A25"/>
    <w:rsid w:val="6C941004"/>
    <w:rsid w:val="6C981AA1"/>
    <w:rsid w:val="6C994904"/>
    <w:rsid w:val="6C9C6D62"/>
    <w:rsid w:val="6CA57F05"/>
    <w:rsid w:val="6CA60819"/>
    <w:rsid w:val="6CAA08FF"/>
    <w:rsid w:val="6CB17F43"/>
    <w:rsid w:val="6CB36CA1"/>
    <w:rsid w:val="6CB4218E"/>
    <w:rsid w:val="6CB50F1D"/>
    <w:rsid w:val="6CB54866"/>
    <w:rsid w:val="6CB8449D"/>
    <w:rsid w:val="6CBB2680"/>
    <w:rsid w:val="6CBD7D2C"/>
    <w:rsid w:val="6CBF010D"/>
    <w:rsid w:val="6CBF4286"/>
    <w:rsid w:val="6CC87B57"/>
    <w:rsid w:val="6CCB099F"/>
    <w:rsid w:val="6CCD4AE9"/>
    <w:rsid w:val="6CCF7EE0"/>
    <w:rsid w:val="6CD9454E"/>
    <w:rsid w:val="6CDA5ADC"/>
    <w:rsid w:val="6CDE147E"/>
    <w:rsid w:val="6CDF7672"/>
    <w:rsid w:val="6CE0533D"/>
    <w:rsid w:val="6CE10E36"/>
    <w:rsid w:val="6CE72419"/>
    <w:rsid w:val="6CE7615C"/>
    <w:rsid w:val="6CEA6F45"/>
    <w:rsid w:val="6CEB06A7"/>
    <w:rsid w:val="6CEB2A7E"/>
    <w:rsid w:val="6CED7888"/>
    <w:rsid w:val="6CEE2D58"/>
    <w:rsid w:val="6CF23DD5"/>
    <w:rsid w:val="6CF52916"/>
    <w:rsid w:val="6D000590"/>
    <w:rsid w:val="6D06277A"/>
    <w:rsid w:val="6D0A081D"/>
    <w:rsid w:val="6D0B2395"/>
    <w:rsid w:val="6D0C2CAE"/>
    <w:rsid w:val="6D102048"/>
    <w:rsid w:val="6D11236D"/>
    <w:rsid w:val="6D182877"/>
    <w:rsid w:val="6D1B49A3"/>
    <w:rsid w:val="6D1C63FE"/>
    <w:rsid w:val="6D1D6177"/>
    <w:rsid w:val="6D2167AB"/>
    <w:rsid w:val="6D260D22"/>
    <w:rsid w:val="6D2A4C41"/>
    <w:rsid w:val="6D2C384B"/>
    <w:rsid w:val="6D2C5A42"/>
    <w:rsid w:val="6D301BA0"/>
    <w:rsid w:val="6D3171FA"/>
    <w:rsid w:val="6D33104D"/>
    <w:rsid w:val="6D352481"/>
    <w:rsid w:val="6D367450"/>
    <w:rsid w:val="6D3C2C8D"/>
    <w:rsid w:val="6D3F7D7D"/>
    <w:rsid w:val="6D4136C5"/>
    <w:rsid w:val="6D435538"/>
    <w:rsid w:val="6D44393C"/>
    <w:rsid w:val="6D45084F"/>
    <w:rsid w:val="6D485F0B"/>
    <w:rsid w:val="6D4B1CD0"/>
    <w:rsid w:val="6D5128ED"/>
    <w:rsid w:val="6D546114"/>
    <w:rsid w:val="6D582C4D"/>
    <w:rsid w:val="6D5F4AD8"/>
    <w:rsid w:val="6D635C5E"/>
    <w:rsid w:val="6D680548"/>
    <w:rsid w:val="6D6A50B2"/>
    <w:rsid w:val="6D6C2449"/>
    <w:rsid w:val="6D6C503B"/>
    <w:rsid w:val="6D747729"/>
    <w:rsid w:val="6D7743A6"/>
    <w:rsid w:val="6D791C7E"/>
    <w:rsid w:val="6D7C27F8"/>
    <w:rsid w:val="6D7F02BA"/>
    <w:rsid w:val="6D8103A7"/>
    <w:rsid w:val="6D81440D"/>
    <w:rsid w:val="6D836319"/>
    <w:rsid w:val="6D8B24B9"/>
    <w:rsid w:val="6D8C550F"/>
    <w:rsid w:val="6D8E7482"/>
    <w:rsid w:val="6D8F4B19"/>
    <w:rsid w:val="6D904C4E"/>
    <w:rsid w:val="6D913384"/>
    <w:rsid w:val="6D9133E9"/>
    <w:rsid w:val="6D974009"/>
    <w:rsid w:val="6D980CD4"/>
    <w:rsid w:val="6D982DEC"/>
    <w:rsid w:val="6D992BE2"/>
    <w:rsid w:val="6D9B526C"/>
    <w:rsid w:val="6DA11ABB"/>
    <w:rsid w:val="6DA5433C"/>
    <w:rsid w:val="6DA66712"/>
    <w:rsid w:val="6DA92440"/>
    <w:rsid w:val="6DAC1227"/>
    <w:rsid w:val="6DB52FCE"/>
    <w:rsid w:val="6DB8667B"/>
    <w:rsid w:val="6DBD23E7"/>
    <w:rsid w:val="6DC11AB0"/>
    <w:rsid w:val="6DC17062"/>
    <w:rsid w:val="6DC22492"/>
    <w:rsid w:val="6DC739B9"/>
    <w:rsid w:val="6DCC18C9"/>
    <w:rsid w:val="6DCE1DA6"/>
    <w:rsid w:val="6DD10C8D"/>
    <w:rsid w:val="6DD62748"/>
    <w:rsid w:val="6DD71A48"/>
    <w:rsid w:val="6DDB1B0C"/>
    <w:rsid w:val="6DE174F1"/>
    <w:rsid w:val="6DE60E90"/>
    <w:rsid w:val="6DE739D0"/>
    <w:rsid w:val="6DEE383C"/>
    <w:rsid w:val="6DF160C2"/>
    <w:rsid w:val="6DF4356A"/>
    <w:rsid w:val="6DF826BE"/>
    <w:rsid w:val="6DFD5F26"/>
    <w:rsid w:val="6DFE57FA"/>
    <w:rsid w:val="6DFF15FF"/>
    <w:rsid w:val="6E076DA5"/>
    <w:rsid w:val="6E0978B1"/>
    <w:rsid w:val="6E0E14A5"/>
    <w:rsid w:val="6E1374F8"/>
    <w:rsid w:val="6E1B199E"/>
    <w:rsid w:val="6E1E59EC"/>
    <w:rsid w:val="6E1F6147"/>
    <w:rsid w:val="6E1F72FF"/>
    <w:rsid w:val="6E215587"/>
    <w:rsid w:val="6E216090"/>
    <w:rsid w:val="6E2434B3"/>
    <w:rsid w:val="6E254A5E"/>
    <w:rsid w:val="6E2734F4"/>
    <w:rsid w:val="6E2A4841"/>
    <w:rsid w:val="6E3851B0"/>
    <w:rsid w:val="6E3D6B2B"/>
    <w:rsid w:val="6E3F0B0A"/>
    <w:rsid w:val="6E4951ED"/>
    <w:rsid w:val="6E4E1555"/>
    <w:rsid w:val="6E503993"/>
    <w:rsid w:val="6E5306C4"/>
    <w:rsid w:val="6E533D98"/>
    <w:rsid w:val="6E535833"/>
    <w:rsid w:val="6E5973C9"/>
    <w:rsid w:val="6E6A7988"/>
    <w:rsid w:val="6E6B2B77"/>
    <w:rsid w:val="6E6B2EDB"/>
    <w:rsid w:val="6E6C2DF0"/>
    <w:rsid w:val="6E6C7EF3"/>
    <w:rsid w:val="6E70494A"/>
    <w:rsid w:val="6E7066F8"/>
    <w:rsid w:val="6E7147F8"/>
    <w:rsid w:val="6E740549"/>
    <w:rsid w:val="6E785035"/>
    <w:rsid w:val="6E7871DA"/>
    <w:rsid w:val="6E7B50D6"/>
    <w:rsid w:val="6E7D7FD2"/>
    <w:rsid w:val="6E7E7026"/>
    <w:rsid w:val="6E7E738C"/>
    <w:rsid w:val="6E812EA8"/>
    <w:rsid w:val="6E827FF4"/>
    <w:rsid w:val="6E861EDC"/>
    <w:rsid w:val="6E882180"/>
    <w:rsid w:val="6E932028"/>
    <w:rsid w:val="6E942F90"/>
    <w:rsid w:val="6E9A3775"/>
    <w:rsid w:val="6EA13766"/>
    <w:rsid w:val="6EA32C9D"/>
    <w:rsid w:val="6EA33E17"/>
    <w:rsid w:val="6EA6051F"/>
    <w:rsid w:val="6EA71017"/>
    <w:rsid w:val="6EAE18B9"/>
    <w:rsid w:val="6EB011EB"/>
    <w:rsid w:val="6EB044DB"/>
    <w:rsid w:val="6EB2181E"/>
    <w:rsid w:val="6EB23629"/>
    <w:rsid w:val="6EB32727"/>
    <w:rsid w:val="6EB42481"/>
    <w:rsid w:val="6EB6329A"/>
    <w:rsid w:val="6EB66CF0"/>
    <w:rsid w:val="6EB721CF"/>
    <w:rsid w:val="6EB829D2"/>
    <w:rsid w:val="6EBF31DC"/>
    <w:rsid w:val="6EC23C37"/>
    <w:rsid w:val="6EC47D0F"/>
    <w:rsid w:val="6EC90112"/>
    <w:rsid w:val="6ECA4DFD"/>
    <w:rsid w:val="6ECC59CE"/>
    <w:rsid w:val="6ECF714A"/>
    <w:rsid w:val="6ED12AFD"/>
    <w:rsid w:val="6EE074AC"/>
    <w:rsid w:val="6EE23446"/>
    <w:rsid w:val="6EE3511C"/>
    <w:rsid w:val="6EE822B8"/>
    <w:rsid w:val="6EE92F63"/>
    <w:rsid w:val="6EF03395"/>
    <w:rsid w:val="6EF22FE5"/>
    <w:rsid w:val="6EF71269"/>
    <w:rsid w:val="6EFA39C7"/>
    <w:rsid w:val="6EFA7650"/>
    <w:rsid w:val="6EFB53E0"/>
    <w:rsid w:val="6EFC4430"/>
    <w:rsid w:val="6EFE6CE7"/>
    <w:rsid w:val="6EFF41D7"/>
    <w:rsid w:val="6F0152A3"/>
    <w:rsid w:val="6F016FA5"/>
    <w:rsid w:val="6F0357BE"/>
    <w:rsid w:val="6F056371"/>
    <w:rsid w:val="6F0D3F47"/>
    <w:rsid w:val="6F110FE4"/>
    <w:rsid w:val="6F1654F2"/>
    <w:rsid w:val="6F190575"/>
    <w:rsid w:val="6F1B2B08"/>
    <w:rsid w:val="6F1F43D9"/>
    <w:rsid w:val="6F230A73"/>
    <w:rsid w:val="6F2D6698"/>
    <w:rsid w:val="6F347726"/>
    <w:rsid w:val="6F4437CA"/>
    <w:rsid w:val="6F484F7F"/>
    <w:rsid w:val="6F491923"/>
    <w:rsid w:val="6F4A519B"/>
    <w:rsid w:val="6F5E3207"/>
    <w:rsid w:val="6F5E4F17"/>
    <w:rsid w:val="6F5E66B5"/>
    <w:rsid w:val="6F5F15C8"/>
    <w:rsid w:val="6F604F44"/>
    <w:rsid w:val="6F632BBD"/>
    <w:rsid w:val="6F6618A9"/>
    <w:rsid w:val="6F67421D"/>
    <w:rsid w:val="6F6F58E3"/>
    <w:rsid w:val="6F7270DF"/>
    <w:rsid w:val="6F73060B"/>
    <w:rsid w:val="6F7915DC"/>
    <w:rsid w:val="6F7F353C"/>
    <w:rsid w:val="6F8008DC"/>
    <w:rsid w:val="6F82436C"/>
    <w:rsid w:val="6F83245B"/>
    <w:rsid w:val="6F8422F9"/>
    <w:rsid w:val="6F8D6F79"/>
    <w:rsid w:val="6F9062D1"/>
    <w:rsid w:val="6F946416"/>
    <w:rsid w:val="6F974E54"/>
    <w:rsid w:val="6F9B7800"/>
    <w:rsid w:val="6F9D40B5"/>
    <w:rsid w:val="6FA37AB5"/>
    <w:rsid w:val="6FA42806"/>
    <w:rsid w:val="6FA45ABC"/>
    <w:rsid w:val="6FA614DB"/>
    <w:rsid w:val="6FAD34AA"/>
    <w:rsid w:val="6FB1482D"/>
    <w:rsid w:val="6FB25070"/>
    <w:rsid w:val="6FB37179"/>
    <w:rsid w:val="6FB72D5B"/>
    <w:rsid w:val="6FB8101D"/>
    <w:rsid w:val="6FBC6BB3"/>
    <w:rsid w:val="6FBD61BB"/>
    <w:rsid w:val="6FBE0FE5"/>
    <w:rsid w:val="6FC32FC9"/>
    <w:rsid w:val="6FC860C0"/>
    <w:rsid w:val="6FCA642D"/>
    <w:rsid w:val="6FCC13E2"/>
    <w:rsid w:val="6FD2002B"/>
    <w:rsid w:val="6FD20CED"/>
    <w:rsid w:val="6FD42CB7"/>
    <w:rsid w:val="6FD62C0F"/>
    <w:rsid w:val="6FE62C23"/>
    <w:rsid w:val="6FE80510"/>
    <w:rsid w:val="6FED50BD"/>
    <w:rsid w:val="6FF4110E"/>
    <w:rsid w:val="6FF72778"/>
    <w:rsid w:val="7000457E"/>
    <w:rsid w:val="70041756"/>
    <w:rsid w:val="70052E52"/>
    <w:rsid w:val="70057FB0"/>
    <w:rsid w:val="70113500"/>
    <w:rsid w:val="70164751"/>
    <w:rsid w:val="70165A53"/>
    <w:rsid w:val="701B5529"/>
    <w:rsid w:val="701C582C"/>
    <w:rsid w:val="70205EFC"/>
    <w:rsid w:val="7023522E"/>
    <w:rsid w:val="70284C41"/>
    <w:rsid w:val="702F4DEA"/>
    <w:rsid w:val="703058D4"/>
    <w:rsid w:val="70321911"/>
    <w:rsid w:val="70333E81"/>
    <w:rsid w:val="703379DD"/>
    <w:rsid w:val="704219BB"/>
    <w:rsid w:val="704327AC"/>
    <w:rsid w:val="70463911"/>
    <w:rsid w:val="704E0CBB"/>
    <w:rsid w:val="70514307"/>
    <w:rsid w:val="70534CCD"/>
    <w:rsid w:val="70545373"/>
    <w:rsid w:val="705B15D4"/>
    <w:rsid w:val="705D4A5A"/>
    <w:rsid w:val="706D14C4"/>
    <w:rsid w:val="7071548E"/>
    <w:rsid w:val="707738FE"/>
    <w:rsid w:val="70773F48"/>
    <w:rsid w:val="707A337A"/>
    <w:rsid w:val="707B1500"/>
    <w:rsid w:val="707C19E4"/>
    <w:rsid w:val="707D3EE3"/>
    <w:rsid w:val="70832BAC"/>
    <w:rsid w:val="708642BC"/>
    <w:rsid w:val="70877F57"/>
    <w:rsid w:val="70883186"/>
    <w:rsid w:val="708F162B"/>
    <w:rsid w:val="709320E2"/>
    <w:rsid w:val="709509FE"/>
    <w:rsid w:val="70973394"/>
    <w:rsid w:val="709A3FDE"/>
    <w:rsid w:val="709F1885"/>
    <w:rsid w:val="70A408DB"/>
    <w:rsid w:val="70A55E17"/>
    <w:rsid w:val="70A70ACB"/>
    <w:rsid w:val="70B462F1"/>
    <w:rsid w:val="70B87FE6"/>
    <w:rsid w:val="70B91E85"/>
    <w:rsid w:val="70BA51F8"/>
    <w:rsid w:val="70C0413A"/>
    <w:rsid w:val="70C27353"/>
    <w:rsid w:val="70C544A2"/>
    <w:rsid w:val="70C90342"/>
    <w:rsid w:val="70CC27BD"/>
    <w:rsid w:val="70CF00D6"/>
    <w:rsid w:val="70D51702"/>
    <w:rsid w:val="70D53670"/>
    <w:rsid w:val="70D867D7"/>
    <w:rsid w:val="70DB6CEA"/>
    <w:rsid w:val="70E039D9"/>
    <w:rsid w:val="70E31E79"/>
    <w:rsid w:val="70E932B8"/>
    <w:rsid w:val="70E958AD"/>
    <w:rsid w:val="70EB650A"/>
    <w:rsid w:val="70F27898"/>
    <w:rsid w:val="70F727E4"/>
    <w:rsid w:val="70F76C5D"/>
    <w:rsid w:val="70FB1969"/>
    <w:rsid w:val="70FC035A"/>
    <w:rsid w:val="70FF7F97"/>
    <w:rsid w:val="71015CE7"/>
    <w:rsid w:val="71025602"/>
    <w:rsid w:val="7103226E"/>
    <w:rsid w:val="7103545D"/>
    <w:rsid w:val="710607D2"/>
    <w:rsid w:val="710626E8"/>
    <w:rsid w:val="71075B1A"/>
    <w:rsid w:val="710B32ED"/>
    <w:rsid w:val="710C022E"/>
    <w:rsid w:val="710F61AD"/>
    <w:rsid w:val="710F6D9B"/>
    <w:rsid w:val="711553AB"/>
    <w:rsid w:val="71167202"/>
    <w:rsid w:val="71185F51"/>
    <w:rsid w:val="7123474F"/>
    <w:rsid w:val="712366BE"/>
    <w:rsid w:val="712C1EB1"/>
    <w:rsid w:val="712F6ACB"/>
    <w:rsid w:val="713325D5"/>
    <w:rsid w:val="71351C2D"/>
    <w:rsid w:val="7135307A"/>
    <w:rsid w:val="713779A1"/>
    <w:rsid w:val="71387C65"/>
    <w:rsid w:val="71394FA1"/>
    <w:rsid w:val="713B4AEE"/>
    <w:rsid w:val="713C4FB8"/>
    <w:rsid w:val="713E488C"/>
    <w:rsid w:val="71407548"/>
    <w:rsid w:val="714A76D4"/>
    <w:rsid w:val="714B24D0"/>
    <w:rsid w:val="714D46DB"/>
    <w:rsid w:val="714E4D0A"/>
    <w:rsid w:val="715045BF"/>
    <w:rsid w:val="7154712F"/>
    <w:rsid w:val="7155244F"/>
    <w:rsid w:val="715633C1"/>
    <w:rsid w:val="715C4459"/>
    <w:rsid w:val="71656F59"/>
    <w:rsid w:val="71690B83"/>
    <w:rsid w:val="716F06CC"/>
    <w:rsid w:val="717E062E"/>
    <w:rsid w:val="71810C1C"/>
    <w:rsid w:val="71826BBE"/>
    <w:rsid w:val="71833D56"/>
    <w:rsid w:val="718D348F"/>
    <w:rsid w:val="718F7BF0"/>
    <w:rsid w:val="7195403D"/>
    <w:rsid w:val="71970440"/>
    <w:rsid w:val="719C5A56"/>
    <w:rsid w:val="71A010A2"/>
    <w:rsid w:val="71A14F80"/>
    <w:rsid w:val="71A25A80"/>
    <w:rsid w:val="71A26DA9"/>
    <w:rsid w:val="71A31B56"/>
    <w:rsid w:val="71AB5C99"/>
    <w:rsid w:val="71AF08B6"/>
    <w:rsid w:val="71B11502"/>
    <w:rsid w:val="71B6071C"/>
    <w:rsid w:val="71B75C95"/>
    <w:rsid w:val="71B92D70"/>
    <w:rsid w:val="71BB5DCC"/>
    <w:rsid w:val="71C6490B"/>
    <w:rsid w:val="71CA0BB8"/>
    <w:rsid w:val="71CB2FDE"/>
    <w:rsid w:val="71CF7D1E"/>
    <w:rsid w:val="71D106A3"/>
    <w:rsid w:val="71D451F0"/>
    <w:rsid w:val="71D8293B"/>
    <w:rsid w:val="71D85425"/>
    <w:rsid w:val="71DE17D2"/>
    <w:rsid w:val="71DE367D"/>
    <w:rsid w:val="71E23BAB"/>
    <w:rsid w:val="71F25676"/>
    <w:rsid w:val="71F33D12"/>
    <w:rsid w:val="71F96A05"/>
    <w:rsid w:val="71FC7F37"/>
    <w:rsid w:val="72041487"/>
    <w:rsid w:val="720C7379"/>
    <w:rsid w:val="720D181E"/>
    <w:rsid w:val="720E6FC7"/>
    <w:rsid w:val="721038C8"/>
    <w:rsid w:val="72207EB6"/>
    <w:rsid w:val="7227337A"/>
    <w:rsid w:val="72273572"/>
    <w:rsid w:val="722D62CB"/>
    <w:rsid w:val="723A002A"/>
    <w:rsid w:val="723B2190"/>
    <w:rsid w:val="723C589F"/>
    <w:rsid w:val="723E4EF6"/>
    <w:rsid w:val="72420B03"/>
    <w:rsid w:val="724323E5"/>
    <w:rsid w:val="724759C2"/>
    <w:rsid w:val="724C0801"/>
    <w:rsid w:val="724C122A"/>
    <w:rsid w:val="725400DF"/>
    <w:rsid w:val="725539E4"/>
    <w:rsid w:val="72590FE3"/>
    <w:rsid w:val="72592E9F"/>
    <w:rsid w:val="725D5B64"/>
    <w:rsid w:val="726172E5"/>
    <w:rsid w:val="726245AA"/>
    <w:rsid w:val="726377B9"/>
    <w:rsid w:val="726578D3"/>
    <w:rsid w:val="726A4575"/>
    <w:rsid w:val="726C6075"/>
    <w:rsid w:val="726D3A58"/>
    <w:rsid w:val="726F076C"/>
    <w:rsid w:val="7272789D"/>
    <w:rsid w:val="727452C8"/>
    <w:rsid w:val="72774F8C"/>
    <w:rsid w:val="727863D2"/>
    <w:rsid w:val="72792E17"/>
    <w:rsid w:val="727B2844"/>
    <w:rsid w:val="72811156"/>
    <w:rsid w:val="728304BF"/>
    <w:rsid w:val="72830659"/>
    <w:rsid w:val="72836C08"/>
    <w:rsid w:val="7285083D"/>
    <w:rsid w:val="72896525"/>
    <w:rsid w:val="728C3D1E"/>
    <w:rsid w:val="728C74CE"/>
    <w:rsid w:val="72932361"/>
    <w:rsid w:val="729349BA"/>
    <w:rsid w:val="72943E84"/>
    <w:rsid w:val="729862B5"/>
    <w:rsid w:val="72986B4F"/>
    <w:rsid w:val="729B0432"/>
    <w:rsid w:val="729B3711"/>
    <w:rsid w:val="72A8015D"/>
    <w:rsid w:val="72A921D9"/>
    <w:rsid w:val="72AB2438"/>
    <w:rsid w:val="72AB5F51"/>
    <w:rsid w:val="72AC0022"/>
    <w:rsid w:val="72AF11DE"/>
    <w:rsid w:val="72B77FD5"/>
    <w:rsid w:val="72B822D0"/>
    <w:rsid w:val="72BD00F3"/>
    <w:rsid w:val="72BF310E"/>
    <w:rsid w:val="72C41B88"/>
    <w:rsid w:val="72C521D3"/>
    <w:rsid w:val="72C56F8E"/>
    <w:rsid w:val="72CC306E"/>
    <w:rsid w:val="72CE52AB"/>
    <w:rsid w:val="72D57472"/>
    <w:rsid w:val="72D84E2B"/>
    <w:rsid w:val="72DA42A3"/>
    <w:rsid w:val="72DF209E"/>
    <w:rsid w:val="72E17BC5"/>
    <w:rsid w:val="72E413FF"/>
    <w:rsid w:val="72E4592D"/>
    <w:rsid w:val="72E81FF3"/>
    <w:rsid w:val="72E921F2"/>
    <w:rsid w:val="72FC28DD"/>
    <w:rsid w:val="72FE652C"/>
    <w:rsid w:val="72FF6166"/>
    <w:rsid w:val="73027B3B"/>
    <w:rsid w:val="730F3390"/>
    <w:rsid w:val="730F40ED"/>
    <w:rsid w:val="730F76ED"/>
    <w:rsid w:val="731C6E4F"/>
    <w:rsid w:val="73201BE9"/>
    <w:rsid w:val="73286001"/>
    <w:rsid w:val="732A2537"/>
    <w:rsid w:val="732F384C"/>
    <w:rsid w:val="73315FBA"/>
    <w:rsid w:val="73334198"/>
    <w:rsid w:val="733402AF"/>
    <w:rsid w:val="73344672"/>
    <w:rsid w:val="733B3BF0"/>
    <w:rsid w:val="73414465"/>
    <w:rsid w:val="7341558E"/>
    <w:rsid w:val="734261D3"/>
    <w:rsid w:val="73431272"/>
    <w:rsid w:val="73441F01"/>
    <w:rsid w:val="734616B3"/>
    <w:rsid w:val="734A2C61"/>
    <w:rsid w:val="734A408C"/>
    <w:rsid w:val="735C724B"/>
    <w:rsid w:val="73617A6A"/>
    <w:rsid w:val="73632D3F"/>
    <w:rsid w:val="736B1B84"/>
    <w:rsid w:val="736B3522"/>
    <w:rsid w:val="736F0F8F"/>
    <w:rsid w:val="73755D1A"/>
    <w:rsid w:val="73781EB7"/>
    <w:rsid w:val="737A2754"/>
    <w:rsid w:val="73814815"/>
    <w:rsid w:val="738D59E6"/>
    <w:rsid w:val="739509AF"/>
    <w:rsid w:val="739947C4"/>
    <w:rsid w:val="739968B8"/>
    <w:rsid w:val="739A2A84"/>
    <w:rsid w:val="739B0547"/>
    <w:rsid w:val="739B5188"/>
    <w:rsid w:val="73A3131E"/>
    <w:rsid w:val="73A61991"/>
    <w:rsid w:val="73A74DF3"/>
    <w:rsid w:val="73AD5CF9"/>
    <w:rsid w:val="73AD6273"/>
    <w:rsid w:val="73AE08A7"/>
    <w:rsid w:val="73AE0BDA"/>
    <w:rsid w:val="73AF18FF"/>
    <w:rsid w:val="73B37E88"/>
    <w:rsid w:val="73B40E35"/>
    <w:rsid w:val="73B4221F"/>
    <w:rsid w:val="73BA7B7E"/>
    <w:rsid w:val="73BE7F06"/>
    <w:rsid w:val="73C05D0C"/>
    <w:rsid w:val="73C80D84"/>
    <w:rsid w:val="73CE4268"/>
    <w:rsid w:val="73D56B04"/>
    <w:rsid w:val="73D67E93"/>
    <w:rsid w:val="73E147EF"/>
    <w:rsid w:val="73E322FA"/>
    <w:rsid w:val="73E40D66"/>
    <w:rsid w:val="73E536E4"/>
    <w:rsid w:val="73E97A0F"/>
    <w:rsid w:val="73EB4A9D"/>
    <w:rsid w:val="73EC0F59"/>
    <w:rsid w:val="73EF4563"/>
    <w:rsid w:val="73EF7012"/>
    <w:rsid w:val="73F1375A"/>
    <w:rsid w:val="73F1457D"/>
    <w:rsid w:val="73F2195D"/>
    <w:rsid w:val="73F337A3"/>
    <w:rsid w:val="73F41E04"/>
    <w:rsid w:val="73F47FAE"/>
    <w:rsid w:val="73F83303"/>
    <w:rsid w:val="73FB7ACD"/>
    <w:rsid w:val="73FE0302"/>
    <w:rsid w:val="740269B7"/>
    <w:rsid w:val="74031DBD"/>
    <w:rsid w:val="740A4EF9"/>
    <w:rsid w:val="74122000"/>
    <w:rsid w:val="74122DF9"/>
    <w:rsid w:val="7416554C"/>
    <w:rsid w:val="741713C4"/>
    <w:rsid w:val="74190713"/>
    <w:rsid w:val="7419338E"/>
    <w:rsid w:val="741E766F"/>
    <w:rsid w:val="74257F85"/>
    <w:rsid w:val="742C131F"/>
    <w:rsid w:val="742F23D4"/>
    <w:rsid w:val="74304206"/>
    <w:rsid w:val="743261FE"/>
    <w:rsid w:val="74331B5C"/>
    <w:rsid w:val="743326A2"/>
    <w:rsid w:val="7435087C"/>
    <w:rsid w:val="74367E9B"/>
    <w:rsid w:val="743A017B"/>
    <w:rsid w:val="743C0E2B"/>
    <w:rsid w:val="743D7D12"/>
    <w:rsid w:val="743F402E"/>
    <w:rsid w:val="744018A7"/>
    <w:rsid w:val="74426D9E"/>
    <w:rsid w:val="744275EA"/>
    <w:rsid w:val="744734AD"/>
    <w:rsid w:val="744A2D86"/>
    <w:rsid w:val="744B6DE7"/>
    <w:rsid w:val="744D4708"/>
    <w:rsid w:val="744E5315"/>
    <w:rsid w:val="744F6DB0"/>
    <w:rsid w:val="745117AB"/>
    <w:rsid w:val="74515406"/>
    <w:rsid w:val="74592522"/>
    <w:rsid w:val="745F3497"/>
    <w:rsid w:val="74602D6B"/>
    <w:rsid w:val="746A2CFE"/>
    <w:rsid w:val="746C7640"/>
    <w:rsid w:val="74730CF0"/>
    <w:rsid w:val="747777A9"/>
    <w:rsid w:val="747C65FA"/>
    <w:rsid w:val="747E4337"/>
    <w:rsid w:val="74893A41"/>
    <w:rsid w:val="748A55A8"/>
    <w:rsid w:val="748C3156"/>
    <w:rsid w:val="748D341F"/>
    <w:rsid w:val="748F53FE"/>
    <w:rsid w:val="74936C9D"/>
    <w:rsid w:val="74942A15"/>
    <w:rsid w:val="74970DE7"/>
    <w:rsid w:val="749842DE"/>
    <w:rsid w:val="74990236"/>
    <w:rsid w:val="749D44B0"/>
    <w:rsid w:val="74A145D1"/>
    <w:rsid w:val="74A45DEB"/>
    <w:rsid w:val="74A61C33"/>
    <w:rsid w:val="74AB02D5"/>
    <w:rsid w:val="74B35591"/>
    <w:rsid w:val="74B541D4"/>
    <w:rsid w:val="74B952D1"/>
    <w:rsid w:val="74CD552B"/>
    <w:rsid w:val="74D53759"/>
    <w:rsid w:val="74D73CEA"/>
    <w:rsid w:val="74E601F9"/>
    <w:rsid w:val="74E959DE"/>
    <w:rsid w:val="74EC6EE4"/>
    <w:rsid w:val="74F92123"/>
    <w:rsid w:val="74FD538E"/>
    <w:rsid w:val="750116C8"/>
    <w:rsid w:val="750137A0"/>
    <w:rsid w:val="75032A72"/>
    <w:rsid w:val="75042740"/>
    <w:rsid w:val="750925C3"/>
    <w:rsid w:val="750B34A9"/>
    <w:rsid w:val="750F6E4F"/>
    <w:rsid w:val="751224DC"/>
    <w:rsid w:val="75135565"/>
    <w:rsid w:val="75183646"/>
    <w:rsid w:val="751D2D22"/>
    <w:rsid w:val="751E2195"/>
    <w:rsid w:val="751F048B"/>
    <w:rsid w:val="751F2C26"/>
    <w:rsid w:val="751F3734"/>
    <w:rsid w:val="7521699E"/>
    <w:rsid w:val="75230B15"/>
    <w:rsid w:val="752F1D91"/>
    <w:rsid w:val="75303EF1"/>
    <w:rsid w:val="75322481"/>
    <w:rsid w:val="7532750E"/>
    <w:rsid w:val="753D6839"/>
    <w:rsid w:val="753E1AE3"/>
    <w:rsid w:val="75475CD9"/>
    <w:rsid w:val="75477BCA"/>
    <w:rsid w:val="754E76F9"/>
    <w:rsid w:val="75534482"/>
    <w:rsid w:val="75567328"/>
    <w:rsid w:val="755E63D1"/>
    <w:rsid w:val="755E7B87"/>
    <w:rsid w:val="756936FE"/>
    <w:rsid w:val="7569541C"/>
    <w:rsid w:val="75721367"/>
    <w:rsid w:val="757630BF"/>
    <w:rsid w:val="757D17B4"/>
    <w:rsid w:val="757E19F4"/>
    <w:rsid w:val="757F36C5"/>
    <w:rsid w:val="75826D11"/>
    <w:rsid w:val="75836971"/>
    <w:rsid w:val="75857C4B"/>
    <w:rsid w:val="75861915"/>
    <w:rsid w:val="758D0214"/>
    <w:rsid w:val="75925086"/>
    <w:rsid w:val="759306C0"/>
    <w:rsid w:val="759C4277"/>
    <w:rsid w:val="759E4003"/>
    <w:rsid w:val="759E468E"/>
    <w:rsid w:val="759F695F"/>
    <w:rsid w:val="759F722E"/>
    <w:rsid w:val="75A4312B"/>
    <w:rsid w:val="75A945FD"/>
    <w:rsid w:val="75A974B2"/>
    <w:rsid w:val="75AB0B4C"/>
    <w:rsid w:val="75AB503F"/>
    <w:rsid w:val="75B34BAC"/>
    <w:rsid w:val="75B7798A"/>
    <w:rsid w:val="75BC0BA1"/>
    <w:rsid w:val="75BC1308"/>
    <w:rsid w:val="75C03246"/>
    <w:rsid w:val="75C30B39"/>
    <w:rsid w:val="75C537CD"/>
    <w:rsid w:val="75C71834"/>
    <w:rsid w:val="75CA77AF"/>
    <w:rsid w:val="75CB4B5C"/>
    <w:rsid w:val="75CC3053"/>
    <w:rsid w:val="75D344FC"/>
    <w:rsid w:val="75D57F4E"/>
    <w:rsid w:val="75DB36A4"/>
    <w:rsid w:val="75E33C54"/>
    <w:rsid w:val="75E56437"/>
    <w:rsid w:val="75E809F9"/>
    <w:rsid w:val="75EA1183"/>
    <w:rsid w:val="75EA481F"/>
    <w:rsid w:val="75EB0D5A"/>
    <w:rsid w:val="75F12A7F"/>
    <w:rsid w:val="75F35F61"/>
    <w:rsid w:val="75F45A30"/>
    <w:rsid w:val="75F776FF"/>
    <w:rsid w:val="75F84EF5"/>
    <w:rsid w:val="7601793B"/>
    <w:rsid w:val="76064CC4"/>
    <w:rsid w:val="76085468"/>
    <w:rsid w:val="760D0E36"/>
    <w:rsid w:val="760D1267"/>
    <w:rsid w:val="760F2C9B"/>
    <w:rsid w:val="76157B85"/>
    <w:rsid w:val="76186A67"/>
    <w:rsid w:val="761958C7"/>
    <w:rsid w:val="761C5BBB"/>
    <w:rsid w:val="761C675E"/>
    <w:rsid w:val="761D5249"/>
    <w:rsid w:val="76204C41"/>
    <w:rsid w:val="7625426C"/>
    <w:rsid w:val="762738F9"/>
    <w:rsid w:val="76286ED7"/>
    <w:rsid w:val="762B424F"/>
    <w:rsid w:val="762D1373"/>
    <w:rsid w:val="762D1C2B"/>
    <w:rsid w:val="762D71D7"/>
    <w:rsid w:val="76305B69"/>
    <w:rsid w:val="7634774E"/>
    <w:rsid w:val="763515C6"/>
    <w:rsid w:val="763750AF"/>
    <w:rsid w:val="763D7808"/>
    <w:rsid w:val="76427E56"/>
    <w:rsid w:val="76464BE0"/>
    <w:rsid w:val="76487174"/>
    <w:rsid w:val="76492715"/>
    <w:rsid w:val="764F70AC"/>
    <w:rsid w:val="765242E7"/>
    <w:rsid w:val="76595878"/>
    <w:rsid w:val="765B4A21"/>
    <w:rsid w:val="766A5425"/>
    <w:rsid w:val="766B3393"/>
    <w:rsid w:val="766D269B"/>
    <w:rsid w:val="76703618"/>
    <w:rsid w:val="7676407B"/>
    <w:rsid w:val="76771EA4"/>
    <w:rsid w:val="76790114"/>
    <w:rsid w:val="768B2A65"/>
    <w:rsid w:val="7691056F"/>
    <w:rsid w:val="769245DD"/>
    <w:rsid w:val="76930CEE"/>
    <w:rsid w:val="76947205"/>
    <w:rsid w:val="7695028C"/>
    <w:rsid w:val="769958EA"/>
    <w:rsid w:val="76A038F3"/>
    <w:rsid w:val="76A04FBD"/>
    <w:rsid w:val="76A066B0"/>
    <w:rsid w:val="76A50F09"/>
    <w:rsid w:val="76A626DB"/>
    <w:rsid w:val="76A937B5"/>
    <w:rsid w:val="76AD4C2E"/>
    <w:rsid w:val="76B178AE"/>
    <w:rsid w:val="76B30D2F"/>
    <w:rsid w:val="76BD44A5"/>
    <w:rsid w:val="76D6538C"/>
    <w:rsid w:val="76DD0817"/>
    <w:rsid w:val="76DD379E"/>
    <w:rsid w:val="76E339A1"/>
    <w:rsid w:val="76EE28B0"/>
    <w:rsid w:val="76EE6070"/>
    <w:rsid w:val="76EF427A"/>
    <w:rsid w:val="76EF62A4"/>
    <w:rsid w:val="76F2490A"/>
    <w:rsid w:val="77000C27"/>
    <w:rsid w:val="77016E10"/>
    <w:rsid w:val="770345D1"/>
    <w:rsid w:val="770420D4"/>
    <w:rsid w:val="77072D8D"/>
    <w:rsid w:val="770F11B3"/>
    <w:rsid w:val="77126977"/>
    <w:rsid w:val="77141E12"/>
    <w:rsid w:val="77154223"/>
    <w:rsid w:val="7716744A"/>
    <w:rsid w:val="771A1323"/>
    <w:rsid w:val="771B741D"/>
    <w:rsid w:val="771D7BBC"/>
    <w:rsid w:val="77212C85"/>
    <w:rsid w:val="772238C3"/>
    <w:rsid w:val="772269FE"/>
    <w:rsid w:val="7724443B"/>
    <w:rsid w:val="77272DBC"/>
    <w:rsid w:val="772C1BF0"/>
    <w:rsid w:val="77345E51"/>
    <w:rsid w:val="773468B6"/>
    <w:rsid w:val="77347CCD"/>
    <w:rsid w:val="77377C8E"/>
    <w:rsid w:val="773A1615"/>
    <w:rsid w:val="773B28D5"/>
    <w:rsid w:val="773B361B"/>
    <w:rsid w:val="773C0E2B"/>
    <w:rsid w:val="774030C3"/>
    <w:rsid w:val="77410F09"/>
    <w:rsid w:val="774417F9"/>
    <w:rsid w:val="774C334B"/>
    <w:rsid w:val="774D3A7A"/>
    <w:rsid w:val="774F32F2"/>
    <w:rsid w:val="775C456B"/>
    <w:rsid w:val="77602DDE"/>
    <w:rsid w:val="77650B58"/>
    <w:rsid w:val="776812C3"/>
    <w:rsid w:val="7768296F"/>
    <w:rsid w:val="776E3071"/>
    <w:rsid w:val="776E4EDE"/>
    <w:rsid w:val="77761C36"/>
    <w:rsid w:val="777739A3"/>
    <w:rsid w:val="777927CB"/>
    <w:rsid w:val="777B5892"/>
    <w:rsid w:val="777C4331"/>
    <w:rsid w:val="777D3C34"/>
    <w:rsid w:val="778946A1"/>
    <w:rsid w:val="779A17F3"/>
    <w:rsid w:val="779F038B"/>
    <w:rsid w:val="77A47413"/>
    <w:rsid w:val="77A73DBA"/>
    <w:rsid w:val="77AB46A7"/>
    <w:rsid w:val="77AB659A"/>
    <w:rsid w:val="77AE46BB"/>
    <w:rsid w:val="77B00B46"/>
    <w:rsid w:val="77B34D16"/>
    <w:rsid w:val="77C207CD"/>
    <w:rsid w:val="77CA50CB"/>
    <w:rsid w:val="77CF26E1"/>
    <w:rsid w:val="77D55045"/>
    <w:rsid w:val="77D602C6"/>
    <w:rsid w:val="77D76AAE"/>
    <w:rsid w:val="77D86A8E"/>
    <w:rsid w:val="77DE46D3"/>
    <w:rsid w:val="77DF669D"/>
    <w:rsid w:val="77E72F9A"/>
    <w:rsid w:val="77F447F0"/>
    <w:rsid w:val="7800293C"/>
    <w:rsid w:val="780305DD"/>
    <w:rsid w:val="78047759"/>
    <w:rsid w:val="78050B01"/>
    <w:rsid w:val="7807488C"/>
    <w:rsid w:val="780A371A"/>
    <w:rsid w:val="780D25D5"/>
    <w:rsid w:val="781140FE"/>
    <w:rsid w:val="78162634"/>
    <w:rsid w:val="781967E3"/>
    <w:rsid w:val="781B228A"/>
    <w:rsid w:val="781C2EF4"/>
    <w:rsid w:val="781D06F1"/>
    <w:rsid w:val="78243529"/>
    <w:rsid w:val="782502C9"/>
    <w:rsid w:val="782823F0"/>
    <w:rsid w:val="782A2B52"/>
    <w:rsid w:val="782A3530"/>
    <w:rsid w:val="782E644B"/>
    <w:rsid w:val="7834433F"/>
    <w:rsid w:val="783562BD"/>
    <w:rsid w:val="784767B7"/>
    <w:rsid w:val="784767F6"/>
    <w:rsid w:val="785006D6"/>
    <w:rsid w:val="78523D5C"/>
    <w:rsid w:val="78541896"/>
    <w:rsid w:val="78546477"/>
    <w:rsid w:val="785A2FEC"/>
    <w:rsid w:val="785E56D2"/>
    <w:rsid w:val="78654DF4"/>
    <w:rsid w:val="7869199D"/>
    <w:rsid w:val="786A2C27"/>
    <w:rsid w:val="786A3DE9"/>
    <w:rsid w:val="78762B5D"/>
    <w:rsid w:val="787768D5"/>
    <w:rsid w:val="78792F8B"/>
    <w:rsid w:val="787A7C29"/>
    <w:rsid w:val="787A7C61"/>
    <w:rsid w:val="787B6918"/>
    <w:rsid w:val="788339E8"/>
    <w:rsid w:val="788419BB"/>
    <w:rsid w:val="78857244"/>
    <w:rsid w:val="78871440"/>
    <w:rsid w:val="788F1E71"/>
    <w:rsid w:val="78961F0B"/>
    <w:rsid w:val="78A12034"/>
    <w:rsid w:val="78AC2192"/>
    <w:rsid w:val="78AE6FE8"/>
    <w:rsid w:val="78B06BA9"/>
    <w:rsid w:val="78B2651F"/>
    <w:rsid w:val="78BA58A2"/>
    <w:rsid w:val="78C53B21"/>
    <w:rsid w:val="78C57641"/>
    <w:rsid w:val="78CB0006"/>
    <w:rsid w:val="78CE3B74"/>
    <w:rsid w:val="78CF04BF"/>
    <w:rsid w:val="78D52D4F"/>
    <w:rsid w:val="78D56CB9"/>
    <w:rsid w:val="78D77AB1"/>
    <w:rsid w:val="78DC511E"/>
    <w:rsid w:val="78DE08DA"/>
    <w:rsid w:val="78E23C3E"/>
    <w:rsid w:val="78E33130"/>
    <w:rsid w:val="78E431AE"/>
    <w:rsid w:val="78E65B9D"/>
    <w:rsid w:val="78EB342E"/>
    <w:rsid w:val="78F17078"/>
    <w:rsid w:val="78F32400"/>
    <w:rsid w:val="78FB3C13"/>
    <w:rsid w:val="78FE4BD9"/>
    <w:rsid w:val="7904606C"/>
    <w:rsid w:val="79052133"/>
    <w:rsid w:val="79077C59"/>
    <w:rsid w:val="79080665"/>
    <w:rsid w:val="79120B1B"/>
    <w:rsid w:val="79130764"/>
    <w:rsid w:val="79142376"/>
    <w:rsid w:val="79161CDA"/>
    <w:rsid w:val="79176199"/>
    <w:rsid w:val="791B2A1D"/>
    <w:rsid w:val="791E12CB"/>
    <w:rsid w:val="79241062"/>
    <w:rsid w:val="792611B8"/>
    <w:rsid w:val="79262AAB"/>
    <w:rsid w:val="79262DCB"/>
    <w:rsid w:val="79296A0A"/>
    <w:rsid w:val="7936200E"/>
    <w:rsid w:val="79381557"/>
    <w:rsid w:val="793B2A73"/>
    <w:rsid w:val="793C4645"/>
    <w:rsid w:val="793E4738"/>
    <w:rsid w:val="793F73F3"/>
    <w:rsid w:val="794031A5"/>
    <w:rsid w:val="7941059E"/>
    <w:rsid w:val="7944087C"/>
    <w:rsid w:val="79452F83"/>
    <w:rsid w:val="79494343"/>
    <w:rsid w:val="794C4F96"/>
    <w:rsid w:val="795740A5"/>
    <w:rsid w:val="795945CC"/>
    <w:rsid w:val="79594D01"/>
    <w:rsid w:val="795B7FA5"/>
    <w:rsid w:val="795C1165"/>
    <w:rsid w:val="7964078D"/>
    <w:rsid w:val="796450AB"/>
    <w:rsid w:val="796A6D29"/>
    <w:rsid w:val="796F764D"/>
    <w:rsid w:val="79730BBA"/>
    <w:rsid w:val="797A042B"/>
    <w:rsid w:val="797A7B3D"/>
    <w:rsid w:val="797D4D64"/>
    <w:rsid w:val="798476B6"/>
    <w:rsid w:val="798778D0"/>
    <w:rsid w:val="7989080E"/>
    <w:rsid w:val="79894B12"/>
    <w:rsid w:val="798B64D5"/>
    <w:rsid w:val="79920992"/>
    <w:rsid w:val="7992555B"/>
    <w:rsid w:val="799437EA"/>
    <w:rsid w:val="7994493D"/>
    <w:rsid w:val="79971021"/>
    <w:rsid w:val="799A4952"/>
    <w:rsid w:val="799D598C"/>
    <w:rsid w:val="799E126F"/>
    <w:rsid w:val="79A36417"/>
    <w:rsid w:val="79A65ABC"/>
    <w:rsid w:val="79A779D2"/>
    <w:rsid w:val="79A8143C"/>
    <w:rsid w:val="79A951FE"/>
    <w:rsid w:val="79AA0B5C"/>
    <w:rsid w:val="79AF0DBD"/>
    <w:rsid w:val="79B0209F"/>
    <w:rsid w:val="79B06543"/>
    <w:rsid w:val="79B137B0"/>
    <w:rsid w:val="79B871A5"/>
    <w:rsid w:val="79B92412"/>
    <w:rsid w:val="79B9247D"/>
    <w:rsid w:val="79BD0D98"/>
    <w:rsid w:val="79BD2A0E"/>
    <w:rsid w:val="79C078B8"/>
    <w:rsid w:val="79D640F1"/>
    <w:rsid w:val="79D669EE"/>
    <w:rsid w:val="79D82C53"/>
    <w:rsid w:val="79DF112F"/>
    <w:rsid w:val="79E306C6"/>
    <w:rsid w:val="79EA1A55"/>
    <w:rsid w:val="79EF422C"/>
    <w:rsid w:val="79F0693F"/>
    <w:rsid w:val="79F147D6"/>
    <w:rsid w:val="79F3150C"/>
    <w:rsid w:val="79F66A35"/>
    <w:rsid w:val="79F71A7C"/>
    <w:rsid w:val="79F90C6D"/>
    <w:rsid w:val="79FC1788"/>
    <w:rsid w:val="7A015735"/>
    <w:rsid w:val="7A036B48"/>
    <w:rsid w:val="7A06115F"/>
    <w:rsid w:val="7A077F60"/>
    <w:rsid w:val="7A08012D"/>
    <w:rsid w:val="7A0E08B0"/>
    <w:rsid w:val="7A0E5415"/>
    <w:rsid w:val="7A0F14BB"/>
    <w:rsid w:val="7A106FE1"/>
    <w:rsid w:val="7A1074A7"/>
    <w:rsid w:val="7A1127ED"/>
    <w:rsid w:val="7A116E46"/>
    <w:rsid w:val="7A15284A"/>
    <w:rsid w:val="7A170370"/>
    <w:rsid w:val="7A1F74A2"/>
    <w:rsid w:val="7A23148F"/>
    <w:rsid w:val="7A2D7B93"/>
    <w:rsid w:val="7A2F65AA"/>
    <w:rsid w:val="7A345265"/>
    <w:rsid w:val="7A394D13"/>
    <w:rsid w:val="7A3B6881"/>
    <w:rsid w:val="7A3C3932"/>
    <w:rsid w:val="7A3F3423"/>
    <w:rsid w:val="7A44459A"/>
    <w:rsid w:val="7A462A03"/>
    <w:rsid w:val="7A4822D7"/>
    <w:rsid w:val="7A4A636B"/>
    <w:rsid w:val="7A4F18B8"/>
    <w:rsid w:val="7A540E2F"/>
    <w:rsid w:val="7A562C9C"/>
    <w:rsid w:val="7A57076C"/>
    <w:rsid w:val="7A5B12EE"/>
    <w:rsid w:val="7A5E7D4D"/>
    <w:rsid w:val="7A682FB3"/>
    <w:rsid w:val="7A694E38"/>
    <w:rsid w:val="7A6C2703"/>
    <w:rsid w:val="7A6F205A"/>
    <w:rsid w:val="7A717CA2"/>
    <w:rsid w:val="7A7204F0"/>
    <w:rsid w:val="7A727E3A"/>
    <w:rsid w:val="7A75408C"/>
    <w:rsid w:val="7A7754CA"/>
    <w:rsid w:val="7A7B431E"/>
    <w:rsid w:val="7A7C40D3"/>
    <w:rsid w:val="7A8F5520"/>
    <w:rsid w:val="7A914960"/>
    <w:rsid w:val="7A973668"/>
    <w:rsid w:val="7A9A3B0A"/>
    <w:rsid w:val="7A9D7D9D"/>
    <w:rsid w:val="7A9F10C3"/>
    <w:rsid w:val="7AA314FA"/>
    <w:rsid w:val="7AA53B79"/>
    <w:rsid w:val="7AAC1BAB"/>
    <w:rsid w:val="7AAD6052"/>
    <w:rsid w:val="7AAF7F53"/>
    <w:rsid w:val="7AB54936"/>
    <w:rsid w:val="7AB93D86"/>
    <w:rsid w:val="7ABB371C"/>
    <w:rsid w:val="7ABE1FD8"/>
    <w:rsid w:val="7ABE4C8F"/>
    <w:rsid w:val="7ABF4A7D"/>
    <w:rsid w:val="7AC56B28"/>
    <w:rsid w:val="7AC71BB7"/>
    <w:rsid w:val="7AC91E73"/>
    <w:rsid w:val="7ACC42F3"/>
    <w:rsid w:val="7ACC6635"/>
    <w:rsid w:val="7ACD6C80"/>
    <w:rsid w:val="7ACF29D0"/>
    <w:rsid w:val="7ADE13E0"/>
    <w:rsid w:val="7ADE4304"/>
    <w:rsid w:val="7AE6094A"/>
    <w:rsid w:val="7AE77BE9"/>
    <w:rsid w:val="7AE8611C"/>
    <w:rsid w:val="7AE973E6"/>
    <w:rsid w:val="7AEA5717"/>
    <w:rsid w:val="7AEB6D2D"/>
    <w:rsid w:val="7AEC35AA"/>
    <w:rsid w:val="7AF45A64"/>
    <w:rsid w:val="7AF9035A"/>
    <w:rsid w:val="7AFE1C57"/>
    <w:rsid w:val="7B0033B1"/>
    <w:rsid w:val="7B004E84"/>
    <w:rsid w:val="7B066AA8"/>
    <w:rsid w:val="7B071625"/>
    <w:rsid w:val="7B0765EE"/>
    <w:rsid w:val="7B092FDA"/>
    <w:rsid w:val="7B15185B"/>
    <w:rsid w:val="7B152173"/>
    <w:rsid w:val="7B165755"/>
    <w:rsid w:val="7B167602"/>
    <w:rsid w:val="7B18614D"/>
    <w:rsid w:val="7B1D5512"/>
    <w:rsid w:val="7B247B04"/>
    <w:rsid w:val="7B275EC2"/>
    <w:rsid w:val="7B2A13BA"/>
    <w:rsid w:val="7B2B6EBA"/>
    <w:rsid w:val="7B2E3BC3"/>
    <w:rsid w:val="7B315461"/>
    <w:rsid w:val="7B317100"/>
    <w:rsid w:val="7B3B3AE6"/>
    <w:rsid w:val="7B3C530E"/>
    <w:rsid w:val="7B3E19A3"/>
    <w:rsid w:val="7B496C7B"/>
    <w:rsid w:val="7B4F58E7"/>
    <w:rsid w:val="7B503B0B"/>
    <w:rsid w:val="7B536854"/>
    <w:rsid w:val="7B5839F1"/>
    <w:rsid w:val="7B5874DA"/>
    <w:rsid w:val="7B590514"/>
    <w:rsid w:val="7B5B603A"/>
    <w:rsid w:val="7B5D322F"/>
    <w:rsid w:val="7B5E1E57"/>
    <w:rsid w:val="7B601879"/>
    <w:rsid w:val="7B6729E7"/>
    <w:rsid w:val="7B672CFB"/>
    <w:rsid w:val="7B6C0247"/>
    <w:rsid w:val="7B6E2BCE"/>
    <w:rsid w:val="7B793CB0"/>
    <w:rsid w:val="7B7A22D5"/>
    <w:rsid w:val="7B7B66DC"/>
    <w:rsid w:val="7B7D5C60"/>
    <w:rsid w:val="7B821453"/>
    <w:rsid w:val="7B8417C5"/>
    <w:rsid w:val="7B89141B"/>
    <w:rsid w:val="7B8F0F1C"/>
    <w:rsid w:val="7B9330A9"/>
    <w:rsid w:val="7B95154C"/>
    <w:rsid w:val="7B963786"/>
    <w:rsid w:val="7B963BCC"/>
    <w:rsid w:val="7B9A3006"/>
    <w:rsid w:val="7B9A4DAC"/>
    <w:rsid w:val="7B9B19E6"/>
    <w:rsid w:val="7BA50EA0"/>
    <w:rsid w:val="7BA67BFD"/>
    <w:rsid w:val="7BAA6855"/>
    <w:rsid w:val="7BAE76FE"/>
    <w:rsid w:val="7BB23A06"/>
    <w:rsid w:val="7BB672E5"/>
    <w:rsid w:val="7BBC11CF"/>
    <w:rsid w:val="7BC44362"/>
    <w:rsid w:val="7BC97448"/>
    <w:rsid w:val="7BD0025C"/>
    <w:rsid w:val="7BD127C1"/>
    <w:rsid w:val="7BD34581"/>
    <w:rsid w:val="7BD43BF3"/>
    <w:rsid w:val="7BE14791"/>
    <w:rsid w:val="7BE724A1"/>
    <w:rsid w:val="7BF45A86"/>
    <w:rsid w:val="7BF57A4C"/>
    <w:rsid w:val="7BFC5A6F"/>
    <w:rsid w:val="7BFE580D"/>
    <w:rsid w:val="7C007470"/>
    <w:rsid w:val="7C026789"/>
    <w:rsid w:val="7C042B76"/>
    <w:rsid w:val="7C0611AB"/>
    <w:rsid w:val="7C070A8F"/>
    <w:rsid w:val="7C071DCA"/>
    <w:rsid w:val="7C0B5D54"/>
    <w:rsid w:val="7C0D1D21"/>
    <w:rsid w:val="7C1677B6"/>
    <w:rsid w:val="7C1A4147"/>
    <w:rsid w:val="7C1A5EF5"/>
    <w:rsid w:val="7C1B3793"/>
    <w:rsid w:val="7C1B4C05"/>
    <w:rsid w:val="7C1D09F8"/>
    <w:rsid w:val="7C1F3FB5"/>
    <w:rsid w:val="7C251758"/>
    <w:rsid w:val="7C270B77"/>
    <w:rsid w:val="7C27378D"/>
    <w:rsid w:val="7C362679"/>
    <w:rsid w:val="7C3E214A"/>
    <w:rsid w:val="7C422F0B"/>
    <w:rsid w:val="7C4675AC"/>
    <w:rsid w:val="7C4C17BB"/>
    <w:rsid w:val="7C4F7985"/>
    <w:rsid w:val="7C52568F"/>
    <w:rsid w:val="7C556F2D"/>
    <w:rsid w:val="7C562A29"/>
    <w:rsid w:val="7C592FAE"/>
    <w:rsid w:val="7C5D220A"/>
    <w:rsid w:val="7C5D4587"/>
    <w:rsid w:val="7C5E412A"/>
    <w:rsid w:val="7C5F0068"/>
    <w:rsid w:val="7C641660"/>
    <w:rsid w:val="7C662EE9"/>
    <w:rsid w:val="7C6D02C6"/>
    <w:rsid w:val="7C6D184B"/>
    <w:rsid w:val="7C6D25B7"/>
    <w:rsid w:val="7C765821"/>
    <w:rsid w:val="7C777286"/>
    <w:rsid w:val="7C7A69F1"/>
    <w:rsid w:val="7C7D49BF"/>
    <w:rsid w:val="7C80044E"/>
    <w:rsid w:val="7C822ACB"/>
    <w:rsid w:val="7C853A2F"/>
    <w:rsid w:val="7C875CF6"/>
    <w:rsid w:val="7C8A50BF"/>
    <w:rsid w:val="7C920854"/>
    <w:rsid w:val="7C9332E4"/>
    <w:rsid w:val="7C9829F6"/>
    <w:rsid w:val="7C9A00E3"/>
    <w:rsid w:val="7CA00B30"/>
    <w:rsid w:val="7CA123B4"/>
    <w:rsid w:val="7CA37EE8"/>
    <w:rsid w:val="7CA5392B"/>
    <w:rsid w:val="7CA66FBE"/>
    <w:rsid w:val="7CA90C8D"/>
    <w:rsid w:val="7CAF4890"/>
    <w:rsid w:val="7CAF7A29"/>
    <w:rsid w:val="7CB20F74"/>
    <w:rsid w:val="7CB238C4"/>
    <w:rsid w:val="7CB31060"/>
    <w:rsid w:val="7CB530C8"/>
    <w:rsid w:val="7CB77BE8"/>
    <w:rsid w:val="7CBB5B41"/>
    <w:rsid w:val="7CBD0D73"/>
    <w:rsid w:val="7CC0084B"/>
    <w:rsid w:val="7CC1259F"/>
    <w:rsid w:val="7CC1692D"/>
    <w:rsid w:val="7CC317AA"/>
    <w:rsid w:val="7CD2057E"/>
    <w:rsid w:val="7CD22363"/>
    <w:rsid w:val="7CD73DE6"/>
    <w:rsid w:val="7CDA6C39"/>
    <w:rsid w:val="7CDD1B87"/>
    <w:rsid w:val="7CE41F2F"/>
    <w:rsid w:val="7CE4621D"/>
    <w:rsid w:val="7CE87DA1"/>
    <w:rsid w:val="7CEA29E5"/>
    <w:rsid w:val="7CEA3B1A"/>
    <w:rsid w:val="7CEC19C0"/>
    <w:rsid w:val="7CEC5AE4"/>
    <w:rsid w:val="7CEF7382"/>
    <w:rsid w:val="7CF16568"/>
    <w:rsid w:val="7CFB6BDB"/>
    <w:rsid w:val="7CFD681A"/>
    <w:rsid w:val="7D0746CC"/>
    <w:rsid w:val="7D0F3580"/>
    <w:rsid w:val="7D0F493D"/>
    <w:rsid w:val="7D133070"/>
    <w:rsid w:val="7D142945"/>
    <w:rsid w:val="7D1D5E89"/>
    <w:rsid w:val="7D1F60E5"/>
    <w:rsid w:val="7D2012E9"/>
    <w:rsid w:val="7D253273"/>
    <w:rsid w:val="7D264C82"/>
    <w:rsid w:val="7D2A03BA"/>
    <w:rsid w:val="7D2D5EA5"/>
    <w:rsid w:val="7D2E01E1"/>
    <w:rsid w:val="7D310A36"/>
    <w:rsid w:val="7D325483"/>
    <w:rsid w:val="7D366D5F"/>
    <w:rsid w:val="7D3D3612"/>
    <w:rsid w:val="7D3E4572"/>
    <w:rsid w:val="7D4466A2"/>
    <w:rsid w:val="7D4A0A5C"/>
    <w:rsid w:val="7D4A45B8"/>
    <w:rsid w:val="7D4C5698"/>
    <w:rsid w:val="7D4D3826"/>
    <w:rsid w:val="7D507729"/>
    <w:rsid w:val="7D5639DA"/>
    <w:rsid w:val="7D592A4D"/>
    <w:rsid w:val="7D5A004F"/>
    <w:rsid w:val="7D5C7913"/>
    <w:rsid w:val="7D6059C8"/>
    <w:rsid w:val="7D626C10"/>
    <w:rsid w:val="7D635F5A"/>
    <w:rsid w:val="7D6441E0"/>
    <w:rsid w:val="7D64774A"/>
    <w:rsid w:val="7D6610AD"/>
    <w:rsid w:val="7D665EB3"/>
    <w:rsid w:val="7D711B45"/>
    <w:rsid w:val="7D745762"/>
    <w:rsid w:val="7D750EA1"/>
    <w:rsid w:val="7D75320B"/>
    <w:rsid w:val="7D776837"/>
    <w:rsid w:val="7D791AAC"/>
    <w:rsid w:val="7D85312D"/>
    <w:rsid w:val="7D8A56AD"/>
    <w:rsid w:val="7D8E2902"/>
    <w:rsid w:val="7D9151FE"/>
    <w:rsid w:val="7D9677FD"/>
    <w:rsid w:val="7D987AF2"/>
    <w:rsid w:val="7D9A1A4A"/>
    <w:rsid w:val="7D9D470D"/>
    <w:rsid w:val="7D9E1A59"/>
    <w:rsid w:val="7D9F194C"/>
    <w:rsid w:val="7DA05D3C"/>
    <w:rsid w:val="7DA73BAE"/>
    <w:rsid w:val="7DA91177"/>
    <w:rsid w:val="7DAF33B1"/>
    <w:rsid w:val="7DB22F28"/>
    <w:rsid w:val="7DB3693A"/>
    <w:rsid w:val="7DB4797C"/>
    <w:rsid w:val="7DB77386"/>
    <w:rsid w:val="7DBF41DB"/>
    <w:rsid w:val="7DC004CE"/>
    <w:rsid w:val="7DC73BA9"/>
    <w:rsid w:val="7DCD6B6E"/>
    <w:rsid w:val="7DD90991"/>
    <w:rsid w:val="7DDF34F4"/>
    <w:rsid w:val="7DE14F1D"/>
    <w:rsid w:val="7DE23BDC"/>
    <w:rsid w:val="7DE32BC3"/>
    <w:rsid w:val="7DEE08AF"/>
    <w:rsid w:val="7DF74740"/>
    <w:rsid w:val="7DF81E40"/>
    <w:rsid w:val="7DF92139"/>
    <w:rsid w:val="7DFB3811"/>
    <w:rsid w:val="7DFF56F6"/>
    <w:rsid w:val="7E0029CC"/>
    <w:rsid w:val="7E007719"/>
    <w:rsid w:val="7E064983"/>
    <w:rsid w:val="7E094A8E"/>
    <w:rsid w:val="7E0B0077"/>
    <w:rsid w:val="7E0B01EB"/>
    <w:rsid w:val="7E0E47A2"/>
    <w:rsid w:val="7E105802"/>
    <w:rsid w:val="7E132BFC"/>
    <w:rsid w:val="7E133874"/>
    <w:rsid w:val="7E14195C"/>
    <w:rsid w:val="7E143E2F"/>
    <w:rsid w:val="7E1A0288"/>
    <w:rsid w:val="7E1B43C3"/>
    <w:rsid w:val="7E1D7CB0"/>
    <w:rsid w:val="7E274BBA"/>
    <w:rsid w:val="7E291DFD"/>
    <w:rsid w:val="7E2F7D76"/>
    <w:rsid w:val="7E311644"/>
    <w:rsid w:val="7E3338BA"/>
    <w:rsid w:val="7E3C3B5E"/>
    <w:rsid w:val="7E3F5EA8"/>
    <w:rsid w:val="7E40615E"/>
    <w:rsid w:val="7E44203A"/>
    <w:rsid w:val="7E445FDC"/>
    <w:rsid w:val="7E447A80"/>
    <w:rsid w:val="7E506E0A"/>
    <w:rsid w:val="7E552E17"/>
    <w:rsid w:val="7E582D05"/>
    <w:rsid w:val="7E5C0A47"/>
    <w:rsid w:val="7E5E70BB"/>
    <w:rsid w:val="7E6416AA"/>
    <w:rsid w:val="7E6A75F3"/>
    <w:rsid w:val="7E6C53CA"/>
    <w:rsid w:val="7E6D6E9B"/>
    <w:rsid w:val="7E6E7541"/>
    <w:rsid w:val="7E712236"/>
    <w:rsid w:val="7E723C42"/>
    <w:rsid w:val="7E725B75"/>
    <w:rsid w:val="7E730C9D"/>
    <w:rsid w:val="7E733A9D"/>
    <w:rsid w:val="7E7912F4"/>
    <w:rsid w:val="7E7A4B80"/>
    <w:rsid w:val="7E8068E0"/>
    <w:rsid w:val="7E8346E1"/>
    <w:rsid w:val="7E847D08"/>
    <w:rsid w:val="7E876CB8"/>
    <w:rsid w:val="7E8843A3"/>
    <w:rsid w:val="7E896DC3"/>
    <w:rsid w:val="7E8B3386"/>
    <w:rsid w:val="7E8B666E"/>
    <w:rsid w:val="7E8C33D8"/>
    <w:rsid w:val="7E8E6727"/>
    <w:rsid w:val="7E8F4637"/>
    <w:rsid w:val="7E903C14"/>
    <w:rsid w:val="7E9401E1"/>
    <w:rsid w:val="7E943139"/>
    <w:rsid w:val="7E953D28"/>
    <w:rsid w:val="7E9D4FA7"/>
    <w:rsid w:val="7E9D7B6E"/>
    <w:rsid w:val="7EA11F75"/>
    <w:rsid w:val="7EA146AC"/>
    <w:rsid w:val="7EA30411"/>
    <w:rsid w:val="7EA63720"/>
    <w:rsid w:val="7EAA3560"/>
    <w:rsid w:val="7EB075F6"/>
    <w:rsid w:val="7EB20667"/>
    <w:rsid w:val="7EB443DF"/>
    <w:rsid w:val="7EBA6E0B"/>
    <w:rsid w:val="7EBB576E"/>
    <w:rsid w:val="7EC07479"/>
    <w:rsid w:val="7EC3616B"/>
    <w:rsid w:val="7EC81A75"/>
    <w:rsid w:val="7ECC2BFC"/>
    <w:rsid w:val="7EDB3A51"/>
    <w:rsid w:val="7EDB76B6"/>
    <w:rsid w:val="7EDB7936"/>
    <w:rsid w:val="7EDC652F"/>
    <w:rsid w:val="7EE14909"/>
    <w:rsid w:val="7EE81CA6"/>
    <w:rsid w:val="7EE978DC"/>
    <w:rsid w:val="7EF13238"/>
    <w:rsid w:val="7EF624AC"/>
    <w:rsid w:val="7EFA00DA"/>
    <w:rsid w:val="7EFC334E"/>
    <w:rsid w:val="7EFE565A"/>
    <w:rsid w:val="7F005818"/>
    <w:rsid w:val="7F006813"/>
    <w:rsid w:val="7F015700"/>
    <w:rsid w:val="7F0263A5"/>
    <w:rsid w:val="7F072E14"/>
    <w:rsid w:val="7F08297D"/>
    <w:rsid w:val="7F08472B"/>
    <w:rsid w:val="7F0D4B2A"/>
    <w:rsid w:val="7F0F1F7E"/>
    <w:rsid w:val="7F111831"/>
    <w:rsid w:val="7F1D0307"/>
    <w:rsid w:val="7F1F4E5A"/>
    <w:rsid w:val="7F234CC0"/>
    <w:rsid w:val="7F2933B6"/>
    <w:rsid w:val="7F294F09"/>
    <w:rsid w:val="7F2A42E5"/>
    <w:rsid w:val="7F2F7F0A"/>
    <w:rsid w:val="7F315A30"/>
    <w:rsid w:val="7F3161E6"/>
    <w:rsid w:val="7F331417"/>
    <w:rsid w:val="7F343DDD"/>
    <w:rsid w:val="7F343E0A"/>
    <w:rsid w:val="7F38567E"/>
    <w:rsid w:val="7F39023D"/>
    <w:rsid w:val="7F3F19B2"/>
    <w:rsid w:val="7F4734A5"/>
    <w:rsid w:val="7F4C0755"/>
    <w:rsid w:val="7F547A29"/>
    <w:rsid w:val="7F572FBC"/>
    <w:rsid w:val="7F5926ED"/>
    <w:rsid w:val="7F5E259D"/>
    <w:rsid w:val="7F623B05"/>
    <w:rsid w:val="7F651B7D"/>
    <w:rsid w:val="7F6575A6"/>
    <w:rsid w:val="7F672EB4"/>
    <w:rsid w:val="7F694B50"/>
    <w:rsid w:val="7F6F066C"/>
    <w:rsid w:val="7F7147DE"/>
    <w:rsid w:val="7F7327AE"/>
    <w:rsid w:val="7F7A3485"/>
    <w:rsid w:val="7F7E15D9"/>
    <w:rsid w:val="7F807068"/>
    <w:rsid w:val="7F8738A2"/>
    <w:rsid w:val="7F8A476C"/>
    <w:rsid w:val="7F8C05A9"/>
    <w:rsid w:val="7F955EF7"/>
    <w:rsid w:val="7F983D01"/>
    <w:rsid w:val="7F996807"/>
    <w:rsid w:val="7F9D33F7"/>
    <w:rsid w:val="7F9D4C59"/>
    <w:rsid w:val="7F9F6E3D"/>
    <w:rsid w:val="7FA63479"/>
    <w:rsid w:val="7FA92CEA"/>
    <w:rsid w:val="7FAB6659"/>
    <w:rsid w:val="7FAC5B28"/>
    <w:rsid w:val="7FAC796E"/>
    <w:rsid w:val="7FAE1DB0"/>
    <w:rsid w:val="7FB45BC6"/>
    <w:rsid w:val="7FB91A2E"/>
    <w:rsid w:val="7FB977D3"/>
    <w:rsid w:val="7FC201C0"/>
    <w:rsid w:val="7FC21AD9"/>
    <w:rsid w:val="7FC45FDB"/>
    <w:rsid w:val="7FC5577D"/>
    <w:rsid w:val="7FC83BB2"/>
    <w:rsid w:val="7FC91116"/>
    <w:rsid w:val="7FCF00AD"/>
    <w:rsid w:val="7FD642CE"/>
    <w:rsid w:val="7FD82C3F"/>
    <w:rsid w:val="7FDC12D3"/>
    <w:rsid w:val="7FDC6722"/>
    <w:rsid w:val="7FE716D8"/>
    <w:rsid w:val="7FE722D7"/>
    <w:rsid w:val="7FE7575D"/>
    <w:rsid w:val="7FE85E3E"/>
    <w:rsid w:val="7FE866F3"/>
    <w:rsid w:val="7FEB2083"/>
    <w:rsid w:val="7FEC179D"/>
    <w:rsid w:val="7FEC39B1"/>
    <w:rsid w:val="7FEE4B52"/>
    <w:rsid w:val="7FF054D1"/>
    <w:rsid w:val="7FF13411"/>
    <w:rsid w:val="7FF60A27"/>
    <w:rsid w:val="7FF73756"/>
    <w:rsid w:val="7FF80454"/>
    <w:rsid w:val="7FF901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iPriority="39" w:semiHidden="0" w:name="toc 8"/>
    <w:lsdException w:qFormat="1" w:unhideWhenUsed="0" w:uiPriority="39"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qFormat="1" w:unhideWhenUsed="0" w:uiPriority="99"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iPriority="0" w:semiHidden="0" w:name="Note Heading"/>
    <w:lsdException w:qFormat="1" w:unhideWhenUsed="0" w:uiPriority="99"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qFormat="1" w:unhideWhenUsed="0" w:uiPriority="0" w:semiHidden="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line="360" w:lineRule="auto"/>
      <w:ind w:firstLine="400" w:firstLineChars="200"/>
      <w:jc w:val="both"/>
    </w:pPr>
    <w:rPr>
      <w:rFonts w:ascii="等线" w:hAnsi="等线" w:eastAsia="等线" w:cs="宋体"/>
      <w:szCs w:val="21"/>
      <w:lang w:val="en-US" w:eastAsia="zh-CN" w:bidi="ar-SA"/>
    </w:rPr>
  </w:style>
  <w:style w:type="paragraph" w:styleId="4">
    <w:name w:val="heading 1"/>
    <w:basedOn w:val="1"/>
    <w:next w:val="1"/>
    <w:link w:val="80"/>
    <w:qFormat/>
    <w:uiPriority w:val="0"/>
    <w:pPr>
      <w:keepNext/>
      <w:keepLines/>
      <w:numPr>
        <w:ilvl w:val="0"/>
        <w:numId w:val="1"/>
      </w:numPr>
      <w:spacing w:before="240" w:line="480" w:lineRule="atLeast"/>
      <w:ind w:left="431" w:hanging="431"/>
      <w:textAlignment w:val="baseline"/>
      <w:outlineLvl w:val="0"/>
    </w:pPr>
    <w:rPr>
      <w:rFonts w:eastAsia="黑体"/>
      <w:kern w:val="44"/>
      <w:sz w:val="28"/>
    </w:rPr>
  </w:style>
  <w:style w:type="paragraph" w:styleId="5">
    <w:name w:val="heading 2"/>
    <w:basedOn w:val="1"/>
    <w:next w:val="2"/>
    <w:link w:val="81"/>
    <w:qFormat/>
    <w:uiPriority w:val="0"/>
    <w:pPr>
      <w:keepNext/>
      <w:keepLines/>
      <w:numPr>
        <w:ilvl w:val="1"/>
        <w:numId w:val="1"/>
      </w:numPr>
      <w:tabs>
        <w:tab w:val="clear" w:pos="576"/>
      </w:tabs>
      <w:spacing w:before="100" w:after="40" w:line="480" w:lineRule="atLeast"/>
      <w:ind w:left="0" w:firstLine="0"/>
      <w:textAlignment w:val="baseline"/>
      <w:outlineLvl w:val="1"/>
    </w:pPr>
    <w:rPr>
      <w:rFonts w:ascii="Arial" w:hAnsi="Arial" w:eastAsia="黑体"/>
      <w:sz w:val="32"/>
    </w:rPr>
  </w:style>
  <w:style w:type="paragraph" w:styleId="6">
    <w:name w:val="heading 3"/>
    <w:basedOn w:val="1"/>
    <w:next w:val="1"/>
    <w:link w:val="82"/>
    <w:qFormat/>
    <w:uiPriority w:val="0"/>
    <w:pPr>
      <w:keepNext/>
      <w:keepLines/>
      <w:numPr>
        <w:ilvl w:val="2"/>
        <w:numId w:val="1"/>
      </w:numPr>
      <w:spacing w:before="60" w:line="480" w:lineRule="atLeast"/>
      <w:textAlignment w:val="baseline"/>
      <w:outlineLvl w:val="2"/>
    </w:pPr>
    <w:rPr>
      <w:rFonts w:eastAsia="黑体"/>
      <w:sz w:val="30"/>
    </w:rPr>
  </w:style>
  <w:style w:type="paragraph" w:styleId="7">
    <w:name w:val="heading 4"/>
    <w:basedOn w:val="1"/>
    <w:next w:val="1"/>
    <w:link w:val="83"/>
    <w:qFormat/>
    <w:uiPriority w:val="0"/>
    <w:pPr>
      <w:keepNext/>
      <w:keepLines/>
      <w:numPr>
        <w:ilvl w:val="3"/>
        <w:numId w:val="1"/>
      </w:numPr>
      <w:spacing w:before="280" w:after="290" w:line="376" w:lineRule="atLeast"/>
      <w:textAlignment w:val="baseline"/>
      <w:outlineLvl w:val="3"/>
    </w:pPr>
    <w:rPr>
      <w:rFonts w:ascii="Arial" w:hAnsi="Arial" w:eastAsia="黑体"/>
      <w:b/>
      <w:sz w:val="28"/>
    </w:rPr>
  </w:style>
  <w:style w:type="paragraph" w:styleId="8">
    <w:name w:val="heading 5"/>
    <w:basedOn w:val="1"/>
    <w:next w:val="2"/>
    <w:link w:val="84"/>
    <w:qFormat/>
    <w:uiPriority w:val="0"/>
    <w:pPr>
      <w:keepNext/>
      <w:keepLines/>
      <w:numPr>
        <w:ilvl w:val="4"/>
        <w:numId w:val="1"/>
      </w:numPr>
      <w:spacing w:before="280" w:after="290" w:line="376" w:lineRule="atLeast"/>
      <w:textAlignment w:val="baseline"/>
      <w:outlineLvl w:val="4"/>
    </w:pPr>
    <w:rPr>
      <w:b/>
      <w:sz w:val="28"/>
    </w:rPr>
  </w:style>
  <w:style w:type="paragraph" w:styleId="9">
    <w:name w:val="heading 6"/>
    <w:basedOn w:val="1"/>
    <w:next w:val="2"/>
    <w:link w:val="85"/>
    <w:qFormat/>
    <w:uiPriority w:val="0"/>
    <w:pPr>
      <w:keepNext/>
      <w:keepLines/>
      <w:numPr>
        <w:ilvl w:val="5"/>
        <w:numId w:val="1"/>
      </w:numPr>
      <w:spacing w:before="240" w:after="64" w:line="320" w:lineRule="atLeast"/>
      <w:textAlignment w:val="baseline"/>
      <w:outlineLvl w:val="5"/>
    </w:pPr>
    <w:rPr>
      <w:rFonts w:ascii="Arial" w:hAnsi="Arial" w:eastAsia="黑体"/>
      <w:b/>
      <w:sz w:val="24"/>
    </w:rPr>
  </w:style>
  <w:style w:type="paragraph" w:styleId="10">
    <w:name w:val="heading 7"/>
    <w:basedOn w:val="1"/>
    <w:next w:val="2"/>
    <w:link w:val="86"/>
    <w:qFormat/>
    <w:uiPriority w:val="0"/>
    <w:pPr>
      <w:keepNext/>
      <w:keepLines/>
      <w:numPr>
        <w:ilvl w:val="6"/>
        <w:numId w:val="1"/>
      </w:numPr>
      <w:spacing w:before="240" w:after="64" w:line="320" w:lineRule="atLeast"/>
      <w:textAlignment w:val="baseline"/>
      <w:outlineLvl w:val="6"/>
    </w:pPr>
    <w:rPr>
      <w:b/>
      <w:sz w:val="24"/>
    </w:rPr>
  </w:style>
  <w:style w:type="paragraph" w:styleId="11">
    <w:name w:val="heading 8"/>
    <w:basedOn w:val="1"/>
    <w:next w:val="2"/>
    <w:link w:val="87"/>
    <w:qFormat/>
    <w:uiPriority w:val="0"/>
    <w:pPr>
      <w:keepNext/>
      <w:keepLines/>
      <w:numPr>
        <w:ilvl w:val="7"/>
        <w:numId w:val="1"/>
      </w:numPr>
      <w:spacing w:before="240" w:after="64" w:line="320" w:lineRule="atLeast"/>
      <w:textAlignment w:val="baseline"/>
      <w:outlineLvl w:val="7"/>
    </w:pPr>
    <w:rPr>
      <w:rFonts w:ascii="Arial" w:hAnsi="Arial" w:eastAsia="黑体"/>
      <w:sz w:val="24"/>
    </w:rPr>
  </w:style>
  <w:style w:type="paragraph" w:styleId="12">
    <w:name w:val="heading 9"/>
    <w:basedOn w:val="1"/>
    <w:next w:val="2"/>
    <w:link w:val="88"/>
    <w:qFormat/>
    <w:uiPriority w:val="0"/>
    <w:pPr>
      <w:keepNext/>
      <w:keepLines/>
      <w:numPr>
        <w:ilvl w:val="8"/>
        <w:numId w:val="1"/>
      </w:numPr>
      <w:spacing w:before="240" w:after="64" w:line="320" w:lineRule="atLeast"/>
      <w:textAlignment w:val="baseline"/>
      <w:outlineLvl w:val="8"/>
    </w:pPr>
    <w:rPr>
      <w:rFonts w:ascii="Arial" w:hAnsi="Arial" w:eastAsia="黑体"/>
      <w:sz w:val="28"/>
    </w:rPr>
  </w:style>
  <w:style w:type="character" w:default="1" w:styleId="58">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link w:val="76"/>
    <w:qFormat/>
    <w:uiPriority w:val="0"/>
    <w:pPr>
      <w:spacing w:line="480" w:lineRule="atLeast"/>
      <w:ind w:firstLine="595"/>
      <w:textAlignment w:val="baseline"/>
    </w:pPr>
    <w:rPr>
      <w:sz w:val="28"/>
    </w:rPr>
  </w:style>
  <w:style w:type="paragraph" w:customStyle="1" w:styleId="3">
    <w:name w:val="Char Char Char Char Char Char Char Char Char1 Char"/>
    <w:basedOn w:val="1"/>
    <w:qFormat/>
    <w:uiPriority w:val="0"/>
    <w:pPr>
      <w:spacing w:line="360" w:lineRule="auto"/>
      <w:ind w:firstLine="200" w:firstLineChars="200"/>
    </w:pPr>
    <w:rPr>
      <w:rFonts w:hAnsi="宋体" w:cs="宋体"/>
      <w:spacing w:val="5"/>
      <w:sz w:val="24"/>
    </w:rPr>
  </w:style>
  <w:style w:type="paragraph" w:styleId="13">
    <w:name w:val="toc 7"/>
    <w:basedOn w:val="1"/>
    <w:next w:val="1"/>
    <w:qFormat/>
    <w:uiPriority w:val="39"/>
    <w:pPr>
      <w:ind w:left="1260"/>
      <w:jc w:val="left"/>
    </w:pPr>
    <w:rPr>
      <w:kern w:val="2"/>
      <w:sz w:val="18"/>
      <w:szCs w:val="18"/>
    </w:rPr>
  </w:style>
  <w:style w:type="paragraph" w:styleId="14">
    <w:name w:val="Note Heading"/>
    <w:basedOn w:val="1"/>
    <w:next w:val="1"/>
    <w:unhideWhenUsed/>
    <w:qFormat/>
    <w:uiPriority w:val="0"/>
    <w:pPr>
      <w:jc w:val="center"/>
    </w:pPr>
  </w:style>
  <w:style w:type="paragraph" w:styleId="15">
    <w:name w:val="caption"/>
    <w:basedOn w:val="1"/>
    <w:next w:val="1"/>
    <w:link w:val="89"/>
    <w:qFormat/>
    <w:uiPriority w:val="0"/>
    <w:pPr>
      <w:widowControl/>
      <w:spacing w:line="440" w:lineRule="exact"/>
      <w:jc w:val="center"/>
    </w:pPr>
    <w:rPr>
      <w:b/>
      <w:spacing w:val="4"/>
    </w:rPr>
  </w:style>
  <w:style w:type="paragraph" w:styleId="16">
    <w:name w:val="index 5"/>
    <w:basedOn w:val="1"/>
    <w:next w:val="1"/>
    <w:qFormat/>
    <w:uiPriority w:val="0"/>
    <w:pPr>
      <w:ind w:left="1680"/>
    </w:pPr>
  </w:style>
  <w:style w:type="paragraph" w:styleId="17">
    <w:name w:val="List Bullet"/>
    <w:basedOn w:val="1"/>
    <w:qFormat/>
    <w:uiPriority w:val="0"/>
    <w:pPr>
      <w:numPr>
        <w:ilvl w:val="0"/>
        <w:numId w:val="2"/>
      </w:numPr>
      <w:contextualSpacing/>
    </w:pPr>
  </w:style>
  <w:style w:type="paragraph" w:styleId="18">
    <w:name w:val="Document Map"/>
    <w:basedOn w:val="1"/>
    <w:link w:val="79"/>
    <w:qFormat/>
    <w:uiPriority w:val="0"/>
    <w:pPr>
      <w:shd w:val="clear" w:color="auto" w:fill="000080"/>
    </w:pPr>
  </w:style>
  <w:style w:type="paragraph" w:styleId="19">
    <w:name w:val="toa heading"/>
    <w:basedOn w:val="1"/>
    <w:next w:val="1"/>
    <w:unhideWhenUsed/>
    <w:qFormat/>
    <w:uiPriority w:val="99"/>
    <w:pPr>
      <w:spacing w:before="120"/>
    </w:pPr>
    <w:rPr>
      <w:rFonts w:ascii="Arial" w:hAnsi="Arial"/>
      <w:sz w:val="24"/>
    </w:rPr>
  </w:style>
  <w:style w:type="paragraph" w:styleId="20">
    <w:name w:val="annotation text"/>
    <w:basedOn w:val="1"/>
    <w:link w:val="90"/>
    <w:qFormat/>
    <w:uiPriority w:val="0"/>
    <w:pPr>
      <w:jc w:val="left"/>
    </w:pPr>
    <w:rPr>
      <w:rFonts w:ascii="Calibri" w:hAnsi="Calibri" w:eastAsia="宋体" w:cs="Times New Roman"/>
      <w:szCs w:val="20"/>
    </w:rPr>
  </w:style>
  <w:style w:type="paragraph" w:styleId="21">
    <w:name w:val="Salutation"/>
    <w:basedOn w:val="1"/>
    <w:next w:val="1"/>
    <w:qFormat/>
    <w:uiPriority w:val="99"/>
    <w:rPr>
      <w:kern w:val="0"/>
    </w:rPr>
  </w:style>
  <w:style w:type="paragraph" w:styleId="22">
    <w:name w:val="Body Text 3"/>
    <w:basedOn w:val="1"/>
    <w:link w:val="91"/>
    <w:qFormat/>
    <w:uiPriority w:val="0"/>
    <w:rPr>
      <w:sz w:val="28"/>
    </w:rPr>
  </w:style>
  <w:style w:type="paragraph" w:styleId="23">
    <w:name w:val="Body Text"/>
    <w:basedOn w:val="1"/>
    <w:link w:val="77"/>
    <w:qFormat/>
    <w:uiPriority w:val="0"/>
    <w:rPr>
      <w:sz w:val="32"/>
    </w:rPr>
  </w:style>
  <w:style w:type="paragraph" w:styleId="24">
    <w:name w:val="Body Text Indent"/>
    <w:basedOn w:val="1"/>
    <w:next w:val="25"/>
    <w:link w:val="78"/>
    <w:qFormat/>
    <w:uiPriority w:val="0"/>
    <w:pPr>
      <w:tabs>
        <w:tab w:val="left" w:pos="0"/>
      </w:tabs>
      <w:spacing w:line="440" w:lineRule="exact"/>
      <w:ind w:firstLine="560"/>
      <w:jc w:val="left"/>
    </w:pPr>
    <w:rPr>
      <w:sz w:val="28"/>
    </w:rPr>
  </w:style>
  <w:style w:type="paragraph" w:styleId="25">
    <w:name w:val="header"/>
    <w:basedOn w:val="1"/>
    <w:link w:val="97"/>
    <w:qFormat/>
    <w:uiPriority w:val="99"/>
    <w:pPr>
      <w:pBdr>
        <w:bottom w:val="single" w:color="auto" w:sz="6" w:space="1"/>
      </w:pBdr>
      <w:tabs>
        <w:tab w:val="center" w:pos="4153"/>
        <w:tab w:val="right" w:pos="8306"/>
      </w:tabs>
      <w:jc w:val="center"/>
    </w:pPr>
    <w:rPr>
      <w:sz w:val="18"/>
      <w:szCs w:val="18"/>
    </w:rPr>
  </w:style>
  <w:style w:type="paragraph" w:styleId="26">
    <w:name w:val="List 2"/>
    <w:basedOn w:val="1"/>
    <w:qFormat/>
    <w:uiPriority w:val="0"/>
    <w:pPr>
      <w:spacing w:line="320" w:lineRule="exact"/>
      <w:jc w:val="center"/>
    </w:pPr>
    <w:rPr>
      <w:b/>
      <w:szCs w:val="24"/>
    </w:rPr>
  </w:style>
  <w:style w:type="paragraph" w:styleId="27">
    <w:name w:val="Block Text"/>
    <w:basedOn w:val="1"/>
    <w:next w:val="18"/>
    <w:unhideWhenUsed/>
    <w:qFormat/>
    <w:uiPriority w:val="0"/>
    <w:pPr>
      <w:adjustRightInd/>
      <w:snapToGrid/>
      <w:spacing w:after="120" w:line="240" w:lineRule="auto"/>
      <w:ind w:left="1440" w:leftChars="700" w:right="1440" w:rightChars="700" w:firstLine="0" w:firstLineChars="0"/>
    </w:pPr>
    <w:rPr>
      <w:kern w:val="2"/>
      <w:sz w:val="21"/>
      <w:szCs w:val="20"/>
    </w:rPr>
  </w:style>
  <w:style w:type="paragraph" w:styleId="28">
    <w:name w:val="toc 5"/>
    <w:basedOn w:val="1"/>
    <w:next w:val="1"/>
    <w:qFormat/>
    <w:uiPriority w:val="39"/>
    <w:pPr>
      <w:ind w:left="840"/>
      <w:jc w:val="left"/>
    </w:pPr>
    <w:rPr>
      <w:kern w:val="2"/>
      <w:sz w:val="18"/>
      <w:szCs w:val="18"/>
    </w:rPr>
  </w:style>
  <w:style w:type="paragraph" w:styleId="29">
    <w:name w:val="toc 3"/>
    <w:basedOn w:val="1"/>
    <w:next w:val="1"/>
    <w:unhideWhenUsed/>
    <w:qFormat/>
    <w:uiPriority w:val="39"/>
    <w:pPr>
      <w:widowControl/>
      <w:spacing w:after="100" w:line="259" w:lineRule="auto"/>
      <w:ind w:left="440"/>
      <w:jc w:val="left"/>
    </w:pPr>
    <w:rPr>
      <w:sz w:val="22"/>
      <w:szCs w:val="22"/>
    </w:rPr>
  </w:style>
  <w:style w:type="paragraph" w:styleId="30">
    <w:name w:val="Plain Text"/>
    <w:basedOn w:val="1"/>
    <w:next w:val="21"/>
    <w:link w:val="92"/>
    <w:qFormat/>
    <w:uiPriority w:val="0"/>
    <w:rPr>
      <w:rFonts w:ascii="宋体" w:hAnsi="Courier New"/>
    </w:rPr>
  </w:style>
  <w:style w:type="paragraph" w:styleId="31">
    <w:name w:val="List Bullet 5"/>
    <w:basedOn w:val="1"/>
    <w:qFormat/>
    <w:uiPriority w:val="0"/>
    <w:pPr>
      <w:numPr>
        <w:ilvl w:val="0"/>
        <w:numId w:val="3"/>
      </w:numPr>
    </w:pPr>
  </w:style>
  <w:style w:type="paragraph" w:styleId="32">
    <w:name w:val="toc 8"/>
    <w:basedOn w:val="1"/>
    <w:next w:val="1"/>
    <w:unhideWhenUsed/>
    <w:qFormat/>
    <w:uiPriority w:val="39"/>
    <w:pPr>
      <w:ind w:left="2940" w:leftChars="1400" w:firstLine="200"/>
    </w:pPr>
    <w:rPr>
      <w:rFonts w:cs="Times New Roman"/>
      <w:kern w:val="2"/>
      <w:sz w:val="24"/>
      <w:szCs w:val="22"/>
    </w:rPr>
  </w:style>
  <w:style w:type="paragraph" w:styleId="33">
    <w:name w:val="Date"/>
    <w:basedOn w:val="1"/>
    <w:next w:val="1"/>
    <w:link w:val="93"/>
    <w:qFormat/>
    <w:uiPriority w:val="0"/>
    <w:pPr>
      <w:ind w:left="100"/>
    </w:pPr>
    <w:rPr>
      <w:sz w:val="28"/>
    </w:rPr>
  </w:style>
  <w:style w:type="paragraph" w:styleId="34">
    <w:name w:val="Body Text Indent 2"/>
    <w:basedOn w:val="1"/>
    <w:next w:val="1"/>
    <w:link w:val="94"/>
    <w:qFormat/>
    <w:uiPriority w:val="0"/>
    <w:pPr>
      <w:ind w:left="-140" w:firstLine="560"/>
      <w:jc w:val="left"/>
      <w:outlineLvl w:val="0"/>
    </w:pPr>
    <w:rPr>
      <w:sz w:val="28"/>
    </w:rPr>
  </w:style>
  <w:style w:type="paragraph" w:styleId="35">
    <w:name w:val="Balloon Text"/>
    <w:basedOn w:val="1"/>
    <w:link w:val="95"/>
    <w:qFormat/>
    <w:uiPriority w:val="99"/>
    <w:rPr>
      <w:sz w:val="18"/>
      <w:szCs w:val="18"/>
    </w:rPr>
  </w:style>
  <w:style w:type="paragraph" w:styleId="36">
    <w:name w:val="footer"/>
    <w:basedOn w:val="1"/>
    <w:link w:val="96"/>
    <w:qFormat/>
    <w:uiPriority w:val="99"/>
    <w:pPr>
      <w:tabs>
        <w:tab w:val="center" w:pos="4153"/>
        <w:tab w:val="right" w:pos="8306"/>
      </w:tabs>
      <w:jc w:val="left"/>
    </w:pPr>
    <w:rPr>
      <w:sz w:val="18"/>
    </w:rPr>
  </w:style>
  <w:style w:type="paragraph" w:styleId="37">
    <w:name w:val="toc 1"/>
    <w:basedOn w:val="1"/>
    <w:next w:val="1"/>
    <w:qFormat/>
    <w:uiPriority w:val="39"/>
    <w:pPr>
      <w:jc w:val="center"/>
    </w:pPr>
    <w:rPr>
      <w:bCs/>
      <w:sz w:val="18"/>
      <w:szCs w:val="18"/>
    </w:rPr>
  </w:style>
  <w:style w:type="paragraph" w:styleId="38">
    <w:name w:val="toc 4"/>
    <w:basedOn w:val="1"/>
    <w:next w:val="1"/>
    <w:qFormat/>
    <w:uiPriority w:val="39"/>
    <w:pPr>
      <w:ind w:left="630"/>
      <w:jc w:val="left"/>
    </w:pPr>
    <w:rPr>
      <w:kern w:val="2"/>
      <w:sz w:val="18"/>
      <w:szCs w:val="18"/>
    </w:rPr>
  </w:style>
  <w:style w:type="paragraph" w:styleId="39">
    <w:name w:val="index heading"/>
    <w:basedOn w:val="1"/>
    <w:next w:val="40"/>
    <w:qFormat/>
    <w:uiPriority w:val="0"/>
    <w:pPr>
      <w:widowControl/>
      <w:jc w:val="left"/>
    </w:pPr>
    <w:rPr>
      <w:rFonts w:ascii="Cambria" w:hAnsi="Cambria"/>
      <w:b/>
    </w:rPr>
  </w:style>
  <w:style w:type="paragraph" w:styleId="40">
    <w:name w:val="index 1"/>
    <w:basedOn w:val="1"/>
    <w:next w:val="1"/>
    <w:qFormat/>
    <w:uiPriority w:val="0"/>
    <w:pPr>
      <w:tabs>
        <w:tab w:val="left" w:pos="5580"/>
      </w:tabs>
      <w:spacing w:line="280" w:lineRule="exact"/>
    </w:pPr>
    <w:rPr>
      <w:rFonts w:ascii="宋体" w:hAnsi="宋体"/>
      <w:spacing w:val="10"/>
      <w:szCs w:val="24"/>
    </w:rPr>
  </w:style>
  <w:style w:type="paragraph" w:styleId="41">
    <w:name w:val="Subtitle"/>
    <w:basedOn w:val="1"/>
    <w:next w:val="1"/>
    <w:link w:val="98"/>
    <w:qFormat/>
    <w:uiPriority w:val="11"/>
    <w:pPr>
      <w:jc w:val="center"/>
      <w:outlineLvl w:val="1"/>
    </w:pPr>
    <w:rPr>
      <w:rFonts w:ascii="Cambria" w:hAnsi="Cambria" w:eastAsia="Times New Roman"/>
      <w:b/>
      <w:bCs/>
      <w:kern w:val="28"/>
      <w:sz w:val="21"/>
      <w:szCs w:val="32"/>
    </w:rPr>
  </w:style>
  <w:style w:type="paragraph" w:styleId="42">
    <w:name w:val="List"/>
    <w:basedOn w:val="1"/>
    <w:qFormat/>
    <w:uiPriority w:val="0"/>
    <w:pPr>
      <w:spacing w:line="360" w:lineRule="exact"/>
      <w:ind w:firstLine="38" w:firstLineChars="18"/>
    </w:pPr>
    <w:rPr>
      <w:rFonts w:ascii="宋体"/>
    </w:rPr>
  </w:style>
  <w:style w:type="paragraph" w:styleId="43">
    <w:name w:val="toc 6"/>
    <w:basedOn w:val="1"/>
    <w:next w:val="1"/>
    <w:qFormat/>
    <w:uiPriority w:val="39"/>
    <w:pPr>
      <w:ind w:left="1050"/>
      <w:jc w:val="left"/>
    </w:pPr>
    <w:rPr>
      <w:kern w:val="2"/>
      <w:sz w:val="18"/>
      <w:szCs w:val="18"/>
    </w:rPr>
  </w:style>
  <w:style w:type="paragraph" w:styleId="44">
    <w:name w:val="Body Text Indent 3"/>
    <w:basedOn w:val="1"/>
    <w:link w:val="99"/>
    <w:qFormat/>
    <w:uiPriority w:val="0"/>
    <w:pPr>
      <w:ind w:firstLine="406"/>
    </w:pPr>
  </w:style>
  <w:style w:type="paragraph" w:styleId="45">
    <w:name w:val="table of figures"/>
    <w:basedOn w:val="1"/>
    <w:next w:val="1"/>
    <w:qFormat/>
    <w:uiPriority w:val="0"/>
    <w:pPr>
      <w:spacing w:line="440" w:lineRule="exact"/>
    </w:pPr>
    <w:rPr>
      <w:rFonts w:ascii="Arial" w:hAnsi="Arial" w:eastAsia="黑体"/>
      <w:kern w:val="2"/>
      <w:sz w:val="24"/>
    </w:rPr>
  </w:style>
  <w:style w:type="paragraph" w:styleId="46">
    <w:name w:val="toc 2"/>
    <w:basedOn w:val="1"/>
    <w:next w:val="1"/>
    <w:unhideWhenUsed/>
    <w:qFormat/>
    <w:uiPriority w:val="39"/>
    <w:pPr>
      <w:widowControl/>
      <w:spacing w:after="100" w:line="259" w:lineRule="auto"/>
      <w:ind w:left="220"/>
      <w:jc w:val="left"/>
    </w:pPr>
    <w:rPr>
      <w:sz w:val="22"/>
      <w:szCs w:val="22"/>
    </w:rPr>
  </w:style>
  <w:style w:type="paragraph" w:styleId="47">
    <w:name w:val="toc 9"/>
    <w:basedOn w:val="1"/>
    <w:next w:val="1"/>
    <w:qFormat/>
    <w:uiPriority w:val="39"/>
    <w:pPr>
      <w:ind w:left="1680"/>
      <w:jc w:val="left"/>
    </w:pPr>
    <w:rPr>
      <w:kern w:val="2"/>
      <w:sz w:val="18"/>
      <w:szCs w:val="18"/>
    </w:rPr>
  </w:style>
  <w:style w:type="paragraph" w:styleId="48">
    <w:name w:val="Body Text 2"/>
    <w:basedOn w:val="1"/>
    <w:next w:val="1"/>
    <w:link w:val="100"/>
    <w:qFormat/>
    <w:uiPriority w:val="99"/>
  </w:style>
  <w:style w:type="paragraph" w:styleId="49">
    <w:name w:val="HTML Preformatted"/>
    <w:basedOn w:val="1"/>
    <w:link w:val="10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pPr>
    <w:rPr>
      <w:rFonts w:hint="eastAsia" w:ascii="宋体" w:hAnsi="宋体"/>
      <w:sz w:val="24"/>
      <w:szCs w:val="24"/>
    </w:rPr>
  </w:style>
  <w:style w:type="paragraph" w:styleId="50">
    <w:name w:val="Normal (Web)"/>
    <w:basedOn w:val="1"/>
    <w:link w:val="102"/>
    <w:qFormat/>
    <w:uiPriority w:val="0"/>
    <w:pPr>
      <w:widowControl/>
      <w:spacing w:before="100" w:beforeAutospacing="1" w:after="100" w:afterAutospacing="1"/>
      <w:jc w:val="left"/>
    </w:pPr>
    <w:rPr>
      <w:rFonts w:ascii="宋体" w:hAnsi="宋体"/>
      <w:sz w:val="24"/>
      <w:szCs w:val="24"/>
    </w:rPr>
  </w:style>
  <w:style w:type="paragraph" w:styleId="51">
    <w:name w:val="Title"/>
    <w:basedOn w:val="1"/>
    <w:next w:val="1"/>
    <w:link w:val="103"/>
    <w:qFormat/>
    <w:uiPriority w:val="10"/>
    <w:pPr>
      <w:spacing w:line="240" w:lineRule="atLeast"/>
      <w:jc w:val="center"/>
    </w:pPr>
    <w:rPr>
      <w:bCs/>
      <w:kern w:val="2"/>
      <w:sz w:val="23"/>
      <w:szCs w:val="32"/>
    </w:rPr>
  </w:style>
  <w:style w:type="paragraph" w:styleId="52">
    <w:name w:val="annotation subject"/>
    <w:basedOn w:val="20"/>
    <w:next w:val="20"/>
    <w:link w:val="104"/>
    <w:qFormat/>
    <w:uiPriority w:val="0"/>
    <w:rPr>
      <w:b/>
      <w:bCs/>
    </w:rPr>
  </w:style>
  <w:style w:type="paragraph" w:styleId="53">
    <w:name w:val="Body Text First Indent"/>
    <w:basedOn w:val="23"/>
    <w:link w:val="105"/>
    <w:qFormat/>
    <w:uiPriority w:val="0"/>
    <w:pPr>
      <w:spacing w:after="120"/>
      <w:ind w:firstLine="420" w:firstLineChars="100"/>
    </w:pPr>
    <w:rPr>
      <w:kern w:val="2"/>
      <w:sz w:val="21"/>
    </w:rPr>
  </w:style>
  <w:style w:type="paragraph" w:styleId="54">
    <w:name w:val="Body Text First Indent 2"/>
    <w:basedOn w:val="24"/>
    <w:next w:val="53"/>
    <w:qFormat/>
    <w:uiPriority w:val="0"/>
    <w:pPr>
      <w:spacing w:after="120" w:line="312" w:lineRule="atLeast"/>
      <w:ind w:left="420" w:leftChars="200" w:firstLine="210"/>
      <w:jc w:val="both"/>
      <w:textAlignment w:val="baseline"/>
    </w:pPr>
    <w:rPr>
      <w:b/>
      <w:sz w:val="21"/>
    </w:rPr>
  </w:style>
  <w:style w:type="table" w:styleId="56">
    <w:name w:val="Table Grid"/>
    <w:basedOn w:val="55"/>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57">
    <w:name w:val="Table Classic 1"/>
    <w:basedOn w:val="55"/>
    <w:qFormat/>
    <w:uiPriority w:val="0"/>
    <w:pPr>
      <w:widowControl w:val="0"/>
      <w:jc w:val="both"/>
    </w:pPr>
    <w:rPr>
      <w:sz w:val="21"/>
    </w:rPr>
    <w:tblPr>
      <w:tblBorders>
        <w:top w:val="single" w:color="000000" w:sz="12" w:space="0"/>
        <w:bottom w:val="single" w:color="000000" w:sz="12" w:space="0"/>
        <w:insideH w:val="single" w:color="auto" w:sz="4" w:space="0"/>
        <w:insideV w:val="single" w:color="auto" w:sz="4" w:space="0"/>
      </w:tblBorders>
    </w:tblPr>
    <w:tcPr>
      <w:shd w:val="clear" w:color="auto" w:fill="auto"/>
    </w:tcPr>
    <w:tblStylePr w:type="firstRow">
      <w:rPr>
        <w:i/>
        <w:i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character" w:styleId="59">
    <w:name w:val="Strong"/>
    <w:qFormat/>
    <w:uiPriority w:val="0"/>
    <w:rPr>
      <w:b/>
      <w:bCs/>
    </w:rPr>
  </w:style>
  <w:style w:type="character" w:styleId="60">
    <w:name w:val="page number"/>
    <w:basedOn w:val="58"/>
    <w:qFormat/>
    <w:uiPriority w:val="0"/>
  </w:style>
  <w:style w:type="character" w:styleId="61">
    <w:name w:val="FollowedHyperlink"/>
    <w:qFormat/>
    <w:uiPriority w:val="0"/>
    <w:rPr>
      <w:color w:val="800080"/>
      <w:u w:val="single"/>
    </w:rPr>
  </w:style>
  <w:style w:type="character" w:styleId="62">
    <w:name w:val="Emphasis"/>
    <w:qFormat/>
    <w:uiPriority w:val="0"/>
  </w:style>
  <w:style w:type="character" w:styleId="63">
    <w:name w:val="HTML Definition"/>
    <w:qFormat/>
    <w:uiPriority w:val="0"/>
  </w:style>
  <w:style w:type="character" w:styleId="64">
    <w:name w:val="HTML Variable"/>
    <w:qFormat/>
    <w:uiPriority w:val="0"/>
  </w:style>
  <w:style w:type="character" w:styleId="65">
    <w:name w:val="Hyperlink"/>
    <w:qFormat/>
    <w:uiPriority w:val="99"/>
    <w:rPr>
      <w:color w:val="333333"/>
      <w:u w:val="none"/>
    </w:rPr>
  </w:style>
  <w:style w:type="character" w:styleId="66">
    <w:name w:val="HTML Code"/>
    <w:qFormat/>
    <w:uiPriority w:val="0"/>
    <w:rPr>
      <w:rFonts w:hint="default" w:ascii="Arial" w:hAnsi="Arial" w:cs="Arial"/>
      <w:sz w:val="20"/>
    </w:rPr>
  </w:style>
  <w:style w:type="character" w:styleId="67">
    <w:name w:val="annotation reference"/>
    <w:qFormat/>
    <w:uiPriority w:val="0"/>
    <w:rPr>
      <w:sz w:val="21"/>
      <w:szCs w:val="21"/>
    </w:rPr>
  </w:style>
  <w:style w:type="character" w:styleId="68">
    <w:name w:val="HTML Cite"/>
    <w:qFormat/>
    <w:uiPriority w:val="0"/>
  </w:style>
  <w:style w:type="character" w:styleId="69">
    <w:name w:val="HTML Keyboard"/>
    <w:qFormat/>
    <w:uiPriority w:val="0"/>
    <w:rPr>
      <w:rFonts w:hint="default" w:ascii="Arial" w:hAnsi="Arial" w:cs="Arial"/>
      <w:sz w:val="20"/>
    </w:rPr>
  </w:style>
  <w:style w:type="character" w:styleId="70">
    <w:name w:val="HTML Sample"/>
    <w:qFormat/>
    <w:uiPriority w:val="0"/>
    <w:rPr>
      <w:rFonts w:hint="default" w:ascii="Arial" w:hAnsi="Arial" w:cs="Arial"/>
    </w:rPr>
  </w:style>
  <w:style w:type="paragraph" w:customStyle="1" w:styleId="71">
    <w:name w:val="样式5"/>
    <w:basedOn w:val="72"/>
    <w:qFormat/>
    <w:uiPriority w:val="0"/>
    <w:pPr>
      <w:tabs>
        <w:tab w:val="center" w:pos="4153"/>
        <w:tab w:val="right" w:pos="8306"/>
      </w:tabs>
      <w:spacing w:line="460" w:lineRule="exact"/>
      <w:textAlignment w:val="baseline"/>
    </w:pPr>
    <w:rPr>
      <w:rFonts w:ascii="Arial" w:hAnsi="Arial" w:eastAsia="宋体" w:cs="Arial"/>
    </w:rPr>
  </w:style>
  <w:style w:type="paragraph" w:customStyle="1" w:styleId="72">
    <w:name w:val="正文1"/>
    <w:basedOn w:val="36"/>
    <w:qFormat/>
    <w:uiPriority w:val="0"/>
    <w:pPr>
      <w:spacing w:beforeLines="25" w:afterLines="25"/>
      <w:ind w:firstLine="480"/>
    </w:pPr>
  </w:style>
  <w:style w:type="paragraph" w:customStyle="1" w:styleId="73">
    <w:name w:val="书正文"/>
    <w:basedOn w:val="1"/>
    <w:qFormat/>
    <w:uiPriority w:val="0"/>
    <w:pPr>
      <w:spacing w:line="500" w:lineRule="exact"/>
      <w:ind w:firstLine="640"/>
    </w:pPr>
    <w:rPr>
      <w:szCs w:val="24"/>
    </w:rPr>
  </w:style>
  <w:style w:type="paragraph" w:customStyle="1" w:styleId="74">
    <w:name w:val="样式 正文文本缩进 + 行距: 1.5 倍行距"/>
    <w:basedOn w:val="1"/>
    <w:qFormat/>
    <w:uiPriority w:val="0"/>
    <w:pPr>
      <w:spacing w:after="120"/>
      <w:ind w:left="90" w:leftChars="32" w:firstLine="560"/>
    </w:pPr>
  </w:style>
  <w:style w:type="paragraph" w:customStyle="1" w:styleId="75">
    <w:name w:val="样式 正文文本 + 首行缩进:  2 字符"/>
    <w:basedOn w:val="23"/>
    <w:next w:val="1"/>
    <w:qFormat/>
    <w:uiPriority w:val="99"/>
    <w:pPr>
      <w:spacing w:after="200" w:line="480" w:lineRule="exact"/>
      <w:ind w:firstLine="480"/>
    </w:pPr>
    <w:rPr>
      <w:rFonts w:ascii="宋体" w:hAnsi="宋体"/>
      <w:sz w:val="24"/>
    </w:rPr>
  </w:style>
  <w:style w:type="character" w:customStyle="1" w:styleId="76">
    <w:name w:val="正文缩进 字符1"/>
    <w:link w:val="2"/>
    <w:qFormat/>
    <w:uiPriority w:val="0"/>
    <w:rPr>
      <w:rFonts w:eastAsia="宋体"/>
      <w:sz w:val="28"/>
      <w:lang w:val="en-US" w:eastAsia="zh-CN" w:bidi="ar-SA"/>
    </w:rPr>
  </w:style>
  <w:style w:type="character" w:customStyle="1" w:styleId="77">
    <w:name w:val="正文文本 字符1"/>
    <w:link w:val="23"/>
    <w:qFormat/>
    <w:uiPriority w:val="0"/>
    <w:rPr>
      <w:sz w:val="32"/>
    </w:rPr>
  </w:style>
  <w:style w:type="character" w:customStyle="1" w:styleId="78">
    <w:name w:val="正文文本缩进 字符"/>
    <w:link w:val="24"/>
    <w:qFormat/>
    <w:uiPriority w:val="0"/>
    <w:rPr>
      <w:sz w:val="28"/>
    </w:rPr>
  </w:style>
  <w:style w:type="character" w:customStyle="1" w:styleId="79">
    <w:name w:val="文档结构图 字符"/>
    <w:link w:val="18"/>
    <w:qFormat/>
    <w:uiPriority w:val="0"/>
    <w:rPr>
      <w:shd w:val="clear" w:color="auto" w:fill="000080"/>
    </w:rPr>
  </w:style>
  <w:style w:type="character" w:customStyle="1" w:styleId="80">
    <w:name w:val="标题 1 字符"/>
    <w:link w:val="4"/>
    <w:qFormat/>
    <w:uiPriority w:val="0"/>
    <w:rPr>
      <w:rFonts w:eastAsia="黑体"/>
      <w:kern w:val="44"/>
      <w:sz w:val="28"/>
    </w:rPr>
  </w:style>
  <w:style w:type="character" w:customStyle="1" w:styleId="81">
    <w:name w:val="标题 2 字符"/>
    <w:link w:val="5"/>
    <w:qFormat/>
    <w:uiPriority w:val="0"/>
    <w:rPr>
      <w:rFonts w:ascii="Arial" w:hAnsi="Arial" w:eastAsia="黑体"/>
      <w:sz w:val="32"/>
    </w:rPr>
  </w:style>
  <w:style w:type="character" w:customStyle="1" w:styleId="82">
    <w:name w:val="标题 3 字符"/>
    <w:basedOn w:val="58"/>
    <w:link w:val="6"/>
    <w:qFormat/>
    <w:uiPriority w:val="0"/>
    <w:rPr>
      <w:rFonts w:eastAsia="黑体"/>
      <w:sz w:val="30"/>
    </w:rPr>
  </w:style>
  <w:style w:type="character" w:customStyle="1" w:styleId="83">
    <w:name w:val="标题 4 字符"/>
    <w:link w:val="7"/>
    <w:qFormat/>
    <w:uiPriority w:val="0"/>
    <w:rPr>
      <w:rFonts w:ascii="Arial" w:hAnsi="Arial" w:eastAsia="黑体"/>
      <w:b/>
      <w:sz w:val="28"/>
    </w:rPr>
  </w:style>
  <w:style w:type="character" w:customStyle="1" w:styleId="84">
    <w:name w:val="标题 5 字符"/>
    <w:link w:val="8"/>
    <w:qFormat/>
    <w:uiPriority w:val="0"/>
    <w:rPr>
      <w:b/>
      <w:sz w:val="28"/>
    </w:rPr>
  </w:style>
  <w:style w:type="character" w:customStyle="1" w:styleId="85">
    <w:name w:val="标题 6 字符"/>
    <w:link w:val="9"/>
    <w:qFormat/>
    <w:uiPriority w:val="0"/>
    <w:rPr>
      <w:rFonts w:ascii="Arial" w:hAnsi="Arial" w:eastAsia="黑体"/>
      <w:b/>
      <w:sz w:val="24"/>
    </w:rPr>
  </w:style>
  <w:style w:type="character" w:customStyle="1" w:styleId="86">
    <w:name w:val="标题 7 字符"/>
    <w:link w:val="10"/>
    <w:qFormat/>
    <w:uiPriority w:val="0"/>
    <w:rPr>
      <w:b/>
      <w:sz w:val="24"/>
    </w:rPr>
  </w:style>
  <w:style w:type="character" w:customStyle="1" w:styleId="87">
    <w:name w:val="标题 8 字符"/>
    <w:link w:val="11"/>
    <w:qFormat/>
    <w:uiPriority w:val="0"/>
    <w:rPr>
      <w:rFonts w:ascii="Arial" w:hAnsi="Arial" w:eastAsia="黑体"/>
      <w:sz w:val="24"/>
    </w:rPr>
  </w:style>
  <w:style w:type="character" w:customStyle="1" w:styleId="88">
    <w:name w:val="标题 9 字符"/>
    <w:link w:val="12"/>
    <w:qFormat/>
    <w:uiPriority w:val="0"/>
    <w:rPr>
      <w:rFonts w:ascii="Arial" w:hAnsi="Arial" w:eastAsia="黑体"/>
      <w:sz w:val="28"/>
    </w:rPr>
  </w:style>
  <w:style w:type="character" w:customStyle="1" w:styleId="89">
    <w:name w:val="题注 字符"/>
    <w:link w:val="15"/>
    <w:qFormat/>
    <w:uiPriority w:val="0"/>
    <w:rPr>
      <w:b/>
      <w:spacing w:val="4"/>
      <w:kern w:val="2"/>
      <w:sz w:val="21"/>
    </w:rPr>
  </w:style>
  <w:style w:type="character" w:customStyle="1" w:styleId="90">
    <w:name w:val="批注文字 字符"/>
    <w:link w:val="20"/>
    <w:qFormat/>
    <w:uiPriority w:val="0"/>
  </w:style>
  <w:style w:type="character" w:customStyle="1" w:styleId="91">
    <w:name w:val="正文文本 3 字符"/>
    <w:link w:val="22"/>
    <w:qFormat/>
    <w:uiPriority w:val="0"/>
    <w:rPr>
      <w:sz w:val="28"/>
    </w:rPr>
  </w:style>
  <w:style w:type="character" w:customStyle="1" w:styleId="92">
    <w:name w:val="纯文本 字符"/>
    <w:link w:val="30"/>
    <w:qFormat/>
    <w:uiPriority w:val="0"/>
    <w:rPr>
      <w:rFonts w:ascii="宋体" w:hAnsi="Courier New"/>
      <w:kern w:val="2"/>
      <w:sz w:val="21"/>
    </w:rPr>
  </w:style>
  <w:style w:type="character" w:customStyle="1" w:styleId="93">
    <w:name w:val="日期 字符"/>
    <w:link w:val="33"/>
    <w:qFormat/>
    <w:uiPriority w:val="0"/>
    <w:rPr>
      <w:sz w:val="28"/>
    </w:rPr>
  </w:style>
  <w:style w:type="character" w:customStyle="1" w:styleId="94">
    <w:name w:val="正文文本缩进 2 字符"/>
    <w:link w:val="34"/>
    <w:qFormat/>
    <w:uiPriority w:val="0"/>
    <w:rPr>
      <w:sz w:val="28"/>
    </w:rPr>
  </w:style>
  <w:style w:type="character" w:customStyle="1" w:styleId="95">
    <w:name w:val="批注框文本 字符"/>
    <w:link w:val="35"/>
    <w:qFormat/>
    <w:uiPriority w:val="99"/>
    <w:rPr>
      <w:sz w:val="18"/>
      <w:szCs w:val="18"/>
    </w:rPr>
  </w:style>
  <w:style w:type="character" w:customStyle="1" w:styleId="96">
    <w:name w:val="页脚 字符"/>
    <w:link w:val="36"/>
    <w:qFormat/>
    <w:uiPriority w:val="99"/>
    <w:rPr>
      <w:sz w:val="18"/>
    </w:rPr>
  </w:style>
  <w:style w:type="character" w:customStyle="1" w:styleId="97">
    <w:name w:val="页眉 字符"/>
    <w:link w:val="25"/>
    <w:qFormat/>
    <w:uiPriority w:val="99"/>
    <w:rPr>
      <w:sz w:val="18"/>
      <w:szCs w:val="18"/>
    </w:rPr>
  </w:style>
  <w:style w:type="character" w:customStyle="1" w:styleId="98">
    <w:name w:val="副标题 字符"/>
    <w:link w:val="41"/>
    <w:qFormat/>
    <w:uiPriority w:val="11"/>
    <w:rPr>
      <w:rFonts w:ascii="Cambria" w:hAnsi="Cambria" w:eastAsia="Times New Roman"/>
      <w:b/>
      <w:bCs/>
      <w:kern w:val="28"/>
      <w:sz w:val="21"/>
      <w:szCs w:val="32"/>
    </w:rPr>
  </w:style>
  <w:style w:type="character" w:customStyle="1" w:styleId="99">
    <w:name w:val="正文文本缩进 3 字符"/>
    <w:link w:val="44"/>
    <w:qFormat/>
    <w:uiPriority w:val="0"/>
  </w:style>
  <w:style w:type="character" w:customStyle="1" w:styleId="100">
    <w:name w:val="正文文本 2 字符"/>
    <w:link w:val="48"/>
    <w:qFormat/>
    <w:uiPriority w:val="99"/>
  </w:style>
  <w:style w:type="character" w:customStyle="1" w:styleId="101">
    <w:name w:val="HTML 预设格式 字符"/>
    <w:link w:val="49"/>
    <w:qFormat/>
    <w:uiPriority w:val="0"/>
    <w:rPr>
      <w:rFonts w:ascii="宋体" w:hAnsi="宋体"/>
      <w:sz w:val="24"/>
      <w:szCs w:val="24"/>
    </w:rPr>
  </w:style>
  <w:style w:type="character" w:customStyle="1" w:styleId="102">
    <w:name w:val="普通(网站) 字符"/>
    <w:link w:val="50"/>
    <w:qFormat/>
    <w:uiPriority w:val="0"/>
    <w:rPr>
      <w:rFonts w:ascii="宋体" w:hAnsi="宋体"/>
      <w:sz w:val="24"/>
      <w:szCs w:val="24"/>
    </w:rPr>
  </w:style>
  <w:style w:type="character" w:customStyle="1" w:styleId="103">
    <w:name w:val="标题 字符"/>
    <w:link w:val="51"/>
    <w:qFormat/>
    <w:uiPriority w:val="10"/>
    <w:rPr>
      <w:bCs/>
      <w:kern w:val="2"/>
      <w:sz w:val="23"/>
      <w:szCs w:val="32"/>
    </w:rPr>
  </w:style>
  <w:style w:type="character" w:customStyle="1" w:styleId="104">
    <w:name w:val="批注主题 字符"/>
    <w:link w:val="52"/>
    <w:qFormat/>
    <w:uiPriority w:val="0"/>
    <w:rPr>
      <w:b/>
      <w:bCs/>
    </w:rPr>
  </w:style>
  <w:style w:type="character" w:customStyle="1" w:styleId="105">
    <w:name w:val="正文文本首行缩进 字符"/>
    <w:link w:val="53"/>
    <w:qFormat/>
    <w:uiPriority w:val="0"/>
    <w:rPr>
      <w:kern w:val="2"/>
      <w:sz w:val="21"/>
    </w:rPr>
  </w:style>
  <w:style w:type="paragraph" w:customStyle="1" w:styleId="106">
    <w:name w:val="style4"/>
    <w:basedOn w:val="1"/>
    <w:next w:val="107"/>
    <w:qFormat/>
    <w:uiPriority w:val="0"/>
    <w:pPr>
      <w:widowControl/>
      <w:spacing w:before="280" w:after="280"/>
    </w:pPr>
    <w:rPr>
      <w:rFonts w:ascii="宋体"/>
      <w:sz w:val="18"/>
    </w:rPr>
  </w:style>
  <w:style w:type="paragraph" w:customStyle="1" w:styleId="107">
    <w:name w:val="2"/>
    <w:basedOn w:val="1"/>
    <w:next w:val="1"/>
    <w:qFormat/>
    <w:uiPriority w:val="0"/>
    <w:pPr>
      <w:ind w:firstLine="529"/>
    </w:pPr>
  </w:style>
  <w:style w:type="character" w:customStyle="1" w:styleId="108">
    <w:name w:val="无间隔1 字符"/>
    <w:link w:val="109"/>
    <w:qFormat/>
    <w:uiPriority w:val="99"/>
    <w:rPr>
      <w:kern w:val="2"/>
      <w:sz w:val="21"/>
      <w:szCs w:val="22"/>
    </w:rPr>
  </w:style>
  <w:style w:type="paragraph" w:customStyle="1" w:styleId="109">
    <w:name w:val="无间隔1"/>
    <w:link w:val="108"/>
    <w:qFormat/>
    <w:uiPriority w:val="99"/>
    <w:pPr>
      <w:widowControl w:val="0"/>
      <w:jc w:val="both"/>
    </w:pPr>
    <w:rPr>
      <w:rFonts w:ascii="Times New Roman" w:hAnsi="Times New Roman" w:eastAsia="宋体" w:cs="Times New Roman"/>
      <w:kern w:val="2"/>
      <w:sz w:val="21"/>
      <w:szCs w:val="22"/>
      <w:lang w:val="en-US" w:eastAsia="zh-CN" w:bidi="ar-SA"/>
    </w:rPr>
  </w:style>
  <w:style w:type="character" w:customStyle="1" w:styleId="110">
    <w:name w:val="18"/>
    <w:qFormat/>
    <w:uiPriority w:val="0"/>
    <w:rPr>
      <w:rFonts w:hint="eastAsia" w:ascii="宋体" w:hAnsi="宋体" w:eastAsia="宋体"/>
      <w:color w:val="000000"/>
      <w:sz w:val="20"/>
      <w:szCs w:val="20"/>
    </w:rPr>
  </w:style>
  <w:style w:type="character" w:customStyle="1" w:styleId="111">
    <w:name w:val="v-qiye"/>
    <w:qFormat/>
    <w:uiPriority w:val="0"/>
  </w:style>
  <w:style w:type="character" w:customStyle="1" w:styleId="112">
    <w:name w:val="普通文字 Char Char1"/>
    <w:qFormat/>
    <w:uiPriority w:val="0"/>
    <w:rPr>
      <w:rFonts w:ascii="宋体" w:hAnsi="Courier New" w:eastAsia="宋体"/>
      <w:spacing w:val="5"/>
      <w:kern w:val="2"/>
      <w:sz w:val="25"/>
      <w:szCs w:val="25"/>
      <w:lang w:val="en-US" w:eastAsia="zh-CN" w:bidi="ar-SA"/>
    </w:rPr>
  </w:style>
  <w:style w:type="character" w:customStyle="1" w:styleId="113">
    <w:name w:val="表格&amp;图标题 字符"/>
    <w:link w:val="114"/>
    <w:qFormat/>
    <w:uiPriority w:val="0"/>
    <w:rPr>
      <w:b/>
      <w:kern w:val="2"/>
      <w:sz w:val="24"/>
    </w:rPr>
  </w:style>
  <w:style w:type="paragraph" w:customStyle="1" w:styleId="114">
    <w:name w:val="表格&amp;图标题"/>
    <w:basedOn w:val="115"/>
    <w:link w:val="113"/>
    <w:qFormat/>
    <w:uiPriority w:val="0"/>
    <w:rPr>
      <w:sz w:val="24"/>
    </w:rPr>
  </w:style>
  <w:style w:type="paragraph" w:customStyle="1" w:styleId="115">
    <w:name w:val="表 头"/>
    <w:basedOn w:val="1"/>
    <w:link w:val="116"/>
    <w:qFormat/>
    <w:uiPriority w:val="0"/>
    <w:pPr>
      <w:jc w:val="center"/>
    </w:pPr>
    <w:rPr>
      <w:b/>
    </w:rPr>
  </w:style>
  <w:style w:type="character" w:customStyle="1" w:styleId="116">
    <w:name w:val="表 头 字符"/>
    <w:link w:val="115"/>
    <w:qFormat/>
    <w:uiPriority w:val="0"/>
    <w:rPr>
      <w:b/>
      <w:kern w:val="2"/>
      <w:sz w:val="21"/>
    </w:rPr>
  </w:style>
  <w:style w:type="character" w:customStyle="1" w:styleId="117">
    <w:name w:val="total"/>
    <w:qFormat/>
    <w:uiPriority w:val="0"/>
  </w:style>
  <w:style w:type="character" w:customStyle="1" w:styleId="118">
    <w:name w:val="day"/>
    <w:qFormat/>
    <w:uiPriority w:val="0"/>
    <w:rPr>
      <w:sz w:val="18"/>
      <w:szCs w:val="18"/>
    </w:rPr>
  </w:style>
  <w:style w:type="character" w:customStyle="1" w:styleId="119">
    <w:name w:val="节编号 Char"/>
    <w:link w:val="120"/>
    <w:qFormat/>
    <w:uiPriority w:val="0"/>
    <w:rPr>
      <w:rFonts w:ascii="Cambria" w:hAnsi="Cambria" w:eastAsia="黑体"/>
      <w:b/>
      <w:bCs/>
      <w:sz w:val="32"/>
      <w:szCs w:val="32"/>
    </w:rPr>
  </w:style>
  <w:style w:type="paragraph" w:customStyle="1" w:styleId="120">
    <w:name w:val="节编号"/>
    <w:basedOn w:val="5"/>
    <w:link w:val="119"/>
    <w:qFormat/>
    <w:uiPriority w:val="0"/>
    <w:pPr>
      <w:numPr>
        <w:ilvl w:val="0"/>
        <w:numId w:val="0"/>
      </w:numPr>
      <w:tabs>
        <w:tab w:val="left" w:pos="570"/>
      </w:tabs>
      <w:adjustRightInd/>
      <w:spacing w:before="0" w:beforeLines="100" w:after="0" w:line="360" w:lineRule="auto"/>
      <w:ind w:left="570" w:firstLine="113"/>
      <w:jc w:val="left"/>
      <w:textAlignment w:val="auto"/>
    </w:pPr>
    <w:rPr>
      <w:rFonts w:ascii="Cambria" w:hAnsi="Cambria"/>
      <w:b/>
      <w:bCs/>
      <w:szCs w:val="32"/>
    </w:rPr>
  </w:style>
  <w:style w:type="character" w:customStyle="1" w:styleId="121">
    <w:name w:val="表格居中 Char"/>
    <w:link w:val="122"/>
    <w:qFormat/>
    <w:uiPriority w:val="0"/>
    <w:rPr>
      <w:kern w:val="2"/>
      <w:sz w:val="21"/>
    </w:rPr>
  </w:style>
  <w:style w:type="paragraph" w:customStyle="1" w:styleId="122">
    <w:name w:val="表格居中"/>
    <w:basedOn w:val="1"/>
    <w:link w:val="121"/>
    <w:qFormat/>
    <w:uiPriority w:val="0"/>
    <w:pPr>
      <w:widowControl/>
      <w:jc w:val="center"/>
    </w:pPr>
    <w:rPr>
      <w:kern w:val="2"/>
      <w:sz w:val="21"/>
    </w:rPr>
  </w:style>
  <w:style w:type="character" w:customStyle="1" w:styleId="123">
    <w:name w:val="正文（首行缩进两字） Char2"/>
    <w:qFormat/>
    <w:uiPriority w:val="0"/>
    <w:rPr>
      <w:rFonts w:eastAsia="宋体"/>
      <w:kern w:val="2"/>
      <w:sz w:val="21"/>
      <w:lang w:val="en-US" w:eastAsia="zh-CN" w:bidi="ar-SA"/>
    </w:rPr>
  </w:style>
  <w:style w:type="character" w:customStyle="1" w:styleId="124">
    <w:name w:val="正文2 字符"/>
    <w:link w:val="125"/>
    <w:qFormat/>
    <w:uiPriority w:val="0"/>
    <w:rPr>
      <w:kern w:val="2"/>
      <w:sz w:val="24"/>
      <w:szCs w:val="24"/>
    </w:rPr>
  </w:style>
  <w:style w:type="paragraph" w:customStyle="1" w:styleId="125">
    <w:name w:val="正文2"/>
    <w:basedOn w:val="1"/>
    <w:link w:val="124"/>
    <w:qFormat/>
    <w:uiPriority w:val="0"/>
    <w:pPr>
      <w:ind w:firstLine="480"/>
      <w:jc w:val="left"/>
    </w:pPr>
    <w:rPr>
      <w:kern w:val="2"/>
      <w:sz w:val="24"/>
      <w:szCs w:val="24"/>
    </w:rPr>
  </w:style>
  <w:style w:type="character" w:customStyle="1" w:styleId="126">
    <w:name w:val="fontborder"/>
    <w:qFormat/>
    <w:uiPriority w:val="0"/>
    <w:rPr>
      <w:bdr w:val="single" w:color="000000" w:sz="6" w:space="0"/>
    </w:rPr>
  </w:style>
  <w:style w:type="character" w:customStyle="1" w:styleId="127">
    <w:name w:val="正文（首行缩进两字） Char"/>
    <w:qFormat/>
    <w:uiPriority w:val="0"/>
    <w:rPr>
      <w:b/>
      <w:bCs/>
      <w:sz w:val="21"/>
    </w:rPr>
  </w:style>
  <w:style w:type="character" w:customStyle="1" w:styleId="128">
    <w:name w:val="fr2"/>
    <w:qFormat/>
    <w:uiPriority w:val="0"/>
    <w:rPr>
      <w:sz w:val="18"/>
      <w:szCs w:val="18"/>
    </w:rPr>
  </w:style>
  <w:style w:type="character" w:customStyle="1" w:styleId="129">
    <w:name w:val="Char Char"/>
    <w:qFormat/>
    <w:uiPriority w:val="0"/>
    <w:rPr>
      <w:rFonts w:ascii="宋体" w:hAnsi="宋体" w:eastAsia="宋体"/>
      <w:bCs/>
      <w:kern w:val="2"/>
      <w:sz w:val="32"/>
      <w:lang w:val="en-US" w:eastAsia="zh-CN" w:bidi="ar-SA"/>
    </w:rPr>
  </w:style>
  <w:style w:type="character" w:customStyle="1" w:styleId="130">
    <w:name w:val="spelle"/>
    <w:qFormat/>
    <w:uiPriority w:val="0"/>
  </w:style>
  <w:style w:type="character" w:customStyle="1" w:styleId="131">
    <w:name w:val="normal1"/>
    <w:qFormat/>
    <w:uiPriority w:val="0"/>
    <w:rPr>
      <w:b/>
      <w:sz w:val="19"/>
      <w:szCs w:val="19"/>
    </w:rPr>
  </w:style>
  <w:style w:type="character" w:customStyle="1" w:styleId="132">
    <w:name w:val="样式3 字符"/>
    <w:link w:val="133"/>
    <w:qFormat/>
    <w:uiPriority w:val="0"/>
    <w:rPr>
      <w:rFonts w:eastAsia="黑体"/>
      <w:kern w:val="2"/>
      <w:sz w:val="24"/>
    </w:rPr>
  </w:style>
  <w:style w:type="paragraph" w:customStyle="1" w:styleId="133">
    <w:name w:val="样式3"/>
    <w:basedOn w:val="42"/>
    <w:link w:val="132"/>
    <w:qFormat/>
    <w:uiPriority w:val="0"/>
    <w:pPr>
      <w:spacing w:line="480" w:lineRule="exact"/>
      <w:ind w:firstLine="0" w:firstLineChars="0"/>
      <w:jc w:val="center"/>
    </w:pPr>
    <w:rPr>
      <w:rFonts w:ascii="Times New Roman" w:eastAsia="黑体"/>
      <w:kern w:val="2"/>
      <w:sz w:val="24"/>
      <w:szCs w:val="20"/>
    </w:rPr>
  </w:style>
  <w:style w:type="character" w:customStyle="1" w:styleId="134">
    <w:name w:val="codeimgnew"/>
    <w:qFormat/>
    <w:uiPriority w:val="0"/>
  </w:style>
  <w:style w:type="character" w:customStyle="1" w:styleId="135">
    <w:name w:val="fs"/>
    <w:qFormat/>
    <w:uiPriority w:val="0"/>
  </w:style>
  <w:style w:type="character" w:customStyle="1" w:styleId="136">
    <w:name w:val="Footer1 Char Char"/>
    <w:qFormat/>
    <w:uiPriority w:val="0"/>
    <w:rPr>
      <w:rFonts w:eastAsia="宋体"/>
      <w:kern w:val="2"/>
      <w:sz w:val="18"/>
      <w:szCs w:val="18"/>
      <w:lang w:val="en-US" w:eastAsia="zh-CN" w:bidi="ar-SA"/>
    </w:rPr>
  </w:style>
  <w:style w:type="character" w:customStyle="1" w:styleId="137">
    <w:name w:val="page_next"/>
    <w:qFormat/>
    <w:uiPriority w:val="0"/>
  </w:style>
  <w:style w:type="character" w:customStyle="1" w:styleId="138">
    <w:name w:val="正文样式1 Char1"/>
    <w:link w:val="139"/>
    <w:qFormat/>
    <w:uiPriority w:val="0"/>
    <w:rPr>
      <w:sz w:val="21"/>
    </w:rPr>
  </w:style>
  <w:style w:type="paragraph" w:customStyle="1" w:styleId="139">
    <w:name w:val="正文样式1"/>
    <w:basedOn w:val="1"/>
    <w:link w:val="138"/>
    <w:qFormat/>
    <w:uiPriority w:val="0"/>
    <w:pPr>
      <w:ind w:firstLine="420"/>
      <w:textAlignment w:val="baseline"/>
    </w:pPr>
    <w:rPr>
      <w:sz w:val="21"/>
    </w:rPr>
  </w:style>
  <w:style w:type="character" w:customStyle="1" w:styleId="140">
    <w:name w:val="表格1 Char"/>
    <w:link w:val="141"/>
    <w:qFormat/>
    <w:uiPriority w:val="0"/>
    <w:rPr>
      <w:rFonts w:eastAsia="宋体"/>
      <w:kern w:val="2"/>
      <w:sz w:val="21"/>
      <w:lang w:val="en-US" w:eastAsia="zh-CN" w:bidi="ar-SA"/>
    </w:rPr>
  </w:style>
  <w:style w:type="paragraph" w:customStyle="1" w:styleId="141">
    <w:name w:val="表格1"/>
    <w:basedOn w:val="2"/>
    <w:next w:val="2"/>
    <w:link w:val="140"/>
    <w:qFormat/>
    <w:uiPriority w:val="0"/>
    <w:pPr>
      <w:spacing w:line="340" w:lineRule="exact"/>
      <w:ind w:firstLine="0"/>
      <w:jc w:val="center"/>
      <w:textAlignment w:val="auto"/>
    </w:pPr>
    <w:rPr>
      <w:kern w:val="2"/>
      <w:sz w:val="21"/>
    </w:rPr>
  </w:style>
  <w:style w:type="character" w:customStyle="1" w:styleId="142">
    <w:name w:val="nc-lang-cnt3"/>
    <w:qFormat/>
    <w:uiPriority w:val="0"/>
    <w:rPr>
      <w:rtl/>
    </w:rPr>
  </w:style>
  <w:style w:type="character" w:customStyle="1" w:styleId="143">
    <w:name w:val="3zw1"/>
    <w:qFormat/>
    <w:uiPriority w:val="0"/>
    <w:rPr>
      <w:color w:val="000000"/>
      <w:sz w:val="21"/>
      <w:szCs w:val="21"/>
    </w:rPr>
  </w:style>
  <w:style w:type="character" w:customStyle="1" w:styleId="144">
    <w:name w:val="报告正文 Char"/>
    <w:link w:val="145"/>
    <w:qFormat/>
    <w:uiPriority w:val="0"/>
    <w:rPr>
      <w:rFonts w:cs="宋体"/>
      <w:kern w:val="2"/>
      <w:sz w:val="24"/>
      <w:szCs w:val="24"/>
    </w:rPr>
  </w:style>
  <w:style w:type="paragraph" w:customStyle="1" w:styleId="145">
    <w:name w:val="报告正文"/>
    <w:basedOn w:val="1"/>
    <w:link w:val="144"/>
    <w:qFormat/>
    <w:uiPriority w:val="0"/>
    <w:pPr>
      <w:spacing w:line="480" w:lineRule="atLeast"/>
      <w:ind w:firstLine="480"/>
      <w:jc w:val="left"/>
    </w:pPr>
    <w:rPr>
      <w:kern w:val="2"/>
      <w:sz w:val="24"/>
    </w:rPr>
  </w:style>
  <w:style w:type="character" w:customStyle="1" w:styleId="146">
    <w:name w:val="first-child1"/>
    <w:qFormat/>
    <w:uiPriority w:val="0"/>
    <w:rPr>
      <w:color w:val="333333"/>
      <w:spacing w:val="75"/>
      <w:sz w:val="21"/>
      <w:szCs w:val="21"/>
    </w:rPr>
  </w:style>
  <w:style w:type="character" w:customStyle="1" w:styleId="147">
    <w:name w:val="fontstyle01"/>
    <w:qFormat/>
    <w:uiPriority w:val="0"/>
    <w:rPr>
      <w:rFonts w:hint="eastAsia" w:ascii="宋体" w:hAnsi="宋体" w:eastAsia="宋体"/>
      <w:color w:val="000000"/>
      <w:sz w:val="26"/>
      <w:szCs w:val="26"/>
    </w:rPr>
  </w:style>
  <w:style w:type="character" w:customStyle="1" w:styleId="148">
    <w:name w:val="g-more"/>
    <w:qFormat/>
    <w:uiPriority w:val="0"/>
    <w:rPr>
      <w:sz w:val="18"/>
      <w:szCs w:val="18"/>
    </w:rPr>
  </w:style>
  <w:style w:type="character" w:customStyle="1" w:styleId="149">
    <w:name w:val="15"/>
    <w:qFormat/>
    <w:uiPriority w:val="0"/>
    <w:rPr>
      <w:rFonts w:hint="eastAsia" w:ascii="宋体" w:hAnsi="宋体" w:eastAsia="宋体"/>
      <w:color w:val="000000"/>
      <w:sz w:val="22"/>
      <w:szCs w:val="22"/>
    </w:rPr>
  </w:style>
  <w:style w:type="character" w:customStyle="1" w:styleId="150">
    <w:name w:val="不明显强调1"/>
    <w:qFormat/>
    <w:uiPriority w:val="19"/>
    <w:rPr>
      <w:rFonts w:ascii="Times New Roman" w:hAnsi="Times New Roman" w:eastAsia="宋体"/>
      <w:b/>
      <w:iCs/>
      <w:color w:val="auto"/>
      <w:sz w:val="21"/>
    </w:rPr>
  </w:style>
  <w:style w:type="character" w:customStyle="1" w:styleId="151">
    <w:name w:val="first-child"/>
    <w:qFormat/>
    <w:uiPriority w:val="0"/>
    <w:rPr>
      <w:color w:val="333333"/>
      <w:spacing w:val="75"/>
      <w:sz w:val="21"/>
      <w:szCs w:val="21"/>
    </w:rPr>
  </w:style>
  <w:style w:type="character" w:customStyle="1" w:styleId="152">
    <w:name w:val="正文缩进4 Char1"/>
    <w:qFormat/>
    <w:uiPriority w:val="0"/>
    <w:rPr>
      <w:rFonts w:eastAsia="宋体"/>
      <w:kern w:val="2"/>
      <w:sz w:val="28"/>
      <w:lang w:val="en-US" w:eastAsia="zh-CN"/>
    </w:rPr>
  </w:style>
  <w:style w:type="character" w:customStyle="1" w:styleId="153">
    <w:name w:val="nc-lang-cnt4"/>
    <w:qFormat/>
    <w:uiPriority w:val="0"/>
    <w:rPr>
      <w:rtl/>
    </w:rPr>
  </w:style>
  <w:style w:type="character" w:customStyle="1" w:styleId="154">
    <w:name w:val="apple-converted-space"/>
    <w:qFormat/>
    <w:uiPriority w:val="0"/>
  </w:style>
  <w:style w:type="character" w:customStyle="1" w:styleId="155">
    <w:name w:val="正文文本 字符"/>
    <w:qFormat/>
    <w:uiPriority w:val="0"/>
    <w:rPr>
      <w:rFonts w:ascii="Times New Roman" w:hAnsi="Times New Roman" w:eastAsia="宋体" w:cs="Times New Roman"/>
      <w:szCs w:val="20"/>
    </w:rPr>
  </w:style>
  <w:style w:type="character" w:customStyle="1" w:styleId="156">
    <w:name w:val="nc-lang-cnt6"/>
    <w:qFormat/>
    <w:uiPriority w:val="0"/>
    <w:rPr>
      <w:rtl/>
    </w:rPr>
  </w:style>
  <w:style w:type="character" w:customStyle="1" w:styleId="157">
    <w:name w:val="fl2"/>
    <w:qFormat/>
    <w:uiPriority w:val="0"/>
    <w:rPr>
      <w:bdr w:val="single" w:color="018BF6" w:sz="18" w:space="0"/>
    </w:rPr>
  </w:style>
  <w:style w:type="character" w:customStyle="1" w:styleId="158">
    <w:name w:val="16"/>
    <w:qFormat/>
    <w:uiPriority w:val="0"/>
    <w:rPr>
      <w:rFonts w:hint="default" w:ascii="Times New Roman" w:hAnsi="Times New Roman" w:cs="Times New Roman"/>
      <w:color w:val="000000"/>
      <w:sz w:val="20"/>
      <w:szCs w:val="20"/>
    </w:rPr>
  </w:style>
  <w:style w:type="character" w:customStyle="1" w:styleId="159">
    <w:name w:val="page-n"/>
    <w:qFormat/>
    <w:uiPriority w:val="0"/>
    <w:rPr>
      <w:bdr w:val="single" w:color="E3E3E3" w:sz="6" w:space="0"/>
    </w:rPr>
  </w:style>
  <w:style w:type="character" w:customStyle="1" w:styleId="160">
    <w:name w:val="纯文本 字符1"/>
    <w:qFormat/>
    <w:uiPriority w:val="0"/>
    <w:rPr>
      <w:rFonts w:ascii="宋体" w:hAnsi="Courier New"/>
      <w:kern w:val="2"/>
      <w:sz w:val="21"/>
    </w:rPr>
  </w:style>
  <w:style w:type="character" w:customStyle="1" w:styleId="161">
    <w:name w:val="表内 字符"/>
    <w:link w:val="162"/>
    <w:qFormat/>
    <w:uiPriority w:val="0"/>
    <w:rPr>
      <w:kern w:val="2"/>
      <w:sz w:val="21"/>
      <w:szCs w:val="21"/>
    </w:rPr>
  </w:style>
  <w:style w:type="paragraph" w:customStyle="1" w:styleId="162">
    <w:name w:val="表内"/>
    <w:basedOn w:val="163"/>
    <w:link w:val="161"/>
    <w:qFormat/>
    <w:uiPriority w:val="0"/>
    <w:pPr>
      <w:widowControl/>
    </w:pPr>
    <w:rPr>
      <w:szCs w:val="21"/>
    </w:rPr>
  </w:style>
  <w:style w:type="paragraph" w:customStyle="1" w:styleId="163">
    <w:name w:val="表头"/>
    <w:basedOn w:val="2"/>
    <w:next w:val="164"/>
    <w:link w:val="170"/>
    <w:qFormat/>
    <w:uiPriority w:val="0"/>
    <w:pPr>
      <w:spacing w:line="480" w:lineRule="exact"/>
    </w:pPr>
    <w:rPr>
      <w:b/>
      <w:sz w:val="24"/>
    </w:rPr>
  </w:style>
  <w:style w:type="paragraph" w:customStyle="1" w:styleId="164">
    <w:name w:val="表格"/>
    <w:basedOn w:val="72"/>
    <w:next w:val="1"/>
    <w:link w:val="171"/>
    <w:qFormat/>
    <w:uiPriority w:val="0"/>
    <w:pPr>
      <w:spacing w:line="360" w:lineRule="exact"/>
      <w:ind w:firstLine="0"/>
      <w:jc w:val="center"/>
    </w:pPr>
    <w:rPr>
      <w:sz w:val="21"/>
    </w:rPr>
  </w:style>
  <w:style w:type="paragraph" w:customStyle="1" w:styleId="165">
    <w:name w:val="表格内容居中"/>
    <w:basedOn w:val="166"/>
    <w:next w:val="1"/>
    <w:qFormat/>
    <w:uiPriority w:val="0"/>
    <w:pPr>
      <w:adjustRightInd w:val="0"/>
      <w:snapToGrid w:val="0"/>
    </w:pPr>
    <w:rPr>
      <w:snapToGrid w:val="0"/>
    </w:rPr>
  </w:style>
  <w:style w:type="paragraph" w:customStyle="1" w:styleId="166">
    <w:name w:val="表格内"/>
    <w:basedOn w:val="167"/>
    <w:link w:val="193"/>
    <w:qFormat/>
    <w:uiPriority w:val="0"/>
    <w:pPr>
      <w:spacing w:line="240" w:lineRule="exact"/>
      <w:jc w:val="center"/>
    </w:pPr>
  </w:style>
  <w:style w:type="paragraph" w:styleId="167">
    <w:name w:val="No Spacing"/>
    <w:next w:val="30"/>
    <w:link w:val="187"/>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168">
    <w:name w:val="表"/>
    <w:basedOn w:val="169"/>
    <w:next w:val="1"/>
    <w:qFormat/>
    <w:uiPriority w:val="0"/>
    <w:pPr>
      <w:adjustRightInd w:val="0"/>
      <w:jc w:val="center"/>
    </w:pPr>
    <w:rPr>
      <w:rFonts w:ascii="Times New Roman" w:hAnsi="Times New Roman" w:eastAsia="宋体" w:cs="Times New Roman"/>
      <w:szCs w:val="24"/>
    </w:rPr>
  </w:style>
  <w:style w:type="paragraph" w:customStyle="1" w:styleId="169">
    <w:name w:val="Char Char Char Char"/>
    <w:basedOn w:val="1"/>
    <w:qFormat/>
    <w:uiPriority w:val="0"/>
    <w:pPr>
      <w:adjustRightInd/>
      <w:ind w:firstLine="529"/>
    </w:pPr>
    <w:rPr>
      <w:rFonts w:ascii="宋体" w:hAnsi="宋体"/>
      <w:b/>
      <w:kern w:val="2"/>
      <w:sz w:val="21"/>
    </w:rPr>
  </w:style>
  <w:style w:type="character" w:customStyle="1" w:styleId="170">
    <w:name w:val="表头 Char"/>
    <w:link w:val="163"/>
    <w:qFormat/>
    <w:uiPriority w:val="0"/>
    <w:rPr>
      <w:rFonts w:eastAsia="宋体"/>
      <w:b/>
      <w:kern w:val="2"/>
      <w:sz w:val="24"/>
      <w:lang w:val="en-US" w:eastAsia="zh-CN" w:bidi="ar-SA"/>
    </w:rPr>
  </w:style>
  <w:style w:type="character" w:customStyle="1" w:styleId="171">
    <w:name w:val="表格 Char"/>
    <w:link w:val="164"/>
    <w:qFormat/>
    <w:uiPriority w:val="0"/>
    <w:rPr>
      <w:rFonts w:eastAsia="宋体"/>
      <w:sz w:val="21"/>
      <w:lang w:val="en-US" w:eastAsia="zh-CN" w:bidi="ar-SA"/>
    </w:rPr>
  </w:style>
  <w:style w:type="character" w:customStyle="1" w:styleId="172">
    <w:name w:val="4级标题 Char Char"/>
    <w:qFormat/>
    <w:uiPriority w:val="0"/>
    <w:rPr>
      <w:rFonts w:ascii="宋体" w:hAnsi="宋体" w:eastAsia="宋体"/>
      <w:bCs/>
      <w:kern w:val="2"/>
      <w:sz w:val="24"/>
      <w:szCs w:val="24"/>
      <w:lang w:val="en-US" w:eastAsia="zh-CN" w:bidi="ar-SA"/>
    </w:rPr>
  </w:style>
  <w:style w:type="character" w:customStyle="1" w:styleId="173">
    <w:name w:val="t-left"/>
    <w:qFormat/>
    <w:uiPriority w:val="0"/>
    <w:rPr>
      <w:shd w:val="clear" w:color="auto" w:fill="008BF5"/>
    </w:rPr>
  </w:style>
  <w:style w:type="character" w:customStyle="1" w:styleId="174">
    <w:name w:val="三级编号 Char"/>
    <w:link w:val="175"/>
    <w:qFormat/>
    <w:uiPriority w:val="0"/>
    <w:rPr>
      <w:b/>
      <w:bCs/>
      <w:sz w:val="30"/>
      <w:szCs w:val="32"/>
    </w:rPr>
  </w:style>
  <w:style w:type="paragraph" w:customStyle="1" w:styleId="175">
    <w:name w:val="三级编号"/>
    <w:basedOn w:val="6"/>
    <w:link w:val="174"/>
    <w:qFormat/>
    <w:uiPriority w:val="0"/>
    <w:pPr>
      <w:keepLines w:val="0"/>
      <w:numPr>
        <w:ilvl w:val="0"/>
        <w:numId w:val="0"/>
      </w:numPr>
      <w:tabs>
        <w:tab w:val="left" w:pos="570"/>
        <w:tab w:val="clear" w:pos="720"/>
      </w:tabs>
      <w:adjustRightInd/>
      <w:spacing w:before="0" w:line="360" w:lineRule="auto"/>
      <w:ind w:left="570" w:right="100" w:rightChars="100" w:firstLine="57"/>
      <w:jc w:val="left"/>
      <w:textAlignment w:val="auto"/>
    </w:pPr>
    <w:rPr>
      <w:rFonts w:eastAsia="宋体"/>
      <w:b/>
      <w:bCs/>
      <w:szCs w:val="32"/>
    </w:rPr>
  </w:style>
  <w:style w:type="character" w:customStyle="1" w:styleId="176">
    <w:name w:val="num"/>
    <w:qFormat/>
    <w:uiPriority w:val="0"/>
    <w:rPr>
      <w:b/>
      <w:color w:val="FF7800"/>
    </w:rPr>
  </w:style>
  <w:style w:type="character" w:customStyle="1" w:styleId="177">
    <w:name w:val="required"/>
    <w:qFormat/>
    <w:uiPriority w:val="0"/>
    <w:rPr>
      <w:color w:val="FF0000"/>
    </w:rPr>
  </w:style>
  <w:style w:type="character" w:customStyle="1" w:styleId="178">
    <w:name w:val="批注文字 字符1"/>
    <w:qFormat/>
    <w:uiPriority w:val="0"/>
    <w:rPr>
      <w:sz w:val="24"/>
      <w:szCs w:val="24"/>
    </w:rPr>
  </w:style>
  <w:style w:type="character" w:customStyle="1" w:styleId="179">
    <w:name w:val="v-geren"/>
    <w:qFormat/>
    <w:uiPriority w:val="0"/>
  </w:style>
  <w:style w:type="character" w:customStyle="1" w:styleId="180">
    <w:name w:val="nc-lang-cnt5"/>
    <w:qFormat/>
    <w:uiPriority w:val="0"/>
    <w:rPr>
      <w:rtl/>
    </w:rPr>
  </w:style>
  <w:style w:type="character" w:customStyle="1" w:styleId="181">
    <w:name w:val="font31"/>
    <w:qFormat/>
    <w:uiPriority w:val="0"/>
    <w:rPr>
      <w:rFonts w:hint="default" w:ascii="Times New Roman" w:hAnsi="Times New Roman" w:cs="Times New Roman"/>
      <w:color w:val="000000"/>
      <w:sz w:val="21"/>
      <w:szCs w:val="21"/>
      <w:u w:val="none"/>
    </w:rPr>
  </w:style>
  <w:style w:type="character" w:customStyle="1" w:styleId="182">
    <w:name w:val="样式 样式 正文@ + 首行缩进:  2 字符 字距调整小四 紧缩量  0.2 磅 + 首行缩进:  2 字符 Char Char"/>
    <w:link w:val="183"/>
    <w:qFormat/>
    <w:uiPriority w:val="0"/>
    <w:rPr>
      <w:rFonts w:ascii="宋体" w:hAnsi="宋体" w:cs="宋体"/>
      <w:kern w:val="24"/>
      <w:sz w:val="24"/>
      <w:szCs w:val="24"/>
    </w:rPr>
  </w:style>
  <w:style w:type="paragraph" w:customStyle="1" w:styleId="183">
    <w:name w:val="样式 样式 正文@ + 首行缩进:  2 字符 字距调整小四 紧缩量  0.2 磅 + 首行缩进:  2 字符"/>
    <w:basedOn w:val="1"/>
    <w:link w:val="182"/>
    <w:qFormat/>
    <w:uiPriority w:val="0"/>
    <w:pPr>
      <w:ind w:firstLine="480"/>
    </w:pPr>
    <w:rPr>
      <w:rFonts w:ascii="宋体" w:hAnsi="宋体"/>
      <w:kern w:val="24"/>
      <w:sz w:val="24"/>
      <w:szCs w:val="24"/>
    </w:rPr>
  </w:style>
  <w:style w:type="character" w:customStyle="1" w:styleId="184">
    <w:name w:val="strength-txt"/>
    <w:qFormat/>
    <w:uiPriority w:val="0"/>
  </w:style>
  <w:style w:type="character" w:customStyle="1" w:styleId="185">
    <w:name w:val="w148"/>
    <w:qFormat/>
    <w:uiPriority w:val="0"/>
  </w:style>
  <w:style w:type="character" w:customStyle="1" w:styleId="186">
    <w:name w:val="close6"/>
    <w:qFormat/>
    <w:uiPriority w:val="0"/>
  </w:style>
  <w:style w:type="character" w:customStyle="1" w:styleId="187">
    <w:name w:val="无间隔 字符"/>
    <w:link w:val="167"/>
    <w:qFormat/>
    <w:uiPriority w:val="1"/>
    <w:rPr>
      <w:kern w:val="2"/>
      <w:sz w:val="21"/>
      <w:szCs w:val="22"/>
    </w:rPr>
  </w:style>
  <w:style w:type="character" w:customStyle="1" w:styleId="188">
    <w:name w:val="headline-content2"/>
    <w:basedOn w:val="58"/>
    <w:qFormat/>
    <w:uiPriority w:val="0"/>
  </w:style>
  <w:style w:type="character" w:customStyle="1" w:styleId="189">
    <w:name w:val="17"/>
    <w:qFormat/>
    <w:uiPriority w:val="0"/>
    <w:rPr>
      <w:rFonts w:hint="eastAsia" w:ascii="宋体" w:hAnsi="宋体" w:eastAsia="宋体"/>
      <w:color w:val="000000"/>
      <w:sz w:val="22"/>
      <w:szCs w:val="22"/>
    </w:rPr>
  </w:style>
  <w:style w:type="character" w:customStyle="1" w:styleId="190">
    <w:name w:val="表头 字符"/>
    <w:qFormat/>
    <w:uiPriority w:val="0"/>
    <w:rPr>
      <w:b/>
      <w:kern w:val="2"/>
      <w:sz w:val="21"/>
      <w:szCs w:val="22"/>
    </w:rPr>
  </w:style>
  <w:style w:type="character" w:customStyle="1" w:styleId="191">
    <w:name w:val="样式 首行缩进:  2 字符 Char"/>
    <w:link w:val="192"/>
    <w:qFormat/>
    <w:uiPriority w:val="0"/>
    <w:rPr>
      <w:rFonts w:cs="宋体"/>
      <w:sz w:val="24"/>
      <w:szCs w:val="24"/>
    </w:rPr>
  </w:style>
  <w:style w:type="paragraph" w:customStyle="1" w:styleId="192">
    <w:name w:val="样式 首行缩进:  2 字符"/>
    <w:basedOn w:val="1"/>
    <w:link w:val="191"/>
    <w:qFormat/>
    <w:uiPriority w:val="0"/>
    <w:pPr>
      <w:spacing w:line="460" w:lineRule="exact"/>
      <w:ind w:firstLine="471"/>
    </w:pPr>
    <w:rPr>
      <w:sz w:val="24"/>
      <w:szCs w:val="24"/>
    </w:rPr>
  </w:style>
  <w:style w:type="character" w:customStyle="1" w:styleId="193">
    <w:name w:val="表格内 字符"/>
    <w:link w:val="166"/>
    <w:qFormat/>
    <w:uiPriority w:val="0"/>
    <w:rPr>
      <w:kern w:val="2"/>
      <w:sz w:val="21"/>
      <w:szCs w:val="22"/>
    </w:rPr>
  </w:style>
  <w:style w:type="character" w:customStyle="1" w:styleId="194">
    <w:name w:val="段落 Char"/>
    <w:link w:val="195"/>
    <w:qFormat/>
    <w:uiPriority w:val="0"/>
    <w:rPr>
      <w:rFonts w:ascii="宋体" w:hAnsi="宋体"/>
      <w:bCs/>
      <w:spacing w:val="-4"/>
      <w:sz w:val="24"/>
      <w:szCs w:val="24"/>
    </w:rPr>
  </w:style>
  <w:style w:type="paragraph" w:customStyle="1" w:styleId="195">
    <w:name w:val="段落"/>
    <w:basedOn w:val="1"/>
    <w:link w:val="194"/>
    <w:qFormat/>
    <w:uiPriority w:val="0"/>
    <w:pPr>
      <w:spacing w:line="440" w:lineRule="exact"/>
      <w:ind w:firstLine="466"/>
      <w:jc w:val="left"/>
    </w:pPr>
    <w:rPr>
      <w:rFonts w:ascii="宋体" w:hAnsi="宋体"/>
      <w:bCs/>
      <w:spacing w:val="-4"/>
      <w:sz w:val="24"/>
      <w:szCs w:val="24"/>
    </w:rPr>
  </w:style>
  <w:style w:type="character" w:customStyle="1" w:styleId="196">
    <w:name w:val="on1"/>
    <w:qFormat/>
    <w:uiPriority w:val="0"/>
    <w:rPr>
      <w:color w:val="2D64B3"/>
    </w:rPr>
  </w:style>
  <w:style w:type="character" w:customStyle="1" w:styleId="197">
    <w:name w:val="fontstyle21"/>
    <w:qFormat/>
    <w:uiPriority w:val="0"/>
    <w:rPr>
      <w:rFonts w:hint="default" w:ascii="TimesNewRomanPSMT" w:hAnsi="TimesNewRomanPSMT"/>
      <w:color w:val="000000"/>
      <w:sz w:val="24"/>
      <w:szCs w:val="24"/>
    </w:rPr>
  </w:style>
  <w:style w:type="character" w:customStyle="1" w:styleId="198">
    <w:name w:val="price"/>
    <w:qFormat/>
    <w:uiPriority w:val="0"/>
    <w:rPr>
      <w:rFonts w:ascii="微软雅黑" w:hAnsi="微软雅黑" w:eastAsia="微软雅黑" w:cs="微软雅黑"/>
      <w:b/>
      <w:color w:val="FF5A00"/>
      <w:sz w:val="33"/>
      <w:szCs w:val="33"/>
    </w:rPr>
  </w:style>
  <w:style w:type="character" w:customStyle="1" w:styleId="199">
    <w:name w:val="nc-lang-cnt"/>
    <w:qFormat/>
    <w:uiPriority w:val="0"/>
  </w:style>
  <w:style w:type="character" w:customStyle="1" w:styleId="200">
    <w:name w:val="XX表格居中 Char"/>
    <w:link w:val="201"/>
    <w:qFormat/>
    <w:uiPriority w:val="0"/>
    <w:rPr>
      <w:color w:val="000000"/>
      <w:kern w:val="21"/>
      <w:sz w:val="22"/>
    </w:rPr>
  </w:style>
  <w:style w:type="paragraph" w:customStyle="1" w:styleId="201">
    <w:name w:val="XX表格居中"/>
    <w:basedOn w:val="1"/>
    <w:next w:val="1"/>
    <w:link w:val="200"/>
    <w:qFormat/>
    <w:uiPriority w:val="0"/>
    <w:pPr>
      <w:jc w:val="center"/>
    </w:pPr>
    <w:rPr>
      <w:color w:val="000000"/>
      <w:kern w:val="21"/>
      <w:sz w:val="22"/>
    </w:rPr>
  </w:style>
  <w:style w:type="character" w:customStyle="1" w:styleId="202">
    <w:name w:val="style11"/>
    <w:qFormat/>
    <w:uiPriority w:val="0"/>
    <w:rPr>
      <w:sz w:val="22"/>
      <w:szCs w:val="22"/>
    </w:rPr>
  </w:style>
  <w:style w:type="character" w:customStyle="1" w:styleId="203">
    <w:name w:val="page-cur"/>
    <w:qFormat/>
    <w:uiPriority w:val="0"/>
    <w:rPr>
      <w:color w:val="FFFFFF"/>
      <w:bdr w:val="single" w:color="D83536" w:sz="6" w:space="0"/>
      <w:shd w:val="clear" w:color="auto" w:fill="ED494A"/>
    </w:rPr>
  </w:style>
  <w:style w:type="character" w:customStyle="1" w:styleId="204">
    <w:name w:val="正文111 Char"/>
    <w:link w:val="205"/>
    <w:qFormat/>
    <w:uiPriority w:val="0"/>
    <w:rPr>
      <w:rFonts w:eastAsia="仿宋_GB2312"/>
      <w:sz w:val="24"/>
      <w:szCs w:val="24"/>
    </w:rPr>
  </w:style>
  <w:style w:type="paragraph" w:customStyle="1" w:styleId="205">
    <w:name w:val="正文111"/>
    <w:basedOn w:val="1"/>
    <w:link w:val="204"/>
    <w:qFormat/>
    <w:uiPriority w:val="0"/>
    <w:pPr>
      <w:spacing w:line="520" w:lineRule="exact"/>
      <w:ind w:firstLine="480"/>
    </w:pPr>
    <w:rPr>
      <w:rFonts w:eastAsia="仿宋_GB2312"/>
      <w:sz w:val="24"/>
      <w:szCs w:val="24"/>
    </w:rPr>
  </w:style>
  <w:style w:type="character" w:customStyle="1" w:styleId="206">
    <w:name w:val="纯文本 Char"/>
    <w:qFormat/>
    <w:uiPriority w:val="0"/>
    <w:rPr>
      <w:rFonts w:ascii="宋体" w:hAnsi="Courier New" w:eastAsia="宋体" w:cs="Courier New"/>
      <w:szCs w:val="21"/>
    </w:rPr>
  </w:style>
  <w:style w:type="character" w:customStyle="1" w:styleId="207">
    <w:name w:val="样式2 字符"/>
    <w:link w:val="208"/>
    <w:qFormat/>
    <w:uiPriority w:val="0"/>
    <w:rPr>
      <w:spacing w:val="8"/>
      <w:sz w:val="24"/>
    </w:rPr>
  </w:style>
  <w:style w:type="paragraph" w:customStyle="1" w:styleId="208">
    <w:name w:val="样式2"/>
    <w:basedOn w:val="1"/>
    <w:link w:val="207"/>
    <w:qFormat/>
    <w:uiPriority w:val="0"/>
    <w:pPr>
      <w:wordWrap w:val="0"/>
      <w:autoSpaceDE w:val="0"/>
      <w:autoSpaceDN w:val="0"/>
      <w:spacing w:line="300" w:lineRule="auto"/>
      <w:ind w:left="170" w:right="170"/>
    </w:pPr>
    <w:rPr>
      <w:spacing w:val="8"/>
      <w:sz w:val="24"/>
    </w:rPr>
  </w:style>
  <w:style w:type="character" w:customStyle="1" w:styleId="209">
    <w:name w:val="正文文本缩进 3 Char Char"/>
    <w:qFormat/>
    <w:uiPriority w:val="0"/>
    <w:rPr>
      <w:rFonts w:ascii="宋体" w:hAnsi="宋体" w:eastAsia="宋体"/>
      <w:b/>
      <w:bCs/>
      <w:kern w:val="2"/>
      <w:sz w:val="24"/>
      <w:lang w:val="en-US" w:eastAsia="zh-CN" w:bidi="ar-SA"/>
    </w:rPr>
  </w:style>
  <w:style w:type="character" w:customStyle="1" w:styleId="210">
    <w:name w:val="hover33"/>
    <w:qFormat/>
    <w:uiPriority w:val="0"/>
    <w:rPr>
      <w:color w:val="EE2E2C"/>
    </w:rPr>
  </w:style>
  <w:style w:type="character" w:customStyle="1" w:styleId="211">
    <w:name w:val="fontstrikethrough"/>
    <w:qFormat/>
    <w:uiPriority w:val="0"/>
    <w:rPr>
      <w:strike/>
    </w:rPr>
  </w:style>
  <w:style w:type="character" w:customStyle="1" w:styleId="212">
    <w:name w:val="meter-bar"/>
    <w:qFormat/>
    <w:uiPriority w:val="0"/>
  </w:style>
  <w:style w:type="character" w:customStyle="1" w:styleId="213">
    <w:name w:val="before"/>
    <w:qFormat/>
    <w:uiPriority w:val="0"/>
  </w:style>
  <w:style w:type="character" w:customStyle="1" w:styleId="214">
    <w:name w:val="Body text (11)_"/>
    <w:link w:val="215"/>
    <w:qFormat/>
    <w:uiPriority w:val="99"/>
    <w:rPr>
      <w:rFonts w:ascii="Sylfaen" w:hAnsi="Sylfaen" w:cs="Sylfaen"/>
      <w:i/>
      <w:iCs/>
      <w:sz w:val="29"/>
      <w:szCs w:val="29"/>
      <w:shd w:val="clear" w:color="auto" w:fill="FFFFFF"/>
      <w:lang w:eastAsia="en-US"/>
    </w:rPr>
  </w:style>
  <w:style w:type="paragraph" w:customStyle="1" w:styleId="215">
    <w:name w:val="Body text (11)"/>
    <w:basedOn w:val="1"/>
    <w:link w:val="214"/>
    <w:qFormat/>
    <w:uiPriority w:val="99"/>
    <w:pPr>
      <w:shd w:val="clear" w:color="auto" w:fill="FFFFFF"/>
      <w:spacing w:line="240" w:lineRule="atLeast"/>
      <w:jc w:val="center"/>
    </w:pPr>
    <w:rPr>
      <w:rFonts w:ascii="Sylfaen" w:hAnsi="Sylfaen" w:cs="Sylfaen"/>
      <w:i/>
      <w:iCs/>
      <w:sz w:val="29"/>
      <w:szCs w:val="29"/>
      <w:lang w:eastAsia="en-US"/>
    </w:rPr>
  </w:style>
  <w:style w:type="character" w:customStyle="1" w:styleId="216">
    <w:name w:val="page_prev"/>
    <w:qFormat/>
    <w:uiPriority w:val="0"/>
  </w:style>
  <w:style w:type="character" w:customStyle="1" w:styleId="217">
    <w:name w:val="icon-qq"/>
    <w:qFormat/>
    <w:uiPriority w:val="0"/>
  </w:style>
  <w:style w:type="character" w:customStyle="1" w:styleId="218">
    <w:name w:val="表格标题 字符"/>
    <w:link w:val="219"/>
    <w:qFormat/>
    <w:uiPriority w:val="0"/>
    <w:rPr>
      <w:rFonts w:ascii="Arial" w:hAnsi="Arial"/>
      <w:b/>
      <w:kern w:val="2"/>
      <w:sz w:val="28"/>
    </w:rPr>
  </w:style>
  <w:style w:type="paragraph" w:customStyle="1" w:styleId="219">
    <w:name w:val="表格标题"/>
    <w:basedOn w:val="1"/>
    <w:next w:val="220"/>
    <w:link w:val="218"/>
    <w:qFormat/>
    <w:uiPriority w:val="0"/>
    <w:pPr>
      <w:keepNext/>
      <w:widowControl/>
      <w:numPr>
        <w:ilvl w:val="0"/>
        <w:numId w:val="4"/>
      </w:numPr>
      <w:tabs>
        <w:tab w:val="left" w:pos="1104"/>
      </w:tabs>
      <w:overflowPunct w:val="0"/>
      <w:spacing w:line="300" w:lineRule="auto"/>
      <w:ind w:left="0" w:firstLine="0"/>
      <w:textAlignment w:val="baseline"/>
    </w:pPr>
    <w:rPr>
      <w:rFonts w:ascii="Arial" w:hAnsi="Arial"/>
      <w:b/>
      <w:kern w:val="2"/>
      <w:sz w:val="28"/>
    </w:rPr>
  </w:style>
  <w:style w:type="paragraph" w:customStyle="1" w:styleId="220">
    <w:name w:val="表格内容"/>
    <w:basedOn w:val="1"/>
    <w:qFormat/>
    <w:uiPriority w:val="0"/>
    <w:pPr>
      <w:overflowPunct w:val="0"/>
      <w:spacing w:line="200" w:lineRule="atLeast"/>
      <w:textAlignment w:val="baseline"/>
    </w:pPr>
    <w:rPr>
      <w:rFonts w:ascii="Arial" w:hAnsi="Arial"/>
      <w:sz w:val="24"/>
    </w:rPr>
  </w:style>
  <w:style w:type="character" w:customStyle="1" w:styleId="221">
    <w:name w:val="无间隔 Char"/>
    <w:qFormat/>
    <w:uiPriority w:val="1"/>
    <w:rPr>
      <w:rFonts w:ascii="Times New Roman" w:hAnsi="Times New Roman" w:eastAsia="宋体"/>
    </w:rPr>
  </w:style>
  <w:style w:type="character" w:customStyle="1" w:styleId="222">
    <w:name w:val="fontstyle11"/>
    <w:qFormat/>
    <w:uiPriority w:val="0"/>
    <w:rPr>
      <w:rFonts w:hint="default" w:ascii="TimesNewRomanPSMT" w:hAnsi="TimesNewRomanPSMT"/>
      <w:color w:val="000000"/>
      <w:sz w:val="24"/>
      <w:szCs w:val="24"/>
    </w:rPr>
  </w:style>
  <w:style w:type="character" w:customStyle="1" w:styleId="223">
    <w:name w:val="样式 样式 样式 样式 正文 + 首行缩进:  2 字符 + 首行缩进:  2 字符 + 首行缩进:  2 字符 + Char"/>
    <w:link w:val="224"/>
    <w:qFormat/>
    <w:uiPriority w:val="0"/>
    <w:rPr>
      <w:rFonts w:ascii="宋体" w:hAnsi="宋体" w:cs="宋体"/>
      <w:sz w:val="24"/>
    </w:rPr>
  </w:style>
  <w:style w:type="paragraph" w:customStyle="1" w:styleId="224">
    <w:name w:val="样式 样式 样式 样式 正文 + 首行缩进:  2 字符 + 首行缩进:  2 字符 + 首行缩进:  2 字符 +"/>
    <w:basedOn w:val="1"/>
    <w:link w:val="223"/>
    <w:qFormat/>
    <w:uiPriority w:val="0"/>
    <w:pPr>
      <w:ind w:firstLine="200"/>
    </w:pPr>
    <w:rPr>
      <w:rFonts w:ascii="宋体" w:hAnsi="宋体"/>
      <w:sz w:val="24"/>
    </w:rPr>
  </w:style>
  <w:style w:type="character" w:customStyle="1" w:styleId="225">
    <w:name w:val="page-prev"/>
    <w:qFormat/>
    <w:uiPriority w:val="0"/>
    <w:rPr>
      <w:bdr w:val="single" w:color="E3E3E3" w:sz="6" w:space="0"/>
    </w:rPr>
  </w:style>
  <w:style w:type="character" w:customStyle="1" w:styleId="226">
    <w:name w:val="telleft"/>
    <w:qFormat/>
    <w:uiPriority w:val="0"/>
  </w:style>
  <w:style w:type="character" w:customStyle="1" w:styleId="227">
    <w:name w:val="fr3"/>
    <w:qFormat/>
    <w:uiPriority w:val="0"/>
    <w:rPr>
      <w:sz w:val="18"/>
      <w:szCs w:val="18"/>
    </w:rPr>
  </w:style>
  <w:style w:type="character" w:customStyle="1" w:styleId="228">
    <w:name w:val="dianpingtip"/>
    <w:qFormat/>
    <w:uiPriority w:val="0"/>
  </w:style>
  <w:style w:type="character" w:customStyle="1" w:styleId="229">
    <w:name w:val="border-none"/>
    <w:qFormat/>
    <w:uiPriority w:val="0"/>
  </w:style>
  <w:style w:type="character" w:customStyle="1" w:styleId="230">
    <w:name w:val="nc-lang-cnt1"/>
    <w:qFormat/>
    <w:uiPriority w:val="0"/>
  </w:style>
  <w:style w:type="character" w:customStyle="1" w:styleId="231">
    <w:name w:val="表格 Char Char"/>
    <w:qFormat/>
    <w:uiPriority w:val="0"/>
    <w:rPr>
      <w:rFonts w:ascii="Arial" w:hAnsi="Arial" w:cs="Arial"/>
      <w:sz w:val="24"/>
    </w:rPr>
  </w:style>
  <w:style w:type="character" w:customStyle="1" w:styleId="232">
    <w:name w:val="标题4 字符"/>
    <w:link w:val="233"/>
    <w:qFormat/>
    <w:uiPriority w:val="0"/>
    <w:rPr>
      <w:b/>
      <w:kern w:val="2"/>
      <w:sz w:val="24"/>
      <w:szCs w:val="24"/>
    </w:rPr>
  </w:style>
  <w:style w:type="paragraph" w:customStyle="1" w:styleId="233">
    <w:name w:val="标题4"/>
    <w:basedOn w:val="7"/>
    <w:link w:val="232"/>
    <w:qFormat/>
    <w:uiPriority w:val="0"/>
    <w:pPr>
      <w:keepNext w:val="0"/>
      <w:keepLines w:val="0"/>
      <w:numPr>
        <w:ilvl w:val="0"/>
        <w:numId w:val="0"/>
      </w:numPr>
      <w:tabs>
        <w:tab w:val="clear" w:pos="864"/>
      </w:tabs>
      <w:adjustRightInd/>
      <w:spacing w:before="0" w:after="0" w:line="360" w:lineRule="auto"/>
      <w:jc w:val="left"/>
      <w:textAlignment w:val="auto"/>
    </w:pPr>
    <w:rPr>
      <w:rFonts w:ascii="Times New Roman" w:hAnsi="Times New Roman" w:eastAsia="宋体"/>
      <w:kern w:val="2"/>
      <w:sz w:val="24"/>
      <w:szCs w:val="24"/>
    </w:rPr>
  </w:style>
  <w:style w:type="character" w:customStyle="1" w:styleId="234">
    <w:name w:val="nc-lang-cnt2"/>
    <w:qFormat/>
    <w:uiPriority w:val="0"/>
  </w:style>
  <w:style w:type="character" w:customStyle="1" w:styleId="235">
    <w:name w:val="font41"/>
    <w:qFormat/>
    <w:uiPriority w:val="0"/>
    <w:rPr>
      <w:rFonts w:hint="eastAsia" w:ascii="宋体" w:hAnsi="宋体" w:eastAsia="宋体"/>
      <w:color w:val="000000"/>
      <w:sz w:val="21"/>
      <w:szCs w:val="21"/>
      <w:u w:val="none"/>
    </w:rPr>
  </w:style>
  <w:style w:type="character" w:customStyle="1" w:styleId="236">
    <w:name w:val="正文缩进 字符"/>
    <w:qFormat/>
    <w:uiPriority w:val="0"/>
    <w:rPr>
      <w:rFonts w:eastAsia="宋体"/>
      <w:sz w:val="28"/>
      <w:lang w:val="en-US" w:eastAsia="zh-CN" w:bidi="ar-SA"/>
    </w:rPr>
  </w:style>
  <w:style w:type="character" w:customStyle="1" w:styleId="237">
    <w:name w:val="Body text (2)_"/>
    <w:link w:val="238"/>
    <w:qFormat/>
    <w:uiPriority w:val="99"/>
    <w:rPr>
      <w:rFonts w:ascii="MingLiU" w:hAnsi="MingLiU" w:eastAsia="MingLiU" w:cs="MingLiU"/>
      <w:b/>
      <w:bCs/>
      <w:sz w:val="23"/>
      <w:szCs w:val="23"/>
      <w:shd w:val="clear" w:color="auto" w:fill="FFFFFF"/>
    </w:rPr>
  </w:style>
  <w:style w:type="paragraph" w:customStyle="1" w:styleId="238">
    <w:name w:val="Body text (2)"/>
    <w:basedOn w:val="1"/>
    <w:link w:val="237"/>
    <w:qFormat/>
    <w:uiPriority w:val="99"/>
    <w:pPr>
      <w:shd w:val="clear" w:color="auto" w:fill="FFFFFF"/>
      <w:spacing w:line="403" w:lineRule="exact"/>
      <w:jc w:val="distribute"/>
    </w:pPr>
    <w:rPr>
      <w:rFonts w:ascii="MingLiU" w:hAnsi="MingLiU" w:eastAsia="MingLiU" w:cs="MingLiU"/>
      <w:b/>
      <w:bCs/>
      <w:sz w:val="23"/>
      <w:szCs w:val="23"/>
    </w:rPr>
  </w:style>
  <w:style w:type="paragraph" w:customStyle="1" w:styleId="239">
    <w:name w:val="font17"/>
    <w:basedOn w:val="1"/>
    <w:qFormat/>
    <w:uiPriority w:val="0"/>
    <w:pPr>
      <w:widowControl/>
      <w:spacing w:before="100" w:beforeAutospacing="1" w:after="100" w:afterAutospacing="1"/>
      <w:jc w:val="left"/>
    </w:pPr>
    <w:rPr>
      <w:rFonts w:ascii="Arial" w:hAnsi="Arial" w:cs="Arial"/>
      <w:color w:val="FF0000"/>
      <w:sz w:val="21"/>
    </w:rPr>
  </w:style>
  <w:style w:type="paragraph" w:customStyle="1" w:styleId="240">
    <w:name w:val="font21"/>
    <w:basedOn w:val="1"/>
    <w:qFormat/>
    <w:uiPriority w:val="0"/>
    <w:pPr>
      <w:widowControl/>
      <w:spacing w:before="100" w:beforeAutospacing="1" w:after="100" w:afterAutospacing="1"/>
      <w:jc w:val="left"/>
    </w:pPr>
    <w:rPr>
      <w:rFonts w:ascii="宋体" w:hAnsi="宋体"/>
      <w:color w:val="FF0000"/>
      <w:sz w:val="21"/>
    </w:rPr>
  </w:style>
  <w:style w:type="paragraph" w:customStyle="1" w:styleId="241">
    <w:name w:val="xl11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w:hAnsi="Arial" w:cs="Arial"/>
      <w:sz w:val="21"/>
    </w:rPr>
  </w:style>
  <w:style w:type="paragraph" w:customStyle="1" w:styleId="242">
    <w:name w:val="无间隔4"/>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243">
    <w:name w:val="16表格内容"/>
    <w:basedOn w:val="1"/>
    <w:qFormat/>
    <w:uiPriority w:val="0"/>
    <w:pPr>
      <w:widowControl/>
      <w:spacing w:line="0" w:lineRule="atLeast"/>
      <w:jc w:val="center"/>
    </w:pPr>
    <w:rPr>
      <w:sz w:val="21"/>
    </w:rPr>
  </w:style>
  <w:style w:type="paragraph" w:customStyle="1" w:styleId="244">
    <w:name w:val="表文"/>
    <w:basedOn w:val="1"/>
    <w:qFormat/>
    <w:uiPriority w:val="0"/>
    <w:pPr>
      <w:spacing w:line="280" w:lineRule="exact"/>
      <w:jc w:val="center"/>
    </w:pPr>
    <w:rPr>
      <w:spacing w:val="-2"/>
      <w:sz w:val="21"/>
    </w:rPr>
  </w:style>
  <w:style w:type="paragraph" w:customStyle="1" w:styleId="245">
    <w:name w:val="Char Char Char Char Char Char Char"/>
    <w:basedOn w:val="1"/>
    <w:qFormat/>
    <w:uiPriority w:val="0"/>
    <w:rPr>
      <w:szCs w:val="24"/>
    </w:rPr>
  </w:style>
  <w:style w:type="paragraph" w:customStyle="1" w:styleId="246">
    <w:name w:val="font22"/>
    <w:basedOn w:val="1"/>
    <w:qFormat/>
    <w:uiPriority w:val="0"/>
    <w:pPr>
      <w:widowControl/>
      <w:spacing w:before="100" w:beforeAutospacing="1" w:after="100" w:afterAutospacing="1"/>
      <w:jc w:val="left"/>
    </w:pPr>
    <w:rPr>
      <w:rFonts w:ascii="Arial" w:hAnsi="Arial" w:cs="Arial"/>
      <w:color w:val="FF0000"/>
      <w:sz w:val="21"/>
    </w:rPr>
  </w:style>
  <w:style w:type="paragraph" w:customStyle="1" w:styleId="247">
    <w:name w:val="样式4"/>
    <w:basedOn w:val="2"/>
    <w:qFormat/>
    <w:uiPriority w:val="0"/>
    <w:pPr>
      <w:adjustRightInd/>
      <w:spacing w:line="460" w:lineRule="exact"/>
      <w:ind w:firstLine="420"/>
      <w:textAlignment w:val="auto"/>
    </w:pPr>
    <w:rPr>
      <w:rFonts w:ascii="Arial" w:hAnsi="Arial"/>
      <w:kern w:val="2"/>
      <w:sz w:val="24"/>
    </w:rPr>
  </w:style>
  <w:style w:type="paragraph" w:customStyle="1" w:styleId="248">
    <w:name w:val="正文＋缩进"/>
    <w:basedOn w:val="1"/>
    <w:qFormat/>
    <w:uiPriority w:val="0"/>
    <w:pPr>
      <w:autoSpaceDE w:val="0"/>
      <w:autoSpaceDN w:val="0"/>
      <w:spacing w:line="380" w:lineRule="atLeast"/>
      <w:ind w:firstLine="482"/>
      <w:jc w:val="left"/>
      <w:textAlignment w:val="baseline"/>
    </w:pPr>
    <w:rPr>
      <w:spacing w:val="4"/>
      <w:sz w:val="28"/>
    </w:rPr>
  </w:style>
  <w:style w:type="paragraph" w:customStyle="1" w:styleId="249">
    <w:name w:val="正文缩进2"/>
    <w:basedOn w:val="1"/>
    <w:qFormat/>
    <w:uiPriority w:val="0"/>
    <w:pPr>
      <w:ind w:firstLine="420"/>
    </w:pPr>
    <w:rPr>
      <w:rFonts w:hint="eastAsia"/>
      <w:kern w:val="2"/>
      <w:sz w:val="26"/>
      <w:szCs w:val="26"/>
    </w:rPr>
  </w:style>
  <w:style w:type="paragraph" w:customStyle="1" w:styleId="250">
    <w:name w:val="图头"/>
    <w:basedOn w:val="1"/>
    <w:qFormat/>
    <w:uiPriority w:val="0"/>
    <w:pPr>
      <w:spacing w:afterLines="50" w:line="240" w:lineRule="auto"/>
      <w:ind w:firstLine="0" w:firstLineChars="0"/>
      <w:jc w:val="center"/>
    </w:pPr>
    <w:rPr>
      <w:b/>
      <w:sz w:val="21"/>
    </w:rPr>
  </w:style>
  <w:style w:type="paragraph" w:customStyle="1" w:styleId="251">
    <w:name w:val="Char Char Char Char Char Char Char1"/>
    <w:basedOn w:val="1"/>
    <w:qFormat/>
    <w:uiPriority w:val="0"/>
  </w:style>
  <w:style w:type="paragraph" w:customStyle="1" w:styleId="252">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sz w:val="21"/>
    </w:rPr>
  </w:style>
  <w:style w:type="paragraph" w:customStyle="1" w:styleId="253">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sz w:val="21"/>
    </w:rPr>
  </w:style>
  <w:style w:type="paragraph" w:customStyle="1" w:styleId="254">
    <w:name w:val="样式 四号 首行缩进:  2 字符"/>
    <w:basedOn w:val="1"/>
    <w:qFormat/>
    <w:uiPriority w:val="0"/>
    <w:pPr>
      <w:spacing w:line="480" w:lineRule="atLeast"/>
      <w:ind w:firstLine="200"/>
    </w:pPr>
    <w:rPr>
      <w:kern w:val="2"/>
      <w:sz w:val="24"/>
      <w:szCs w:val="24"/>
    </w:rPr>
  </w:style>
  <w:style w:type="paragraph" w:customStyle="1" w:styleId="255">
    <w:name w:val="正文999"/>
    <w:basedOn w:val="1"/>
    <w:semiHidden/>
    <w:qFormat/>
    <w:uiPriority w:val="0"/>
    <w:pPr>
      <w:ind w:firstLine="480"/>
    </w:pPr>
    <w:rPr>
      <w:rFonts w:ascii="宋体" w:hAnsi="宋体"/>
      <w:kern w:val="2"/>
      <w:sz w:val="24"/>
      <w:szCs w:val="24"/>
    </w:rPr>
  </w:style>
  <w:style w:type="paragraph" w:customStyle="1" w:styleId="256">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CCFFFF"/>
      <w:spacing w:before="100" w:beforeAutospacing="1" w:after="100" w:afterAutospacing="1"/>
      <w:jc w:val="left"/>
    </w:pPr>
    <w:rPr>
      <w:rFonts w:ascii="Arial" w:hAnsi="Arial" w:cs="Arial"/>
      <w:b/>
      <w:bCs/>
      <w:sz w:val="21"/>
    </w:rPr>
  </w:style>
  <w:style w:type="paragraph" w:customStyle="1" w:styleId="257">
    <w:name w:val="xl132"/>
    <w:basedOn w:val="1"/>
    <w:qFormat/>
    <w:uiPriority w:val="0"/>
    <w:pPr>
      <w:widowControl/>
      <w:pBdr>
        <w:left w:val="single" w:color="auto" w:sz="4" w:space="0"/>
        <w:right w:val="single" w:color="auto" w:sz="4" w:space="0"/>
      </w:pBdr>
      <w:shd w:val="clear" w:color="000000" w:fill="C5D9F1"/>
      <w:spacing w:before="100" w:beforeAutospacing="1" w:after="100" w:afterAutospacing="1"/>
      <w:jc w:val="left"/>
    </w:pPr>
    <w:rPr>
      <w:rFonts w:ascii="Arial" w:hAnsi="Arial" w:cs="Arial"/>
      <w:sz w:val="21"/>
    </w:rPr>
  </w:style>
  <w:style w:type="paragraph" w:customStyle="1" w:styleId="258">
    <w:name w:val="Char2"/>
    <w:basedOn w:val="1"/>
    <w:qFormat/>
    <w:uiPriority w:val="0"/>
    <w:pPr>
      <w:widowControl/>
      <w:topLinePunct/>
      <w:spacing w:line="480" w:lineRule="exact"/>
      <w:jc w:val="left"/>
    </w:pPr>
    <w:rPr>
      <w:rFonts w:eastAsia="仿宋_GB2312"/>
      <w:w w:val="90"/>
      <w:sz w:val="28"/>
      <w:szCs w:val="36"/>
      <w:lang w:val="en-GB" w:eastAsia="en-GB"/>
    </w:rPr>
  </w:style>
  <w:style w:type="paragraph" w:customStyle="1" w:styleId="259">
    <w:name w:val="Char Char Char Char Char Char1 Char Char Char Char Char Char Char Char Char Char Char Char Char"/>
    <w:basedOn w:val="1"/>
    <w:qFormat/>
    <w:uiPriority w:val="0"/>
    <w:pPr>
      <w:adjustRightInd/>
      <w:snapToGrid/>
      <w:spacing w:line="240" w:lineRule="auto"/>
      <w:ind w:firstLine="0" w:firstLineChars="0"/>
    </w:pPr>
    <w:rPr>
      <w:kern w:val="2"/>
      <w:sz w:val="21"/>
    </w:rPr>
  </w:style>
  <w:style w:type="paragraph" w:customStyle="1" w:styleId="260">
    <w:name w:val="xl13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w:hAnsi="Arial" w:cs="Arial"/>
      <w:sz w:val="21"/>
    </w:rPr>
  </w:style>
  <w:style w:type="paragraph" w:customStyle="1" w:styleId="261">
    <w:name w:val="XX表头居中粗"/>
    <w:next w:val="30"/>
    <w:qFormat/>
    <w:uiPriority w:val="0"/>
    <w:pPr>
      <w:keepNext/>
      <w:widowControl w:val="0"/>
      <w:tabs>
        <w:tab w:val="center" w:pos="501"/>
      </w:tabs>
      <w:jc w:val="center"/>
    </w:pPr>
    <w:rPr>
      <w:rFonts w:ascii="Times New Roman" w:hAnsi="Times New Roman" w:eastAsia="宋体" w:cs="Times New Roman"/>
      <w:b/>
      <w:color w:val="000000"/>
      <w:sz w:val="24"/>
      <w:lang w:val="en-US" w:eastAsia="zh-CN" w:bidi="ar-SA"/>
    </w:rPr>
  </w:style>
  <w:style w:type="paragraph" w:customStyle="1" w:styleId="262">
    <w:name w:val="M表格竖"/>
    <w:basedOn w:val="1"/>
    <w:qFormat/>
    <w:uiPriority w:val="99"/>
    <w:pPr>
      <w:jc w:val="center"/>
    </w:pPr>
    <w:rPr>
      <w:kern w:val="2"/>
      <w:sz w:val="18"/>
      <w:szCs w:val="18"/>
    </w:rPr>
  </w:style>
  <w:style w:type="paragraph" w:customStyle="1" w:styleId="263">
    <w:name w:val="_Style 255"/>
    <w:basedOn w:val="4"/>
    <w:next w:val="1"/>
    <w:qFormat/>
    <w:uiPriority w:val="39"/>
    <w:pPr>
      <w:widowControl/>
      <w:numPr>
        <w:numId w:val="0"/>
      </w:numPr>
      <w:tabs>
        <w:tab w:val="clear" w:pos="432"/>
      </w:tabs>
      <w:adjustRightInd/>
      <w:spacing w:line="259" w:lineRule="auto"/>
      <w:jc w:val="left"/>
      <w:textAlignment w:val="auto"/>
      <w:outlineLvl w:val="9"/>
    </w:pPr>
    <w:rPr>
      <w:rFonts w:ascii="等线 Light" w:hAnsi="等线 Light" w:eastAsia="等线 Light" w:cs="Times New Roman"/>
      <w:bCs/>
      <w:color w:val="2E74B5"/>
      <w:kern w:val="0"/>
      <w:sz w:val="32"/>
      <w:szCs w:val="32"/>
    </w:rPr>
  </w:style>
  <w:style w:type="paragraph" w:customStyle="1" w:styleId="264">
    <w:name w:val="font9"/>
    <w:basedOn w:val="1"/>
    <w:qFormat/>
    <w:uiPriority w:val="0"/>
    <w:pPr>
      <w:widowControl/>
      <w:spacing w:before="100" w:beforeAutospacing="1" w:after="100" w:afterAutospacing="1"/>
      <w:jc w:val="left"/>
    </w:pPr>
    <w:rPr>
      <w:rFonts w:ascii="宋体" w:hAnsi="宋体"/>
      <w:sz w:val="18"/>
      <w:szCs w:val="18"/>
    </w:rPr>
  </w:style>
  <w:style w:type="paragraph" w:customStyle="1" w:styleId="265">
    <w:name w:val="font13"/>
    <w:basedOn w:val="1"/>
    <w:qFormat/>
    <w:uiPriority w:val="0"/>
    <w:pPr>
      <w:widowControl/>
      <w:spacing w:before="100" w:beforeAutospacing="1" w:after="100" w:afterAutospacing="1"/>
      <w:jc w:val="left"/>
    </w:pPr>
    <w:rPr>
      <w:rFonts w:ascii="Arial" w:hAnsi="Arial" w:cs="Arial"/>
      <w:sz w:val="21"/>
    </w:rPr>
  </w:style>
  <w:style w:type="paragraph" w:customStyle="1" w:styleId="266">
    <w:name w:val="表格-表头"/>
    <w:basedOn w:val="1"/>
    <w:qFormat/>
    <w:uiPriority w:val="0"/>
    <w:pPr>
      <w:spacing w:after="120" w:line="0" w:lineRule="atLeast"/>
      <w:ind w:firstLine="720"/>
      <w:jc w:val="center"/>
    </w:pPr>
    <w:rPr>
      <w:b/>
      <w:kern w:val="2"/>
      <w:sz w:val="24"/>
      <w:szCs w:val="22"/>
    </w:rPr>
  </w:style>
  <w:style w:type="paragraph" w:customStyle="1" w:styleId="267">
    <w:name w:val="中文报告书"/>
    <w:basedOn w:val="1"/>
    <w:qFormat/>
    <w:uiPriority w:val="0"/>
    <w:pPr>
      <w:spacing w:after="80"/>
      <w:jc w:val="left"/>
      <w:textAlignment w:val="baseline"/>
    </w:pPr>
    <w:rPr>
      <w:rFonts w:ascii="宋体"/>
      <w:sz w:val="24"/>
      <w:lang w:val="zh-CN"/>
    </w:rPr>
  </w:style>
  <w:style w:type="paragraph" w:customStyle="1" w:styleId="268">
    <w:name w:val="font7"/>
    <w:basedOn w:val="1"/>
    <w:qFormat/>
    <w:uiPriority w:val="0"/>
    <w:pPr>
      <w:widowControl/>
      <w:spacing w:before="100" w:beforeAutospacing="1" w:after="100" w:afterAutospacing="1"/>
      <w:jc w:val="left"/>
    </w:pPr>
    <w:rPr>
      <w:rFonts w:ascii="Arial" w:hAnsi="Arial" w:cs="Arial"/>
      <w:sz w:val="21"/>
    </w:rPr>
  </w:style>
  <w:style w:type="paragraph" w:customStyle="1" w:styleId="269">
    <w:name w:val="font16"/>
    <w:basedOn w:val="1"/>
    <w:qFormat/>
    <w:uiPriority w:val="0"/>
    <w:pPr>
      <w:widowControl/>
      <w:spacing w:before="100" w:beforeAutospacing="1" w:after="100" w:afterAutospacing="1"/>
      <w:jc w:val="left"/>
    </w:pPr>
    <w:rPr>
      <w:rFonts w:ascii="宋体" w:hAnsi="宋体"/>
      <w:sz w:val="21"/>
    </w:rPr>
  </w:style>
  <w:style w:type="paragraph" w:customStyle="1" w:styleId="270">
    <w:name w:val="font18"/>
    <w:basedOn w:val="1"/>
    <w:qFormat/>
    <w:uiPriority w:val="0"/>
    <w:pPr>
      <w:widowControl/>
      <w:spacing w:before="100" w:beforeAutospacing="1" w:after="100" w:afterAutospacing="1"/>
      <w:jc w:val="left"/>
    </w:pPr>
    <w:rPr>
      <w:rFonts w:ascii="宋体" w:hAnsi="宋体"/>
      <w:color w:val="FF0000"/>
      <w:sz w:val="21"/>
    </w:rPr>
  </w:style>
  <w:style w:type="paragraph" w:customStyle="1" w:styleId="271">
    <w:name w:val="xl13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Arial" w:hAnsi="Arial" w:cs="Arial"/>
      <w:sz w:val="21"/>
    </w:rPr>
  </w:style>
  <w:style w:type="paragraph" w:customStyle="1" w:styleId="272">
    <w:name w:val="样式1"/>
    <w:basedOn w:val="25"/>
    <w:next w:val="273"/>
    <w:qFormat/>
    <w:uiPriority w:val="0"/>
    <w:pPr>
      <w:suppressAutoHyphens/>
      <w:spacing w:line="520" w:lineRule="atLeast"/>
      <w:textAlignment w:val="baseline"/>
    </w:pPr>
    <w:rPr>
      <w:spacing w:val="18"/>
      <w:sz w:val="32"/>
    </w:rPr>
  </w:style>
  <w:style w:type="paragraph" w:customStyle="1" w:styleId="273">
    <w:name w:val="标题样式2"/>
    <w:basedOn w:val="5"/>
    <w:next w:val="50"/>
    <w:qFormat/>
    <w:uiPriority w:val="0"/>
    <w:pPr>
      <w:tabs>
        <w:tab w:val="left" w:pos="576"/>
      </w:tabs>
      <w:spacing w:before="0" w:after="0" w:line="360" w:lineRule="auto"/>
      <w:jc w:val="left"/>
    </w:pPr>
    <w:rPr>
      <w:rFonts w:ascii="黑体"/>
      <w:sz w:val="24"/>
      <w:szCs w:val="24"/>
    </w:rPr>
  </w:style>
  <w:style w:type="paragraph" w:customStyle="1" w:styleId="274">
    <w:name w:val="xl1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FF0000"/>
      <w:sz w:val="21"/>
    </w:rPr>
  </w:style>
  <w:style w:type="paragraph" w:customStyle="1" w:styleId="275">
    <w:name w:val="table footnote"/>
    <w:qFormat/>
    <w:uiPriority w:val="0"/>
    <w:pPr>
      <w:spacing w:before="60" w:after="30"/>
      <w:jc w:val="right"/>
    </w:pPr>
    <w:rPr>
      <w:rFonts w:ascii="Times New Roman" w:hAnsi="Times New Roman" w:eastAsia="宋体" w:cs="Times New Roman"/>
      <w:sz w:val="12"/>
      <w:szCs w:val="12"/>
      <w:lang w:val="en-US" w:eastAsia="en-US" w:bidi="ar-SA"/>
    </w:rPr>
  </w:style>
  <w:style w:type="paragraph" w:customStyle="1" w:styleId="276">
    <w:name w:val="Char Char Char Char Char Char Char Char Char Char"/>
    <w:basedOn w:val="1"/>
    <w:qFormat/>
    <w:uiPriority w:val="0"/>
    <w:pPr>
      <w:spacing w:line="240" w:lineRule="exact"/>
      <w:ind w:firstLine="200"/>
    </w:pPr>
    <w:rPr>
      <w:snapToGrid w:val="0"/>
      <w:color w:val="000000"/>
      <w:sz w:val="24"/>
    </w:rPr>
  </w:style>
  <w:style w:type="paragraph" w:customStyle="1" w:styleId="277">
    <w:name w:val="+正文标题"/>
    <w:basedOn w:val="1"/>
    <w:qFormat/>
    <w:uiPriority w:val="0"/>
    <w:pPr>
      <w:spacing w:beforeLines="100" w:afterLines="100"/>
      <w:jc w:val="center"/>
    </w:pPr>
    <w:rPr>
      <w:rFonts w:eastAsia="黑体"/>
      <w:b/>
      <w:kern w:val="2"/>
      <w:sz w:val="32"/>
      <w:szCs w:val="32"/>
    </w:rPr>
  </w:style>
  <w:style w:type="paragraph" w:customStyle="1" w:styleId="278">
    <w:name w:val="_Style 1"/>
    <w:basedOn w:val="1"/>
    <w:qFormat/>
    <w:uiPriority w:val="0"/>
    <w:pPr>
      <w:widowControl/>
      <w:jc w:val="left"/>
    </w:pPr>
    <w:rPr>
      <w:rFonts w:ascii="Calibri" w:hAnsi="Calibri"/>
      <w:sz w:val="22"/>
      <w:szCs w:val="22"/>
      <w:lang w:eastAsia="en-US" w:bidi="en-US"/>
    </w:rPr>
  </w:style>
  <w:style w:type="paragraph" w:customStyle="1" w:styleId="279">
    <w:name w:val="无间隔2"/>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280">
    <w:name w:val="In Table"/>
    <w:basedOn w:val="1"/>
    <w:qFormat/>
    <w:uiPriority w:val="0"/>
    <w:pPr>
      <w:tabs>
        <w:tab w:val="left" w:pos="2200"/>
        <w:tab w:val="left" w:pos="3960"/>
        <w:tab w:val="left" w:pos="5280"/>
      </w:tabs>
      <w:spacing w:before="96" w:after="96" w:line="0" w:lineRule="atLeast"/>
      <w:jc w:val="center"/>
    </w:pPr>
    <w:rPr>
      <w:rFonts w:ascii="Tahoma" w:hAnsi="Tahoma" w:eastAsia="华文中宋"/>
    </w:rPr>
  </w:style>
  <w:style w:type="paragraph" w:customStyle="1" w:styleId="281">
    <w:name w:val="xl13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sz w:val="21"/>
    </w:rPr>
  </w:style>
  <w:style w:type="paragraph" w:customStyle="1" w:styleId="282">
    <w:name w:val="兰天/报告书/表/正文字体/蓝色"/>
    <w:basedOn w:val="1"/>
    <w:qFormat/>
    <w:uiPriority w:val="0"/>
    <w:pPr>
      <w:spacing w:line="480" w:lineRule="exact"/>
      <w:ind w:firstLine="200"/>
    </w:pPr>
    <w:rPr>
      <w:color w:val="0070C0"/>
      <w:sz w:val="24"/>
      <w:szCs w:val="24"/>
    </w:rPr>
  </w:style>
  <w:style w:type="paragraph" w:customStyle="1" w:styleId="283">
    <w:name w:val="正文小四"/>
    <w:basedOn w:val="1"/>
    <w:qFormat/>
    <w:uiPriority w:val="0"/>
    <w:pPr>
      <w:ind w:firstLine="200"/>
      <w:jc w:val="left"/>
    </w:pPr>
    <w:rPr>
      <w:kern w:val="2"/>
      <w:sz w:val="24"/>
      <w:szCs w:val="24"/>
    </w:rPr>
  </w:style>
  <w:style w:type="paragraph" w:customStyle="1" w:styleId="284">
    <w:name w:val="font6"/>
    <w:basedOn w:val="1"/>
    <w:qFormat/>
    <w:uiPriority w:val="0"/>
    <w:pPr>
      <w:widowControl/>
      <w:spacing w:before="100" w:beforeAutospacing="1" w:after="100" w:afterAutospacing="1"/>
      <w:jc w:val="left"/>
    </w:pPr>
    <w:rPr>
      <w:rFonts w:ascii="黑体" w:hAnsi="宋体" w:eastAsia="黑体"/>
      <w:b/>
      <w:bCs/>
      <w:sz w:val="21"/>
    </w:rPr>
  </w:style>
  <w:style w:type="paragraph" w:customStyle="1" w:styleId="285">
    <w:name w:val="xl101"/>
    <w:basedOn w:val="1"/>
    <w:qFormat/>
    <w:uiPriority w:val="0"/>
    <w:pPr>
      <w:widowControl/>
      <w:spacing w:before="100" w:beforeAutospacing="1" w:after="100" w:afterAutospacing="1"/>
      <w:jc w:val="center"/>
    </w:pPr>
    <w:rPr>
      <w:rFonts w:ascii="Arial" w:hAnsi="Arial" w:cs="Arial"/>
      <w:sz w:val="24"/>
      <w:szCs w:val="24"/>
    </w:rPr>
  </w:style>
  <w:style w:type="paragraph" w:customStyle="1" w:styleId="286">
    <w:name w:val="16表格标题"/>
    <w:basedOn w:val="1"/>
    <w:qFormat/>
    <w:uiPriority w:val="0"/>
    <w:pPr>
      <w:widowControl/>
      <w:spacing w:line="480" w:lineRule="exact"/>
      <w:jc w:val="center"/>
    </w:pPr>
    <w:rPr>
      <w:rFonts w:ascii="Calibri" w:hAnsi="Calibri" w:eastAsia="宋体" w:cs="Times New Roman"/>
      <w:b/>
      <w:bCs/>
      <w:sz w:val="21"/>
      <w:szCs w:val="22"/>
    </w:rPr>
  </w:style>
  <w:style w:type="paragraph" w:customStyle="1" w:styleId="287">
    <w:name w:val="xl11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w:hAnsi="Arial" w:cs="Arial"/>
      <w:sz w:val="21"/>
    </w:rPr>
  </w:style>
  <w:style w:type="paragraph" w:customStyle="1" w:styleId="288">
    <w:name w:val="reader-word-layer reader-word-s4-2"/>
    <w:basedOn w:val="1"/>
    <w:qFormat/>
    <w:uiPriority w:val="0"/>
    <w:pPr>
      <w:widowControl/>
      <w:spacing w:before="100" w:beforeAutospacing="1" w:after="100" w:afterAutospacing="1"/>
      <w:jc w:val="left"/>
    </w:pPr>
    <w:rPr>
      <w:rFonts w:ascii="宋体" w:hAnsi="宋体"/>
      <w:sz w:val="24"/>
      <w:szCs w:val="24"/>
    </w:rPr>
  </w:style>
  <w:style w:type="paragraph" w:customStyle="1" w:styleId="289">
    <w:name w:val="xl129"/>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olor w:val="FF0000"/>
      <w:sz w:val="21"/>
    </w:rPr>
  </w:style>
  <w:style w:type="paragraph" w:customStyle="1" w:styleId="290">
    <w:name w:val="样式 居中4"/>
    <w:basedOn w:val="1"/>
    <w:qFormat/>
    <w:uiPriority w:val="0"/>
    <w:pPr>
      <w:spacing w:line="300" w:lineRule="auto"/>
      <w:ind w:firstLine="640"/>
      <w:jc w:val="center"/>
    </w:pPr>
    <w:rPr>
      <w:kern w:val="2"/>
      <w:sz w:val="24"/>
    </w:rPr>
  </w:style>
  <w:style w:type="paragraph" w:customStyle="1" w:styleId="291">
    <w:name w:val="正文3"/>
    <w:basedOn w:val="1"/>
    <w:qFormat/>
    <w:uiPriority w:val="0"/>
    <w:pPr>
      <w:widowControl/>
    </w:pPr>
  </w:style>
  <w:style w:type="paragraph" w:customStyle="1" w:styleId="292">
    <w:name w:val="xl131"/>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pPr>
    <w:rPr>
      <w:rFonts w:ascii="Arial" w:hAnsi="Arial" w:cs="Arial"/>
      <w:sz w:val="21"/>
    </w:rPr>
  </w:style>
  <w:style w:type="paragraph" w:customStyle="1" w:styleId="293">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color w:val="FF0000"/>
      <w:sz w:val="21"/>
    </w:rPr>
  </w:style>
  <w:style w:type="paragraph" w:customStyle="1" w:styleId="294">
    <w:name w:val="reader-word-layer reader-word-s4-13"/>
    <w:basedOn w:val="1"/>
    <w:qFormat/>
    <w:uiPriority w:val="0"/>
    <w:pPr>
      <w:widowControl/>
      <w:spacing w:before="100" w:beforeAutospacing="1" w:after="100" w:afterAutospacing="1"/>
      <w:jc w:val="left"/>
    </w:pPr>
    <w:rPr>
      <w:rFonts w:ascii="宋体" w:hAnsi="宋体"/>
      <w:sz w:val="24"/>
      <w:szCs w:val="24"/>
    </w:rPr>
  </w:style>
  <w:style w:type="paragraph" w:customStyle="1" w:styleId="295">
    <w:name w:val="xl126"/>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Arial" w:hAnsi="Arial" w:cs="Arial"/>
      <w:sz w:val="21"/>
    </w:rPr>
  </w:style>
  <w:style w:type="paragraph" w:customStyle="1" w:styleId="296">
    <w:name w:val="深泽正文"/>
    <w:basedOn w:val="109"/>
    <w:next w:val="36"/>
    <w:qFormat/>
    <w:uiPriority w:val="0"/>
    <w:pPr>
      <w:spacing w:line="440" w:lineRule="exact"/>
      <w:ind w:firstLine="488" w:firstLineChars="200"/>
    </w:pPr>
    <w:rPr>
      <w:spacing w:val="4"/>
      <w:kern w:val="0"/>
      <w:sz w:val="24"/>
      <w:szCs w:val="24"/>
    </w:rPr>
  </w:style>
  <w:style w:type="paragraph" w:customStyle="1" w:styleId="297">
    <w:name w:val="宋体 13 磅 行距: 固定值 24 磅"/>
    <w:basedOn w:val="1"/>
    <w:qFormat/>
    <w:uiPriority w:val="0"/>
    <w:pPr>
      <w:spacing w:line="480" w:lineRule="exact"/>
      <w:ind w:firstLine="520"/>
      <w:jc w:val="left"/>
    </w:pPr>
    <w:rPr>
      <w:rFonts w:ascii="宋体" w:hAnsi="宋体"/>
      <w:kern w:val="2"/>
      <w:sz w:val="26"/>
    </w:rPr>
  </w:style>
  <w:style w:type="paragraph" w:customStyle="1" w:styleId="298">
    <w:name w:val="reader-word-layer reader-word-s4-14"/>
    <w:basedOn w:val="1"/>
    <w:qFormat/>
    <w:uiPriority w:val="0"/>
    <w:pPr>
      <w:widowControl/>
      <w:spacing w:before="100" w:beforeAutospacing="1" w:after="100" w:afterAutospacing="1"/>
      <w:jc w:val="left"/>
    </w:pPr>
    <w:rPr>
      <w:rFonts w:ascii="宋体" w:hAnsi="宋体"/>
      <w:sz w:val="24"/>
      <w:szCs w:val="24"/>
    </w:rPr>
  </w:style>
  <w:style w:type="paragraph" w:customStyle="1" w:styleId="299">
    <w:name w:val="font5"/>
    <w:basedOn w:val="1"/>
    <w:qFormat/>
    <w:uiPriority w:val="0"/>
    <w:pPr>
      <w:widowControl/>
      <w:spacing w:before="100" w:beforeAutospacing="1" w:after="100" w:afterAutospacing="1"/>
      <w:jc w:val="left"/>
    </w:pPr>
    <w:rPr>
      <w:rFonts w:ascii="宋体" w:hAnsi="宋体"/>
      <w:sz w:val="18"/>
      <w:szCs w:val="18"/>
    </w:rPr>
  </w:style>
  <w:style w:type="paragraph" w:customStyle="1" w:styleId="300">
    <w:name w:val="xl102"/>
    <w:basedOn w:val="1"/>
    <w:qFormat/>
    <w:uiPriority w:val="0"/>
    <w:pPr>
      <w:widowControl/>
      <w:spacing w:before="100" w:beforeAutospacing="1" w:after="100" w:afterAutospacing="1"/>
      <w:jc w:val="left"/>
    </w:pPr>
    <w:rPr>
      <w:rFonts w:ascii="Arial" w:hAnsi="Arial" w:cs="Arial"/>
      <w:sz w:val="24"/>
      <w:szCs w:val="24"/>
    </w:rPr>
  </w:style>
  <w:style w:type="paragraph" w:customStyle="1" w:styleId="301">
    <w:name w:val="Char Char1 Char Char Char Char"/>
    <w:basedOn w:val="1"/>
    <w:qFormat/>
    <w:uiPriority w:val="0"/>
    <w:rPr>
      <w:kern w:val="2"/>
      <w:sz w:val="21"/>
      <w:szCs w:val="24"/>
    </w:rPr>
  </w:style>
  <w:style w:type="paragraph" w:customStyle="1" w:styleId="302">
    <w:name w:val="+正文"/>
    <w:basedOn w:val="1"/>
    <w:qFormat/>
    <w:uiPriority w:val="0"/>
    <w:pPr>
      <w:ind w:firstLine="200"/>
    </w:pPr>
    <w:rPr>
      <w:kern w:val="2"/>
      <w:sz w:val="28"/>
      <w:szCs w:val="28"/>
    </w:rPr>
  </w:style>
  <w:style w:type="paragraph" w:customStyle="1" w:styleId="303">
    <w:name w:val="xl120"/>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pPr>
    <w:rPr>
      <w:rFonts w:ascii="Arial" w:hAnsi="Arial" w:cs="Arial"/>
      <w:sz w:val="21"/>
    </w:rPr>
  </w:style>
  <w:style w:type="paragraph" w:customStyle="1" w:styleId="304">
    <w:name w:val="Char Char Char Char Char Char Char Char Char Char Char Char Char"/>
    <w:basedOn w:val="6"/>
    <w:qFormat/>
    <w:uiPriority w:val="0"/>
    <w:pPr>
      <w:numPr>
        <w:ilvl w:val="0"/>
        <w:numId w:val="0"/>
      </w:numPr>
      <w:tabs>
        <w:tab w:val="left" w:pos="360"/>
        <w:tab w:val="left" w:pos="900"/>
        <w:tab w:val="clear" w:pos="720"/>
      </w:tabs>
      <w:adjustRightInd/>
      <w:spacing w:before="120" w:after="120" w:line="360" w:lineRule="auto"/>
      <w:ind w:left="542" w:leftChars="-12" w:firstLine="200" w:firstLineChars="200"/>
      <w:jc w:val="left"/>
      <w:textAlignment w:val="auto"/>
    </w:pPr>
    <w:rPr>
      <w:snapToGrid w:val="0"/>
      <w:kern w:val="2"/>
      <w:sz w:val="24"/>
      <w:szCs w:val="24"/>
    </w:rPr>
  </w:style>
  <w:style w:type="paragraph" w:customStyle="1" w:styleId="305">
    <w:name w:val="M表头"/>
    <w:basedOn w:val="1"/>
    <w:next w:val="1"/>
    <w:qFormat/>
    <w:uiPriority w:val="99"/>
    <w:pPr>
      <w:spacing w:beforeLines="70"/>
      <w:ind w:firstLine="200"/>
    </w:pPr>
    <w:rPr>
      <w:rFonts w:eastAsia="黑体"/>
      <w:bCs/>
      <w:kern w:val="2"/>
      <w:sz w:val="24"/>
    </w:rPr>
  </w:style>
  <w:style w:type="paragraph" w:customStyle="1" w:styleId="306">
    <w:name w:val="WPS Plain"/>
    <w:qFormat/>
    <w:uiPriority w:val="0"/>
    <w:rPr>
      <w:rFonts w:ascii="Times New Roman" w:hAnsi="Times New Roman" w:eastAsia="宋体" w:cs="Times New Roman"/>
      <w:lang w:val="en-US" w:eastAsia="zh-CN" w:bidi="ar-SA"/>
    </w:rPr>
  </w:style>
  <w:style w:type="paragraph" w:customStyle="1" w:styleId="307">
    <w:name w:val="xl11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w:hAnsi="Arial" w:cs="Arial"/>
      <w:color w:val="FF0000"/>
      <w:sz w:val="21"/>
    </w:rPr>
  </w:style>
  <w:style w:type="paragraph" w:customStyle="1" w:styleId="308">
    <w:name w:val="报告表正文"/>
    <w:basedOn w:val="1"/>
    <w:qFormat/>
    <w:uiPriority w:val="0"/>
    <w:pPr>
      <w:spacing w:line="312" w:lineRule="auto"/>
      <w:ind w:left="113" w:right="113" w:firstLine="482"/>
      <w:jc w:val="left"/>
      <w:textAlignment w:val="baseline"/>
    </w:pPr>
    <w:rPr>
      <w:sz w:val="24"/>
    </w:rPr>
  </w:style>
  <w:style w:type="paragraph" w:customStyle="1" w:styleId="309">
    <w:name w:val="Char Char Char Char11"/>
    <w:basedOn w:val="1"/>
    <w:qFormat/>
    <w:uiPriority w:val="0"/>
    <w:rPr>
      <w:sz w:val="24"/>
      <w:szCs w:val="24"/>
    </w:rPr>
  </w:style>
  <w:style w:type="paragraph" w:customStyle="1" w:styleId="310">
    <w:name w:val="Char"/>
    <w:basedOn w:val="1"/>
    <w:qFormat/>
    <w:uiPriority w:val="0"/>
    <w:pPr>
      <w:widowControl/>
      <w:spacing w:after="160" w:line="240" w:lineRule="exact"/>
      <w:ind w:left="100" w:leftChars="-100" w:hanging="200" w:hangingChars="200"/>
      <w:jc w:val="left"/>
    </w:pPr>
    <w:rPr>
      <w:rFonts w:ascii="Verdana" w:hAnsi="Verdana"/>
      <w:spacing w:val="8"/>
      <w:lang w:eastAsia="en-US"/>
    </w:rPr>
  </w:style>
  <w:style w:type="paragraph" w:customStyle="1" w:styleId="311">
    <w:name w:val="p15"/>
    <w:basedOn w:val="1"/>
    <w:qFormat/>
    <w:uiPriority w:val="0"/>
    <w:pPr>
      <w:widowControl/>
      <w:ind w:firstLine="420"/>
    </w:pPr>
    <w:rPr>
      <w:rFonts w:ascii="Calibri" w:hAnsi="Calibri"/>
      <w:sz w:val="21"/>
    </w:rPr>
  </w:style>
  <w:style w:type="paragraph" w:customStyle="1" w:styleId="312">
    <w:name w:val="xl135"/>
    <w:basedOn w:val="1"/>
    <w:qFormat/>
    <w:uiPriority w:val="0"/>
    <w:pPr>
      <w:widowControl/>
      <w:pBdr>
        <w:left w:val="single" w:color="auto" w:sz="4" w:space="0"/>
        <w:right w:val="single" w:color="auto" w:sz="4" w:space="0"/>
      </w:pBdr>
      <w:spacing w:before="100" w:beforeAutospacing="1" w:after="100" w:afterAutospacing="1"/>
      <w:jc w:val="left"/>
    </w:pPr>
    <w:rPr>
      <w:rFonts w:ascii="Arial" w:hAnsi="Arial" w:cs="Arial"/>
      <w:sz w:val="21"/>
    </w:rPr>
  </w:style>
  <w:style w:type="paragraph" w:customStyle="1" w:styleId="313">
    <w:name w:val="列出段落2"/>
    <w:basedOn w:val="1"/>
    <w:qFormat/>
    <w:uiPriority w:val="34"/>
    <w:pPr>
      <w:ind w:firstLine="420"/>
    </w:pPr>
    <w:rPr>
      <w:rFonts w:ascii="Calibri" w:hAnsi="Calibri"/>
      <w:kern w:val="2"/>
      <w:sz w:val="21"/>
    </w:rPr>
  </w:style>
  <w:style w:type="paragraph" w:customStyle="1" w:styleId="314">
    <w:name w:val="深泽图名"/>
    <w:basedOn w:val="1"/>
    <w:qFormat/>
    <w:uiPriority w:val="0"/>
    <w:pPr>
      <w:spacing w:line="440" w:lineRule="exact"/>
      <w:ind w:firstLine="640"/>
      <w:jc w:val="center"/>
    </w:pPr>
    <w:rPr>
      <w:b/>
      <w:kern w:val="2"/>
      <w:sz w:val="24"/>
    </w:rPr>
  </w:style>
  <w:style w:type="paragraph" w:customStyle="1" w:styleId="315">
    <w:name w:val="无间隔11"/>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316">
    <w:name w:val="Default"/>
    <w:basedOn w:val="317"/>
    <w:next w:val="1"/>
    <w:qFormat/>
    <w:uiPriority w:val="0"/>
    <w:pPr>
      <w:autoSpaceDE w:val="0"/>
      <w:autoSpaceDN w:val="0"/>
      <w:adjustRightInd w:val="0"/>
    </w:pPr>
    <w:rPr>
      <w:rFonts w:ascii="黑体" w:hAnsi="Times New Roman" w:eastAsia="黑体" w:cs="黑体"/>
      <w:color w:val="000000"/>
      <w:sz w:val="24"/>
    </w:rPr>
  </w:style>
  <w:style w:type="paragraph" w:customStyle="1" w:styleId="317">
    <w:name w:val="纯文本1"/>
    <w:basedOn w:val="318"/>
    <w:qFormat/>
    <w:uiPriority w:val="0"/>
    <w:rPr>
      <w:rFonts w:ascii="宋体" w:hAnsi="宋体" w:cs="Courier New"/>
    </w:rPr>
  </w:style>
  <w:style w:type="paragraph" w:customStyle="1" w:styleId="318">
    <w:name w:val="正文_0"/>
    <w:next w:val="317"/>
    <w:qFormat/>
    <w:uiPriority w:val="0"/>
    <w:pPr>
      <w:widowControl w:val="0"/>
      <w:jc w:val="both"/>
    </w:pPr>
    <w:rPr>
      <w:rFonts w:ascii="Calibri" w:hAnsi="Calibri" w:eastAsia="仿宋_GB2312" w:cs="Times New Roman"/>
      <w:kern w:val="2"/>
      <w:sz w:val="32"/>
      <w:szCs w:val="24"/>
      <w:lang w:val="en-US" w:eastAsia="zh-CN" w:bidi="ar-SA"/>
    </w:rPr>
  </w:style>
  <w:style w:type="paragraph" w:customStyle="1" w:styleId="319">
    <w:name w:val="Char Char Char Char Char Char Char Char Char Char Char Char Char11"/>
    <w:basedOn w:val="6"/>
    <w:next w:val="320"/>
    <w:qFormat/>
    <w:uiPriority w:val="0"/>
    <w:pPr>
      <w:tabs>
        <w:tab w:val="left" w:pos="360"/>
        <w:tab w:val="left" w:pos="900"/>
      </w:tabs>
      <w:spacing w:before="120" w:after="120" w:line="360" w:lineRule="auto"/>
      <w:ind w:left="542" w:leftChars="-12" w:firstLine="200"/>
      <w:jc w:val="left"/>
    </w:pPr>
    <w:rPr>
      <w:snapToGrid w:val="0"/>
      <w:sz w:val="24"/>
      <w:szCs w:val="24"/>
    </w:rPr>
  </w:style>
  <w:style w:type="paragraph" w:customStyle="1" w:styleId="320">
    <w:name w:val="point101"/>
    <w:basedOn w:val="1"/>
    <w:next w:val="272"/>
    <w:qFormat/>
    <w:uiPriority w:val="0"/>
    <w:pPr>
      <w:widowControl/>
      <w:spacing w:before="100" w:beforeAutospacing="1" w:after="100" w:afterAutospacing="1" w:line="390" w:lineRule="atLeast"/>
      <w:jc w:val="left"/>
    </w:pPr>
    <w:rPr>
      <w:rFonts w:hAnsi="宋体"/>
      <w:sz w:val="18"/>
      <w:szCs w:val="18"/>
    </w:rPr>
  </w:style>
  <w:style w:type="paragraph" w:customStyle="1" w:styleId="321">
    <w:name w:val="表内容@"/>
    <w:basedOn w:val="1"/>
    <w:qFormat/>
    <w:uiPriority w:val="0"/>
    <w:pPr>
      <w:spacing w:line="0" w:lineRule="atLeast"/>
      <w:jc w:val="center"/>
    </w:pPr>
    <w:rPr>
      <w:rFonts w:ascii="宋体" w:hAnsi="宋体" w:cs="Arial"/>
      <w:sz w:val="21"/>
    </w:rPr>
  </w:style>
  <w:style w:type="paragraph" w:customStyle="1" w:styleId="322">
    <w:name w:val="Table Paragraph"/>
    <w:basedOn w:val="1"/>
    <w:qFormat/>
    <w:uiPriority w:val="0"/>
    <w:pPr>
      <w:autoSpaceDE w:val="0"/>
      <w:autoSpaceDN w:val="0"/>
      <w:jc w:val="left"/>
    </w:pPr>
    <w:rPr>
      <w:sz w:val="24"/>
      <w:szCs w:val="24"/>
    </w:rPr>
  </w:style>
  <w:style w:type="paragraph" w:customStyle="1" w:styleId="323">
    <w:name w:val="正文王"/>
    <w:basedOn w:val="30"/>
    <w:qFormat/>
    <w:uiPriority w:val="0"/>
    <w:pPr>
      <w:spacing w:line="440" w:lineRule="exact"/>
    </w:pPr>
    <w:rPr>
      <w:rFonts w:ascii="Arial" w:hAnsi="Arial"/>
      <w:snapToGrid w:val="0"/>
      <w:sz w:val="24"/>
      <w:szCs w:val="24"/>
      <w:lang w:val="zh-CN"/>
    </w:rPr>
  </w:style>
  <w:style w:type="paragraph" w:customStyle="1" w:styleId="324">
    <w:name w:val="Char1"/>
    <w:basedOn w:val="1"/>
    <w:qFormat/>
    <w:uiPriority w:val="0"/>
    <w:rPr>
      <w:kern w:val="2"/>
      <w:sz w:val="21"/>
      <w:szCs w:val="24"/>
    </w:rPr>
  </w:style>
  <w:style w:type="paragraph" w:customStyle="1" w:styleId="325">
    <w:name w:val="font11"/>
    <w:basedOn w:val="1"/>
    <w:qFormat/>
    <w:uiPriority w:val="0"/>
    <w:pPr>
      <w:widowControl/>
      <w:spacing w:before="100" w:beforeAutospacing="1" w:after="100" w:afterAutospacing="1"/>
      <w:jc w:val="left"/>
    </w:pPr>
    <w:rPr>
      <w:rFonts w:ascii="Arial" w:hAnsi="Arial" w:cs="Arial"/>
      <w:color w:val="FF0000"/>
      <w:sz w:val="21"/>
    </w:rPr>
  </w:style>
  <w:style w:type="paragraph" w:customStyle="1" w:styleId="326">
    <w:name w:val="Char Char Char Char Char Char Char Char Char Char Char Char Char1"/>
    <w:basedOn w:val="6"/>
    <w:qFormat/>
    <w:uiPriority w:val="0"/>
    <w:pPr>
      <w:widowControl/>
      <w:numPr>
        <w:ilvl w:val="0"/>
        <w:numId w:val="0"/>
      </w:numPr>
      <w:tabs>
        <w:tab w:val="left" w:pos="360"/>
        <w:tab w:val="left" w:pos="900"/>
        <w:tab w:val="clear" w:pos="720"/>
      </w:tabs>
      <w:adjustRightInd/>
      <w:spacing w:before="120" w:after="120" w:line="360" w:lineRule="auto"/>
      <w:ind w:left="542" w:leftChars="-12" w:firstLine="200" w:firstLineChars="200"/>
      <w:jc w:val="left"/>
      <w:textAlignment w:val="auto"/>
    </w:pPr>
    <w:rPr>
      <w:snapToGrid w:val="0"/>
      <w:sz w:val="24"/>
      <w:szCs w:val="24"/>
    </w:rPr>
  </w:style>
  <w:style w:type="paragraph" w:customStyle="1" w:styleId="327">
    <w:name w:val="Char2 Char Char Char"/>
    <w:basedOn w:val="1"/>
    <w:qFormat/>
    <w:uiPriority w:val="0"/>
    <w:pPr>
      <w:autoSpaceDE w:val="0"/>
      <w:autoSpaceDN w:val="0"/>
      <w:spacing w:before="50" w:after="50"/>
      <w:ind w:firstLine="560"/>
    </w:pPr>
    <w:rPr>
      <w:rFonts w:ascii="宋体" w:hAnsi="宋体" w:eastAsia="仿宋_GB2312"/>
      <w:color w:val="000000"/>
      <w:kern w:val="2"/>
      <w:sz w:val="24"/>
      <w:szCs w:val="24"/>
    </w:rPr>
  </w:style>
  <w:style w:type="paragraph" w:customStyle="1" w:styleId="328">
    <w:name w:val="xl10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w:hAnsi="Arial" w:cs="Arial"/>
      <w:sz w:val="21"/>
    </w:rPr>
  </w:style>
  <w:style w:type="paragraph" w:customStyle="1" w:styleId="329">
    <w:name w:val="font23"/>
    <w:basedOn w:val="1"/>
    <w:qFormat/>
    <w:uiPriority w:val="0"/>
    <w:pPr>
      <w:widowControl/>
      <w:spacing w:before="100" w:beforeAutospacing="1" w:after="100" w:afterAutospacing="1"/>
      <w:jc w:val="left"/>
    </w:pPr>
    <w:rPr>
      <w:rFonts w:ascii="宋体" w:hAnsi="宋体"/>
      <w:color w:val="FF0000"/>
      <w:sz w:val="21"/>
    </w:rPr>
  </w:style>
  <w:style w:type="paragraph" w:customStyle="1" w:styleId="330">
    <w:name w:val="列出段落1"/>
    <w:basedOn w:val="1"/>
    <w:qFormat/>
    <w:uiPriority w:val="34"/>
    <w:pPr>
      <w:ind w:firstLine="420"/>
    </w:pPr>
    <w:rPr>
      <w:rFonts w:ascii="Calibri" w:hAnsi="Calibri"/>
      <w:kern w:val="2"/>
      <w:sz w:val="21"/>
      <w:szCs w:val="22"/>
    </w:rPr>
  </w:style>
  <w:style w:type="paragraph" w:styleId="331">
    <w:name w:val="List Paragraph"/>
    <w:basedOn w:val="1"/>
    <w:qFormat/>
    <w:uiPriority w:val="34"/>
    <w:pPr>
      <w:ind w:firstLine="420"/>
    </w:pPr>
  </w:style>
  <w:style w:type="paragraph" w:customStyle="1" w:styleId="332">
    <w:name w:val="报告书正文"/>
    <w:basedOn w:val="1"/>
    <w:qFormat/>
    <w:uiPriority w:val="0"/>
    <w:pPr>
      <w:spacing w:line="400" w:lineRule="exact"/>
      <w:ind w:firstLine="200"/>
    </w:pPr>
    <w:rPr>
      <w:kern w:val="2"/>
      <w:sz w:val="24"/>
      <w:szCs w:val="24"/>
    </w:rPr>
  </w:style>
  <w:style w:type="paragraph" w:customStyle="1" w:styleId="333">
    <w:name w:val="正文正版"/>
    <w:basedOn w:val="23"/>
    <w:qFormat/>
    <w:uiPriority w:val="0"/>
    <w:pPr>
      <w:spacing w:line="460" w:lineRule="exact"/>
      <w:ind w:firstLine="480"/>
    </w:pPr>
    <w:rPr>
      <w:b/>
      <w:bCs/>
      <w:sz w:val="24"/>
      <w:szCs w:val="24"/>
    </w:rPr>
  </w:style>
  <w:style w:type="paragraph" w:customStyle="1" w:styleId="334">
    <w:name w:val="Char Char Char Char Char Char1 Char Char Char Char"/>
    <w:basedOn w:val="1"/>
    <w:qFormat/>
    <w:uiPriority w:val="0"/>
    <w:pPr>
      <w:widowControl/>
      <w:spacing w:after="160" w:line="240" w:lineRule="exact"/>
      <w:jc w:val="left"/>
    </w:pPr>
    <w:rPr>
      <w:rFonts w:ascii="Verdana" w:hAnsi="Verdana"/>
      <w:lang w:eastAsia="en-US"/>
    </w:rPr>
  </w:style>
  <w:style w:type="paragraph" w:customStyle="1" w:styleId="335">
    <w:name w:val="xl1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1"/>
    </w:rPr>
  </w:style>
  <w:style w:type="paragraph" w:customStyle="1" w:styleId="336">
    <w:name w:val="_Style 19"/>
    <w:basedOn w:val="1"/>
    <w:next w:val="2"/>
    <w:qFormat/>
    <w:uiPriority w:val="0"/>
    <w:pPr>
      <w:spacing w:line="480" w:lineRule="atLeast"/>
      <w:ind w:firstLine="595"/>
      <w:textAlignment w:val="baseline"/>
    </w:pPr>
    <w:rPr>
      <w:sz w:val="28"/>
    </w:rPr>
  </w:style>
  <w:style w:type="paragraph" w:customStyle="1" w:styleId="337">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Arial" w:hAnsi="Arial" w:cs="Arial"/>
      <w:b/>
      <w:bCs/>
      <w:sz w:val="21"/>
    </w:rPr>
  </w:style>
  <w:style w:type="paragraph" w:customStyle="1" w:styleId="338">
    <w:name w:val="font15"/>
    <w:basedOn w:val="1"/>
    <w:qFormat/>
    <w:uiPriority w:val="0"/>
    <w:pPr>
      <w:widowControl/>
      <w:spacing w:before="100" w:beforeAutospacing="1" w:after="100" w:afterAutospacing="1"/>
      <w:jc w:val="left"/>
    </w:pPr>
    <w:rPr>
      <w:rFonts w:ascii="Arial" w:hAnsi="Arial" w:cs="Arial"/>
      <w:color w:val="FF0000"/>
      <w:sz w:val="21"/>
    </w:rPr>
  </w:style>
  <w:style w:type="paragraph" w:customStyle="1" w:styleId="339">
    <w:name w:val="样式333333"/>
    <w:basedOn w:val="1"/>
    <w:qFormat/>
    <w:uiPriority w:val="0"/>
    <w:pPr>
      <w:spacing w:line="484" w:lineRule="atLeast"/>
      <w:outlineLvl w:val="2"/>
    </w:pPr>
    <w:rPr>
      <w:b/>
      <w:bCs/>
      <w:kern w:val="2"/>
      <w:sz w:val="28"/>
      <w:szCs w:val="28"/>
    </w:rPr>
  </w:style>
  <w:style w:type="paragraph" w:customStyle="1" w:styleId="340">
    <w:name w:val="font12"/>
    <w:basedOn w:val="1"/>
    <w:qFormat/>
    <w:uiPriority w:val="0"/>
    <w:pPr>
      <w:widowControl/>
      <w:spacing w:before="100" w:beforeAutospacing="1" w:after="100" w:afterAutospacing="1"/>
      <w:jc w:val="left"/>
    </w:pPr>
    <w:rPr>
      <w:rFonts w:ascii="宋体" w:hAnsi="宋体"/>
      <w:sz w:val="21"/>
    </w:rPr>
  </w:style>
  <w:style w:type="paragraph" w:customStyle="1" w:styleId="341">
    <w:name w:val="我的样式（正文）"/>
    <w:basedOn w:val="1"/>
    <w:qFormat/>
    <w:uiPriority w:val="0"/>
    <w:pPr>
      <w:spacing w:line="440" w:lineRule="exact"/>
    </w:pPr>
    <w:rPr>
      <w:rFonts w:ascii="宋体"/>
      <w:kern w:val="2"/>
      <w:sz w:val="28"/>
      <w:szCs w:val="22"/>
    </w:rPr>
  </w:style>
  <w:style w:type="paragraph" w:customStyle="1" w:styleId="342">
    <w:name w:val="标准正文"/>
    <w:qFormat/>
    <w:uiPriority w:val="0"/>
    <w:pPr>
      <w:spacing w:line="400" w:lineRule="exact"/>
    </w:pPr>
    <w:rPr>
      <w:rFonts w:ascii="Times New Roman" w:hAnsi="Times New Roman" w:eastAsia="宋体" w:cs="Times New Roman"/>
      <w:color w:val="000000"/>
      <w:sz w:val="21"/>
      <w:szCs w:val="22"/>
      <w:lang w:val="en-US" w:eastAsia="zh-CN" w:bidi="ar-SA"/>
    </w:rPr>
  </w:style>
  <w:style w:type="paragraph" w:customStyle="1" w:styleId="343">
    <w:name w:val="0"/>
    <w:basedOn w:val="1"/>
    <w:qFormat/>
    <w:uiPriority w:val="0"/>
    <w:pPr>
      <w:widowControl/>
    </w:pPr>
    <w:rPr>
      <w:sz w:val="24"/>
    </w:rPr>
  </w:style>
  <w:style w:type="paragraph" w:customStyle="1" w:styleId="344">
    <w:name w:val="表格-五号字体"/>
    <w:basedOn w:val="1"/>
    <w:qFormat/>
    <w:uiPriority w:val="0"/>
    <w:pPr>
      <w:autoSpaceDE w:val="0"/>
      <w:autoSpaceDN w:val="0"/>
      <w:jc w:val="center"/>
    </w:pPr>
    <w:rPr>
      <w:rFonts w:ascii="Times New Roman" w:hAnsi="Times New Roman" w:eastAsia="宋体" w:cs="Times New Roman"/>
      <w:szCs w:val="24"/>
      <w:lang w:val="zh-CN"/>
    </w:rPr>
  </w:style>
  <w:style w:type="paragraph" w:customStyle="1" w:styleId="345">
    <w:name w:val="xl112"/>
    <w:basedOn w:val="1"/>
    <w:qFormat/>
    <w:uiPriority w:val="0"/>
    <w:pPr>
      <w:widowControl/>
      <w:pBdr>
        <w:left w:val="single" w:color="auto" w:sz="4" w:space="0"/>
        <w:right w:val="single" w:color="auto" w:sz="4" w:space="0"/>
      </w:pBdr>
      <w:spacing w:before="100" w:beforeAutospacing="1" w:after="100" w:afterAutospacing="1"/>
      <w:jc w:val="center"/>
    </w:pPr>
    <w:rPr>
      <w:rFonts w:ascii="Arial" w:hAnsi="Arial" w:cs="Arial"/>
      <w:sz w:val="21"/>
    </w:rPr>
  </w:style>
  <w:style w:type="paragraph" w:customStyle="1" w:styleId="346">
    <w:name w:val="表格2"/>
    <w:basedOn w:val="1"/>
    <w:qFormat/>
    <w:uiPriority w:val="0"/>
    <w:pPr>
      <w:spacing w:line="320" w:lineRule="atLeast"/>
      <w:jc w:val="center"/>
    </w:pPr>
    <w:rPr>
      <w:sz w:val="24"/>
    </w:rPr>
  </w:style>
  <w:style w:type="paragraph" w:customStyle="1" w:styleId="347">
    <w:name w:val="可研文字小四"/>
    <w:basedOn w:val="1"/>
    <w:qFormat/>
    <w:uiPriority w:val="0"/>
    <w:pPr>
      <w:ind w:firstLine="200"/>
    </w:pPr>
    <w:rPr>
      <w:rFonts w:ascii="宋体" w:hAnsi="宋体"/>
      <w:snapToGrid w:val="0"/>
      <w:kern w:val="32"/>
      <w:sz w:val="24"/>
      <w:szCs w:val="32"/>
    </w:rPr>
  </w:style>
  <w:style w:type="paragraph" w:customStyle="1" w:styleId="348">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CCFFFF"/>
      <w:spacing w:before="100" w:beforeAutospacing="1" w:after="100" w:afterAutospacing="1"/>
      <w:jc w:val="center"/>
    </w:pPr>
    <w:rPr>
      <w:rFonts w:ascii="Arial" w:hAnsi="Arial" w:cs="Arial"/>
      <w:b/>
      <w:bCs/>
      <w:sz w:val="21"/>
    </w:rPr>
  </w:style>
  <w:style w:type="paragraph" w:customStyle="1" w:styleId="349">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pPr>
    <w:rPr>
      <w:rFonts w:ascii="Arial" w:hAnsi="Arial" w:cs="Arial"/>
      <w:sz w:val="21"/>
    </w:rPr>
  </w:style>
  <w:style w:type="paragraph" w:customStyle="1" w:styleId="350">
    <w:name w:val="xl13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w:hAnsi="Arial" w:cs="Arial"/>
      <w:color w:val="FF0000"/>
      <w:sz w:val="21"/>
    </w:rPr>
  </w:style>
  <w:style w:type="paragraph" w:customStyle="1" w:styleId="351">
    <w:name w:val="1.1.1"/>
    <w:basedOn w:val="1"/>
    <w:qFormat/>
    <w:uiPriority w:val="0"/>
    <w:pPr>
      <w:ind w:firstLine="200"/>
    </w:pPr>
    <w:rPr>
      <w:rFonts w:ascii="Times New Roman" w:hAnsi="Times New Roman" w:eastAsia="宋体"/>
    </w:rPr>
  </w:style>
  <w:style w:type="paragraph" w:customStyle="1" w:styleId="352">
    <w:name w:val="reader-word-layer"/>
    <w:basedOn w:val="1"/>
    <w:qFormat/>
    <w:uiPriority w:val="0"/>
    <w:pPr>
      <w:widowControl/>
      <w:spacing w:before="100" w:beforeAutospacing="1" w:after="100" w:afterAutospacing="1"/>
      <w:jc w:val="left"/>
    </w:pPr>
    <w:rPr>
      <w:rFonts w:ascii="宋体" w:hAnsi="宋体"/>
      <w:sz w:val="24"/>
      <w:szCs w:val="24"/>
    </w:rPr>
  </w:style>
  <w:style w:type="paragraph" w:customStyle="1" w:styleId="353">
    <w:name w:val="xl13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w:hAnsi="Arial" w:cs="Arial"/>
      <w:color w:val="FF0000"/>
      <w:sz w:val="21"/>
    </w:rPr>
  </w:style>
  <w:style w:type="paragraph" w:customStyle="1" w:styleId="354">
    <w:name w:val="font14"/>
    <w:basedOn w:val="1"/>
    <w:qFormat/>
    <w:uiPriority w:val="0"/>
    <w:pPr>
      <w:widowControl/>
      <w:spacing w:before="100" w:beforeAutospacing="1" w:after="100" w:afterAutospacing="1"/>
      <w:jc w:val="left"/>
    </w:pPr>
    <w:rPr>
      <w:rFonts w:ascii="宋体" w:hAnsi="宋体"/>
      <w:color w:val="FF0000"/>
      <w:sz w:val="21"/>
    </w:rPr>
  </w:style>
  <w:style w:type="paragraph" w:customStyle="1" w:styleId="355">
    <w:name w:val="三级标题"/>
    <w:basedOn w:val="1"/>
    <w:next w:val="1"/>
    <w:qFormat/>
    <w:uiPriority w:val="0"/>
    <w:rPr>
      <w:kern w:val="2"/>
      <w:sz w:val="24"/>
      <w:szCs w:val="24"/>
    </w:rPr>
  </w:style>
  <w:style w:type="paragraph" w:customStyle="1" w:styleId="356">
    <w:name w:val="xl121"/>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left"/>
    </w:pPr>
    <w:rPr>
      <w:rFonts w:ascii="Arial" w:hAnsi="Arial" w:cs="Arial"/>
      <w:sz w:val="21"/>
    </w:rPr>
  </w:style>
  <w:style w:type="paragraph" w:customStyle="1" w:styleId="357">
    <w:name w:val="标题4 1.1.1.1"/>
    <w:basedOn w:val="1"/>
    <w:next w:val="1"/>
    <w:qFormat/>
    <w:uiPriority w:val="0"/>
    <w:pPr>
      <w:widowControl/>
      <w:spacing w:line="480" w:lineRule="exact"/>
      <w:jc w:val="left"/>
      <w:outlineLvl w:val="3"/>
    </w:pPr>
    <w:rPr>
      <w:b/>
      <w:bCs/>
      <w:kern w:val="2"/>
      <w:sz w:val="24"/>
      <w:szCs w:val="24"/>
    </w:rPr>
  </w:style>
  <w:style w:type="paragraph" w:customStyle="1" w:styleId="358">
    <w:name w:val="xl105"/>
    <w:basedOn w:val="1"/>
    <w:qFormat/>
    <w:uiPriority w:val="0"/>
    <w:pPr>
      <w:widowControl/>
      <w:spacing w:before="100" w:beforeAutospacing="1" w:after="100" w:afterAutospacing="1"/>
    </w:pPr>
    <w:rPr>
      <w:rFonts w:ascii="Arial" w:hAnsi="Arial" w:cs="Arial"/>
      <w:sz w:val="21"/>
    </w:rPr>
  </w:style>
  <w:style w:type="paragraph" w:customStyle="1" w:styleId="359">
    <w:name w:val="xl140"/>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Arial" w:hAnsi="Arial" w:cs="Arial"/>
      <w:color w:val="FF0000"/>
      <w:sz w:val="21"/>
    </w:rPr>
  </w:style>
  <w:style w:type="paragraph" w:customStyle="1" w:styleId="360">
    <w:name w:val="p0"/>
    <w:basedOn w:val="1"/>
    <w:qFormat/>
    <w:uiPriority w:val="0"/>
    <w:pPr>
      <w:widowControl/>
    </w:pPr>
    <w:rPr>
      <w:rFonts w:ascii="Calibri" w:hAnsi="Calibri"/>
      <w:sz w:val="21"/>
    </w:rPr>
  </w:style>
  <w:style w:type="paragraph" w:customStyle="1" w:styleId="361">
    <w:name w:val="Char Char Char Char1"/>
    <w:basedOn w:val="1"/>
    <w:qFormat/>
    <w:uiPriority w:val="0"/>
    <w:pPr>
      <w:spacing w:line="440" w:lineRule="atLeast"/>
    </w:pPr>
    <w:rPr>
      <w:rFonts w:ascii="宋体"/>
      <w:kern w:val="2"/>
      <w:sz w:val="24"/>
      <w:szCs w:val="24"/>
    </w:rPr>
  </w:style>
  <w:style w:type="paragraph" w:customStyle="1" w:styleId="362">
    <w:name w:val="font10"/>
    <w:basedOn w:val="1"/>
    <w:qFormat/>
    <w:uiPriority w:val="0"/>
    <w:pPr>
      <w:widowControl/>
      <w:spacing w:before="100" w:beforeAutospacing="1" w:after="100" w:afterAutospacing="1"/>
      <w:jc w:val="left"/>
    </w:pPr>
    <w:rPr>
      <w:rFonts w:ascii="Arial" w:hAnsi="Arial" w:cs="Arial"/>
      <w:sz w:val="21"/>
    </w:rPr>
  </w:style>
  <w:style w:type="paragraph" w:customStyle="1" w:styleId="363">
    <w:name w:val="font8"/>
    <w:basedOn w:val="1"/>
    <w:qFormat/>
    <w:uiPriority w:val="0"/>
    <w:pPr>
      <w:widowControl/>
      <w:spacing w:before="100" w:beforeAutospacing="1" w:after="100" w:afterAutospacing="1"/>
      <w:jc w:val="left"/>
    </w:pPr>
    <w:rPr>
      <w:rFonts w:ascii="Arial" w:hAnsi="Arial" w:cs="Arial"/>
      <w:b/>
      <w:bCs/>
      <w:sz w:val="21"/>
    </w:rPr>
  </w:style>
  <w:style w:type="paragraph" w:customStyle="1" w:styleId="364">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sz w:val="21"/>
    </w:rPr>
  </w:style>
  <w:style w:type="paragraph" w:customStyle="1" w:styleId="365">
    <w:name w:val="无间隔3"/>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366">
    <w:name w:val="xl118"/>
    <w:basedOn w:val="1"/>
    <w:qFormat/>
    <w:uiPriority w:val="0"/>
    <w:pPr>
      <w:widowControl/>
      <w:pBdr>
        <w:left w:val="single" w:color="auto" w:sz="4" w:space="0"/>
        <w:right w:val="single" w:color="auto" w:sz="4" w:space="0"/>
      </w:pBdr>
      <w:spacing w:before="100" w:beforeAutospacing="1" w:after="100" w:afterAutospacing="1"/>
      <w:jc w:val="left"/>
    </w:pPr>
    <w:rPr>
      <w:rFonts w:ascii="Arial" w:hAnsi="Arial" w:cs="Arial"/>
      <w:color w:val="FF0000"/>
      <w:sz w:val="21"/>
    </w:rPr>
  </w:style>
  <w:style w:type="paragraph" w:customStyle="1" w:styleId="367">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color w:val="FF0000"/>
      <w:sz w:val="21"/>
    </w:rPr>
  </w:style>
  <w:style w:type="paragraph" w:customStyle="1" w:styleId="368">
    <w:name w:val="无间隔12"/>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369">
    <w:name w:val="深泽表头"/>
    <w:basedOn w:val="24"/>
    <w:qFormat/>
    <w:uiPriority w:val="0"/>
    <w:pPr>
      <w:tabs>
        <w:tab w:val="clear" w:pos="0"/>
      </w:tabs>
      <w:spacing w:before="120" w:after="100" w:afterAutospacing="1"/>
      <w:ind w:firstLine="0"/>
      <w:jc w:val="center"/>
    </w:pPr>
    <w:rPr>
      <w:b/>
      <w:bCs/>
      <w:spacing w:val="4"/>
      <w:kern w:val="2"/>
      <w:sz w:val="21"/>
    </w:rPr>
  </w:style>
  <w:style w:type="paragraph" w:customStyle="1" w:styleId="370">
    <w:name w:val="正文曹"/>
    <w:basedOn w:val="24"/>
    <w:qFormat/>
    <w:uiPriority w:val="0"/>
    <w:pPr>
      <w:tabs>
        <w:tab w:val="clear" w:pos="0"/>
      </w:tabs>
      <w:spacing w:line="40" w:lineRule="exact"/>
      <w:ind w:firstLine="0"/>
      <w:jc w:val="both"/>
    </w:pPr>
    <w:rPr>
      <w:rFonts w:hAnsi="宋体"/>
      <w:sz w:val="24"/>
      <w:szCs w:val="24"/>
    </w:rPr>
  </w:style>
  <w:style w:type="paragraph" w:customStyle="1" w:styleId="371">
    <w:name w:val="xl124"/>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pPr>
    <w:rPr>
      <w:rFonts w:ascii="Arial" w:hAnsi="Arial" w:cs="Arial"/>
      <w:sz w:val="21"/>
    </w:rPr>
  </w:style>
  <w:style w:type="paragraph" w:customStyle="1" w:styleId="372">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Arial" w:hAnsi="Arial" w:cs="Arial"/>
      <w:sz w:val="21"/>
    </w:rPr>
  </w:style>
  <w:style w:type="paragraph" w:customStyle="1" w:styleId="373">
    <w:name w:val="text"/>
    <w:basedOn w:val="1"/>
    <w:qFormat/>
    <w:uiPriority w:val="0"/>
    <w:pPr>
      <w:widowControl/>
      <w:spacing w:before="100" w:beforeAutospacing="1" w:after="100" w:afterAutospacing="1"/>
      <w:jc w:val="left"/>
    </w:pPr>
    <w:rPr>
      <w:rFonts w:ascii="宋体" w:hAnsi="宋体"/>
      <w:sz w:val="24"/>
      <w:szCs w:val="24"/>
    </w:rPr>
  </w:style>
  <w:style w:type="paragraph" w:customStyle="1" w:styleId="374">
    <w:name w:val="样式6"/>
    <w:basedOn w:val="1"/>
    <w:next w:val="145"/>
    <w:qFormat/>
    <w:uiPriority w:val="0"/>
    <w:pPr>
      <w:pBdr>
        <w:bottom w:val="thinThickSmallGap" w:color="auto" w:sz="12" w:space="0"/>
      </w:pBdr>
      <w:tabs>
        <w:tab w:val="center" w:pos="4153"/>
        <w:tab w:val="right" w:pos="8306"/>
      </w:tabs>
      <w:jc w:val="left"/>
    </w:pPr>
    <w:rPr>
      <w:kern w:val="2"/>
      <w:sz w:val="18"/>
      <w:szCs w:val="18"/>
    </w:rPr>
  </w:style>
  <w:style w:type="paragraph" w:customStyle="1" w:styleId="375">
    <w:name w:val="正文正1"/>
    <w:basedOn w:val="1"/>
    <w:qFormat/>
    <w:uiPriority w:val="0"/>
    <w:pPr>
      <w:tabs>
        <w:tab w:val="left" w:pos="0"/>
      </w:tabs>
      <w:spacing w:line="320" w:lineRule="exact"/>
      <w:ind w:right="-105" w:rightChars="-50"/>
    </w:pPr>
    <w:rPr>
      <w:spacing w:val="-8"/>
    </w:rPr>
  </w:style>
  <w:style w:type="paragraph" w:customStyle="1" w:styleId="376">
    <w:name w:val="xl13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olor w:val="FF0000"/>
      <w:sz w:val="21"/>
    </w:rPr>
  </w:style>
  <w:style w:type="paragraph" w:customStyle="1" w:styleId="377">
    <w:name w:val="TOC 标题1"/>
    <w:basedOn w:val="4"/>
    <w:next w:val="1"/>
    <w:qFormat/>
    <w:uiPriority w:val="39"/>
    <w:pPr>
      <w:widowControl/>
      <w:numPr>
        <w:numId w:val="5"/>
      </w:numPr>
      <w:tabs>
        <w:tab w:val="left" w:pos="570"/>
      </w:tabs>
      <w:adjustRightInd/>
      <w:spacing w:before="480" w:line="276" w:lineRule="auto"/>
      <w:jc w:val="left"/>
      <w:textAlignment w:val="auto"/>
      <w:outlineLvl w:val="9"/>
    </w:pPr>
    <w:rPr>
      <w:rFonts w:ascii="Cambria" w:hAnsi="Cambria" w:eastAsia="宋体"/>
      <w:b/>
      <w:bCs/>
      <w:color w:val="365F91"/>
      <w:kern w:val="0"/>
      <w:szCs w:val="28"/>
    </w:rPr>
  </w:style>
  <w:style w:type="paragraph" w:customStyle="1" w:styleId="378">
    <w:name w:val="xl111"/>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Arial" w:hAnsi="Arial" w:cs="Arial"/>
      <w:sz w:val="21"/>
    </w:rPr>
  </w:style>
  <w:style w:type="paragraph" w:customStyle="1" w:styleId="379">
    <w:name w:val="正文新 Char"/>
    <w:basedOn w:val="1"/>
    <w:qFormat/>
    <w:uiPriority w:val="0"/>
    <w:pPr>
      <w:ind w:firstLine="480"/>
    </w:pPr>
    <w:rPr>
      <w:sz w:val="24"/>
    </w:rPr>
  </w:style>
  <w:style w:type="paragraph" w:customStyle="1" w:styleId="380">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sz w:val="21"/>
    </w:rPr>
  </w:style>
  <w:style w:type="paragraph" w:customStyle="1" w:styleId="381">
    <w:name w:val="char"/>
    <w:basedOn w:val="1"/>
    <w:qFormat/>
    <w:uiPriority w:val="0"/>
    <w:pPr>
      <w:widowControl/>
      <w:spacing w:after="160" w:line="240" w:lineRule="exact"/>
      <w:jc w:val="left"/>
    </w:pPr>
    <w:rPr>
      <w:rFonts w:ascii="Verdana" w:hAnsi="Verdana" w:eastAsia="仿宋_GB2312" w:cs="”“Times New Roman”“"/>
      <w:sz w:val="24"/>
      <w:lang w:eastAsia="en-US"/>
    </w:rPr>
  </w:style>
  <w:style w:type="paragraph" w:customStyle="1" w:styleId="382">
    <w:name w:val="表字"/>
    <w:next w:val="1"/>
    <w:qFormat/>
    <w:uiPriority w:val="0"/>
    <w:pPr>
      <w:snapToGrid w:val="0"/>
      <w:jc w:val="center"/>
    </w:pPr>
    <w:rPr>
      <w:rFonts w:ascii="Times New Roman" w:hAnsi="Times New Roman" w:eastAsia="宋体" w:cs="Times New Roman"/>
      <w:sz w:val="21"/>
      <w:szCs w:val="24"/>
      <w:lang w:val="en-US" w:eastAsia="zh-CN" w:bidi="ar-SA"/>
    </w:rPr>
  </w:style>
  <w:style w:type="paragraph" w:customStyle="1" w:styleId="383">
    <w:name w:val="xl113"/>
    <w:basedOn w:val="1"/>
    <w:qFormat/>
    <w:uiPriority w:val="0"/>
    <w:pPr>
      <w:widowControl/>
      <w:pBdr>
        <w:left w:val="single" w:color="auto" w:sz="4" w:space="0"/>
        <w:right w:val="single" w:color="auto" w:sz="4" w:space="0"/>
      </w:pBdr>
      <w:spacing w:before="100" w:beforeAutospacing="1" w:after="100" w:afterAutospacing="1"/>
      <w:jc w:val="left"/>
    </w:pPr>
    <w:rPr>
      <w:rFonts w:ascii="Arial" w:hAnsi="Arial" w:cs="Arial"/>
      <w:sz w:val="21"/>
    </w:rPr>
  </w:style>
  <w:style w:type="paragraph" w:customStyle="1" w:styleId="384">
    <w:name w:val="xl128"/>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olor w:val="FF0000"/>
      <w:sz w:val="21"/>
    </w:rPr>
  </w:style>
  <w:style w:type="paragraph" w:customStyle="1" w:styleId="385">
    <w:name w:val="xl117"/>
    <w:basedOn w:val="1"/>
    <w:qFormat/>
    <w:uiPriority w:val="0"/>
    <w:pPr>
      <w:widowControl/>
      <w:pBdr>
        <w:left w:val="single" w:color="auto" w:sz="4" w:space="0"/>
        <w:right w:val="single" w:color="auto" w:sz="4" w:space="0"/>
      </w:pBdr>
      <w:spacing w:before="100" w:beforeAutospacing="1" w:after="100" w:afterAutospacing="1"/>
      <w:jc w:val="center"/>
    </w:pPr>
    <w:rPr>
      <w:rFonts w:ascii="Arial" w:hAnsi="Arial" w:cs="Arial"/>
      <w:color w:val="FF0000"/>
      <w:sz w:val="21"/>
    </w:rPr>
  </w:style>
  <w:style w:type="paragraph" w:customStyle="1" w:styleId="386">
    <w:name w:val="font20"/>
    <w:basedOn w:val="1"/>
    <w:qFormat/>
    <w:uiPriority w:val="0"/>
    <w:pPr>
      <w:widowControl/>
      <w:spacing w:before="100" w:beforeAutospacing="1" w:after="100" w:afterAutospacing="1"/>
      <w:jc w:val="left"/>
    </w:pPr>
    <w:rPr>
      <w:rFonts w:ascii="Arial" w:hAnsi="Arial" w:cs="Arial"/>
      <w:color w:val="FF0000"/>
      <w:sz w:val="21"/>
    </w:rPr>
  </w:style>
  <w:style w:type="paragraph" w:customStyle="1" w:styleId="387">
    <w:name w:val="首缩"/>
    <w:basedOn w:val="1"/>
    <w:qFormat/>
    <w:uiPriority w:val="0"/>
    <w:pPr>
      <w:spacing w:line="312" w:lineRule="atLeast"/>
      <w:ind w:firstLine="454"/>
      <w:textAlignment w:val="baseline"/>
    </w:pPr>
    <w:rPr>
      <w:sz w:val="21"/>
    </w:rPr>
  </w:style>
  <w:style w:type="paragraph" w:customStyle="1" w:styleId="388">
    <w:name w:val="Default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89">
    <w:name w:val="xl125"/>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left"/>
    </w:pPr>
    <w:rPr>
      <w:rFonts w:ascii="Arial" w:hAnsi="Arial" w:cs="Arial"/>
      <w:sz w:val="21"/>
    </w:rPr>
  </w:style>
  <w:style w:type="paragraph" w:customStyle="1" w:styleId="390">
    <w:name w:val="font19"/>
    <w:basedOn w:val="1"/>
    <w:qFormat/>
    <w:uiPriority w:val="0"/>
    <w:pPr>
      <w:widowControl/>
      <w:spacing w:before="100" w:beforeAutospacing="1" w:after="100" w:afterAutospacing="1"/>
      <w:jc w:val="left"/>
    </w:pPr>
    <w:rPr>
      <w:rFonts w:ascii="宋体" w:hAnsi="宋体"/>
      <w:sz w:val="21"/>
    </w:rPr>
  </w:style>
  <w:style w:type="table" w:customStyle="1" w:styleId="391">
    <w:name w:val="111"/>
    <w:basedOn w:val="55"/>
    <w:qFormat/>
    <w:uiPriority w:val="0"/>
    <w:pPr>
      <w:jc w:val="center"/>
    </w:pPr>
    <w:rPr>
      <w:kern w:val="2"/>
      <w:sz w:val="21"/>
      <w:szCs w:val="21"/>
    </w:rPr>
    <w:tblP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left w:w="0" w:type="dxa"/>
        <w:right w:w="0" w:type="dxa"/>
      </w:tblCellMar>
    </w:tblPr>
    <w:tcPr>
      <w:vAlign w:val="center"/>
    </w:tcPr>
  </w:style>
  <w:style w:type="paragraph" w:customStyle="1" w:styleId="392">
    <w:name w:val="文1"/>
    <w:basedOn w:val="1"/>
    <w:qFormat/>
    <w:uiPriority w:val="0"/>
    <w:pPr>
      <w:spacing w:line="300" w:lineRule="auto"/>
      <w:ind w:firstLine="480"/>
    </w:pPr>
    <w:rPr>
      <w:rFonts w:ascii="幼圆" w:hAnsi="Times New Roman" w:eastAsia="幼圆"/>
      <w:sz w:val="24"/>
    </w:rPr>
  </w:style>
  <w:style w:type="paragraph" w:customStyle="1" w:styleId="393">
    <w:name w:val="...正文"/>
    <w:qFormat/>
    <w:uiPriority w:val="0"/>
    <w:pPr>
      <w:spacing w:before="60" w:line="360" w:lineRule="auto"/>
      <w:ind w:firstLine="200" w:firstLineChars="200"/>
      <w:jc w:val="both"/>
    </w:pPr>
    <w:rPr>
      <w:rFonts w:ascii="Times New Roman" w:hAnsi="Times New Roman" w:eastAsia="宋体" w:cs="Times New Roman"/>
      <w:color w:val="000000"/>
      <w:spacing w:val="4"/>
      <w:sz w:val="24"/>
      <w:szCs w:val="24"/>
      <w:lang w:val="en-US" w:eastAsia="zh-CN" w:bidi="ar-SA"/>
    </w:rPr>
  </w:style>
  <w:style w:type="table" w:customStyle="1" w:styleId="394">
    <w:name w:val="报告表表格"/>
    <w:basedOn w:val="55"/>
    <w:qFormat/>
    <w:uiPriority w:val="0"/>
    <w:pPr>
      <w:keepLines/>
      <w:widowControl w:val="0"/>
      <w:contextualSpacing/>
      <w:jc w:val="center"/>
    </w:pPr>
    <w:rPr>
      <w:sz w:val="21"/>
    </w:rPr>
    <w:tblPr>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
    <w:trPr>
      <w:cantSplit/>
      <w:jc w:val="center"/>
    </w:trPr>
    <w:tcPr>
      <w:vAlign w:val="center"/>
    </w:tcPr>
  </w:style>
  <w:style w:type="paragraph" w:customStyle="1" w:styleId="395">
    <w:name w:val="正文文本 21"/>
    <w:basedOn w:val="1"/>
    <w:next w:val="396"/>
    <w:qFormat/>
    <w:uiPriority w:val="0"/>
    <w:pPr>
      <w:spacing w:line="432" w:lineRule="auto"/>
      <w:ind w:left="480" w:firstLine="3808"/>
    </w:pPr>
  </w:style>
  <w:style w:type="paragraph" w:customStyle="1" w:styleId="396">
    <w:name w:val="2级"/>
    <w:basedOn w:val="1"/>
    <w:next w:val="1"/>
    <w:qFormat/>
    <w:uiPriority w:val="0"/>
    <w:rPr>
      <w:rFonts w:eastAsia="黑体"/>
      <w:b/>
      <w:sz w:val="28"/>
    </w:rPr>
  </w:style>
  <w:style w:type="paragraph" w:customStyle="1" w:styleId="397">
    <w:name w:val="正文报告"/>
    <w:basedOn w:val="1"/>
    <w:qFormat/>
    <w:uiPriority w:val="0"/>
    <w:pPr>
      <w:autoSpaceDE w:val="0"/>
      <w:autoSpaceDN w:val="0"/>
      <w:ind w:firstLine="200"/>
    </w:pPr>
    <w:rPr>
      <w:sz w:val="24"/>
    </w:rPr>
  </w:style>
  <w:style w:type="paragraph" w:customStyle="1" w:styleId="398">
    <w:name w:val="...表格内容"/>
    <w:basedOn w:val="1"/>
    <w:next w:val="1"/>
    <w:qFormat/>
    <w:uiPriority w:val="0"/>
    <w:pPr>
      <w:spacing w:line="240" w:lineRule="auto"/>
      <w:ind w:firstLine="0" w:firstLineChars="0"/>
      <w:jc w:val="center"/>
    </w:pPr>
    <w:rPr>
      <w:sz w:val="21"/>
    </w:rPr>
  </w:style>
  <w:style w:type="table" w:customStyle="1" w:styleId="399">
    <w:name w:val="hu"/>
    <w:basedOn w:val="55"/>
    <w:qFormat/>
    <w:uiPriority w:val="0"/>
    <w:pPr>
      <w:jc w:val="center"/>
    </w:pPr>
    <w:rPr>
      <w:sz w:val="21"/>
    </w:rPr>
    <w:tblP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
    <w:tcPr>
      <w:vAlign w:val="center"/>
    </w:tcPr>
  </w:style>
  <w:style w:type="paragraph" w:customStyle="1" w:styleId="400">
    <w:name w:val="题注1"/>
    <w:basedOn w:val="1"/>
    <w:next w:val="1"/>
    <w:qFormat/>
    <w:uiPriority w:val="0"/>
    <w:pPr>
      <w:jc w:val="center"/>
    </w:pPr>
    <w:rPr>
      <w:b/>
      <w:bCs/>
      <w:color w:val="000000"/>
      <w:sz w:val="24"/>
      <w:szCs w:val="24"/>
    </w:rPr>
  </w:style>
  <w:style w:type="table" w:customStyle="1" w:styleId="401">
    <w:name w:val="hu11"/>
    <w:basedOn w:val="55"/>
    <w:qFormat/>
    <w:uiPriority w:val="0"/>
    <w:pPr>
      <w:jc w:val="center"/>
    </w:pPr>
    <w:tblP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
    <w:tcPr>
      <w:vAlign w:val="center"/>
    </w:tcPr>
  </w:style>
  <w:style w:type="paragraph" w:customStyle="1" w:styleId="402">
    <w:name w:val="2表格内正文"/>
    <w:basedOn w:val="1"/>
    <w:qFormat/>
    <w:uiPriority w:val="0"/>
    <w:pPr>
      <w:jc w:val="center"/>
    </w:pPr>
    <w:rPr>
      <w:sz w:val="24"/>
    </w:rPr>
  </w:style>
  <w:style w:type="paragraph" w:customStyle="1" w:styleId="403">
    <w:name w:val="1正文2重点"/>
    <w:basedOn w:val="404"/>
    <w:qFormat/>
    <w:uiPriority w:val="0"/>
    <w:pPr>
      <w:ind w:firstLine="562"/>
    </w:pPr>
    <w:rPr>
      <w:rFonts w:cs="宋体"/>
      <w:b/>
      <w:bCs/>
      <w:szCs w:val="20"/>
    </w:rPr>
  </w:style>
  <w:style w:type="paragraph" w:customStyle="1" w:styleId="404">
    <w:name w:val="1正文"/>
    <w:basedOn w:val="1"/>
    <w:qFormat/>
    <w:uiPriority w:val="0"/>
    <w:pPr>
      <w:ind w:firstLine="560"/>
    </w:pPr>
    <w:rPr>
      <w:rFonts w:eastAsia="仿宋" w:cs="Times New Roman"/>
      <w:spacing w:val="5"/>
      <w:sz w:val="28"/>
      <w:szCs w:val="28"/>
    </w:rPr>
  </w:style>
  <w:style w:type="paragraph" w:customStyle="1" w:styleId="405">
    <w:name w:val="Other|1"/>
    <w:basedOn w:val="1"/>
    <w:qFormat/>
    <w:uiPriority w:val="0"/>
    <w:pPr>
      <w:spacing w:line="480" w:lineRule="auto"/>
    </w:pPr>
    <w:rPr>
      <w:rFonts w:ascii="宋体" w:hAnsi="宋体" w:eastAsia="宋体"/>
      <w:sz w:val="22"/>
      <w:szCs w:val="22"/>
      <w:lang w:val="zh-TW" w:eastAsia="zh-TW" w:bidi="zh-TW"/>
    </w:rPr>
  </w:style>
  <w:style w:type="character" w:customStyle="1" w:styleId="406">
    <w:name w:val="jianjie_index"/>
    <w:basedOn w:val="58"/>
    <w:qFormat/>
    <w:uiPriority w:val="0"/>
  </w:style>
  <w:style w:type="paragraph" w:customStyle="1" w:styleId="407">
    <w:name w:val="样式 表内容 + 行距: 固定值 28 磅"/>
    <w:basedOn w:val="408"/>
    <w:qFormat/>
    <w:uiPriority w:val="99"/>
    <w:pPr>
      <w:spacing w:line="240" w:lineRule="auto"/>
      <w:ind w:firstLine="0" w:firstLineChars="0"/>
    </w:pPr>
    <w:rPr>
      <w:rFonts w:hAnsi="宋体"/>
      <w:spacing w:val="5"/>
    </w:rPr>
  </w:style>
  <w:style w:type="paragraph" w:customStyle="1" w:styleId="408">
    <w:name w:val="表内容"/>
    <w:basedOn w:val="1"/>
    <w:next w:val="1"/>
    <w:qFormat/>
    <w:uiPriority w:val="0"/>
    <w:pPr>
      <w:spacing w:line="320" w:lineRule="exact"/>
      <w:jc w:val="center"/>
    </w:pPr>
    <w:rPr>
      <w:rFonts w:ascii="Times New Roman"/>
      <w:sz w:val="21"/>
      <w:szCs w:val="20"/>
    </w:rPr>
  </w:style>
  <w:style w:type="paragraph" w:customStyle="1" w:styleId="409">
    <w:name w:val="04 正文"/>
    <w:basedOn w:val="1"/>
    <w:qFormat/>
    <w:uiPriority w:val="0"/>
    <w:pPr>
      <w:spacing w:line="400" w:lineRule="exact"/>
      <w:ind w:firstLine="420"/>
    </w:pPr>
    <w:rPr>
      <w:bCs/>
      <w:color w:val="000000"/>
      <w:sz w:val="24"/>
    </w:rPr>
  </w:style>
  <w:style w:type="paragraph" w:customStyle="1" w:styleId="410">
    <w:name w:val="报告表3级"/>
    <w:next w:val="1"/>
    <w:qFormat/>
    <w:uiPriority w:val="99"/>
    <w:pPr>
      <w:spacing w:line="360" w:lineRule="auto"/>
    </w:pPr>
    <w:rPr>
      <w:rFonts w:ascii="Times New Roman" w:hAnsi="Times New Roman" w:eastAsia="宋体" w:cs="Times New Roman"/>
      <w:b/>
      <w:bCs/>
      <w:kern w:val="2"/>
      <w:sz w:val="24"/>
      <w:szCs w:val="24"/>
      <w:lang w:val="en-US" w:eastAsia="zh-CN" w:bidi="ar-SA"/>
    </w:rPr>
  </w:style>
  <w:style w:type="paragraph" w:customStyle="1" w:styleId="411">
    <w:name w:val="样式 样式 样式 四号 左侧:  1.53 厘米 + 首行缩进:  2 字符 + 居中 左侧:  2 字符 首行缩进:  2..."/>
    <w:basedOn w:val="412"/>
    <w:qFormat/>
    <w:uiPriority w:val="0"/>
    <w:pPr>
      <w:ind w:firstLine="0" w:firstLineChars="0"/>
      <w:jc w:val="center"/>
    </w:pPr>
  </w:style>
  <w:style w:type="paragraph" w:customStyle="1" w:styleId="412">
    <w:name w:val="样式 样式 四号 左侧:  1.53 厘米 + 首行缩进:  2 字符"/>
    <w:basedOn w:val="413"/>
    <w:qFormat/>
    <w:uiPriority w:val="0"/>
    <w:pPr>
      <w:ind w:left="200" w:leftChars="200"/>
    </w:pPr>
    <w:rPr>
      <w:szCs w:val="20"/>
    </w:rPr>
  </w:style>
  <w:style w:type="paragraph" w:customStyle="1" w:styleId="413">
    <w:name w:val="样式 四号 左侧:  1.53 厘米"/>
    <w:basedOn w:val="1"/>
    <w:qFormat/>
    <w:uiPriority w:val="0"/>
    <w:rPr>
      <w:w w:val="90"/>
      <w:sz w:val="28"/>
      <w:szCs w:val="28"/>
    </w:rPr>
  </w:style>
  <w:style w:type="paragraph" w:customStyle="1" w:styleId="414">
    <w:name w:val="li_正文"/>
    <w:basedOn w:val="1"/>
    <w:qFormat/>
    <w:uiPriority w:val="99"/>
    <w:pPr>
      <w:ind w:firstLine="200"/>
      <w:jc w:val="left"/>
    </w:pPr>
    <w:rPr>
      <w:rFonts w:ascii="Calibri" w:hAnsi="Calibri" w:eastAsia="宋体"/>
      <w:sz w:val="28"/>
      <w:szCs w:val="28"/>
    </w:rPr>
  </w:style>
  <w:style w:type="paragraph" w:customStyle="1" w:styleId="415">
    <w:name w:val="No Spacing1"/>
    <w:basedOn w:val="1"/>
    <w:qFormat/>
    <w:uiPriority w:val="0"/>
    <w:rPr>
      <w:rFonts w:ascii="Calibri" w:hAnsi="Calibri"/>
    </w:rPr>
  </w:style>
  <w:style w:type="paragraph" w:customStyle="1" w:styleId="416">
    <w:name w:val="正文首行缩进 21"/>
    <w:basedOn w:val="24"/>
    <w:next w:val="1"/>
    <w:qFormat/>
    <w:uiPriority w:val="0"/>
    <w:pPr>
      <w:spacing w:before="100" w:beforeAutospacing="1"/>
      <w:ind w:firstLine="420"/>
    </w:pPr>
    <w:rPr>
      <w:rFonts w:ascii="Calibri" w:hAnsi="Calibri" w:cs="Calibri"/>
      <w:kern w:val="2"/>
      <w:sz w:val="21"/>
    </w:rPr>
  </w:style>
  <w:style w:type="paragraph" w:customStyle="1" w:styleId="417">
    <w:name w:val="List Paragraph1"/>
    <w:basedOn w:val="1"/>
    <w:qFormat/>
    <w:uiPriority w:val="0"/>
    <w:pPr>
      <w:ind w:firstLine="420"/>
    </w:pPr>
  </w:style>
  <w:style w:type="paragraph" w:customStyle="1" w:styleId="418">
    <w:name w:val="正文31"/>
    <w:basedOn w:val="1"/>
    <w:qFormat/>
    <w:uiPriority w:val="0"/>
    <w:pPr>
      <w:widowControl/>
    </w:pPr>
    <w:rPr>
      <w:rFonts w:ascii="Times New Roman" w:hAnsi="Times New Roman"/>
    </w:rPr>
  </w:style>
  <w:style w:type="paragraph" w:customStyle="1" w:styleId="419">
    <w:name w:val="表格11111"/>
    <w:basedOn w:val="220"/>
    <w:qFormat/>
    <w:uiPriority w:val="0"/>
    <w:rPr>
      <w:rFonts w:eastAsia="黑体"/>
    </w:rPr>
  </w:style>
  <w:style w:type="paragraph" w:customStyle="1" w:styleId="420">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21">
    <w:name w:val="样式 样式 样式 样式 正文@ + 首行缩进:  2 字符 字距调整小四 紧缩量  0.2 磅 + 首行缩进:  2 字符 + ...1"/>
    <w:basedOn w:val="422"/>
    <w:qFormat/>
    <w:uiPriority w:val="0"/>
    <w:pPr>
      <w:spacing w:line="312" w:lineRule="auto"/>
    </w:pPr>
    <w:rPr>
      <w:kern w:val="0"/>
    </w:rPr>
  </w:style>
  <w:style w:type="paragraph" w:customStyle="1" w:styleId="422">
    <w:name w:val="样式 样式 样式 正文@ + 首行缩进:  2 字符 字距调整小四 紧缩量  0.2 磅 + 首行缩进:  2 字符 + 首行缩..."/>
    <w:basedOn w:val="183"/>
    <w:qFormat/>
    <w:uiPriority w:val="0"/>
    <w:pPr>
      <w:ind w:firstLine="438"/>
    </w:pPr>
    <w:rPr>
      <w:szCs w:val="20"/>
    </w:rPr>
  </w:style>
  <w:style w:type="paragraph" w:customStyle="1" w:styleId="423">
    <w:name w:val="06 表格内容"/>
    <w:basedOn w:val="1"/>
    <w:qFormat/>
    <w:uiPriority w:val="0"/>
    <w:pPr>
      <w:spacing w:line="0" w:lineRule="atLeast"/>
    </w:pPr>
  </w:style>
  <w:style w:type="paragraph" w:customStyle="1" w:styleId="424">
    <w:name w:val="标题111"/>
    <w:qFormat/>
    <w:uiPriority w:val="0"/>
    <w:pPr>
      <w:widowControl w:val="0"/>
      <w:spacing w:line="480" w:lineRule="exact"/>
      <w:jc w:val="both"/>
    </w:pPr>
    <w:rPr>
      <w:rFonts w:ascii="Calibri" w:hAnsi="Calibri" w:eastAsia="宋体" w:cs="Times New Roman"/>
      <w:b/>
      <w:kern w:val="1"/>
      <w:sz w:val="24"/>
      <w:szCs w:val="24"/>
      <w:lang w:val="en-US" w:eastAsia="zh-CN" w:bidi="ar-SA"/>
    </w:rPr>
  </w:style>
  <w:style w:type="paragraph" w:customStyle="1" w:styleId="425">
    <w:name w:val="表头hu"/>
    <w:basedOn w:val="163"/>
    <w:qFormat/>
    <w:uiPriority w:val="0"/>
    <w:pPr>
      <w:adjustRightInd/>
      <w:snapToGrid/>
    </w:pPr>
    <w:rPr>
      <w:kern w:val="0"/>
      <w:sz w:val="21"/>
    </w:rPr>
  </w:style>
  <w:style w:type="paragraph" w:customStyle="1" w:styleId="426">
    <w:name w:val="Table Text"/>
    <w:basedOn w:val="1"/>
    <w:semiHidden/>
    <w:qFormat/>
    <w:uiPriority w:val="0"/>
    <w:rPr>
      <w:rFonts w:ascii="宋体" w:hAnsi="宋体" w:eastAsia="宋体"/>
      <w:sz w:val="18"/>
      <w:szCs w:val="18"/>
      <w:lang w:eastAsia="en-US"/>
    </w:rPr>
  </w:style>
  <w:style w:type="table" w:customStyle="1" w:styleId="427">
    <w:name w:val="Table Normal"/>
    <w:unhideWhenUsed/>
    <w:qFormat/>
    <w:uiPriority w:val="0"/>
    <w:tblPr>
      <w:tblCellMar>
        <w:top w:w="0" w:type="dxa"/>
        <w:left w:w="0" w:type="dxa"/>
        <w:bottom w:w="0" w:type="dxa"/>
        <w:right w:w="0" w:type="dxa"/>
      </w:tblCellMar>
    </w:tblPr>
  </w:style>
  <w:style w:type="table" w:customStyle="1" w:styleId="428">
    <w:name w:val="网格型1"/>
    <w:basedOn w:val="5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29">
    <w:name w:val="font61"/>
    <w:basedOn w:val="58"/>
    <w:qFormat/>
    <w:uiPriority w:val="0"/>
    <w:rPr>
      <w:rFonts w:hint="eastAsia" w:ascii="宋体" w:hAnsi="宋体" w:eastAsia="宋体" w:cs="宋体"/>
      <w:color w:val="424242"/>
      <w:sz w:val="27"/>
      <w:szCs w:val="27"/>
      <w:u w:val="none"/>
    </w:rPr>
  </w:style>
  <w:style w:type="character" w:customStyle="1" w:styleId="430">
    <w:name w:val="font71"/>
    <w:basedOn w:val="58"/>
    <w:qFormat/>
    <w:uiPriority w:val="0"/>
    <w:rPr>
      <w:rFonts w:hint="eastAsia" w:ascii="宋体" w:hAnsi="宋体" w:eastAsia="宋体" w:cs="宋体"/>
      <w:color w:val="5B5B5B"/>
      <w:sz w:val="27"/>
      <w:szCs w:val="27"/>
      <w:u w:val="none"/>
    </w:rPr>
  </w:style>
  <w:style w:type="character" w:customStyle="1" w:styleId="431">
    <w:name w:val="font101"/>
    <w:basedOn w:val="58"/>
    <w:qFormat/>
    <w:uiPriority w:val="0"/>
    <w:rPr>
      <w:rFonts w:hint="eastAsia" w:ascii="宋体" w:hAnsi="宋体" w:eastAsia="宋体" w:cs="宋体"/>
      <w:color w:val="2B2B2B"/>
      <w:sz w:val="27"/>
      <w:szCs w:val="27"/>
      <w:u w:val="none"/>
    </w:rPr>
  </w:style>
  <w:style w:type="character" w:customStyle="1" w:styleId="432">
    <w:name w:val="font81"/>
    <w:basedOn w:val="58"/>
    <w:qFormat/>
    <w:uiPriority w:val="0"/>
    <w:rPr>
      <w:rFonts w:hint="eastAsia" w:ascii="宋体" w:hAnsi="宋体" w:eastAsia="宋体" w:cs="宋体"/>
      <w:color w:val="707070"/>
      <w:sz w:val="27"/>
      <w:szCs w:val="27"/>
      <w:u w:val="none"/>
    </w:rPr>
  </w:style>
  <w:style w:type="character" w:customStyle="1" w:styleId="433">
    <w:name w:val="font112"/>
    <w:basedOn w:val="58"/>
    <w:qFormat/>
    <w:uiPriority w:val="0"/>
    <w:rPr>
      <w:rFonts w:hint="default" w:ascii="Times New Roman" w:hAnsi="Times New Roman" w:cs="Times New Roman"/>
      <w:color w:val="5B5B5B"/>
      <w:sz w:val="29"/>
      <w:szCs w:val="29"/>
      <w:u w:val="none"/>
    </w:rPr>
  </w:style>
  <w:style w:type="character" w:customStyle="1" w:styleId="434">
    <w:name w:val="font121"/>
    <w:basedOn w:val="58"/>
    <w:qFormat/>
    <w:uiPriority w:val="0"/>
    <w:rPr>
      <w:rFonts w:hint="default" w:ascii="Times New Roman" w:hAnsi="Times New Roman" w:cs="Times New Roman"/>
      <w:color w:val="424242"/>
      <w:sz w:val="29"/>
      <w:szCs w:val="29"/>
      <w:u w:val="none"/>
    </w:rPr>
  </w:style>
  <w:style w:type="character" w:customStyle="1" w:styleId="435">
    <w:name w:val="font131"/>
    <w:basedOn w:val="58"/>
    <w:qFormat/>
    <w:uiPriority w:val="0"/>
    <w:rPr>
      <w:rFonts w:hint="default" w:ascii="Times New Roman" w:hAnsi="Times New Roman" w:cs="Times New Roman"/>
      <w:color w:val="151511"/>
      <w:sz w:val="29"/>
      <w:szCs w:val="29"/>
      <w:u w:val="none"/>
    </w:rPr>
  </w:style>
  <w:style w:type="character" w:customStyle="1" w:styleId="436">
    <w:name w:val="font141"/>
    <w:basedOn w:val="58"/>
    <w:qFormat/>
    <w:uiPriority w:val="0"/>
    <w:rPr>
      <w:rFonts w:hint="default" w:ascii="Times New Roman" w:hAnsi="Times New Roman" w:cs="Times New Roman"/>
      <w:color w:val="010101"/>
      <w:sz w:val="29"/>
      <w:szCs w:val="29"/>
      <w:u w:val="none"/>
    </w:rPr>
  </w:style>
  <w:style w:type="character" w:customStyle="1" w:styleId="437">
    <w:name w:val="font151"/>
    <w:basedOn w:val="58"/>
    <w:qFormat/>
    <w:uiPriority w:val="0"/>
    <w:rPr>
      <w:rFonts w:hint="eastAsia" w:ascii="宋体" w:hAnsi="宋体" w:eastAsia="宋体" w:cs="宋体"/>
      <w:color w:val="CF4949"/>
      <w:sz w:val="68"/>
      <w:szCs w:val="68"/>
      <w:u w:val="none"/>
      <w:vertAlign w:val="subscript"/>
    </w:rPr>
  </w:style>
  <w:style w:type="character" w:customStyle="1" w:styleId="438">
    <w:name w:val="font161"/>
    <w:basedOn w:val="58"/>
    <w:qFormat/>
    <w:uiPriority w:val="0"/>
    <w:rPr>
      <w:rFonts w:hint="default" w:ascii="Times New Roman" w:hAnsi="Times New Roman" w:cs="Times New Roman"/>
      <w:color w:val="9C4450"/>
      <w:sz w:val="22"/>
      <w:szCs w:val="22"/>
      <w:u w:val="none"/>
    </w:rPr>
  </w:style>
  <w:style w:type="character" w:customStyle="1" w:styleId="439">
    <w:name w:val="font171"/>
    <w:basedOn w:val="58"/>
    <w:qFormat/>
    <w:uiPriority w:val="0"/>
    <w:rPr>
      <w:rFonts w:hint="default" w:ascii="Times New Roman" w:hAnsi="Times New Roman" w:cs="Times New Roman"/>
      <w:color w:val="CF4949"/>
      <w:sz w:val="29"/>
      <w:szCs w:val="29"/>
      <w:u w:val="none"/>
    </w:rPr>
  </w:style>
  <w:style w:type="character" w:customStyle="1" w:styleId="440">
    <w:name w:val="font181"/>
    <w:basedOn w:val="58"/>
    <w:qFormat/>
    <w:uiPriority w:val="0"/>
    <w:rPr>
      <w:rFonts w:hint="eastAsia" w:ascii="宋体" w:hAnsi="宋体" w:eastAsia="宋体" w:cs="宋体"/>
      <w:color w:val="AC3D3F"/>
      <w:sz w:val="23"/>
      <w:szCs w:val="23"/>
      <w:u w:val="none"/>
    </w:rPr>
  </w:style>
  <w:style w:type="character" w:customStyle="1" w:styleId="441">
    <w:name w:val="font191"/>
    <w:basedOn w:val="58"/>
    <w:qFormat/>
    <w:uiPriority w:val="0"/>
    <w:rPr>
      <w:rFonts w:ascii="Arial" w:hAnsi="Arial" w:cs="Arial"/>
      <w:color w:val="AC3D3F"/>
      <w:sz w:val="14"/>
      <w:szCs w:val="14"/>
      <w:u w:val="none"/>
    </w:rPr>
  </w:style>
  <w:style w:type="character" w:customStyle="1" w:styleId="442">
    <w:name w:val="font201"/>
    <w:basedOn w:val="58"/>
    <w:qFormat/>
    <w:uiPriority w:val="0"/>
    <w:rPr>
      <w:rFonts w:hint="eastAsia" w:ascii="宋体" w:hAnsi="宋体" w:eastAsia="宋体" w:cs="宋体"/>
      <w:color w:val="AC3D3F"/>
      <w:sz w:val="22"/>
      <w:szCs w:val="22"/>
      <w:u w:val="none"/>
    </w:rPr>
  </w:style>
  <w:style w:type="character" w:customStyle="1" w:styleId="443">
    <w:name w:val="font91"/>
    <w:basedOn w:val="58"/>
    <w:qFormat/>
    <w:uiPriority w:val="0"/>
    <w:rPr>
      <w:rFonts w:hint="eastAsia" w:ascii="宋体" w:hAnsi="宋体" w:eastAsia="宋体" w:cs="宋体"/>
      <w:color w:val="2D2D03"/>
      <w:sz w:val="27"/>
      <w:szCs w:val="27"/>
      <w:u w:val="none"/>
    </w:rPr>
  </w:style>
  <w:style w:type="paragraph" w:customStyle="1" w:styleId="444">
    <w:name w:val="表格内容1"/>
    <w:basedOn w:val="1"/>
    <w:qFormat/>
    <w:uiPriority w:val="1"/>
    <w:pPr>
      <w:spacing w:line="0" w:lineRule="atLeast"/>
      <w:ind w:firstLine="0" w:firstLineChars="0"/>
      <w:jc w:val="center"/>
    </w:pPr>
    <w:rPr>
      <w:sz w:val="21"/>
    </w:rPr>
  </w:style>
  <w:style w:type="paragraph" w:customStyle="1" w:styleId="445">
    <w:name w:val="正文-小四首行缩进+1.5行距"/>
    <w:basedOn w:val="1"/>
    <w:qFormat/>
    <w:uiPriority w:val="0"/>
    <w:pPr>
      <w:widowControl/>
      <w:ind w:firstLine="480"/>
    </w:pPr>
    <w:rPr>
      <w:rFonts w:ascii="Times New Roman" w:hAnsi="Times New Roman" w:eastAsia="宋体" w:cs="Times New Roman"/>
      <w:color w:val="000000"/>
      <w:sz w:val="24"/>
    </w:rPr>
  </w:style>
  <w:style w:type="paragraph" w:customStyle="1" w:styleId="446">
    <w:name w:val="lh-正文-报告表"/>
    <w:basedOn w:val="1"/>
    <w:qFormat/>
    <w:uiPriority w:val="0"/>
    <w:pPr>
      <w:ind w:firstLine="480"/>
    </w:pPr>
    <w:rPr>
      <w:sz w:val="24"/>
    </w:rPr>
  </w:style>
  <w:style w:type="paragraph" w:customStyle="1" w:styleId="447">
    <w:name w:val="表&amp;图头"/>
    <w:basedOn w:val="1"/>
    <w:qFormat/>
    <w:uiPriority w:val="0"/>
    <w:pPr>
      <w:jc w:val="center"/>
    </w:pPr>
    <w:rPr>
      <w:rFonts w:ascii="等线 Light" w:hAnsi="等线 Light"/>
      <w:b/>
      <w:color w:val="000000"/>
      <w:sz w:val="24"/>
      <w:szCs w:val="22"/>
    </w:rPr>
  </w:style>
  <w:style w:type="character" w:customStyle="1" w:styleId="448">
    <w:name w:val="font51"/>
    <w:basedOn w:val="58"/>
    <w:qFormat/>
    <w:uiPriority w:val="0"/>
    <w:rPr>
      <w:rFonts w:hint="eastAsia" w:ascii="宋体" w:hAnsi="宋体" w:eastAsia="宋体" w:cs="宋体"/>
      <w:color w:val="000000"/>
      <w:sz w:val="21"/>
      <w:szCs w:val="21"/>
      <w:u w:val="none"/>
    </w:rPr>
  </w:style>
  <w:style w:type="paragraph" w:customStyle="1" w:styleId="449">
    <w:name w:val="报告正文1"/>
    <w:basedOn w:val="1"/>
    <w:qFormat/>
    <w:uiPriority w:val="0"/>
    <w:pPr>
      <w:widowControl/>
      <w:ind w:firstLine="200"/>
    </w:pPr>
  </w:style>
  <w:style w:type="paragraph" w:customStyle="1" w:styleId="450">
    <w:name w:val="图/表头"/>
    <w:basedOn w:val="1"/>
    <w:qFormat/>
    <w:uiPriority w:val="0"/>
    <w:pPr>
      <w:spacing w:before="50" w:beforeLines="50"/>
      <w:jc w:val="center"/>
    </w:pPr>
    <w:rPr>
      <w:b/>
    </w:rPr>
  </w:style>
  <w:style w:type="paragraph" w:customStyle="1" w:styleId="451">
    <w:name w:val="表格字体"/>
    <w:basedOn w:val="162"/>
    <w:next w:val="1"/>
    <w:qFormat/>
    <w:uiPriority w:val="0"/>
    <w:pPr>
      <w:widowControl/>
      <w:tabs>
        <w:tab w:val="center" w:pos="501"/>
      </w:tabs>
    </w:pPr>
  </w:style>
  <w:style w:type="paragraph" w:customStyle="1" w:styleId="452">
    <w:name w:val="表格文字"/>
    <w:basedOn w:val="1"/>
    <w:qFormat/>
    <w:uiPriority w:val="0"/>
    <w:pPr>
      <w:widowControl/>
      <w:jc w:val="center"/>
    </w:pPr>
    <w:rPr>
      <w:rFonts w:cs="楷体_GB2312"/>
      <w:sz w:val="18"/>
      <w:szCs w:val="18"/>
    </w:rPr>
  </w:style>
  <w:style w:type="paragraph" w:customStyle="1" w:styleId="453">
    <w:name w:val="..表格标题"/>
    <w:qFormat/>
    <w:uiPriority w:val="0"/>
    <w:pPr>
      <w:spacing w:line="360" w:lineRule="auto"/>
      <w:ind w:firstLine="200" w:firstLineChars="200"/>
      <w:jc w:val="center"/>
    </w:pPr>
    <w:rPr>
      <w:rFonts w:ascii="Times New Roman" w:hAnsi="宋体" w:eastAsia="宋体" w:cs="Times New Roman"/>
      <w:b/>
      <w:bCs/>
      <w:color w:val="000000"/>
      <w:kern w:val="2"/>
      <w:sz w:val="24"/>
      <w:szCs w:val="21"/>
      <w:lang w:val="en-US" w:eastAsia="zh-CN" w:bidi="ar-SA"/>
    </w:rPr>
  </w:style>
  <w:style w:type="paragraph" w:customStyle="1" w:styleId="454">
    <w:name w:val="文字"/>
    <w:basedOn w:val="1"/>
    <w:link w:val="464"/>
    <w:qFormat/>
    <w:uiPriority w:val="0"/>
    <w:pPr>
      <w:spacing w:line="360" w:lineRule="auto"/>
      <w:ind w:firstLine="600" w:firstLineChars="200"/>
    </w:pPr>
    <w:rPr>
      <w:rFonts w:ascii="Times New Roman" w:hAnsi="Times New Roman" w:eastAsia="宋体" w:cs="Times New Roman"/>
      <w:sz w:val="24"/>
    </w:rPr>
  </w:style>
  <w:style w:type="table" w:customStyle="1" w:styleId="455">
    <w:name w:val="样式61"/>
    <w:basedOn w:val="55"/>
    <w:qFormat/>
    <w:uiPriority w:val="99"/>
    <w:pPr>
      <w:jc w:val="center"/>
    </w:pPr>
    <w:rPr>
      <w:rFonts w:ascii="Times New Roman" w:hAnsi="Times New Roman" w:eastAsia="宋体" w:cs="Times New Roman"/>
    </w:rPr>
    <w:tblPr>
      <w:tblBorders>
        <w:top w:val="single" w:color="auto" w:sz="12" w:space="0"/>
        <w:bottom w:val="single" w:color="auto" w:sz="12" w:space="0"/>
        <w:insideH w:val="single" w:color="auto" w:sz="4" w:space="0"/>
        <w:insideV w:val="single" w:color="auto" w:sz="4" w:space="0"/>
      </w:tblBorders>
      <w:tblCellMar>
        <w:left w:w="0" w:type="dxa"/>
        <w:right w:w="0" w:type="dxa"/>
      </w:tblCellMar>
    </w:tblPr>
    <w:tcPr>
      <w:vAlign w:val="center"/>
    </w:tcPr>
  </w:style>
  <w:style w:type="paragraph" w:customStyle="1" w:styleId="456">
    <w:name w:val="表内文字"/>
    <w:basedOn w:val="1"/>
    <w:qFormat/>
    <w:uiPriority w:val="0"/>
    <w:pPr>
      <w:spacing w:line="320" w:lineRule="exact"/>
      <w:jc w:val="center"/>
    </w:pPr>
    <w:rPr>
      <w:szCs w:val="21"/>
    </w:rPr>
  </w:style>
  <w:style w:type="paragraph" w:customStyle="1" w:styleId="457">
    <w:name w:val="正文（我的报告）"/>
    <w:basedOn w:val="1"/>
    <w:qFormat/>
    <w:uiPriority w:val="0"/>
    <w:pPr>
      <w:adjustRightInd w:val="0"/>
      <w:snapToGrid w:val="0"/>
      <w:spacing w:before="0" w:after="0" w:line="240" w:lineRule="auto"/>
      <w:ind w:firstLine="0" w:firstLineChars="0"/>
      <w:jc w:val="center"/>
    </w:pPr>
    <w:rPr>
      <w:sz w:val="21"/>
      <w:szCs w:val="20"/>
    </w:rPr>
  </w:style>
  <w:style w:type="paragraph" w:customStyle="1" w:styleId="458">
    <w:name w:val="六表内容"/>
    <w:basedOn w:val="1"/>
    <w:qFormat/>
    <w:uiPriority w:val="0"/>
    <w:pPr>
      <w:spacing w:line="340" w:lineRule="exact"/>
      <w:jc w:val="center"/>
    </w:pPr>
    <w:rPr>
      <w:rFonts w:ascii="Calibri" w:hAnsi="Calibri"/>
      <w:szCs w:val="21"/>
    </w:rPr>
  </w:style>
  <w:style w:type="character" w:customStyle="1" w:styleId="459">
    <w:name w:val="正文文本缩进 2 Char"/>
    <w:basedOn w:val="58"/>
    <w:qFormat/>
    <w:uiPriority w:val="0"/>
    <w:rPr>
      <w:rFonts w:eastAsia="宋体"/>
      <w:kern w:val="2"/>
      <w:sz w:val="28"/>
      <w:szCs w:val="24"/>
      <w:lang w:val="en-US" w:eastAsia="zh-CN" w:bidi="ar-SA"/>
    </w:rPr>
  </w:style>
  <w:style w:type="paragraph" w:customStyle="1" w:styleId="460">
    <w:name w:val="表格内文字"/>
    <w:next w:val="23"/>
    <w:qFormat/>
    <w:uiPriority w:val="0"/>
    <w:pPr>
      <w:spacing w:line="320" w:lineRule="exact"/>
      <w:jc w:val="center"/>
    </w:pPr>
    <w:rPr>
      <w:rFonts w:ascii="Times New Roman" w:hAnsi="Times New Roman" w:eastAsia="宋体" w:cs="Times New Roman"/>
      <w:sz w:val="21"/>
      <w:szCs w:val="21"/>
      <w:lang w:val="zh-CN" w:eastAsia="zh-CN" w:bidi="ar-SA"/>
    </w:rPr>
  </w:style>
  <w:style w:type="paragraph" w:customStyle="1" w:styleId="461">
    <w:name w:val="B正文"/>
    <w:basedOn w:val="1"/>
    <w:qFormat/>
    <w:uiPriority w:val="0"/>
    <w:pPr>
      <w:spacing w:line="360" w:lineRule="auto"/>
      <w:ind w:firstLine="200" w:firstLineChars="200"/>
    </w:pPr>
    <w:rPr>
      <w:kern w:val="0"/>
      <w:sz w:val="24"/>
    </w:rPr>
  </w:style>
  <w:style w:type="paragraph" w:customStyle="1" w:styleId="462">
    <w:name w:val="表格文本"/>
    <w:basedOn w:val="463"/>
    <w:qFormat/>
    <w:uiPriority w:val="0"/>
    <w:pPr>
      <w:adjustRightInd w:val="0"/>
      <w:snapToGrid w:val="0"/>
      <w:jc w:val="center"/>
    </w:pPr>
    <w:rPr>
      <w:szCs w:val="21"/>
    </w:rPr>
  </w:style>
  <w:style w:type="paragraph" w:customStyle="1" w:styleId="463">
    <w:name w:val="文本"/>
    <w:basedOn w:val="1"/>
    <w:qFormat/>
    <w:uiPriority w:val="0"/>
    <w:pPr>
      <w:widowControl/>
      <w:spacing w:line="360" w:lineRule="auto"/>
      <w:ind w:firstLine="499"/>
      <w:jc w:val="left"/>
    </w:pPr>
    <w:rPr>
      <w:rFonts w:ascii="宋体" w:hAnsi="Verdana"/>
      <w:kern w:val="0"/>
      <w:sz w:val="24"/>
      <w:szCs w:val="21"/>
      <w:lang w:eastAsia="en-US"/>
    </w:rPr>
  </w:style>
  <w:style w:type="character" w:customStyle="1" w:styleId="464">
    <w:name w:val="文字 Char"/>
    <w:link w:val="454"/>
    <w:qFormat/>
    <w:uiPriority w:val="0"/>
    <w:rPr>
      <w:rFonts w:ascii="Times New Roman" w:hAnsi="Times New Roman" w:eastAsia="宋体" w:cs="Times New Roman"/>
      <w:sz w:val="24"/>
    </w:rPr>
  </w:style>
  <w:style w:type="paragraph" w:customStyle="1" w:styleId="465">
    <w:name w:val="B表内"/>
    <w:basedOn w:val="1"/>
    <w:qFormat/>
    <w:uiPriority w:val="0"/>
    <w:pPr>
      <w:jc w:val="center"/>
    </w:pPr>
    <w:rPr>
      <w:rFonts w:cs="宋体"/>
      <w:szCs w:val="21"/>
    </w:rPr>
  </w:style>
  <w:style w:type="paragraph" w:customStyle="1" w:styleId="466">
    <w:name w:val="表题"/>
    <w:basedOn w:val="1"/>
    <w:next w:val="1"/>
    <w:qFormat/>
    <w:uiPriority w:val="0"/>
    <w:pPr>
      <w:spacing w:line="240" w:lineRule="auto"/>
      <w:jc w:val="center"/>
      <w:textAlignment w:val="center"/>
    </w:pPr>
    <w:rPr>
      <w:rFonts w:ascii="Times New Roman" w:hAnsi="Times New Roman" w:eastAsia="黑体"/>
      <w:szCs w:val="22"/>
    </w:rPr>
  </w:style>
  <w:style w:type="paragraph" w:customStyle="1" w:styleId="467">
    <w:name w:val="0正文"/>
    <w:basedOn w:val="50"/>
    <w:qFormat/>
    <w:uiPriority w:val="0"/>
    <w:pPr>
      <w:adjustRightInd w:val="0"/>
      <w:snapToGrid w:val="0"/>
      <w:spacing w:before="0" w:beforeAutospacing="0" w:after="0" w:afterAutospacing="0" w:line="500" w:lineRule="exact"/>
      <w:ind w:firstLine="200" w:firstLineChars="200"/>
      <w:jc w:val="both"/>
    </w:pPr>
    <w:rPr>
      <w:rFonts w:ascii="Times New Roman" w:hAnsi="Times New Roman" w:eastAsia="宋体" w:cs="Times New Roman"/>
      <w:kern w:val="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emf"/><Relationship Id="rId15" Type="http://schemas.openxmlformats.org/officeDocument/2006/relationships/image" Target="media/image3.emf"/><Relationship Id="rId14" Type="http://schemas.openxmlformats.org/officeDocument/2006/relationships/oleObject" Target="embeddings/oleObject1.bin"/><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e2fd5d79-2be9-4072-934b-40cb90dfa212</errorID>
      <errorWord>存</errorWord>
      <group>L1_Word</group>
      <groupName>字词问题</groupName>
      <ability>L2_Typo</ability>
      <abilityName>字词错误</abilityName>
      <candidateList>
        <item>存在</item>
      </candidateList>
      <explain/>
      <paraID>735F6BB6</paraID>
      <start>25</start>
      <end>27</end>
      <status>modified</status>
      <modifiedWord>存在</modifiedWord>
      <trackRevisions>false</trackRevisions>
    </reviewItem>
    <reviewItem>
      <errorID>e1b2efd7-2a22-430e-b550-1307e97c0633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668CB7F</paraID>
      <start>30</start>
      <end>31</end>
      <status>unmodified</status>
      <modifiedWord/>
      <trackRevisions>false</trackRevisions>
    </reviewItem>
    <reviewItem>
      <errorID>43f7b718-fcfc-41d8-be1a-f041da17db6a</errorID>
      <errorWord>源</errorWord>
      <group>L1_Word</group>
      <groupName>字词问题</groupName>
      <ability>L2_Typo</ability>
      <abilityName>字词错误</abilityName>
      <candidateList>
        <item>源上</item>
      </candidateList>
      <explain/>
      <paraID>4825336E</paraID>
      <start>110</start>
      <end>112</end>
      <status>modified</status>
      <modifiedWord>源上</modifiedWord>
      <trackRevisions>false</trackRevisions>
    </reviewItem>
    <reviewItem>
      <errorID>0ea60206-e253-41f4-82f7-582719f4e693</errorID>
      <errorWord>产</errorWord>
      <group>L1_Word</group>
      <groupName>字词问题</groupName>
      <ability>L2_Typo</ability>
      <abilityName>字词错误</abilityName>
      <candidateList>
        <item>产的</item>
      </candidateList>
      <explain/>
      <paraID>71868A87</paraID>
      <start>364</start>
      <end>366</end>
      <status>modified</status>
      <modifiedWord>产的</modifiedWord>
      <trackRevisions>false</trackRevisions>
    </reviewItem>
    <reviewItem>
      <errorID>3223edbd-76d4-4e85-a5fe-69b6a4f99517</errorID>
      <errorWord>外逸</errorWord>
      <group>L1_Word</group>
      <groupName>字词问题</groupName>
      <ability>L2_Typo</ability>
      <abilityName>字词错误</abilityName>
      <candidateList>
        <item>外溢</item>
      </candidateList>
      <explain/>
      <paraID>5479CA70</paraID>
      <start>309</start>
      <end>311</end>
      <status>ignored</status>
      <modifiedWord/>
      <trackRevisions>false</trackRevisions>
    </reviewItem>
    <reviewItem>
      <errorID>e5e2ce14-4358-4f58-a556-546fffb9ffcd</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68245B57</paraID>
      <start>26</start>
      <end>34</end>
      <status>modified</status>
      <modifiedWord>住房和城乡建设厅</modifiedWord>
      <trackRevisions>false</trackRevisions>
    </reviewItem>
    <reviewItem>
      <errorID>2949b7b3-2f58-4ada-abe0-965104be25ed</errorID>
      <errorWord>，</errorWord>
      <group>L1_Word</group>
      <groupName>字词问题</groupName>
      <ability>L2_Typo</ability>
      <abilityName>字词错误</abilityName>
      <candidateList>
        <item>，将</item>
      </candidateList>
      <explain/>
      <paraID>68245B57</paraID>
      <start>137</start>
      <end>139</end>
      <status>modified</status>
      <modifiedWord>，将</modifiedWord>
      <trackRevisions>false</trackRevisions>
    </reviewItem>
    <reviewItem>
      <errorID>32d6dafb-36b5-4879-91eb-ad9029859399</errorID>
      <errorWord>液</errorWord>
      <group>L1_Word</group>
      <groupName>字词问题</groupName>
      <ability>L2_Typo</ability>
      <abilityName>字词错误</abilityName>
      <candidateList>
        <item>液流</item>
      </candidateList>
      <explain/>
      <paraID>72A6FB17</paraID>
      <start>70</start>
      <end>72</end>
      <status>modified</status>
      <modifiedWord>液流</modifiedWord>
      <trackRevisions>false</trackRevisions>
    </reviewItem>
    <reviewItem>
      <errorID>07f64d7c-ef13-4f68-bbef-a9cbcb4d4122</errorID>
      <errorWord>理</errorWord>
      <group>L1_Word</group>
      <groupName>字词问题</groupName>
      <ability>L2_Typo</ability>
      <abilityName>字词错误</abilityName>
      <candidateList>
        <item>理等</item>
      </candidateList>
      <explain/>
      <paraID>4E0CA805</paraID>
      <start>45</start>
      <end>47</end>
      <status>modified</status>
      <modifiedWord>理等</modifiedWord>
      <trackRevisions>false</trackRevisions>
    </reviewItem>
    <reviewItem>
      <errorID>1c2cac04-1385-4bd2-88ed-b97d8fb5c1d1</errorID>
      <errorWord>源</errorWord>
      <group>L1_Word</group>
      <groupName>字词问题</groupName>
      <ability>L2_Typo</ability>
      <abilityName>字词错误</abilityName>
      <candidateList>
        <item>源上</item>
      </candidateList>
      <explain/>
      <paraID>4AF97270</paraID>
      <start>71</start>
      <end>73</end>
      <status>modified</status>
      <modifiedWord>源上</modifiedWord>
      <trackRevisions>false</trackRevisions>
    </reviewItem>
    <reviewItem>
      <errorID>3c8e630c-1b3c-4c73-9a9a-be12ae37a564</errorID>
      <errorWord>截</errorWord>
      <group>L1_Word</group>
      <groupName>字词问题</groupName>
      <ability>L2_Typo</ability>
      <abilityName>字词错误</abilityName>
      <candidateList>
        <item>截等</item>
      </candidateList>
      <explain/>
      <paraID>79AE734D</paraID>
      <start>151</start>
      <end>153</end>
      <status>modified</status>
      <modifiedWord>截等</modifiedWord>
      <trackRevisions>false</trackRevisions>
    </reviewItem>
    <reviewItem>
      <errorID>f91bafe7-1d29-4f8b-a48d-12088976986d</errorID>
      <errorWord>位</errorWord>
      <group>L1_Word</group>
      <groupName>字词问题</groupName>
      <ability>L2_Typo</ability>
      <abilityName>字词错误</abilityName>
      <candidateList>
        <item>位要</item>
      </candidateList>
      <explain/>
      <paraID>15EFB4E0</paraID>
      <start>65</start>
      <end>67</end>
      <status>modified</status>
      <modifiedWord>位要</modifiedWord>
      <trackRevisions>false</trackRevisions>
    </reviewItem>
    <reviewItem>
      <errorID>de71a089-d5e8-4c7a-9ad9-4eb6a9869edc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748A7B08</paraID>
      <start>102</start>
      <end>104</end>
      <status>modified</status>
      <modifiedWord>》《</modifiedWord>
      <trackRevisions>false</trackRevisions>
    </reviewItem>
    <reviewItem>
      <errorID>3dee2097-708b-4b3a-a63f-6f99ee9f199e</errorID>
      <errorWord>投产建材</errorWord>
      <group>L1_Word</group>
      <groupName>字词问题</groupName>
      <ability>L2_Typo</ability>
      <abilityName>字词错误</abilityName>
      <candidateList>
        <item>投产剪彩</item>
      </candidateList>
      <explain/>
      <paraID>4E22F864</paraID>
      <start>83</start>
      <end>87</end>
      <status>ignored</status>
      <modifiedWord/>
      <trackRevisions>false</trackRevisions>
    </reviewItem>
    <reviewItem>
      <errorID>39eeee81-4430-4c1a-8554-2a8346bccfef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7E5E8D1B</paraID>
      <start>0</start>
      <end>2</end>
      <status>unmodified</status>
      <modifiedWord/>
      <trackRevisions>false</trackRevisions>
    </reviewItem>
    <reviewItem>
      <errorID>63662f1c-4331-48cb-9f59-654c98c67c6c</errorID>
      <errorWord>振动投料机</errorWord>
      <group>L1_Knowledge</group>
      <groupName>知识性问题</groupName>
      <ability>L2_Term</ability>
      <abilityName>专业术语</abilityName>
      <candidateList>
        <item>振动给料机</item>
      </candidateList>
      <explain/>
      <paraID>58014250</paraID>
      <start>7</start>
      <end>12</end>
      <status>ignored</status>
      <modifiedWord/>
      <trackRevisions>false</trackRevisions>
    </reviewItem>
    <reviewItem>
      <errorID>71260b66-9959-43e0-9475-0117d582b2d6</errorID>
      <errorWord>生态环境保护目标</errorWord>
      <group>L1_Sensitive</group>
      <groupName>敏感问题</groupName>
      <ability>L2_UserSensitive</ability>
      <abilityName>自定义敏感词</abilityName>
      <candidateList/>
      <explain>来自自定义敏感词库。</explain>
      <paraID>56C5894F</paraID>
      <start>58</start>
      <end>66</end>
      <status>unmodified</status>
      <modifiedWord/>
      <trackRevisions>false</trackRevisions>
    </reviewItem>
    <reviewItem>
      <errorID>b604aec4-5d5c-427b-a94d-0306fe501cf8</errorID>
      <errorWord>生态环境保护目标</errorWord>
      <group>L1_Sensitive</group>
      <groupName>敏感问题</groupName>
      <ability>L2_UserSensitive</ability>
      <abilityName>自定义敏感词</abilityName>
      <candidateList/>
      <explain>来自自定义敏感词库。</explain>
      <paraID>112AF753</paraID>
      <start>127</start>
      <end>135</end>
      <status>unmodified</status>
      <modifiedWord/>
      <trackRevisions>false</trackRevisions>
    </reviewItem>
    <reviewItem>
      <errorID>ca238bf6-7a92-4b7d-b424-101a5f87ae6c</errorID>
      <errorWord>&lt;</errorWord>
      <group>L1_Format</group>
      <groupName>格式问题</groupName>
      <ability>L2_HalfPunc_CN</ability>
      <abilityName>全半角问题</abilityName>
      <candidateList>
        <item>〈</item>
      </candidateList>
      <explain>文本全半角错误。</explain>
      <paraID> 1D8140D</paraID>
      <start>231</start>
      <end>232</end>
      <status>unmodified</status>
      <modifiedWord/>
      <trackRevisions>false</trackRevisions>
    </reviewItem>
    <reviewItem>
      <errorID>3340cb30-607a-4148-a727-dcbcde93f8dd</errorID>
      <errorWord>&gt;</errorWord>
      <group>L1_Format</group>
      <groupName>格式问题</groupName>
      <ability>L2_HalfPunc_CN</ability>
      <abilityName>全半角问题</abilityName>
      <candidateList>
        <item>〉</item>
      </candidateList>
      <explain>文本全半角错误。</explain>
      <paraID> 1D8140D</paraID>
      <start>259</start>
      <end>260</end>
      <status>unmodified</status>
      <modifiedWord/>
      <trackRevisions>false</trackRevisions>
    </reviewItem>
    <reviewItem>
      <errorID>7750facf-ed08-464e-b48d-c8894139110a</errorID>
      <errorWord>[2020]341号</errorWord>
      <group>L1_Knowledge</group>
      <groupName>知识性问题</groupName>
      <ability>L2_Knowledge</ability>
      <abilityName>其他知识</abilityName>
      <candidateList>
        <item>〔2020〕341号</item>
      </candidateList>
      <explain>发文字号格式错误。</explain>
      <paraID> 1D8140D</paraID>
      <start>277</start>
      <end>287</end>
      <status>modified</status>
      <modifiedWord>〔2020〕341号</modifiedWord>
      <trackRevisions>false</trackRevisions>
    </reviewItem>
    <reviewItem>
      <errorID>24249566-b9aa-418f-8f25-274a8f9a3b85</errorID>
      <errorWord>NOX</errorWord>
      <group>L1_English</group>
      <groupName>英文问题</groupName>
      <ability>L2_Case</ability>
      <abilityName>大小写问题</abilityName>
      <candidateList>
        <item>NOx</item>
      </candidateList>
      <explain>疑似单词大小写错误，建议将NOX修改为NOx</explain>
      <paraID> CB9B063</paraID>
      <start>0</start>
      <end>3</end>
      <status>modified</status>
      <modifiedWord>NOx</modifiedWord>
      <trackRevisions>false</trackRevisions>
    </reviewItem>
    <reviewItem>
      <errorID>01b84f41-f4f9-4a67-8000-ed54443f5b1c</errorID>
      <errorWord>，</errorWord>
      <group>L1_Format</group>
      <groupName>格式问题</groupName>
      <ability>L2_HalfPunc_CN</ability>
      <abilityName>全半角问题</abilityName>
      <candidateList>
        <item>, </item>
      </candidateList>
      <explain>文本全半角错误。</explain>
      <paraID>714F732B</paraID>
      <start>1</start>
      <end>2</end>
      <status>unmodified</status>
      <modifiedWord/>
      <trackRevisions>false</trackRevisions>
    </reviewItem>
    <reviewItem>
      <errorID>8dab25c1-d6c9-44a7-809d-5221b1cf9804</errorID>
      <errorWord>交有</errorWord>
      <group>L1_Word</group>
      <groupName>字词问题</groupName>
      <ability>L2_Typo</ability>
      <abilityName>字词错误</abilityName>
      <candidateList>
        <item>交由</item>
      </candidateList>
      <explain/>
      <paraID>60195A15</paraID>
      <start>13</start>
      <end>15</end>
      <status>unmodified</status>
      <modifiedWord/>
      <trackRevisions>false</trackRevisions>
    </reviewItem>
    <reviewItem>
      <errorID>f9603d64-2e76-4605-a378-28b5206a20ed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30D9F118</paraID>
      <start>0</start>
      <end>2</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6a802a-3f43-4073-94f3-13a909da3f92}">
  <ds:schemaRefs/>
</ds:datastoreItem>
</file>

<file path=docProps/app.xml><?xml version="1.0" encoding="utf-8"?>
<Properties xmlns="http://schemas.openxmlformats.org/officeDocument/2006/extended-properties" xmlns:vt="http://schemas.openxmlformats.org/officeDocument/2006/docPropsVTypes">
  <Template>Normal.dotm</Template>
  <Company>zhs</Company>
  <Pages>91</Pages>
  <Words>59199</Words>
  <Characters>64598</Characters>
  <Lines>469</Lines>
  <Paragraphs>132</Paragraphs>
  <TotalTime>12</TotalTime>
  <ScaleCrop>false</ScaleCrop>
  <LinksUpToDate>false</LinksUpToDate>
  <CharactersWithSpaces>64817</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2020-11-25T03:48:00Z</dcterms:created>
  <dc:creator>ssl</dc:creator>
  <cp:lastModifiedBy>Administrator</cp:lastModifiedBy>
  <cp:lastPrinted>2026-02-02T05:17:00Z</cp:lastPrinted>
  <dcterms:modified xsi:type="dcterms:W3CDTF">2026-10-22T03:32:48Z</dcterms:modified>
  <dc:title>建设项目基本情况</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BD022467EA944C75BF49E55C58B4D6B1_13</vt:lpwstr>
  </property>
  <property fmtid="{D5CDD505-2E9C-101B-9397-08002B2CF9AE}" pid="4" name="commondata">
    <vt:lpwstr>eyJoZGlkIjoiY2ZlNWNkNzExNTI0NjU1ZjM1OWI4NGFhYjFmOTU1NDMifQ==</vt:lpwstr>
  </property>
  <property fmtid="{D5CDD505-2E9C-101B-9397-08002B2CF9AE}" pid="5" name="KSOTemplateDocerSaveRecord">
    <vt:lpwstr>eyJoZGlkIjoiM2E2M2JmZGIxNGFhYzk4MTM3MGY0ZGRiOTM3Y2M4NzQiLCJ1c2VySWQiOiIzNjg2MzM3MDcifQ==</vt:lpwstr>
  </property>
</Properties>
</file>