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87A79">
      <w:pPr>
        <w:rPr>
          <w:rFonts w:ascii="仿宋_GB2312" w:hAnsi="仿宋_GB2312" w:eastAsia="仿宋_GB2312" w:cs="仿宋_GB2312"/>
          <w:color w:val="auto"/>
          <w:sz w:val="36"/>
          <w:szCs w:val="36"/>
        </w:rPr>
      </w:pPr>
    </w:p>
    <w:p w14:paraId="386E6F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0"/>
        <w:rPr>
          <w:rFonts w:hint="eastAsia" w:ascii="方正小标宋_GBK" w:eastAsia="方正小标宋_GBK"/>
          <w:bCs/>
          <w:color w:val="auto"/>
          <w:sz w:val="72"/>
          <w:szCs w:val="72"/>
        </w:rPr>
      </w:pPr>
      <w:r>
        <w:rPr>
          <w:rFonts w:hint="eastAsia" w:ascii="方正小标宋_GBK" w:eastAsia="方正小标宋_GBK"/>
          <w:bCs/>
          <w:color w:val="auto"/>
          <w:sz w:val="72"/>
          <w:szCs w:val="72"/>
        </w:rPr>
        <w:t>建设项目</w:t>
      </w:r>
      <w:r>
        <w:rPr>
          <w:rFonts w:hint="eastAsia" w:ascii="方正小标宋_GBK" w:eastAsia="方正小标宋_GBK"/>
          <w:bCs/>
          <w:color w:val="auto"/>
          <w:sz w:val="72"/>
          <w:szCs w:val="72"/>
          <w:lang w:val="en-US" w:eastAsia="zh-CN"/>
        </w:rPr>
        <w:t>生态</w:t>
      </w:r>
      <w:r>
        <w:rPr>
          <w:rFonts w:hint="eastAsia" w:ascii="方正小标宋_GBK" w:eastAsia="方正小标宋_GBK"/>
          <w:bCs/>
          <w:color w:val="auto"/>
          <w:sz w:val="72"/>
          <w:szCs w:val="72"/>
        </w:rPr>
        <w:t>环境影响</w:t>
      </w:r>
    </w:p>
    <w:p w14:paraId="3CABF6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0"/>
        <w:rPr>
          <w:rFonts w:ascii="方正小标宋_GBK" w:eastAsia="方正小标宋_GBK"/>
          <w:bCs/>
          <w:color w:val="auto"/>
          <w:sz w:val="72"/>
          <w:szCs w:val="72"/>
        </w:rPr>
      </w:pPr>
      <w:r>
        <w:rPr>
          <w:rFonts w:hint="eastAsia" w:ascii="方正小标宋_GBK" w:eastAsia="方正小标宋_GBK"/>
          <w:bCs/>
          <w:color w:val="auto"/>
          <w:sz w:val="72"/>
          <w:szCs w:val="72"/>
        </w:rPr>
        <w:t>报告表</w:t>
      </w:r>
    </w:p>
    <w:p w14:paraId="66EDF5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楷体_GB2312" w:eastAsia="楷体_GB2312"/>
          <w:bCs/>
          <w:color w:val="auto"/>
          <w:sz w:val="44"/>
          <w:szCs w:val="44"/>
        </w:rPr>
      </w:pPr>
      <w:r>
        <w:rPr>
          <w:rFonts w:hint="eastAsia" w:ascii="楷体_GB2312" w:eastAsia="楷体_GB2312"/>
          <w:bCs/>
          <w:color w:val="auto"/>
          <w:sz w:val="44"/>
          <w:szCs w:val="44"/>
        </w:rPr>
        <w:t>（污染影响类）</w:t>
      </w:r>
    </w:p>
    <w:p w14:paraId="4397ED27">
      <w:pPr>
        <w:adjustRightInd w:val="0"/>
        <w:snapToGrid w:val="0"/>
        <w:spacing w:line="288" w:lineRule="auto"/>
        <w:jc w:val="center"/>
        <w:rPr>
          <w:rFonts w:ascii="华文仿宋" w:hAnsi="华文仿宋" w:eastAsia="华文仿宋" w:cs="华文仿宋"/>
          <w:color w:val="auto"/>
          <w:kern w:val="44"/>
          <w:sz w:val="44"/>
          <w:szCs w:val="44"/>
        </w:rPr>
      </w:pPr>
    </w:p>
    <w:p w14:paraId="33E01CBD">
      <w:pPr>
        <w:jc w:val="center"/>
        <w:rPr>
          <w:rFonts w:eastAsia="仿宋"/>
          <w:color w:val="auto"/>
          <w:sz w:val="52"/>
          <w:szCs w:val="52"/>
        </w:rPr>
      </w:pPr>
    </w:p>
    <w:p w14:paraId="2D6687F0">
      <w:pPr>
        <w:ind w:firstLine="1040"/>
        <w:rPr>
          <w:rFonts w:eastAsia="仿宋"/>
          <w:color w:val="auto"/>
          <w:sz w:val="44"/>
          <w:szCs w:val="44"/>
        </w:rPr>
      </w:pPr>
    </w:p>
    <w:p w14:paraId="2AF2985A">
      <w:pPr>
        <w:ind w:firstLine="1040"/>
        <w:rPr>
          <w:rFonts w:eastAsia="仿宋"/>
          <w:color w:val="auto"/>
          <w:sz w:val="44"/>
          <w:szCs w:val="44"/>
        </w:rPr>
      </w:pPr>
    </w:p>
    <w:p w14:paraId="620CE4AD">
      <w:pPr>
        <w:ind w:firstLine="1040"/>
        <w:rPr>
          <w:rFonts w:eastAsia="仿宋"/>
          <w:color w:val="auto"/>
          <w:sz w:val="44"/>
          <w:szCs w:val="44"/>
        </w:rPr>
      </w:pPr>
    </w:p>
    <w:p w14:paraId="5149C7B6">
      <w:pPr>
        <w:ind w:firstLine="1040"/>
        <w:rPr>
          <w:rFonts w:eastAsia="仿宋"/>
          <w:color w:val="auto"/>
          <w:sz w:val="44"/>
          <w:szCs w:val="44"/>
        </w:rPr>
      </w:pPr>
    </w:p>
    <w:p w14:paraId="50269D50">
      <w:pPr>
        <w:keepNext w:val="0"/>
        <w:keepLines w:val="0"/>
        <w:widowControl w:val="0"/>
        <w:suppressLineNumbers w:val="0"/>
        <w:autoSpaceDE w:val="0"/>
        <w:autoSpaceDN w:val="0"/>
        <w:adjustRightInd w:val="0"/>
        <w:snapToGrid w:val="0"/>
        <w:spacing w:before="0" w:beforeAutospacing="0" w:after="0" w:afterAutospacing="0" w:line="360" w:lineRule="auto"/>
        <w:ind w:left="2566" w:leftChars="266" w:right="0" w:hanging="1928" w:hangingChars="600"/>
        <w:jc w:val="both"/>
        <w:outlineLvl w:val="0"/>
        <w:rPr>
          <w:rFonts w:hint="default" w:ascii="Times New Roman" w:hAnsi="Times New Roman" w:eastAsia="宋体" w:cs="Times New Roman"/>
          <w:b/>
          <w:bCs/>
          <w:color w:val="auto"/>
          <w:sz w:val="32"/>
          <w:szCs w:val="32"/>
          <w:u w:val="single"/>
          <w:lang w:val="en-US"/>
        </w:rPr>
      </w:pPr>
      <w:bookmarkStart w:id="0" w:name="_Hlk57884087"/>
      <w:r>
        <w:rPr>
          <w:rFonts w:hint="eastAsia" w:ascii="宋体" w:hAnsi="宋体" w:eastAsia="宋体" w:cs="宋体"/>
          <w:b/>
          <w:bCs/>
          <w:snapToGrid/>
          <w:color w:val="auto"/>
          <w:kern w:val="0"/>
          <w:sz w:val="32"/>
          <w:szCs w:val="32"/>
          <w:lang w:val="en-US" w:eastAsia="zh-CN" w:bidi="ar"/>
        </w:rPr>
        <w:t>项目名称：</w:t>
      </w:r>
      <w:r>
        <w:rPr>
          <w:rFonts w:hint="eastAsia" w:ascii="宋体" w:hAnsi="宋体" w:cs="宋体"/>
          <w:b/>
          <w:bCs/>
          <w:snapToGrid/>
          <w:color w:val="auto"/>
          <w:kern w:val="0"/>
          <w:sz w:val="32"/>
          <w:szCs w:val="32"/>
          <w:u w:val="single"/>
          <w:lang w:val="en-US" w:eastAsia="zh-CN" w:bidi="ar"/>
        </w:rPr>
        <w:t xml:space="preserve">巴州鑫烁材料科技有限公司年产800万平方米LOW-E玻璃生产线项目 </w:t>
      </w:r>
      <w:r>
        <w:rPr>
          <w:rFonts w:hint="eastAsia" w:ascii="Times New Roman" w:hAnsi="Times New Roman" w:eastAsia="宋体" w:cs="Times New Roman"/>
          <w:b/>
          <w:bCs/>
          <w:snapToGrid/>
          <w:color w:val="auto"/>
          <w:kern w:val="0"/>
          <w:sz w:val="32"/>
          <w:szCs w:val="32"/>
          <w:u w:val="single"/>
          <w:lang w:val="en-US" w:eastAsia="zh-CN" w:bidi="ar"/>
        </w:rPr>
        <w:t xml:space="preserve">                                </w:t>
      </w:r>
    </w:p>
    <w:p w14:paraId="4E7EA4BF">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643" w:firstLineChars="200"/>
        <w:jc w:val="both"/>
        <w:outlineLvl w:val="0"/>
        <w:rPr>
          <w:rFonts w:hint="default" w:ascii="Times New Roman" w:hAnsi="Times New Roman" w:eastAsia="宋体" w:cs="Times New Roman"/>
          <w:b/>
          <w:bCs/>
          <w:color w:val="auto"/>
          <w:sz w:val="32"/>
          <w:szCs w:val="32"/>
          <w:u w:val="single"/>
        </w:rPr>
      </w:pPr>
      <w:r>
        <w:rPr>
          <w:rFonts w:hint="eastAsia" w:ascii="宋体" w:hAnsi="宋体" w:eastAsia="宋体" w:cs="宋体"/>
          <w:b/>
          <w:bCs/>
          <w:snapToGrid/>
          <w:color w:val="auto"/>
          <w:kern w:val="0"/>
          <w:sz w:val="32"/>
          <w:szCs w:val="32"/>
          <w:lang w:val="en-US" w:eastAsia="zh-CN" w:bidi="ar"/>
        </w:rPr>
        <w:t>建设单位（盖章）：</w:t>
      </w:r>
      <w:r>
        <w:rPr>
          <w:rFonts w:hint="eastAsia" w:ascii="Times New Roman" w:hAnsi="Times New Roman" w:eastAsia="宋体" w:cs="Times New Roman"/>
          <w:b/>
          <w:bCs/>
          <w:snapToGrid/>
          <w:color w:val="auto"/>
          <w:kern w:val="0"/>
          <w:sz w:val="32"/>
          <w:szCs w:val="32"/>
          <w:u w:val="single"/>
          <w:lang w:val="en-US" w:eastAsia="zh-CN" w:bidi="ar"/>
        </w:rPr>
        <w:t xml:space="preserve"> </w:t>
      </w:r>
      <w:r>
        <w:rPr>
          <w:rFonts w:hint="eastAsia" w:ascii="宋体" w:hAnsi="宋体" w:cs="宋体"/>
          <w:b/>
          <w:bCs/>
          <w:snapToGrid/>
          <w:color w:val="auto"/>
          <w:kern w:val="0"/>
          <w:sz w:val="32"/>
          <w:szCs w:val="32"/>
          <w:u w:val="single"/>
          <w:lang w:val="en-US" w:eastAsia="zh-CN" w:bidi="ar"/>
        </w:rPr>
        <w:t>巴州鑫烁材料科技有限公司</w:t>
      </w:r>
      <w:r>
        <w:rPr>
          <w:rFonts w:hint="eastAsia" w:ascii="Times New Roman" w:hAnsi="Times New Roman" w:eastAsia="宋体" w:cs="Times New Roman"/>
          <w:b/>
          <w:bCs/>
          <w:snapToGrid/>
          <w:color w:val="auto"/>
          <w:kern w:val="0"/>
          <w:sz w:val="32"/>
          <w:szCs w:val="32"/>
          <w:u w:val="single"/>
          <w:lang w:val="en-US" w:eastAsia="zh-CN" w:bidi="ar"/>
        </w:rPr>
        <w:t xml:space="preserve">        </w:t>
      </w:r>
    </w:p>
    <w:p w14:paraId="513D641F">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643" w:firstLineChars="200"/>
        <w:jc w:val="both"/>
        <w:outlineLvl w:val="0"/>
        <w:rPr>
          <w:rFonts w:hint="default" w:ascii="Times New Roman" w:hAnsi="Times New Roman" w:eastAsia="宋体" w:cs="Times New Roman"/>
          <w:b/>
          <w:bCs/>
          <w:color w:val="auto"/>
          <w:sz w:val="24"/>
          <w:szCs w:val="24"/>
        </w:rPr>
      </w:pPr>
      <w:r>
        <w:rPr>
          <w:rFonts w:hint="eastAsia" w:ascii="宋体" w:hAnsi="宋体" w:eastAsia="宋体" w:cs="宋体"/>
          <w:b/>
          <w:bCs/>
          <w:snapToGrid/>
          <w:color w:val="auto"/>
          <w:kern w:val="0"/>
          <w:sz w:val="32"/>
          <w:szCs w:val="32"/>
          <w:lang w:val="en-US" w:eastAsia="zh-CN" w:bidi="ar"/>
        </w:rPr>
        <w:t>编制日期：</w:t>
      </w:r>
      <w:r>
        <w:rPr>
          <w:rFonts w:hint="eastAsia" w:ascii="Times New Roman" w:hAnsi="Times New Roman" w:eastAsia="宋体" w:cs="Times New Roman"/>
          <w:b/>
          <w:bCs/>
          <w:snapToGrid/>
          <w:color w:val="auto"/>
          <w:kern w:val="0"/>
          <w:sz w:val="32"/>
          <w:szCs w:val="32"/>
          <w:u w:val="single"/>
          <w:lang w:val="en-US" w:eastAsia="zh-CN" w:bidi="ar"/>
        </w:rPr>
        <w:t xml:space="preserve">            </w:t>
      </w:r>
      <w:r>
        <w:rPr>
          <w:rFonts w:hint="eastAsia" w:cs="Times New Roman"/>
          <w:b/>
          <w:bCs/>
          <w:snapToGrid/>
          <w:color w:val="auto"/>
          <w:kern w:val="0"/>
          <w:sz w:val="32"/>
          <w:szCs w:val="32"/>
          <w:u w:val="single"/>
          <w:lang w:val="en-US" w:eastAsia="zh-CN" w:bidi="ar"/>
        </w:rPr>
        <w:t xml:space="preserve">   </w:t>
      </w:r>
      <w:r>
        <w:rPr>
          <w:rFonts w:hint="eastAsia" w:ascii="Times New Roman" w:hAnsi="Times New Roman" w:eastAsia="宋体" w:cs="Times New Roman"/>
          <w:b/>
          <w:bCs/>
          <w:snapToGrid/>
          <w:color w:val="auto"/>
          <w:kern w:val="0"/>
          <w:sz w:val="32"/>
          <w:szCs w:val="32"/>
          <w:u w:val="single"/>
          <w:lang w:val="en-US" w:eastAsia="zh-CN" w:bidi="ar"/>
        </w:rPr>
        <w:t xml:space="preserve"> </w:t>
      </w:r>
      <w:r>
        <w:rPr>
          <w:rFonts w:hint="default" w:ascii="Times New Roman" w:hAnsi="Times New Roman" w:eastAsia="宋体" w:cs="Times New Roman"/>
          <w:b/>
          <w:bCs/>
          <w:snapToGrid/>
          <w:color w:val="auto"/>
          <w:kern w:val="0"/>
          <w:sz w:val="32"/>
          <w:szCs w:val="32"/>
          <w:u w:val="single"/>
          <w:lang w:val="en-US" w:eastAsia="zh-CN" w:bidi="ar"/>
        </w:rPr>
        <w:t>202</w:t>
      </w:r>
      <w:r>
        <w:rPr>
          <w:rFonts w:hint="eastAsia" w:cs="Times New Roman"/>
          <w:b/>
          <w:bCs/>
          <w:snapToGrid/>
          <w:color w:val="auto"/>
          <w:kern w:val="0"/>
          <w:sz w:val="32"/>
          <w:szCs w:val="32"/>
          <w:u w:val="single"/>
          <w:lang w:val="en-US" w:eastAsia="zh-CN" w:bidi="ar"/>
        </w:rPr>
        <w:t>6</w:t>
      </w:r>
      <w:r>
        <w:rPr>
          <w:rFonts w:hint="eastAsia" w:ascii="宋体" w:hAnsi="宋体" w:eastAsia="宋体" w:cs="宋体"/>
          <w:b/>
          <w:bCs/>
          <w:snapToGrid/>
          <w:color w:val="auto"/>
          <w:kern w:val="0"/>
          <w:sz w:val="32"/>
          <w:szCs w:val="32"/>
          <w:u w:val="single"/>
          <w:lang w:val="en-US" w:eastAsia="zh-CN" w:bidi="ar"/>
        </w:rPr>
        <w:t>年</w:t>
      </w:r>
      <w:r>
        <w:rPr>
          <w:rFonts w:hint="eastAsia" w:ascii="宋体" w:hAnsi="宋体" w:cs="宋体"/>
          <w:b/>
          <w:bCs/>
          <w:snapToGrid/>
          <w:color w:val="auto"/>
          <w:kern w:val="0"/>
          <w:sz w:val="32"/>
          <w:szCs w:val="32"/>
          <w:u w:val="single"/>
          <w:lang w:val="en-US" w:eastAsia="zh-CN" w:bidi="ar"/>
        </w:rPr>
        <w:t>10</w:t>
      </w:r>
      <w:r>
        <w:rPr>
          <w:rFonts w:hint="eastAsia" w:ascii="宋体" w:hAnsi="宋体" w:eastAsia="宋体" w:cs="宋体"/>
          <w:b/>
          <w:bCs/>
          <w:snapToGrid/>
          <w:color w:val="auto"/>
          <w:kern w:val="0"/>
          <w:sz w:val="32"/>
          <w:szCs w:val="32"/>
          <w:u w:val="single"/>
          <w:lang w:val="en-US" w:eastAsia="zh-CN" w:bidi="ar"/>
        </w:rPr>
        <w:t>月</w:t>
      </w:r>
      <w:r>
        <w:rPr>
          <w:rFonts w:hint="eastAsia" w:ascii="Times New Roman" w:hAnsi="Times New Roman" w:eastAsia="宋体" w:cs="Times New Roman"/>
          <w:b/>
          <w:bCs/>
          <w:snapToGrid/>
          <w:color w:val="auto"/>
          <w:kern w:val="0"/>
          <w:sz w:val="32"/>
          <w:szCs w:val="32"/>
          <w:u w:val="single"/>
          <w:lang w:val="en-US" w:eastAsia="zh-CN" w:bidi="ar"/>
        </w:rPr>
        <w:t xml:space="preserve">                        </w:t>
      </w:r>
    </w:p>
    <w:p w14:paraId="393440C1">
      <w:pPr>
        <w:adjustRightInd w:val="0"/>
        <w:snapToGrid w:val="0"/>
        <w:spacing w:line="288" w:lineRule="auto"/>
        <w:ind w:firstLine="1040"/>
        <w:rPr>
          <w:rFonts w:ascii="仿宋_GB2312" w:eastAsia="仿宋_GB2312"/>
          <w:color w:val="auto"/>
          <w:sz w:val="36"/>
          <w:szCs w:val="36"/>
        </w:rPr>
      </w:pPr>
    </w:p>
    <w:p w14:paraId="72B44399">
      <w:pPr>
        <w:adjustRightInd w:val="0"/>
        <w:snapToGrid w:val="0"/>
        <w:spacing w:line="288" w:lineRule="auto"/>
        <w:ind w:firstLine="1040"/>
        <w:rPr>
          <w:rFonts w:ascii="仿宋_GB2312" w:eastAsia="仿宋_GB2312"/>
          <w:color w:val="auto"/>
          <w:sz w:val="36"/>
          <w:szCs w:val="36"/>
        </w:rPr>
      </w:pPr>
    </w:p>
    <w:p w14:paraId="1B9D72C4">
      <w:pPr>
        <w:adjustRightInd w:val="0"/>
        <w:snapToGrid w:val="0"/>
        <w:spacing w:line="288" w:lineRule="auto"/>
        <w:ind w:firstLine="1040"/>
        <w:rPr>
          <w:rFonts w:ascii="仿宋_GB2312" w:eastAsia="仿宋_GB2312"/>
          <w:color w:val="auto"/>
          <w:sz w:val="36"/>
          <w:szCs w:val="36"/>
        </w:rPr>
      </w:pPr>
    </w:p>
    <w:bookmarkEnd w:id="0"/>
    <w:p w14:paraId="12D65945">
      <w:pPr>
        <w:adjustRightInd w:val="0"/>
        <w:snapToGrid w:val="0"/>
        <w:spacing w:line="288" w:lineRule="auto"/>
        <w:jc w:val="center"/>
        <w:rPr>
          <w:rFonts w:ascii="楷体_GB2312" w:eastAsia="楷体_GB2312"/>
          <w:color w:val="auto"/>
          <w:sz w:val="36"/>
          <w:szCs w:val="36"/>
        </w:rPr>
      </w:pPr>
      <w:r>
        <w:rPr>
          <w:rFonts w:hint="eastAsia" w:ascii="楷体_GB2312" w:eastAsia="楷体_GB2312"/>
          <w:color w:val="auto"/>
          <w:sz w:val="36"/>
          <w:szCs w:val="36"/>
        </w:rPr>
        <w:t>中华人民共和国生态环境部制</w:t>
      </w:r>
    </w:p>
    <w:p w14:paraId="5711F883">
      <w:pPr>
        <w:rPr>
          <w:rFonts w:ascii="仿宋_GB2312" w:eastAsia="仿宋_GB2312"/>
          <w:color w:val="auto"/>
          <w:sz w:val="36"/>
          <w:szCs w:val="36"/>
        </w:rPr>
        <w:sectPr>
          <w:footerReference r:id="rId5" w:type="default"/>
          <w:footerReference r:id="rId6" w:type="even"/>
          <w:pgSz w:w="11906" w:h="16838"/>
          <w:pgMar w:top="1531" w:right="1531" w:bottom="153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ascii="仿宋_GB2312" w:eastAsia="仿宋_GB2312"/>
          <w:color w:val="auto"/>
          <w:sz w:val="36"/>
          <w:szCs w:val="36"/>
        </w:rPr>
        <w:br w:type="page"/>
      </w:r>
    </w:p>
    <w:p w14:paraId="26BB66A1">
      <w:pPr>
        <w:pStyle w:val="3"/>
        <w:bidi w:val="0"/>
        <w:rPr>
          <w:rFonts w:hint="default"/>
          <w:color w:val="auto"/>
          <w:lang w:val="en-US" w:eastAsia="zh-CN"/>
        </w:rPr>
      </w:pPr>
      <w:r>
        <w:rPr>
          <w:rFonts w:hint="eastAsia"/>
          <w:color w:val="auto"/>
          <w:lang w:val="en-US" w:eastAsia="zh-CN"/>
        </w:rPr>
        <w:t>附图：</w:t>
      </w:r>
    </w:p>
    <w:p w14:paraId="03871E03">
      <w:pPr>
        <w:bidi w:val="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附图1-1项目区环境管控单元位置示意图</w:t>
      </w:r>
    </w:p>
    <w:p w14:paraId="66DE7B04">
      <w:pPr>
        <w:bidi w:val="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附图1-2 本项目与产业布局的位置关系</w:t>
      </w:r>
    </w:p>
    <w:p w14:paraId="158869F1">
      <w:pPr>
        <w:bidi w:val="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附图1-3 项目区用地布局规划示意图</w:t>
      </w:r>
    </w:p>
    <w:p w14:paraId="664AD5F4">
      <w:pPr>
        <w:bidi w:val="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附图2-1项目区地理位置示意图</w:t>
      </w:r>
    </w:p>
    <w:p w14:paraId="63EDF110">
      <w:pPr>
        <w:bidi w:val="0"/>
        <w:rPr>
          <w:rFonts w:hint="eastAsia"/>
          <w:color w:val="auto"/>
          <w:lang w:val="en-US" w:eastAsia="zh-CN"/>
        </w:rPr>
      </w:pPr>
      <w:r>
        <w:rPr>
          <w:rFonts w:hint="eastAsia"/>
          <w:color w:val="auto"/>
          <w:lang w:val="en-US" w:eastAsia="zh-CN"/>
        </w:rPr>
        <w:t>附图2-2项目区周边关系图</w:t>
      </w:r>
    </w:p>
    <w:p w14:paraId="68AB55AD">
      <w:pPr>
        <w:bidi w:val="0"/>
        <w:rPr>
          <w:rFonts w:hint="eastAsia"/>
          <w:color w:val="auto"/>
          <w:lang w:val="en-US" w:eastAsia="zh-CN"/>
        </w:rPr>
      </w:pPr>
      <w:r>
        <w:rPr>
          <w:rFonts w:hint="eastAsia"/>
          <w:color w:val="auto"/>
          <w:lang w:val="en-US" w:eastAsia="zh-CN"/>
        </w:rPr>
        <w:t>附图2-3项目区平面布置图</w:t>
      </w:r>
    </w:p>
    <w:p w14:paraId="2DF8A407">
      <w:pPr>
        <w:bidi w:val="0"/>
        <w:rPr>
          <w:rFonts w:hint="eastAsia"/>
          <w:color w:val="auto"/>
          <w:lang w:val="en-US" w:eastAsia="zh-CN"/>
        </w:rPr>
      </w:pPr>
      <w:r>
        <w:rPr>
          <w:rFonts w:hint="eastAsia"/>
          <w:color w:val="auto"/>
          <w:lang w:val="en-US" w:eastAsia="zh-CN"/>
        </w:rPr>
        <w:t>附图3-1大气现状监测点位示意图</w:t>
      </w:r>
    </w:p>
    <w:p w14:paraId="1C5A83C6">
      <w:pPr>
        <w:bidi w:val="0"/>
        <w:rPr>
          <w:rFonts w:hint="eastAsia"/>
          <w:color w:val="auto"/>
          <w:lang w:val="en-US" w:eastAsia="zh-CN"/>
        </w:rPr>
      </w:pPr>
      <w:r>
        <w:rPr>
          <w:rFonts w:hint="eastAsia"/>
          <w:color w:val="auto"/>
          <w:lang w:val="en-US" w:eastAsia="zh-CN"/>
        </w:rPr>
        <w:t>附图4-1项目区分区防渗示意图</w:t>
      </w:r>
      <w:r>
        <w:rPr>
          <w:rFonts w:hint="eastAsia"/>
          <w:color w:val="auto"/>
          <w:lang w:val="en-US" w:eastAsia="zh-CN"/>
        </w:rPr>
        <w:br w:type="textWrapping"/>
      </w:r>
      <w:r>
        <w:rPr>
          <w:rFonts w:hint="eastAsia"/>
          <w:b/>
          <w:bCs/>
          <w:color w:val="auto"/>
          <w:lang w:val="en-US" w:eastAsia="zh-CN"/>
        </w:rPr>
        <w:t>附件</w:t>
      </w:r>
      <w:r>
        <w:rPr>
          <w:rFonts w:hint="eastAsia"/>
          <w:color w:val="auto"/>
          <w:lang w:val="en-US" w:eastAsia="zh-CN"/>
        </w:rPr>
        <w:t>：</w:t>
      </w:r>
    </w:p>
    <w:p w14:paraId="632A111B">
      <w:pPr>
        <w:bidi w:val="0"/>
        <w:rPr>
          <w:rFonts w:hint="default"/>
          <w:color w:val="auto"/>
          <w:lang w:val="en-US" w:eastAsia="zh-CN"/>
        </w:rPr>
      </w:pPr>
      <w:r>
        <w:rPr>
          <w:rFonts w:hint="eastAsia"/>
          <w:color w:val="auto"/>
          <w:lang w:val="en-US" w:eastAsia="zh-CN"/>
        </w:rPr>
        <w:t>附件1委托书</w:t>
      </w:r>
    </w:p>
    <w:p w14:paraId="445F5643">
      <w:pPr>
        <w:bidi w:val="0"/>
        <w:rPr>
          <w:rFonts w:hint="default"/>
          <w:color w:val="auto"/>
          <w:lang w:val="en-US" w:eastAsia="zh-CN"/>
        </w:rPr>
      </w:pPr>
      <w:r>
        <w:rPr>
          <w:rFonts w:hint="eastAsia"/>
          <w:color w:val="auto"/>
          <w:lang w:val="en-US" w:eastAsia="zh-CN"/>
        </w:rPr>
        <w:t>附件2备案证</w:t>
      </w:r>
    </w:p>
    <w:p w14:paraId="5632E0AD">
      <w:pPr>
        <w:bidi w:val="0"/>
        <w:rPr>
          <w:rFonts w:hint="eastAsia"/>
          <w:color w:val="auto"/>
          <w:lang w:val="en-US" w:eastAsia="zh-CN"/>
        </w:rPr>
      </w:pPr>
      <w:r>
        <w:rPr>
          <w:rFonts w:hint="eastAsia"/>
          <w:color w:val="auto"/>
          <w:lang w:val="en-US" w:eastAsia="zh-CN"/>
        </w:rPr>
        <w:t>附件3营业执照</w:t>
      </w:r>
    </w:p>
    <w:p w14:paraId="14D56223">
      <w:pPr>
        <w:bidi w:val="0"/>
        <w:rPr>
          <w:rFonts w:hint="default"/>
          <w:color w:val="auto"/>
          <w:lang w:val="en-US" w:eastAsia="zh-CN"/>
        </w:rPr>
      </w:pPr>
      <w:r>
        <w:rPr>
          <w:rFonts w:hint="eastAsia"/>
          <w:color w:val="auto"/>
          <w:lang w:val="en-US" w:eastAsia="zh-CN"/>
        </w:rPr>
        <w:t>附件4用地证明</w:t>
      </w:r>
    </w:p>
    <w:p w14:paraId="1CA955C0">
      <w:pPr>
        <w:bidi w:val="0"/>
        <w:rPr>
          <w:rFonts w:hint="eastAsia"/>
          <w:color w:val="auto"/>
          <w:lang w:val="en-US" w:eastAsia="zh-CN"/>
        </w:rPr>
      </w:pPr>
      <w:r>
        <w:rPr>
          <w:rFonts w:hint="eastAsia"/>
          <w:color w:val="auto"/>
          <w:lang w:val="en-US" w:eastAsia="zh-CN"/>
        </w:rPr>
        <w:t>附件5大气质量现状监测报告</w:t>
      </w:r>
    </w:p>
    <w:p w14:paraId="77557A5F">
      <w:pPr>
        <w:rPr>
          <w:rFonts w:hint="default"/>
          <w:color w:val="auto"/>
          <w:lang w:val="en-US" w:eastAsia="zh-CN"/>
        </w:rPr>
      </w:pPr>
      <w:r>
        <w:rPr>
          <w:rFonts w:hint="eastAsia"/>
          <w:color w:val="auto"/>
          <w:lang w:val="en-US" w:eastAsia="zh-CN"/>
        </w:rPr>
        <w:br w:type="page"/>
      </w:r>
    </w:p>
    <w:p w14:paraId="0D6811B7">
      <w:pPr>
        <w:rPr>
          <w:rFonts w:hint="default"/>
          <w:color w:val="auto"/>
          <w:lang w:val="en-US" w:eastAsia="zh-CN"/>
        </w:rPr>
        <w:sectPr>
          <w:pgSz w:w="11906" w:h="16838"/>
          <w:pgMar w:top="1531" w:right="1531" w:bottom="153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10185B00">
      <w:pPr>
        <w:pStyle w:val="25"/>
        <w:keepNext w:val="0"/>
        <w:keepLines w:val="0"/>
        <w:pageBreakBefore w:val="0"/>
        <w:widowControl/>
        <w:kinsoku/>
        <w:wordWrap/>
        <w:overflowPunct/>
        <w:topLinePunct w:val="0"/>
        <w:autoSpaceDE/>
        <w:autoSpaceDN/>
        <w:bidi w:val="0"/>
        <w:adjustRightInd w:val="0"/>
        <w:snapToGrid w:val="0"/>
        <w:spacing w:line="240" w:lineRule="auto"/>
        <w:jc w:val="center"/>
        <w:textAlignment w:val="auto"/>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一、建设项目基本情况</w:t>
      </w:r>
    </w:p>
    <w:tbl>
      <w:tblPr>
        <w:tblStyle w:val="30"/>
        <w:tblW w:w="501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581"/>
        <w:gridCol w:w="2218"/>
        <w:gridCol w:w="1815"/>
        <w:gridCol w:w="3630"/>
      </w:tblGrid>
      <w:tr w14:paraId="5A109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55" w:type="pct"/>
            <w:tcMar>
              <w:top w:w="16" w:type="dxa"/>
              <w:left w:w="16" w:type="dxa"/>
              <w:right w:w="16" w:type="dxa"/>
            </w:tcMar>
            <w:vAlign w:val="center"/>
          </w:tcPr>
          <w:p w14:paraId="401CAD2A">
            <w:pPr>
              <w:pStyle w:val="11"/>
              <w:keepNext w:val="0"/>
              <w:keepLines w:val="0"/>
              <w:suppressLineNumbers w:val="0"/>
              <w:bidi w:val="0"/>
              <w:spacing w:before="0" w:beforeAutospacing="0" w:after="0" w:afterAutospacing="0"/>
              <w:ind w:left="0"/>
              <w:rPr>
                <w:rFonts w:hint="default"/>
                <w:color w:val="auto"/>
              </w:rPr>
            </w:pPr>
            <w:r>
              <w:rPr>
                <w:rFonts w:hint="default"/>
                <w:color w:val="auto"/>
              </w:rPr>
              <w:t>建设项目名称</w:t>
            </w:r>
          </w:p>
        </w:tc>
        <w:tc>
          <w:tcPr>
            <w:tcW w:w="4144" w:type="pct"/>
            <w:gridSpan w:val="3"/>
            <w:vAlign w:val="center"/>
          </w:tcPr>
          <w:p w14:paraId="5923C74A">
            <w:pPr>
              <w:pStyle w:val="11"/>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textAlignment w:val="auto"/>
              <w:rPr>
                <w:rFonts w:hint="eastAsia"/>
                <w:color w:val="auto"/>
                <w:lang w:eastAsia="zh-CN"/>
              </w:rPr>
            </w:pPr>
            <w:r>
              <w:rPr>
                <w:rFonts w:hint="eastAsia"/>
                <w:color w:val="auto"/>
                <w:lang w:eastAsia="zh-CN"/>
              </w:rPr>
              <w:t>巴州鑫烁材料科技有限公司年产800万平方米LOW-E玻璃生产线</w:t>
            </w:r>
            <w:r>
              <w:rPr>
                <w:rFonts w:hint="eastAsia"/>
                <w:color w:val="auto"/>
                <w:lang w:val="en-US" w:eastAsia="zh-CN"/>
              </w:rPr>
              <w:t>项目</w:t>
            </w:r>
            <w:r>
              <w:rPr>
                <w:rFonts w:hint="eastAsia"/>
                <w:color w:val="auto"/>
                <w:lang w:eastAsia="zh-CN"/>
              </w:rPr>
              <w:t xml:space="preserve"> </w:t>
            </w:r>
          </w:p>
        </w:tc>
      </w:tr>
      <w:tr w14:paraId="1A1F67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tcMar>
              <w:top w:w="16" w:type="dxa"/>
              <w:left w:w="16" w:type="dxa"/>
              <w:right w:w="16" w:type="dxa"/>
            </w:tcMar>
            <w:vAlign w:val="center"/>
          </w:tcPr>
          <w:p w14:paraId="71C95D4D">
            <w:pPr>
              <w:pStyle w:val="11"/>
              <w:keepNext w:val="0"/>
              <w:keepLines w:val="0"/>
              <w:suppressLineNumbers w:val="0"/>
              <w:bidi w:val="0"/>
              <w:spacing w:before="0" w:beforeAutospacing="0" w:after="0" w:afterAutospacing="0"/>
              <w:ind w:left="0"/>
              <w:rPr>
                <w:rFonts w:hint="default"/>
                <w:color w:val="auto"/>
              </w:rPr>
            </w:pPr>
            <w:r>
              <w:rPr>
                <w:rFonts w:hint="default"/>
                <w:color w:val="auto"/>
              </w:rPr>
              <w:t>项目代码</w:t>
            </w:r>
          </w:p>
        </w:tc>
        <w:tc>
          <w:tcPr>
            <w:tcW w:w="4144" w:type="pct"/>
            <w:gridSpan w:val="3"/>
            <w:vAlign w:val="center"/>
          </w:tcPr>
          <w:p w14:paraId="3BCCF61A">
            <w:pPr>
              <w:pStyle w:val="11"/>
              <w:keepNext w:val="0"/>
              <w:keepLines w:val="0"/>
              <w:suppressLineNumbers w:val="0"/>
              <w:bidi w:val="0"/>
              <w:spacing w:before="0" w:beforeAutospacing="0" w:after="0" w:afterAutospacing="0"/>
              <w:ind w:left="0"/>
              <w:rPr>
                <w:rFonts w:hint="default" w:eastAsia="宋体"/>
                <w:color w:val="auto"/>
                <w:lang w:val="en-US" w:eastAsia="zh-CN"/>
              </w:rPr>
            </w:pPr>
            <w:r>
              <w:rPr>
                <w:rFonts w:hint="eastAsia"/>
                <w:color w:val="auto"/>
                <w:lang w:val="en-US" w:eastAsia="zh-CN"/>
              </w:rPr>
              <w:t>2505-652822-04-01-874023</w:t>
            </w:r>
          </w:p>
        </w:tc>
      </w:tr>
      <w:tr w14:paraId="3A8304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tcMar>
              <w:top w:w="16" w:type="dxa"/>
              <w:left w:w="16" w:type="dxa"/>
              <w:right w:w="16" w:type="dxa"/>
            </w:tcMar>
            <w:vAlign w:val="center"/>
          </w:tcPr>
          <w:p w14:paraId="3B9B4B04">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建设单位联系人</w:t>
            </w:r>
          </w:p>
        </w:tc>
        <w:tc>
          <w:tcPr>
            <w:tcW w:w="1199" w:type="pct"/>
            <w:vAlign w:val="center"/>
          </w:tcPr>
          <w:p w14:paraId="6914EF0C">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lang w:val="en-US" w:eastAsia="zh-CN"/>
              </w:rPr>
            </w:pPr>
          </w:p>
        </w:tc>
        <w:tc>
          <w:tcPr>
            <w:tcW w:w="981" w:type="pct"/>
            <w:vAlign w:val="center"/>
          </w:tcPr>
          <w:p w14:paraId="1ADC37A9">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联系方式</w:t>
            </w:r>
          </w:p>
        </w:tc>
        <w:tc>
          <w:tcPr>
            <w:tcW w:w="1963" w:type="pct"/>
            <w:vAlign w:val="center"/>
          </w:tcPr>
          <w:p w14:paraId="158397F0">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lang w:val="en-US" w:eastAsia="zh-CN"/>
              </w:rPr>
            </w:pPr>
          </w:p>
        </w:tc>
      </w:tr>
      <w:tr w14:paraId="50D083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tcMar>
              <w:top w:w="16" w:type="dxa"/>
              <w:left w:w="16" w:type="dxa"/>
              <w:right w:w="16" w:type="dxa"/>
            </w:tcMar>
            <w:vAlign w:val="center"/>
          </w:tcPr>
          <w:p w14:paraId="4A95A436">
            <w:pPr>
              <w:pStyle w:val="11"/>
              <w:keepNext w:val="0"/>
              <w:keepLines w:val="0"/>
              <w:suppressLineNumbers w:val="0"/>
              <w:bidi w:val="0"/>
              <w:spacing w:before="0" w:beforeAutospacing="0" w:after="0" w:afterAutospacing="0"/>
              <w:ind w:left="0"/>
              <w:rPr>
                <w:rFonts w:hint="default" w:ascii="Times New Roman" w:hAnsi="Times New Roman" w:eastAsia="宋体" w:cs="宋体"/>
                <w:color w:val="auto"/>
                <w:sz w:val="24"/>
                <w:szCs w:val="24"/>
                <w:lang w:val="en-US" w:eastAsia="zh-CN"/>
              </w:rPr>
            </w:pPr>
            <w:r>
              <w:rPr>
                <w:rFonts w:hint="default" w:ascii="Times New Roman" w:hAnsi="Times New Roman" w:eastAsia="宋体" w:cs="宋体"/>
                <w:color w:val="auto"/>
                <w:sz w:val="24"/>
                <w:szCs w:val="24"/>
                <w:lang w:val="en-US" w:eastAsia="zh-CN"/>
              </w:rPr>
              <w:t>建设地点</w:t>
            </w:r>
          </w:p>
        </w:tc>
        <w:tc>
          <w:tcPr>
            <w:tcW w:w="4144" w:type="pct"/>
            <w:gridSpan w:val="3"/>
            <w:vAlign w:val="center"/>
          </w:tcPr>
          <w:p w14:paraId="5F052C8B">
            <w:pPr>
              <w:pStyle w:val="11"/>
              <w:keepNext w:val="0"/>
              <w:keepLines w:val="0"/>
              <w:suppressLineNumbers w:val="0"/>
              <w:bidi w:val="0"/>
              <w:spacing w:before="0" w:beforeAutospacing="0" w:after="0" w:afterAutospacing="0"/>
              <w:ind w:left="0"/>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新疆维吾尔自治区巴音郭楞蒙古自治州</w:t>
            </w:r>
            <w:r>
              <w:rPr>
                <w:rFonts w:hint="eastAsia" w:cs="宋体"/>
                <w:color w:val="auto"/>
                <w:sz w:val="24"/>
                <w:szCs w:val="24"/>
                <w:lang w:val="en-US" w:eastAsia="zh-CN"/>
              </w:rPr>
              <w:t>轮台县</w:t>
            </w:r>
            <w:r>
              <w:rPr>
                <w:rFonts w:hint="default" w:ascii="Times New Roman" w:hAnsi="Times New Roman" w:eastAsia="宋体" w:cs="Times New Roman"/>
                <w:color w:val="auto"/>
                <w:lang w:val="en-US" w:eastAsia="zh-CN"/>
              </w:rPr>
              <w:t>轮台工业园区拉依苏化工区</w:t>
            </w:r>
            <w:r>
              <w:rPr>
                <w:rFonts w:hint="eastAsia"/>
                <w:color w:val="auto"/>
                <w:lang w:val="en-US" w:eastAsia="zh-CN"/>
              </w:rPr>
              <w:t>新疆光耀玻璃科技有限公司院内</w:t>
            </w:r>
          </w:p>
        </w:tc>
      </w:tr>
      <w:tr w14:paraId="6EE316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tcMar>
              <w:top w:w="16" w:type="dxa"/>
              <w:left w:w="16" w:type="dxa"/>
              <w:right w:w="16" w:type="dxa"/>
            </w:tcMar>
            <w:vAlign w:val="center"/>
          </w:tcPr>
          <w:p w14:paraId="53FE853E">
            <w:pPr>
              <w:pStyle w:val="11"/>
              <w:keepNext w:val="0"/>
              <w:keepLines w:val="0"/>
              <w:suppressLineNumbers w:val="0"/>
              <w:bidi w:val="0"/>
              <w:spacing w:before="0" w:beforeAutospacing="0" w:after="0" w:afterAutospacing="0"/>
              <w:ind w:left="0"/>
              <w:rPr>
                <w:rFonts w:hint="default"/>
                <w:color w:val="auto"/>
              </w:rPr>
            </w:pPr>
            <w:r>
              <w:rPr>
                <w:rFonts w:hint="default"/>
                <w:color w:val="auto"/>
              </w:rPr>
              <w:t>地理坐标</w:t>
            </w:r>
          </w:p>
        </w:tc>
        <w:tc>
          <w:tcPr>
            <w:tcW w:w="4144" w:type="pct"/>
            <w:gridSpan w:val="3"/>
            <w:vAlign w:val="center"/>
          </w:tcPr>
          <w:p w14:paraId="29869861">
            <w:pPr>
              <w:pStyle w:val="11"/>
              <w:keepNext w:val="0"/>
              <w:keepLines w:val="0"/>
              <w:suppressLineNumbers w:val="0"/>
              <w:bidi w:val="0"/>
              <w:spacing w:before="0" w:beforeAutospacing="0" w:after="0" w:afterAutospacing="0"/>
              <w:ind w:left="0"/>
              <w:rPr>
                <w:rFonts w:hint="default"/>
                <w:color w:val="auto"/>
              </w:rPr>
            </w:pPr>
            <w:r>
              <w:rPr>
                <w:rFonts w:hint="default"/>
                <w:snapToGrid w:val="0"/>
                <w:color w:val="auto"/>
                <w:kern w:val="0"/>
                <w:sz w:val="24"/>
              </w:rPr>
              <w:t>（东经</w:t>
            </w:r>
            <w:r>
              <w:rPr>
                <w:rFonts w:hint="eastAsia"/>
                <w:snapToGrid w:val="0"/>
                <w:color w:val="auto"/>
                <w:kern w:val="0"/>
                <w:sz w:val="24"/>
                <w:u w:val="single"/>
                <w:lang w:val="en-US" w:eastAsia="zh-CN"/>
              </w:rPr>
              <w:t>84</w:t>
            </w:r>
            <w:r>
              <w:rPr>
                <w:rFonts w:hint="default"/>
                <w:snapToGrid w:val="0"/>
                <w:color w:val="auto"/>
                <w:kern w:val="0"/>
                <w:sz w:val="24"/>
                <w:u w:val="single"/>
              </w:rPr>
              <w:t xml:space="preserve"> </w:t>
            </w:r>
            <w:r>
              <w:rPr>
                <w:rFonts w:hint="default"/>
                <w:snapToGrid w:val="0"/>
                <w:color w:val="auto"/>
                <w:kern w:val="0"/>
                <w:sz w:val="24"/>
              </w:rPr>
              <w:t>度</w:t>
            </w:r>
            <w:r>
              <w:rPr>
                <w:rFonts w:hint="eastAsia"/>
                <w:snapToGrid w:val="0"/>
                <w:color w:val="auto"/>
                <w:kern w:val="0"/>
                <w:sz w:val="24"/>
                <w:u w:val="single"/>
                <w:lang w:val="en-US" w:eastAsia="zh-CN"/>
              </w:rPr>
              <w:t>2</w:t>
            </w:r>
            <w:r>
              <w:rPr>
                <w:rFonts w:hint="default"/>
                <w:snapToGrid w:val="0"/>
                <w:color w:val="auto"/>
                <w:kern w:val="0"/>
                <w:sz w:val="24"/>
                <w:u w:val="single"/>
              </w:rPr>
              <w:t xml:space="preserve"> </w:t>
            </w:r>
            <w:r>
              <w:rPr>
                <w:rFonts w:hint="default"/>
                <w:snapToGrid w:val="0"/>
                <w:color w:val="auto"/>
                <w:kern w:val="0"/>
                <w:sz w:val="24"/>
              </w:rPr>
              <w:t>分</w:t>
            </w:r>
            <w:r>
              <w:rPr>
                <w:rFonts w:hint="eastAsia"/>
                <w:snapToGrid w:val="0"/>
                <w:color w:val="auto"/>
                <w:kern w:val="0"/>
                <w:sz w:val="24"/>
                <w:u w:val="single"/>
                <w:lang w:val="en-US" w:eastAsia="zh-CN"/>
              </w:rPr>
              <w:t>15.606</w:t>
            </w:r>
            <w:r>
              <w:rPr>
                <w:rFonts w:hint="default"/>
                <w:snapToGrid w:val="0"/>
                <w:color w:val="auto"/>
                <w:kern w:val="0"/>
                <w:sz w:val="24"/>
                <w:u w:val="single"/>
              </w:rPr>
              <w:t xml:space="preserve"> </w:t>
            </w:r>
            <w:r>
              <w:rPr>
                <w:rFonts w:hint="default"/>
                <w:snapToGrid w:val="0"/>
                <w:color w:val="auto"/>
                <w:kern w:val="0"/>
                <w:sz w:val="24"/>
              </w:rPr>
              <w:t>秒，北纬</w:t>
            </w:r>
            <w:r>
              <w:rPr>
                <w:rFonts w:hint="default"/>
                <w:snapToGrid w:val="0"/>
                <w:color w:val="auto"/>
                <w:kern w:val="0"/>
                <w:sz w:val="24"/>
                <w:u w:val="single"/>
              </w:rPr>
              <w:t xml:space="preserve">41 </w:t>
            </w:r>
            <w:r>
              <w:rPr>
                <w:rFonts w:hint="default"/>
                <w:snapToGrid w:val="0"/>
                <w:color w:val="auto"/>
                <w:kern w:val="0"/>
                <w:sz w:val="24"/>
              </w:rPr>
              <w:t>度</w:t>
            </w:r>
            <w:r>
              <w:rPr>
                <w:rFonts w:hint="eastAsia"/>
                <w:snapToGrid w:val="0"/>
                <w:color w:val="auto"/>
                <w:kern w:val="0"/>
                <w:sz w:val="24"/>
                <w:u w:val="single"/>
                <w:lang w:val="en-US" w:eastAsia="zh-CN"/>
              </w:rPr>
              <w:t>49</w:t>
            </w:r>
            <w:r>
              <w:rPr>
                <w:rFonts w:hint="default"/>
                <w:snapToGrid w:val="0"/>
                <w:color w:val="auto"/>
                <w:kern w:val="0"/>
                <w:sz w:val="24"/>
                <w:u w:val="single"/>
              </w:rPr>
              <w:t xml:space="preserve"> </w:t>
            </w:r>
            <w:r>
              <w:rPr>
                <w:rFonts w:hint="default"/>
                <w:snapToGrid w:val="0"/>
                <w:color w:val="auto"/>
                <w:kern w:val="0"/>
                <w:sz w:val="24"/>
              </w:rPr>
              <w:t>分</w:t>
            </w:r>
            <w:r>
              <w:rPr>
                <w:rFonts w:hint="eastAsia" w:cs="Times New Roman"/>
                <w:color w:val="auto"/>
                <w:u w:val="single"/>
                <w:lang w:val="en-US" w:eastAsia="zh-CN"/>
              </w:rPr>
              <w:t>5.076</w:t>
            </w:r>
            <w:r>
              <w:rPr>
                <w:rFonts w:hint="default"/>
                <w:snapToGrid w:val="0"/>
                <w:color w:val="auto"/>
                <w:kern w:val="0"/>
                <w:sz w:val="24"/>
              </w:rPr>
              <w:t>秒）</w:t>
            </w:r>
          </w:p>
        </w:tc>
      </w:tr>
      <w:tr w14:paraId="703D7D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shd w:val="clear" w:color="auto" w:fill="auto"/>
            <w:tcMar>
              <w:top w:w="16" w:type="dxa"/>
              <w:left w:w="16" w:type="dxa"/>
              <w:right w:w="16" w:type="dxa"/>
            </w:tcMar>
            <w:vAlign w:val="center"/>
          </w:tcPr>
          <w:p w14:paraId="6B6E7642">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firstLine="0" w:firstLineChars="0"/>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国民经济</w:t>
            </w:r>
          </w:p>
          <w:p w14:paraId="0933A754">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firstLine="0" w:firstLineChars="0"/>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行业类别</w:t>
            </w:r>
          </w:p>
        </w:tc>
        <w:tc>
          <w:tcPr>
            <w:tcW w:w="1199" w:type="pct"/>
            <w:shd w:val="clear" w:color="auto" w:fill="auto"/>
            <w:vAlign w:val="center"/>
          </w:tcPr>
          <w:p w14:paraId="23853ADE">
            <w:pPr>
              <w:pStyle w:val="11"/>
              <w:keepNext w:val="0"/>
              <w:keepLines w:val="0"/>
              <w:suppressLineNumbers w:val="0"/>
              <w:bidi w:val="0"/>
              <w:spacing w:before="0" w:beforeAutospacing="0" w:after="0" w:afterAutospacing="0"/>
              <w:ind w:left="0"/>
              <w:rPr>
                <w:rFonts w:hint="default"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C</w:t>
            </w:r>
            <w:r>
              <w:rPr>
                <w:rFonts w:hint="eastAsia" w:cs="宋体"/>
                <w:color w:val="auto"/>
                <w:sz w:val="24"/>
                <w:szCs w:val="24"/>
                <w:lang w:val="en-US" w:eastAsia="zh-CN"/>
              </w:rPr>
              <w:t>3051技术玻璃制品制造</w:t>
            </w:r>
          </w:p>
        </w:tc>
        <w:tc>
          <w:tcPr>
            <w:tcW w:w="981" w:type="pct"/>
            <w:shd w:val="clear" w:color="auto" w:fill="auto"/>
            <w:vAlign w:val="center"/>
          </w:tcPr>
          <w:p w14:paraId="7EBE4A52">
            <w:pPr>
              <w:pStyle w:val="11"/>
              <w:keepNext w:val="0"/>
              <w:keepLines w:val="0"/>
              <w:suppressLineNumbers w:val="0"/>
              <w:bidi w:val="0"/>
              <w:spacing w:before="0" w:beforeAutospacing="0" w:after="0" w:afterAutospacing="0"/>
              <w:ind w:left="0"/>
              <w:rPr>
                <w:rFonts w:hint="eastAsia" w:ascii="Times New Roman" w:hAnsi="Times New Roman" w:eastAsia="宋体" w:cs="宋体"/>
                <w:color w:val="auto"/>
                <w:sz w:val="24"/>
                <w:szCs w:val="24"/>
                <w:lang w:eastAsia="zh-CN"/>
              </w:rPr>
            </w:pPr>
            <w:r>
              <w:rPr>
                <w:rFonts w:hint="eastAsia" w:ascii="Times New Roman" w:hAnsi="Times New Roman" w:eastAsia="宋体" w:cs="宋体"/>
                <w:color w:val="auto"/>
                <w:sz w:val="24"/>
                <w:szCs w:val="24"/>
                <w:lang w:eastAsia="zh-CN"/>
              </w:rPr>
              <w:t>建设项目</w:t>
            </w:r>
          </w:p>
          <w:p w14:paraId="11F7CC80">
            <w:pPr>
              <w:pStyle w:val="11"/>
              <w:keepNext w:val="0"/>
              <w:keepLines w:val="0"/>
              <w:suppressLineNumbers w:val="0"/>
              <w:bidi w:val="0"/>
              <w:spacing w:before="0" w:beforeAutospacing="0" w:after="0" w:afterAutospacing="0"/>
              <w:ind w:left="0"/>
              <w:rPr>
                <w:rFonts w:hint="default" w:ascii="Times New Roman" w:hAnsi="Times New Roman" w:eastAsia="宋体" w:cs="宋体"/>
                <w:color w:val="auto"/>
                <w:sz w:val="24"/>
                <w:szCs w:val="24"/>
                <w:lang w:eastAsia="zh-CN"/>
              </w:rPr>
            </w:pPr>
            <w:r>
              <w:rPr>
                <w:rFonts w:hint="eastAsia" w:ascii="Times New Roman" w:hAnsi="Times New Roman" w:eastAsia="宋体" w:cs="宋体"/>
                <w:color w:val="auto"/>
                <w:sz w:val="24"/>
                <w:szCs w:val="24"/>
                <w:lang w:eastAsia="zh-CN"/>
              </w:rPr>
              <w:t>行业类别</w:t>
            </w:r>
          </w:p>
        </w:tc>
        <w:tc>
          <w:tcPr>
            <w:tcW w:w="1963" w:type="pct"/>
            <w:shd w:val="clear" w:color="auto" w:fill="auto"/>
            <w:vAlign w:val="center"/>
          </w:tcPr>
          <w:p w14:paraId="5DC92AD6">
            <w:pPr>
              <w:pStyle w:val="11"/>
              <w:keepNext w:val="0"/>
              <w:keepLines w:val="0"/>
              <w:suppressLineNumbers w:val="0"/>
              <w:bidi w:val="0"/>
              <w:spacing w:before="0" w:beforeAutospacing="0" w:after="0" w:afterAutospacing="0"/>
              <w:ind w:left="0"/>
              <w:rPr>
                <w:rFonts w:hint="default" w:ascii="宋体" w:hAnsi="宋体" w:eastAsia="宋体" w:cs="宋体"/>
                <w:b/>
                <w:bCs/>
                <w:i w:val="0"/>
                <w:iCs w:val="0"/>
                <w:color w:val="auto"/>
                <w:kern w:val="2"/>
                <w:sz w:val="20"/>
                <w:szCs w:val="20"/>
                <w:u w:val="none"/>
                <w:lang w:val="en-US" w:eastAsia="zh-CN" w:bidi="ar-SA"/>
              </w:rPr>
            </w:pPr>
            <w:r>
              <w:rPr>
                <w:rFonts w:hint="eastAsia" w:ascii="Times New Roman" w:hAnsi="Times New Roman" w:eastAsia="宋体" w:cs="宋体"/>
                <w:color w:val="auto"/>
                <w:sz w:val="24"/>
                <w:szCs w:val="24"/>
                <w:lang w:val="en-US" w:eastAsia="zh-CN"/>
              </w:rPr>
              <w:t>二十七、非金属矿物制品，57玻璃及玻璃制品，其他玻璃制造</w:t>
            </w:r>
          </w:p>
        </w:tc>
      </w:tr>
      <w:tr w14:paraId="54EAD4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tcMar>
              <w:top w:w="16" w:type="dxa"/>
              <w:left w:w="16" w:type="dxa"/>
              <w:right w:w="16" w:type="dxa"/>
            </w:tcMar>
            <w:vAlign w:val="center"/>
          </w:tcPr>
          <w:p w14:paraId="499FB594">
            <w:pPr>
              <w:pStyle w:val="11"/>
              <w:keepNext w:val="0"/>
              <w:keepLines w:val="0"/>
              <w:suppressLineNumbers w:val="0"/>
              <w:bidi w:val="0"/>
              <w:spacing w:before="0" w:beforeAutospacing="0" w:after="0" w:afterAutospacing="0"/>
              <w:ind w:left="0"/>
              <w:rPr>
                <w:rFonts w:hint="default"/>
                <w:color w:val="auto"/>
              </w:rPr>
            </w:pPr>
            <w:r>
              <w:rPr>
                <w:rFonts w:hint="default"/>
                <w:color w:val="auto"/>
              </w:rPr>
              <w:t>建设性质</w:t>
            </w:r>
          </w:p>
        </w:tc>
        <w:tc>
          <w:tcPr>
            <w:tcW w:w="1199" w:type="pct"/>
            <w:vAlign w:val="center"/>
          </w:tcPr>
          <w:p w14:paraId="0B662151">
            <w:pPr>
              <w:pStyle w:val="11"/>
              <w:keepNext w:val="0"/>
              <w:keepLines w:val="0"/>
              <w:suppressLineNumbers w:val="0"/>
              <w:bidi w:val="0"/>
              <w:spacing w:before="0" w:beforeAutospacing="0" w:after="0" w:afterAutospacing="0"/>
              <w:ind w:left="0"/>
              <w:jc w:val="left"/>
              <w:rPr>
                <w:rFonts w:hint="default"/>
                <w:color w:val="auto"/>
              </w:rPr>
            </w:pPr>
            <w:r>
              <w:rPr>
                <w:rFonts w:hint="default"/>
                <w:color w:val="auto"/>
              </w:rPr>
              <w:sym w:font="Wingdings" w:char="00FE"/>
            </w:r>
            <w:r>
              <w:rPr>
                <w:rFonts w:hint="default"/>
                <w:color w:val="auto"/>
              </w:rPr>
              <w:t>新建（迁建）</w:t>
            </w:r>
          </w:p>
          <w:p w14:paraId="218ABBB5">
            <w:pPr>
              <w:pStyle w:val="11"/>
              <w:keepNext w:val="0"/>
              <w:keepLines w:val="0"/>
              <w:suppressLineNumbers w:val="0"/>
              <w:bidi w:val="0"/>
              <w:spacing w:before="0" w:beforeAutospacing="0" w:after="0" w:afterAutospacing="0"/>
              <w:ind w:left="0"/>
              <w:jc w:val="left"/>
              <w:rPr>
                <w:rFonts w:hint="default"/>
                <w:color w:val="auto"/>
              </w:rPr>
            </w:pPr>
            <w:r>
              <w:rPr>
                <w:rFonts w:hint="default"/>
                <w:color w:val="auto"/>
              </w:rPr>
              <w:sym w:font="Wingdings" w:char="00A8"/>
            </w:r>
            <w:r>
              <w:rPr>
                <w:rFonts w:hint="default"/>
                <w:color w:val="auto"/>
              </w:rPr>
              <w:t>改建</w:t>
            </w:r>
          </w:p>
          <w:p w14:paraId="0206078D">
            <w:pPr>
              <w:pStyle w:val="11"/>
              <w:keepNext w:val="0"/>
              <w:keepLines w:val="0"/>
              <w:suppressLineNumbers w:val="0"/>
              <w:bidi w:val="0"/>
              <w:spacing w:before="0" w:beforeAutospacing="0" w:after="0" w:afterAutospacing="0"/>
              <w:ind w:left="0"/>
              <w:jc w:val="left"/>
              <w:rPr>
                <w:rFonts w:hint="default"/>
                <w:color w:val="auto"/>
              </w:rPr>
            </w:pPr>
            <w:r>
              <w:rPr>
                <w:rFonts w:hint="default"/>
                <w:color w:val="auto"/>
              </w:rPr>
              <w:sym w:font="Wingdings" w:char="00A8"/>
            </w:r>
            <w:r>
              <w:rPr>
                <w:rFonts w:hint="default"/>
                <w:color w:val="auto"/>
              </w:rPr>
              <w:t>扩建</w:t>
            </w:r>
          </w:p>
          <w:p w14:paraId="4289A21A">
            <w:pPr>
              <w:pStyle w:val="11"/>
              <w:keepNext w:val="0"/>
              <w:keepLines w:val="0"/>
              <w:suppressLineNumbers w:val="0"/>
              <w:bidi w:val="0"/>
              <w:spacing w:before="0" w:beforeAutospacing="0" w:after="0" w:afterAutospacing="0"/>
              <w:ind w:left="0"/>
              <w:jc w:val="left"/>
              <w:rPr>
                <w:rFonts w:hint="default"/>
                <w:color w:val="auto"/>
              </w:rPr>
            </w:pPr>
            <w:r>
              <w:rPr>
                <w:rFonts w:hint="default"/>
                <w:color w:val="auto"/>
              </w:rPr>
              <w:sym w:font="Wingdings" w:char="00A8"/>
            </w:r>
            <w:r>
              <w:rPr>
                <w:rFonts w:hint="default"/>
                <w:color w:val="auto"/>
              </w:rPr>
              <w:t>技术改造</w:t>
            </w:r>
          </w:p>
        </w:tc>
        <w:tc>
          <w:tcPr>
            <w:tcW w:w="981" w:type="pct"/>
            <w:vAlign w:val="center"/>
          </w:tcPr>
          <w:p w14:paraId="63019917">
            <w:pPr>
              <w:pStyle w:val="11"/>
              <w:keepNext w:val="0"/>
              <w:keepLines w:val="0"/>
              <w:suppressLineNumbers w:val="0"/>
              <w:bidi w:val="0"/>
              <w:spacing w:before="0" w:beforeAutospacing="0" w:after="0" w:afterAutospacing="0"/>
              <w:ind w:left="0"/>
              <w:rPr>
                <w:rFonts w:hint="default"/>
                <w:color w:val="auto"/>
              </w:rPr>
            </w:pPr>
            <w:r>
              <w:rPr>
                <w:rFonts w:hint="default"/>
                <w:color w:val="auto"/>
              </w:rPr>
              <w:t>建设项目</w:t>
            </w:r>
          </w:p>
          <w:p w14:paraId="41B7FE1F">
            <w:pPr>
              <w:pStyle w:val="11"/>
              <w:keepNext w:val="0"/>
              <w:keepLines w:val="0"/>
              <w:suppressLineNumbers w:val="0"/>
              <w:bidi w:val="0"/>
              <w:spacing w:before="0" w:beforeAutospacing="0" w:after="0" w:afterAutospacing="0"/>
              <w:ind w:left="0"/>
              <w:rPr>
                <w:rFonts w:hint="default"/>
                <w:color w:val="auto"/>
              </w:rPr>
            </w:pPr>
            <w:r>
              <w:rPr>
                <w:rFonts w:hint="default"/>
                <w:color w:val="auto"/>
              </w:rPr>
              <w:t>申报情形</w:t>
            </w:r>
          </w:p>
        </w:tc>
        <w:tc>
          <w:tcPr>
            <w:tcW w:w="1963" w:type="pct"/>
            <w:vAlign w:val="center"/>
          </w:tcPr>
          <w:p w14:paraId="194E4A43">
            <w:pPr>
              <w:pStyle w:val="11"/>
              <w:keepNext w:val="0"/>
              <w:keepLines w:val="0"/>
              <w:suppressLineNumbers w:val="0"/>
              <w:bidi w:val="0"/>
              <w:spacing w:before="0" w:beforeAutospacing="0" w:after="0" w:afterAutospacing="0"/>
              <w:ind w:left="0"/>
              <w:jc w:val="left"/>
              <w:rPr>
                <w:rFonts w:hint="default"/>
                <w:color w:val="auto"/>
              </w:rPr>
            </w:pPr>
            <w:r>
              <w:rPr>
                <w:rFonts w:hint="default"/>
                <w:color w:val="auto"/>
              </w:rPr>
              <w:sym w:font="Wingdings" w:char="00FE"/>
            </w:r>
            <w:r>
              <w:rPr>
                <w:rFonts w:hint="default"/>
                <w:color w:val="auto"/>
              </w:rPr>
              <w:t xml:space="preserve">首次申报项目             </w:t>
            </w:r>
          </w:p>
          <w:p w14:paraId="61A7318F">
            <w:pPr>
              <w:pStyle w:val="11"/>
              <w:keepNext w:val="0"/>
              <w:keepLines w:val="0"/>
              <w:suppressLineNumbers w:val="0"/>
              <w:bidi w:val="0"/>
              <w:spacing w:before="0" w:beforeAutospacing="0" w:after="0" w:afterAutospacing="0"/>
              <w:ind w:left="0"/>
              <w:jc w:val="left"/>
              <w:rPr>
                <w:rFonts w:hint="default"/>
                <w:color w:val="auto"/>
              </w:rPr>
            </w:pPr>
            <w:r>
              <w:rPr>
                <w:rFonts w:hint="default"/>
                <w:color w:val="auto"/>
              </w:rPr>
              <w:sym w:font="Wingdings" w:char="00A8"/>
            </w:r>
            <w:r>
              <w:rPr>
                <w:rFonts w:hint="default"/>
                <w:color w:val="auto"/>
              </w:rPr>
              <w:t>不予批准后再次申报项目</w:t>
            </w:r>
          </w:p>
          <w:p w14:paraId="3AFC0B39">
            <w:pPr>
              <w:pStyle w:val="11"/>
              <w:keepNext w:val="0"/>
              <w:keepLines w:val="0"/>
              <w:suppressLineNumbers w:val="0"/>
              <w:bidi w:val="0"/>
              <w:spacing w:before="0" w:beforeAutospacing="0" w:after="0" w:afterAutospacing="0"/>
              <w:ind w:left="0"/>
              <w:jc w:val="left"/>
              <w:rPr>
                <w:rFonts w:hint="default"/>
                <w:color w:val="auto"/>
              </w:rPr>
            </w:pPr>
            <w:r>
              <w:rPr>
                <w:rFonts w:hint="default"/>
                <w:color w:val="auto"/>
              </w:rPr>
              <w:sym w:font="Wingdings" w:char="00A8"/>
            </w:r>
            <w:r>
              <w:rPr>
                <w:rFonts w:hint="default"/>
                <w:color w:val="auto"/>
              </w:rPr>
              <w:t xml:space="preserve">超五年重新审核项目     </w:t>
            </w:r>
          </w:p>
          <w:p w14:paraId="20306BF8">
            <w:pPr>
              <w:pStyle w:val="11"/>
              <w:keepNext w:val="0"/>
              <w:keepLines w:val="0"/>
              <w:suppressLineNumbers w:val="0"/>
              <w:bidi w:val="0"/>
              <w:spacing w:before="0" w:beforeAutospacing="0" w:after="0" w:afterAutospacing="0"/>
              <w:ind w:left="0"/>
              <w:jc w:val="left"/>
              <w:rPr>
                <w:rFonts w:hint="default"/>
                <w:color w:val="auto"/>
              </w:rPr>
            </w:pPr>
            <w:r>
              <w:rPr>
                <w:rFonts w:hint="default"/>
                <w:color w:val="auto"/>
              </w:rPr>
              <w:sym w:font="Wingdings" w:char="00A8"/>
            </w:r>
            <w:r>
              <w:rPr>
                <w:rFonts w:hint="default"/>
                <w:color w:val="auto"/>
              </w:rPr>
              <w:t>重大变动重新报批项目</w:t>
            </w:r>
          </w:p>
        </w:tc>
      </w:tr>
      <w:tr w14:paraId="2C5AE3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tcMar>
              <w:top w:w="16" w:type="dxa"/>
              <w:left w:w="16" w:type="dxa"/>
              <w:right w:w="16" w:type="dxa"/>
            </w:tcMar>
            <w:vAlign w:val="center"/>
          </w:tcPr>
          <w:p w14:paraId="56484883">
            <w:pPr>
              <w:pStyle w:val="11"/>
              <w:keepNext w:val="0"/>
              <w:keepLines w:val="0"/>
              <w:suppressLineNumbers w:val="0"/>
              <w:bidi w:val="0"/>
              <w:spacing w:before="0" w:beforeAutospacing="0" w:after="0" w:afterAutospacing="0"/>
              <w:ind w:left="0"/>
              <w:rPr>
                <w:rFonts w:hint="default"/>
                <w:color w:val="auto"/>
              </w:rPr>
            </w:pPr>
            <w:r>
              <w:rPr>
                <w:rFonts w:hint="default"/>
                <w:color w:val="auto"/>
              </w:rPr>
              <w:t>项目审批（核准/备案）部门（选填）</w:t>
            </w:r>
          </w:p>
        </w:tc>
        <w:tc>
          <w:tcPr>
            <w:tcW w:w="1199" w:type="pct"/>
            <w:vAlign w:val="center"/>
          </w:tcPr>
          <w:p w14:paraId="0463DAA8">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lang w:val="en-US" w:eastAsia="zh-CN"/>
              </w:rPr>
            </w:pPr>
            <w:r>
              <w:rPr>
                <w:rFonts w:hint="eastAsia" w:cs="Times New Roman"/>
                <w:color w:val="auto"/>
                <w:lang w:val="en-US" w:eastAsia="zh-CN"/>
              </w:rPr>
              <w:t>轮台县发展和改革委员会</w:t>
            </w:r>
          </w:p>
        </w:tc>
        <w:tc>
          <w:tcPr>
            <w:tcW w:w="981" w:type="pct"/>
            <w:vAlign w:val="center"/>
          </w:tcPr>
          <w:p w14:paraId="5B8EA2D4">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rPr>
            </w:pPr>
            <w:r>
              <w:rPr>
                <w:rFonts w:hint="default" w:ascii="Times New Roman" w:hAnsi="Times New Roman" w:eastAsia="宋体" w:cs="Times New Roman"/>
                <w:color w:val="auto"/>
              </w:rPr>
              <w:t>项目审批（核准/</w:t>
            </w:r>
          </w:p>
          <w:p w14:paraId="1045F3CB">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备案）文号（选填）</w:t>
            </w:r>
          </w:p>
        </w:tc>
        <w:tc>
          <w:tcPr>
            <w:tcW w:w="1963" w:type="pct"/>
            <w:vAlign w:val="center"/>
          </w:tcPr>
          <w:p w14:paraId="1EBF9CD2">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2506111965652822000133</w:t>
            </w:r>
          </w:p>
        </w:tc>
      </w:tr>
      <w:tr w14:paraId="755DDB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1" w:hRule="atLeast"/>
          <w:jc w:val="center"/>
        </w:trPr>
        <w:tc>
          <w:tcPr>
            <w:tcW w:w="855" w:type="pct"/>
            <w:tcMar>
              <w:top w:w="16" w:type="dxa"/>
              <w:left w:w="16" w:type="dxa"/>
              <w:right w:w="16" w:type="dxa"/>
            </w:tcMar>
            <w:vAlign w:val="center"/>
          </w:tcPr>
          <w:p w14:paraId="67EA7D5C">
            <w:pPr>
              <w:pStyle w:val="11"/>
              <w:keepNext w:val="0"/>
              <w:keepLines w:val="0"/>
              <w:suppressLineNumbers w:val="0"/>
              <w:bidi w:val="0"/>
              <w:spacing w:before="0" w:beforeAutospacing="0" w:after="0" w:afterAutospacing="0"/>
              <w:ind w:left="0"/>
              <w:rPr>
                <w:rFonts w:hint="default"/>
                <w:color w:val="auto"/>
                <w:lang w:eastAsia="zh-CN"/>
              </w:rPr>
            </w:pPr>
            <w:r>
              <w:rPr>
                <w:rFonts w:hint="default"/>
                <w:color w:val="auto"/>
                <w:lang w:eastAsia="zh-CN"/>
              </w:rPr>
              <w:t>总投资（万元）</w:t>
            </w:r>
          </w:p>
        </w:tc>
        <w:tc>
          <w:tcPr>
            <w:tcW w:w="1199" w:type="pct"/>
            <w:vAlign w:val="center"/>
          </w:tcPr>
          <w:p w14:paraId="3439D670">
            <w:pPr>
              <w:pStyle w:val="11"/>
              <w:keepNext w:val="0"/>
              <w:keepLines w:val="0"/>
              <w:suppressLineNumbers w:val="0"/>
              <w:bidi w:val="0"/>
              <w:spacing w:before="0" w:beforeAutospacing="0" w:after="0" w:afterAutospacing="0"/>
              <w:ind w:left="0"/>
              <w:rPr>
                <w:rFonts w:hint="default"/>
                <w:color w:val="auto"/>
                <w:lang w:val="en-US" w:eastAsia="zh-CN"/>
              </w:rPr>
            </w:pPr>
            <w:r>
              <w:rPr>
                <w:rFonts w:hint="eastAsia"/>
                <w:color w:val="auto"/>
                <w:lang w:val="en-US" w:eastAsia="zh-CN"/>
              </w:rPr>
              <w:t>11000</w:t>
            </w:r>
          </w:p>
        </w:tc>
        <w:tc>
          <w:tcPr>
            <w:tcW w:w="981" w:type="pct"/>
            <w:tcMar>
              <w:top w:w="16" w:type="dxa"/>
              <w:left w:w="16" w:type="dxa"/>
              <w:right w:w="16" w:type="dxa"/>
            </w:tcMar>
            <w:vAlign w:val="center"/>
          </w:tcPr>
          <w:p w14:paraId="3B202F39">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环保投资（万元）</w:t>
            </w:r>
          </w:p>
        </w:tc>
        <w:tc>
          <w:tcPr>
            <w:tcW w:w="1963" w:type="pct"/>
            <w:vAlign w:val="center"/>
          </w:tcPr>
          <w:p w14:paraId="06ECC88C">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lang w:val="en-US" w:eastAsia="zh-CN"/>
              </w:rPr>
            </w:pPr>
            <w:r>
              <w:rPr>
                <w:rFonts w:hint="eastAsia" w:cs="Times New Roman"/>
                <w:color w:val="auto"/>
                <w:lang w:val="en-US" w:eastAsia="zh-CN"/>
              </w:rPr>
              <w:t>70.3</w:t>
            </w:r>
          </w:p>
        </w:tc>
      </w:tr>
      <w:tr w14:paraId="4B15AB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tcMar>
              <w:top w:w="16" w:type="dxa"/>
              <w:left w:w="16" w:type="dxa"/>
              <w:right w:w="16" w:type="dxa"/>
            </w:tcMar>
            <w:vAlign w:val="center"/>
          </w:tcPr>
          <w:p w14:paraId="1720659A">
            <w:pPr>
              <w:pStyle w:val="11"/>
              <w:keepNext w:val="0"/>
              <w:keepLines w:val="0"/>
              <w:suppressLineNumbers w:val="0"/>
              <w:bidi w:val="0"/>
              <w:spacing w:before="0" w:beforeAutospacing="0" w:after="0" w:afterAutospacing="0"/>
              <w:ind w:left="0"/>
              <w:rPr>
                <w:rFonts w:hint="default"/>
                <w:color w:val="auto"/>
                <w:lang w:eastAsia="zh-CN"/>
              </w:rPr>
            </w:pPr>
            <w:r>
              <w:rPr>
                <w:rFonts w:hint="default"/>
                <w:color w:val="auto"/>
                <w:lang w:eastAsia="zh-CN"/>
              </w:rPr>
              <w:t>环保投资占比（%）</w:t>
            </w:r>
          </w:p>
        </w:tc>
        <w:tc>
          <w:tcPr>
            <w:tcW w:w="1199" w:type="pct"/>
            <w:vAlign w:val="center"/>
          </w:tcPr>
          <w:p w14:paraId="5A2A1D17">
            <w:pPr>
              <w:pStyle w:val="11"/>
              <w:keepNext w:val="0"/>
              <w:keepLines w:val="0"/>
              <w:suppressLineNumbers w:val="0"/>
              <w:bidi w:val="0"/>
              <w:spacing w:before="0" w:beforeAutospacing="0" w:after="0" w:afterAutospacing="0"/>
              <w:ind w:left="0"/>
              <w:rPr>
                <w:rFonts w:hint="default"/>
                <w:color w:val="auto"/>
                <w:lang w:val="en-US" w:eastAsia="zh-CN"/>
              </w:rPr>
            </w:pPr>
            <w:r>
              <w:rPr>
                <w:rFonts w:hint="eastAsia"/>
                <w:color w:val="auto"/>
                <w:lang w:val="en-US" w:eastAsia="zh-CN"/>
              </w:rPr>
              <w:t>0.64%</w:t>
            </w:r>
          </w:p>
        </w:tc>
        <w:tc>
          <w:tcPr>
            <w:tcW w:w="981" w:type="pct"/>
            <w:tcMar>
              <w:top w:w="16" w:type="dxa"/>
              <w:left w:w="16" w:type="dxa"/>
              <w:right w:w="16" w:type="dxa"/>
            </w:tcMar>
            <w:vAlign w:val="center"/>
          </w:tcPr>
          <w:p w14:paraId="232B8B9A">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施工工期</w:t>
            </w:r>
          </w:p>
        </w:tc>
        <w:tc>
          <w:tcPr>
            <w:tcW w:w="1963" w:type="pct"/>
            <w:vAlign w:val="center"/>
          </w:tcPr>
          <w:p w14:paraId="1DD42BE4">
            <w:pPr>
              <w:pStyle w:val="11"/>
              <w:keepNext w:val="0"/>
              <w:keepLines w:val="0"/>
              <w:suppressLineNumbers w:val="0"/>
              <w:bidi w:val="0"/>
              <w:spacing w:before="0" w:beforeAutospacing="0" w:after="0" w:afterAutospacing="0"/>
              <w:ind w:left="0"/>
              <w:rPr>
                <w:rFonts w:hint="eastAsia" w:ascii="Times New Roman" w:hAnsi="Times New Roman" w:eastAsia="宋体" w:cs="Times New Roman"/>
                <w:color w:val="auto"/>
                <w:lang w:val="en-US" w:eastAsia="zh-CN"/>
              </w:rPr>
            </w:pPr>
            <w:r>
              <w:rPr>
                <w:rFonts w:hint="eastAsia" w:cs="Times New Roman"/>
                <w:color w:val="auto"/>
                <w:lang w:val="en-US" w:eastAsia="zh-CN"/>
              </w:rPr>
              <w:t>5个月</w:t>
            </w:r>
          </w:p>
        </w:tc>
      </w:tr>
      <w:tr w14:paraId="1ADA6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55" w:type="pct"/>
            <w:tcMar>
              <w:top w:w="16" w:type="dxa"/>
              <w:left w:w="16" w:type="dxa"/>
              <w:right w:w="16" w:type="dxa"/>
            </w:tcMar>
            <w:vAlign w:val="center"/>
          </w:tcPr>
          <w:p w14:paraId="29C9FCB9">
            <w:pPr>
              <w:pStyle w:val="11"/>
              <w:keepNext w:val="0"/>
              <w:keepLines w:val="0"/>
              <w:suppressLineNumbers w:val="0"/>
              <w:bidi w:val="0"/>
              <w:spacing w:before="0" w:beforeAutospacing="0" w:after="0" w:afterAutospacing="0"/>
              <w:ind w:left="0"/>
              <w:rPr>
                <w:rFonts w:hint="default"/>
                <w:color w:val="auto"/>
              </w:rPr>
            </w:pPr>
            <w:r>
              <w:rPr>
                <w:rFonts w:hint="default"/>
                <w:color w:val="auto"/>
              </w:rPr>
              <w:t>是否开工建设</w:t>
            </w:r>
          </w:p>
        </w:tc>
        <w:tc>
          <w:tcPr>
            <w:tcW w:w="1199" w:type="pct"/>
            <w:vAlign w:val="center"/>
          </w:tcPr>
          <w:p w14:paraId="77E7C4C7">
            <w:pPr>
              <w:pStyle w:val="11"/>
              <w:keepNext w:val="0"/>
              <w:keepLines w:val="0"/>
              <w:suppressLineNumbers w:val="0"/>
              <w:bidi w:val="0"/>
              <w:spacing w:before="0" w:beforeAutospacing="0" w:after="0" w:afterAutospacing="0"/>
              <w:ind w:left="0"/>
              <w:rPr>
                <w:rFonts w:hint="default"/>
                <w:color w:val="auto"/>
              </w:rPr>
            </w:pPr>
            <w:r>
              <w:rPr>
                <w:rFonts w:hint="eastAsia"/>
                <w:color w:val="auto"/>
                <w:lang w:eastAsia="zh-CN"/>
              </w:rPr>
              <w:sym w:font="Wingdings 2" w:char="0052"/>
            </w:r>
            <w:r>
              <w:rPr>
                <w:rFonts w:hint="default"/>
                <w:color w:val="auto"/>
              </w:rPr>
              <w:t>否</w:t>
            </w:r>
          </w:p>
          <w:p w14:paraId="0A2694F6">
            <w:pPr>
              <w:pStyle w:val="11"/>
              <w:keepNext w:val="0"/>
              <w:keepLines w:val="0"/>
              <w:suppressLineNumbers w:val="0"/>
              <w:bidi w:val="0"/>
              <w:spacing w:before="0" w:beforeAutospacing="0" w:after="0" w:afterAutospacing="0"/>
              <w:ind w:left="0"/>
              <w:rPr>
                <w:rFonts w:hint="default" w:eastAsia="宋体"/>
                <w:color w:val="auto"/>
                <w:lang w:val="en-US" w:eastAsia="zh-CN"/>
              </w:rPr>
            </w:pPr>
            <w:r>
              <w:rPr>
                <w:rFonts w:hint="eastAsia"/>
                <w:color w:val="auto"/>
                <w:lang w:val="en-US" w:eastAsia="zh-CN"/>
              </w:rPr>
              <w:t xml:space="preserve">  </w:t>
            </w:r>
            <w:r>
              <w:rPr>
                <w:rFonts w:hint="default"/>
                <w:color w:val="auto"/>
              </w:rPr>
              <w:sym w:font="Wingdings 2" w:char="00A3"/>
            </w:r>
            <w:r>
              <w:rPr>
                <w:rFonts w:hint="default"/>
                <w:color w:val="auto"/>
              </w:rPr>
              <w:t>是</w:t>
            </w:r>
            <w:r>
              <w:rPr>
                <w:rFonts w:hint="eastAsia"/>
                <w:color w:val="auto"/>
                <w:lang w:eastAsia="zh-CN"/>
              </w:rPr>
              <w:t>：</w:t>
            </w:r>
            <w:r>
              <w:rPr>
                <w:rFonts w:hint="eastAsia"/>
                <w:color w:val="auto"/>
                <w:u w:val="single"/>
                <w:lang w:val="en-US" w:eastAsia="zh-CN"/>
              </w:rPr>
              <w:t xml:space="preserve">    </w:t>
            </w:r>
          </w:p>
        </w:tc>
        <w:tc>
          <w:tcPr>
            <w:tcW w:w="981" w:type="pct"/>
            <w:tcMar>
              <w:top w:w="16" w:type="dxa"/>
              <w:left w:w="16" w:type="dxa"/>
              <w:right w:w="16" w:type="dxa"/>
            </w:tcMar>
            <w:vAlign w:val="center"/>
          </w:tcPr>
          <w:p w14:paraId="25D5BA05">
            <w:pPr>
              <w:pStyle w:val="11"/>
              <w:keepNext w:val="0"/>
              <w:keepLines w:val="0"/>
              <w:suppressLineNumbers w:val="0"/>
              <w:bidi w:val="0"/>
              <w:spacing w:before="0" w:beforeAutospacing="0" w:after="0" w:afterAutospacing="0"/>
              <w:ind w:left="0"/>
              <w:rPr>
                <w:rFonts w:hint="default"/>
                <w:color w:val="auto"/>
                <w:lang w:val="en-US" w:eastAsia="zh-CN"/>
              </w:rPr>
            </w:pPr>
            <w:r>
              <w:rPr>
                <w:rFonts w:hint="default"/>
                <w:color w:val="auto"/>
              </w:rPr>
              <w:t>用地面积（</w:t>
            </w:r>
            <w:r>
              <w:rPr>
                <w:rFonts w:hint="eastAsia"/>
                <w:color w:val="auto"/>
                <w:lang w:eastAsia="zh-CN"/>
              </w:rPr>
              <w:t>m</w:t>
            </w:r>
            <w:r>
              <w:rPr>
                <w:rFonts w:hint="eastAsia"/>
                <w:color w:val="auto"/>
                <w:vertAlign w:val="superscript"/>
                <w:lang w:val="en-US" w:eastAsia="zh-CN"/>
              </w:rPr>
              <w:t>2</w:t>
            </w:r>
            <w:r>
              <w:rPr>
                <w:rFonts w:hint="default"/>
                <w:color w:val="auto"/>
              </w:rPr>
              <w:t>）</w:t>
            </w:r>
          </w:p>
        </w:tc>
        <w:tc>
          <w:tcPr>
            <w:tcW w:w="1963" w:type="pct"/>
            <w:vAlign w:val="center"/>
          </w:tcPr>
          <w:p w14:paraId="609B5879">
            <w:pPr>
              <w:pStyle w:val="11"/>
              <w:keepNext w:val="0"/>
              <w:keepLines w:val="0"/>
              <w:suppressLineNumbers w:val="0"/>
              <w:bidi w:val="0"/>
              <w:spacing w:before="0" w:beforeAutospacing="0" w:after="0" w:afterAutospacing="0"/>
              <w:ind w:left="0"/>
              <w:rPr>
                <w:rFonts w:hint="default"/>
                <w:color w:val="auto"/>
                <w:lang w:val="en-US" w:eastAsia="zh-CN"/>
              </w:rPr>
            </w:pPr>
            <w:r>
              <w:rPr>
                <w:rFonts w:hint="eastAsia"/>
                <w:color w:val="auto"/>
                <w:lang w:val="en-US" w:eastAsia="zh-CN"/>
              </w:rPr>
              <w:t>10000</w:t>
            </w:r>
          </w:p>
        </w:tc>
      </w:tr>
      <w:tr w14:paraId="2C68CF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5" w:type="pct"/>
            <w:vAlign w:val="center"/>
          </w:tcPr>
          <w:p w14:paraId="3EE491FD">
            <w:pPr>
              <w:pStyle w:val="11"/>
              <w:keepNext w:val="0"/>
              <w:keepLines w:val="0"/>
              <w:suppressLineNumbers w:val="0"/>
              <w:bidi w:val="0"/>
              <w:spacing w:before="0" w:beforeAutospacing="0" w:after="0" w:afterAutospacing="0"/>
              <w:ind w:left="0"/>
              <w:rPr>
                <w:rFonts w:hint="default"/>
                <w:color w:val="auto"/>
              </w:rPr>
            </w:pPr>
            <w:r>
              <w:rPr>
                <w:rFonts w:hint="default"/>
                <w:color w:val="auto"/>
              </w:rPr>
              <w:t>专项评价设置情况</w:t>
            </w:r>
          </w:p>
        </w:tc>
        <w:tc>
          <w:tcPr>
            <w:tcW w:w="4144" w:type="pct"/>
            <w:gridSpan w:val="3"/>
            <w:vAlign w:val="center"/>
          </w:tcPr>
          <w:p w14:paraId="697FC8BD">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无</w:t>
            </w:r>
          </w:p>
        </w:tc>
      </w:tr>
      <w:tr w14:paraId="717841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5" w:type="pct"/>
            <w:vAlign w:val="center"/>
          </w:tcPr>
          <w:p w14:paraId="0868D3C1">
            <w:pPr>
              <w:pStyle w:val="11"/>
              <w:keepNext w:val="0"/>
              <w:keepLines w:val="0"/>
              <w:suppressLineNumbers w:val="0"/>
              <w:bidi w:val="0"/>
              <w:spacing w:before="0" w:beforeAutospacing="0" w:after="0" w:afterAutospacing="0"/>
              <w:ind w:left="0"/>
              <w:rPr>
                <w:rFonts w:hint="default"/>
                <w:color w:val="auto"/>
              </w:rPr>
            </w:pPr>
            <w:r>
              <w:rPr>
                <w:rFonts w:hint="default"/>
                <w:color w:val="auto"/>
              </w:rPr>
              <w:t>规划情况</w:t>
            </w:r>
          </w:p>
        </w:tc>
        <w:tc>
          <w:tcPr>
            <w:tcW w:w="4144" w:type="pct"/>
            <w:gridSpan w:val="3"/>
            <w:vAlign w:val="center"/>
          </w:tcPr>
          <w:p w14:paraId="2AB52F21">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规划名称：</w:t>
            </w:r>
            <w:r>
              <w:rPr>
                <w:rFonts w:hint="default"/>
                <w:color w:val="auto"/>
                <w:lang w:val="en-US" w:eastAsia="zh-CN"/>
              </w:rPr>
              <w:t>轮台工业园区国土空间专项规划（2024-2035年）</w:t>
            </w:r>
          </w:p>
          <w:p w14:paraId="4E0E75A1">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审批机关：轮台县人民政府</w:t>
            </w:r>
          </w:p>
          <w:p w14:paraId="1F869641">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规划批复：关于对《轮台工业园区国土空间专项规划（2024一2035）》的批复</w:t>
            </w:r>
          </w:p>
          <w:p w14:paraId="22341A3B">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2"/>
                <w:szCs w:val="24"/>
                <w:lang w:val="en-US" w:eastAsia="zh-CN" w:bidi="ar-SA"/>
              </w:rPr>
            </w:pPr>
            <w:r>
              <w:rPr>
                <w:rFonts w:hint="eastAsia"/>
                <w:color w:val="auto"/>
                <w:lang w:val="en-US" w:eastAsia="zh-CN"/>
              </w:rPr>
              <w:t>文号：/</w:t>
            </w:r>
          </w:p>
        </w:tc>
      </w:tr>
      <w:tr w14:paraId="631FE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5" w:type="pct"/>
            <w:vAlign w:val="center"/>
          </w:tcPr>
          <w:p w14:paraId="1E55D20C">
            <w:pPr>
              <w:pStyle w:val="11"/>
              <w:keepNext w:val="0"/>
              <w:keepLines w:val="0"/>
              <w:suppressLineNumbers w:val="0"/>
              <w:bidi w:val="0"/>
              <w:spacing w:before="0" w:beforeAutospacing="0" w:after="0" w:afterAutospacing="0"/>
              <w:ind w:left="0"/>
              <w:rPr>
                <w:rFonts w:hint="default"/>
                <w:color w:val="auto"/>
                <w:kern w:val="0"/>
                <w:sz w:val="24"/>
              </w:rPr>
            </w:pPr>
            <w:r>
              <w:rPr>
                <w:rFonts w:hint="default"/>
                <w:color w:val="auto"/>
              </w:rPr>
              <w:t>规划环境影响</w:t>
            </w:r>
            <w:r>
              <w:rPr>
                <w:rFonts w:hint="default"/>
                <w:color w:val="auto"/>
                <w:sz w:val="24"/>
              </w:rPr>
              <w:t>评价情况</w:t>
            </w:r>
          </w:p>
        </w:tc>
        <w:tc>
          <w:tcPr>
            <w:tcW w:w="4144" w:type="pct"/>
            <w:gridSpan w:val="3"/>
            <w:vAlign w:val="center"/>
          </w:tcPr>
          <w:p w14:paraId="27E41B43">
            <w:pPr>
              <w:keepNext w:val="0"/>
              <w:keepLines w:val="0"/>
              <w:suppressLineNumbers w:val="0"/>
              <w:bidi w:val="0"/>
              <w:spacing w:before="0" w:beforeAutospacing="0" w:after="0" w:afterAutospacing="0"/>
              <w:ind w:left="0" w:right="0"/>
              <w:rPr>
                <w:rFonts w:hint="default"/>
                <w:color w:val="auto"/>
              </w:rPr>
            </w:pPr>
            <w:r>
              <w:rPr>
                <w:rFonts w:hint="eastAsia"/>
                <w:color w:val="auto"/>
                <w:lang w:eastAsia="zh-CN"/>
              </w:rPr>
              <w:t>规划环境影响评价文件名称：</w:t>
            </w:r>
            <w:r>
              <w:rPr>
                <w:rFonts w:hint="default"/>
                <w:color w:val="auto"/>
                <w:lang w:val="en-US" w:eastAsia="zh-CN"/>
              </w:rPr>
              <w:t>轮台工业园区国土空间专项规划（2024-2035年）</w:t>
            </w:r>
            <w:r>
              <w:rPr>
                <w:rFonts w:hint="eastAsia"/>
                <w:color w:val="auto"/>
                <w:lang w:val="en-US" w:eastAsia="zh-CN"/>
              </w:rPr>
              <w:t>环境影响报告书</w:t>
            </w:r>
          </w:p>
          <w:p w14:paraId="48F2BD6B">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审查机关：新疆维吾尔自治区生态环境厅</w:t>
            </w:r>
          </w:p>
          <w:p w14:paraId="45D759D5">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审批批复：关于《</w:t>
            </w:r>
            <w:r>
              <w:rPr>
                <w:rFonts w:hint="default"/>
                <w:color w:val="auto"/>
                <w:lang w:val="en-US" w:eastAsia="zh-CN"/>
              </w:rPr>
              <w:t>轮台工业园区国土空间专项规划（2024-2035年）</w:t>
            </w:r>
            <w:r>
              <w:rPr>
                <w:rFonts w:hint="eastAsia"/>
                <w:color w:val="auto"/>
                <w:lang w:val="en-US" w:eastAsia="zh-CN"/>
              </w:rPr>
              <w:t>环境影响报告书</w:t>
            </w:r>
            <w:r>
              <w:rPr>
                <w:rFonts w:hint="eastAsia"/>
                <w:color w:val="auto"/>
                <w:lang w:eastAsia="zh-CN"/>
              </w:rPr>
              <w:t>》的审查意见</w:t>
            </w:r>
          </w:p>
          <w:p w14:paraId="3172AF8D">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2"/>
                <w:szCs w:val="24"/>
                <w:lang w:val="en-US" w:eastAsia="zh-CN" w:bidi="ar-SA"/>
              </w:rPr>
            </w:pPr>
            <w:r>
              <w:rPr>
                <w:rFonts w:hint="eastAsia"/>
                <w:color w:val="auto"/>
                <w:lang w:eastAsia="zh-CN"/>
              </w:rPr>
              <w:t>文号：</w:t>
            </w:r>
            <w:r>
              <w:rPr>
                <w:rFonts w:hint="default"/>
                <w:color w:val="auto"/>
              </w:rPr>
              <w:t>新环审</w:t>
            </w:r>
            <w:r>
              <w:rPr>
                <w:rFonts w:hint="eastAsia"/>
                <w:color w:val="auto"/>
                <w:lang w:eastAsia="zh-CN"/>
              </w:rPr>
              <w:t>〔2025〕135号</w:t>
            </w:r>
          </w:p>
        </w:tc>
      </w:tr>
      <w:tr w14:paraId="427006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5" w:type="pct"/>
            <w:vAlign w:val="center"/>
          </w:tcPr>
          <w:p w14:paraId="54442E15">
            <w:pPr>
              <w:pStyle w:val="11"/>
              <w:keepNext w:val="0"/>
              <w:keepLines w:val="0"/>
              <w:suppressLineNumbers w:val="0"/>
              <w:bidi w:val="0"/>
              <w:spacing w:before="0" w:beforeAutospacing="0" w:after="0" w:afterAutospacing="0"/>
              <w:ind w:left="0"/>
              <w:rPr>
                <w:rFonts w:hint="default"/>
                <w:color w:val="auto"/>
              </w:rPr>
            </w:pPr>
            <w:r>
              <w:rPr>
                <w:rFonts w:hint="default"/>
                <w:color w:val="auto"/>
              </w:rPr>
              <w:t>规划及规划环境影响评价符合性分析</w:t>
            </w:r>
          </w:p>
        </w:tc>
        <w:tc>
          <w:tcPr>
            <w:tcW w:w="4144" w:type="pct"/>
            <w:gridSpan w:val="3"/>
            <w:vAlign w:val="center"/>
          </w:tcPr>
          <w:p w14:paraId="19DCF269">
            <w:pPr>
              <w:pStyle w:val="3"/>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1、与《</w:t>
            </w:r>
            <w:r>
              <w:rPr>
                <w:rFonts w:hint="default"/>
                <w:color w:val="auto"/>
                <w:lang w:val="en-US" w:eastAsia="zh-CN"/>
              </w:rPr>
              <w:t>轮台工业园区国土空间专项规划（2024-2035年）</w:t>
            </w:r>
            <w:r>
              <w:rPr>
                <w:rFonts w:hint="eastAsia"/>
                <w:color w:val="auto"/>
                <w:lang w:eastAsia="zh-CN"/>
              </w:rPr>
              <w:t>》</w:t>
            </w:r>
            <w:r>
              <w:rPr>
                <w:rFonts w:hint="eastAsia"/>
                <w:color w:val="auto"/>
                <w:lang w:val="en-US" w:eastAsia="zh-CN"/>
              </w:rPr>
              <w:t>的符合性</w:t>
            </w:r>
          </w:p>
          <w:p w14:paraId="4854AE81">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拉依苏石油化工区的发展定位是形成以石油天然气化工、硅基新材料产业为主导，以煤化工、现代能源为重点，以盐化工、精细化工为延伸，以建材和资源循环利用为补充的现代化工产业体系，带动和发展现代物流、仓储、运输等生产性服务业和便民生活服务业，形成以化工区为核心区，其他产业区紧紧围绕，并各自向外延发展的产业功能分区。</w:t>
            </w:r>
            <w:r>
              <w:rPr>
                <w:rFonts w:hint="default"/>
                <w:color w:val="auto"/>
                <w:lang w:val="en-US" w:eastAsia="zh-CN"/>
              </w:rPr>
              <w:t xml:space="preserve"> </w:t>
            </w:r>
          </w:p>
          <w:p w14:paraId="352E01C8">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本项目位于</w:t>
            </w:r>
            <w:r>
              <w:rPr>
                <w:rFonts w:hint="eastAsia"/>
                <w:color w:val="auto"/>
                <w:lang w:val="en-US" w:eastAsia="zh-CN"/>
              </w:rPr>
              <w:t>轮台县</w:t>
            </w:r>
            <w:r>
              <w:rPr>
                <w:rFonts w:hint="default"/>
                <w:color w:val="auto"/>
                <w:lang w:val="en-US" w:eastAsia="zh-CN"/>
              </w:rPr>
              <w:t>轮台工业园区拉依苏化工区</w:t>
            </w:r>
            <w:r>
              <w:rPr>
                <w:rFonts w:hint="eastAsia"/>
                <w:color w:val="auto"/>
                <w:lang w:eastAsia="zh-CN"/>
              </w:rPr>
              <w:t>，属于工业用地，</w:t>
            </w:r>
            <w:r>
              <w:rPr>
                <w:rFonts w:hint="eastAsia"/>
                <w:color w:val="auto"/>
                <w:lang w:val="en-US" w:eastAsia="zh-CN"/>
              </w:rPr>
              <w:t>详见附图1-3</w:t>
            </w:r>
            <w:r>
              <w:rPr>
                <w:rFonts w:hint="eastAsia"/>
                <w:color w:val="auto"/>
                <w:lang w:eastAsia="zh-CN"/>
              </w:rPr>
              <w:t>。</w:t>
            </w:r>
            <w:r>
              <w:rPr>
                <w:rFonts w:hint="eastAsia"/>
                <w:color w:val="auto"/>
                <w:lang w:val="en-US" w:eastAsia="zh-CN"/>
              </w:rPr>
              <w:t>本项目</w:t>
            </w:r>
            <w:r>
              <w:rPr>
                <w:rFonts w:hint="eastAsia"/>
                <w:color w:val="auto"/>
                <w:lang w:eastAsia="zh-CN"/>
              </w:rPr>
              <w:t>行业类别为“</w:t>
            </w:r>
            <w:r>
              <w:rPr>
                <w:rFonts w:hint="eastAsia"/>
                <w:color w:val="auto"/>
                <w:lang w:val="en-US" w:eastAsia="zh-CN"/>
              </w:rPr>
              <w:t>C3051技术玻璃制品制造</w:t>
            </w:r>
            <w:r>
              <w:rPr>
                <w:rFonts w:hint="eastAsia"/>
                <w:color w:val="auto"/>
                <w:lang w:eastAsia="zh-CN"/>
              </w:rPr>
              <w:t>”，</w:t>
            </w:r>
            <w:r>
              <w:rPr>
                <w:rFonts w:hint="default"/>
                <w:color w:val="auto"/>
              </w:rPr>
              <w:t>产品为建筑节能建材</w:t>
            </w:r>
            <w:r>
              <w:rPr>
                <w:rFonts w:hint="eastAsia"/>
                <w:color w:val="auto"/>
                <w:lang w:eastAsia="zh-CN"/>
              </w:rPr>
              <w:t>。本项目位于</w:t>
            </w:r>
            <w:r>
              <w:rPr>
                <w:rFonts w:hint="eastAsia"/>
                <w:color w:val="auto"/>
                <w:lang w:val="en-US" w:eastAsia="zh-CN"/>
              </w:rPr>
              <w:t>建材产业区</w:t>
            </w:r>
            <w:r>
              <w:rPr>
                <w:rFonts w:hint="eastAsia"/>
                <w:color w:val="auto"/>
                <w:lang w:eastAsia="zh-CN"/>
              </w:rPr>
              <w:t>，因此符合</w:t>
            </w:r>
            <w:r>
              <w:rPr>
                <w:rFonts w:hint="default"/>
                <w:color w:val="auto"/>
                <w:lang w:val="en-US" w:eastAsia="zh-CN"/>
              </w:rPr>
              <w:t>轮台工业园区拉依苏化工区</w:t>
            </w:r>
            <w:r>
              <w:rPr>
                <w:rFonts w:hint="eastAsia"/>
                <w:color w:val="auto"/>
                <w:lang w:eastAsia="zh-CN"/>
              </w:rPr>
              <w:t>产业定位要求，</w:t>
            </w:r>
            <w:r>
              <w:rPr>
                <w:rFonts w:hint="eastAsia"/>
                <w:color w:val="auto"/>
                <w:lang w:val="en-US" w:eastAsia="zh-CN"/>
              </w:rPr>
              <w:t>详见附图1-2，</w:t>
            </w:r>
            <w:r>
              <w:rPr>
                <w:rFonts w:hint="eastAsia"/>
                <w:color w:val="auto"/>
                <w:lang w:eastAsia="zh-CN"/>
              </w:rPr>
              <w:t>综上所述，本项目符合</w:t>
            </w:r>
            <w:r>
              <w:rPr>
                <w:rFonts w:hint="default"/>
                <w:color w:val="auto"/>
              </w:rPr>
              <w:t>《</w:t>
            </w:r>
            <w:r>
              <w:rPr>
                <w:rFonts w:hint="default"/>
                <w:color w:val="auto"/>
                <w:lang w:val="en-US" w:eastAsia="zh-CN"/>
              </w:rPr>
              <w:t>轮台工业园区国土空间专项规划（2024-2035年）</w:t>
            </w:r>
            <w:r>
              <w:rPr>
                <w:rFonts w:hint="default"/>
                <w:color w:val="auto"/>
              </w:rPr>
              <w:t>》</w:t>
            </w:r>
            <w:r>
              <w:rPr>
                <w:rFonts w:hint="eastAsia"/>
                <w:color w:val="auto"/>
                <w:lang w:eastAsia="zh-CN"/>
              </w:rPr>
              <w:t>。</w:t>
            </w:r>
          </w:p>
          <w:p w14:paraId="4C513C1C">
            <w:pPr>
              <w:pStyle w:val="3"/>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2、与《</w:t>
            </w:r>
            <w:r>
              <w:rPr>
                <w:rFonts w:hint="default"/>
                <w:color w:val="auto"/>
                <w:lang w:val="en-US" w:eastAsia="zh-CN"/>
              </w:rPr>
              <w:t>轮台工业园区国土空间专项规划（2024-2035年）</w:t>
            </w:r>
            <w:r>
              <w:rPr>
                <w:rFonts w:hint="eastAsia"/>
                <w:color w:val="auto"/>
                <w:lang w:val="en-US" w:eastAsia="zh-CN"/>
              </w:rPr>
              <w:t>环境影响报告书》结论的符合性</w:t>
            </w:r>
          </w:p>
          <w:p w14:paraId="24E8B54D">
            <w:pPr>
              <w:pStyle w:val="8"/>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表1-1项目与《</w:t>
            </w:r>
            <w:r>
              <w:rPr>
                <w:rFonts w:hint="default"/>
                <w:color w:val="auto"/>
              </w:rPr>
              <w:t>轮台工业园区国土空间专项规划（2024-2035年）环境影响报告书</w:t>
            </w:r>
            <w:r>
              <w:rPr>
                <w:rFonts w:hint="eastAsia"/>
                <w:color w:val="auto"/>
                <w:lang w:val="en-US" w:eastAsia="zh-CN"/>
              </w:rPr>
              <w:t>》结论的符合性分析</w:t>
            </w:r>
          </w:p>
          <w:tbl>
            <w:tblPr>
              <w:tblStyle w:val="31"/>
              <w:tblW w:w="744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07"/>
              <w:gridCol w:w="2631"/>
              <w:gridCol w:w="810"/>
            </w:tblGrid>
            <w:tr w14:paraId="7DA071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7E2AAB5B">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环评结论</w:t>
                  </w:r>
                </w:p>
              </w:tc>
              <w:tc>
                <w:tcPr>
                  <w:tcW w:w="2631" w:type="dxa"/>
                  <w:tcBorders>
                    <w:tl2br w:val="nil"/>
                    <w:tr2bl w:val="nil"/>
                  </w:tcBorders>
                  <w:vAlign w:val="center"/>
                </w:tcPr>
                <w:p w14:paraId="3B8676BE">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本项目</w:t>
                  </w:r>
                </w:p>
              </w:tc>
              <w:tc>
                <w:tcPr>
                  <w:tcW w:w="810" w:type="dxa"/>
                  <w:tcBorders>
                    <w:tl2br w:val="nil"/>
                    <w:tr2bl w:val="nil"/>
                  </w:tcBorders>
                  <w:vAlign w:val="center"/>
                </w:tcPr>
                <w:p w14:paraId="19BF2A94">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符合性</w:t>
                  </w:r>
                </w:p>
              </w:tc>
            </w:tr>
            <w:tr w14:paraId="738FCA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0001F404">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（1）</w:t>
                  </w:r>
                  <w:r>
                    <w:rPr>
                      <w:rFonts w:hint="default"/>
                      <w:color w:val="auto"/>
                      <w:lang w:val="en-US" w:eastAsia="zh-CN"/>
                    </w:rPr>
                    <w:t>各生产企业排放的废气须经处理达到相应的行业排放标准及《大气污染物综合排放标准》中的二级标准。化工企业建设的同时必须配套完善废气治理措施，并确保与生产设施同时投入使用，安装在线监测系统并定期进行污染源监测。推广节能技术，清洁生产，实施建筑节能和推广采暖供热系统节能措施，鼓励入区单位采用节能工艺，增加有用资源回收量，降低消耗。</w:t>
                  </w:r>
                </w:p>
                <w:p w14:paraId="5DEA82D0">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（2）</w:t>
                  </w:r>
                  <w:r>
                    <w:rPr>
                      <w:rFonts w:hint="default"/>
                      <w:color w:val="auto"/>
                      <w:lang w:val="en-US" w:eastAsia="zh-CN"/>
                    </w:rPr>
                    <w:t>轮台工业园各企业废渣及时清理至指定地点排放，不在企业内或外环境堆存，减轻园区内的扬尘污染。园区建材原料、化工原料、产品严禁露天堆放，要求企业设置原料及产品仓库，煤场设置封闭式煤仓，并配套洒水抑尘装置，最大限度降低烟尘的无组织挥发。</w:t>
                  </w:r>
                </w:p>
              </w:tc>
              <w:tc>
                <w:tcPr>
                  <w:tcW w:w="2631" w:type="dxa"/>
                  <w:tcBorders>
                    <w:tl2br w:val="nil"/>
                    <w:tr2bl w:val="nil"/>
                  </w:tcBorders>
                  <w:vAlign w:val="center"/>
                </w:tcPr>
                <w:p w14:paraId="22446C0D">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（1）本项目废气经布袋除尘+15m高排气筒处理后有组织排放，废气执行《玻璃工业大气污染物排放标准》（GB 26453-2022）表1中的排放限值。</w:t>
                  </w:r>
                </w:p>
                <w:p w14:paraId="12E2A121">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（2）本项目主要原料为成品玻璃，无环境废气排放，其他辅助材料均位于封闭车间内，无组织颗粒物可忽略不计。</w:t>
                  </w:r>
                </w:p>
              </w:tc>
              <w:tc>
                <w:tcPr>
                  <w:tcW w:w="810" w:type="dxa"/>
                  <w:tcBorders>
                    <w:tl2br w:val="nil"/>
                    <w:tr2bl w:val="nil"/>
                  </w:tcBorders>
                  <w:vAlign w:val="center"/>
                </w:tcPr>
                <w:p w14:paraId="63EA3BCA">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符合</w:t>
                  </w:r>
                </w:p>
              </w:tc>
            </w:tr>
            <w:tr w14:paraId="1F9A99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4FB07DC3">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确立“以水权定产”的水资源利用总体方针。规划实施过程中，切实以供水能力和水权指标确定发展规模和建设时序，做到以水权定产。实现用水总量定额管理，依据“节约使用地表水，尽量使用中水”的原则配置水资源。各企业应按清污分流、雨污分流、污污分流原则建立完善的排水系统和事故池，确保各类生产废水得到有效收集、处理循环使用。严禁将生产废水未经处理直接外排污水处理厂，严禁将生产废水直接排入外环境。企业废水处理设施的关键设备应有备件，以保证处理设施正常运行。</w:t>
                  </w:r>
                </w:p>
              </w:tc>
              <w:tc>
                <w:tcPr>
                  <w:tcW w:w="2631" w:type="dxa"/>
                  <w:tcBorders>
                    <w:tl2br w:val="nil"/>
                    <w:tr2bl w:val="nil"/>
                  </w:tcBorders>
                  <w:vAlign w:val="center"/>
                </w:tcPr>
                <w:p w14:paraId="3189DE0C">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本项目玻璃清洗废水经污水处理设施处理后循环使用不外排；软化浓水、生活污水排入园区管网，进入</w:t>
                  </w:r>
                  <w:r>
                    <w:rPr>
                      <w:rFonts w:hint="eastAsia"/>
                      <w:color w:val="auto"/>
                      <w:lang w:eastAsia="zh-CN"/>
                    </w:rPr>
                    <w:t>拉依苏化工区污水处理厂</w:t>
                  </w:r>
                  <w:r>
                    <w:rPr>
                      <w:rFonts w:hint="eastAsia"/>
                      <w:color w:val="auto"/>
                      <w:lang w:val="en-US" w:eastAsia="zh-CN"/>
                    </w:rPr>
                    <w:t>深度处理。</w:t>
                  </w:r>
                </w:p>
              </w:tc>
              <w:tc>
                <w:tcPr>
                  <w:tcW w:w="810" w:type="dxa"/>
                  <w:tcBorders>
                    <w:tl2br w:val="nil"/>
                    <w:tr2bl w:val="nil"/>
                  </w:tcBorders>
                  <w:vAlign w:val="center"/>
                </w:tcPr>
                <w:p w14:paraId="553E83A1">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符合</w:t>
                  </w:r>
                </w:p>
              </w:tc>
            </w:tr>
            <w:tr w14:paraId="7807F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7EDCA2A5">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入园企业必须确保厂界噪声达标。对各种工业噪声源分别采用隔声、吸声和</w:t>
                  </w:r>
                </w:p>
                <w:p w14:paraId="07100E17">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消声等措施，必要时应设置隔声带，以降低其源强，减少对周围环境的影响</w:t>
                  </w:r>
                  <w:r>
                    <w:rPr>
                      <w:rFonts w:hint="eastAsia"/>
                      <w:color w:val="auto"/>
                      <w:lang w:val="en-US" w:eastAsia="zh-CN"/>
                    </w:rPr>
                    <w:t>；</w:t>
                  </w:r>
                  <w:r>
                    <w:rPr>
                      <w:rFonts w:hint="default"/>
                      <w:color w:val="auto"/>
                      <w:lang w:val="en-US" w:eastAsia="zh-CN"/>
                    </w:rPr>
                    <w:t>各</w:t>
                  </w:r>
                </w:p>
                <w:p w14:paraId="47DDFF9B">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项目在总图布置上应充分考虑高噪声设备的影响，将其布置在远离厂界处，以保</w:t>
                  </w:r>
                </w:p>
                <w:p w14:paraId="63893C59">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证厂界噪声达标</w:t>
                  </w:r>
                  <w:r>
                    <w:rPr>
                      <w:rFonts w:hint="eastAsia"/>
                      <w:color w:val="auto"/>
                      <w:lang w:val="en-US" w:eastAsia="zh-CN"/>
                    </w:rPr>
                    <w:t>；</w:t>
                  </w:r>
                  <w:r>
                    <w:rPr>
                      <w:rFonts w:hint="default"/>
                      <w:color w:val="auto"/>
                      <w:lang w:val="en-US" w:eastAsia="zh-CN"/>
                    </w:rPr>
                    <w:t>加强厂区绿化，特别是在有高噪声设备处和厂界之间应设置绿</w:t>
                  </w:r>
                </w:p>
                <w:p w14:paraId="49C4ECD2">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化带，利用树木的吸声、消声作用减小厂界噪声。加快园区周边及园区内部生态</w:t>
                  </w:r>
                </w:p>
                <w:p w14:paraId="144757F4">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屏障林的建设，以减轻园区对周边地区环境空气的不利影响。</w:t>
                  </w:r>
                </w:p>
              </w:tc>
              <w:tc>
                <w:tcPr>
                  <w:tcW w:w="2631" w:type="dxa"/>
                  <w:tcBorders>
                    <w:tl2br w:val="nil"/>
                    <w:tr2bl w:val="nil"/>
                  </w:tcBorders>
                  <w:vAlign w:val="center"/>
                </w:tcPr>
                <w:p w14:paraId="755D315B">
                  <w:pPr>
                    <w:pStyle w:val="7"/>
                    <w:keepNext w:val="0"/>
                    <w:keepLines w:val="0"/>
                    <w:suppressLineNumbers w:val="0"/>
                    <w:bidi w:val="0"/>
                    <w:spacing w:before="0" w:beforeAutospacing="0" w:after="0" w:afterAutospacing="0"/>
                    <w:ind w:left="0" w:right="0"/>
                    <w:jc w:val="center"/>
                    <w:rPr>
                      <w:rFonts w:hint="default" w:eastAsia="宋体"/>
                      <w:color w:val="auto"/>
                      <w:lang w:val="en-US" w:eastAsia="zh-CN"/>
                    </w:rPr>
                  </w:pPr>
                  <w:r>
                    <w:rPr>
                      <w:rFonts w:hint="eastAsia"/>
                      <w:color w:val="auto"/>
                      <w:lang w:val="en-US" w:eastAsia="zh-CN"/>
                    </w:rPr>
                    <w:t>本项目高噪声设备经减振、隔声等措施，减少对环境的影响，厂界噪声执行</w:t>
                  </w:r>
                  <w:r>
                    <w:rPr>
                      <w:rFonts w:hint="default" w:ascii="Times New Roman" w:hAnsi="Times New Roman" w:cs="Times New Roman"/>
                      <w:color w:val="auto"/>
                      <w:sz w:val="21"/>
                      <w:szCs w:val="21"/>
                    </w:rPr>
                    <w:t>《工业企业厂界环境噪声排放标准》（GB12348-2008）</w:t>
                  </w:r>
                  <w:r>
                    <w:rPr>
                      <w:rFonts w:hint="eastAsia" w:cs="Times New Roman"/>
                      <w:color w:val="auto"/>
                      <w:sz w:val="21"/>
                      <w:szCs w:val="21"/>
                      <w:lang w:val="en-US" w:eastAsia="zh-CN"/>
                    </w:rPr>
                    <w:t>3类限值标准。</w:t>
                  </w:r>
                </w:p>
              </w:tc>
              <w:tc>
                <w:tcPr>
                  <w:tcW w:w="810" w:type="dxa"/>
                  <w:tcBorders>
                    <w:tl2br w:val="nil"/>
                    <w:tr2bl w:val="nil"/>
                  </w:tcBorders>
                  <w:vAlign w:val="center"/>
                </w:tcPr>
                <w:p w14:paraId="7916963D">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符合</w:t>
                  </w:r>
                </w:p>
              </w:tc>
            </w:tr>
            <w:tr w14:paraId="6F7B60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0AA1CD3C">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根据规划，轮台工业园区的生活垃圾委托当地环卫部门定期拉运处理。生活垃圾的管理及处置应做到以下几点</w:t>
                  </w:r>
                  <w:r>
                    <w:rPr>
                      <w:rFonts w:hint="eastAsia"/>
                      <w:color w:val="auto"/>
                      <w:lang w:val="en-US" w:eastAsia="zh-CN"/>
                    </w:rPr>
                    <w:t>：</w:t>
                  </w:r>
                  <w:r>
                    <w:rPr>
                      <w:rFonts w:hint="default"/>
                      <w:color w:val="auto"/>
                      <w:lang w:val="en-US" w:eastAsia="zh-CN"/>
                    </w:rPr>
                    <w:t>按国标《城市环境卫生设施设置标准》</w:t>
                  </w:r>
                  <w:r>
                    <w:rPr>
                      <w:rFonts w:hint="eastAsia"/>
                      <w:color w:val="auto"/>
                      <w:lang w:val="en-US" w:eastAsia="zh-CN"/>
                    </w:rPr>
                    <w:t>（</w:t>
                  </w:r>
                  <w:r>
                    <w:rPr>
                      <w:rFonts w:hint="default"/>
                      <w:color w:val="auto"/>
                      <w:lang w:val="en-US" w:eastAsia="zh-CN"/>
                    </w:rPr>
                    <w:t>CJJ27-89</w:t>
                  </w:r>
                  <w:r>
                    <w:rPr>
                      <w:rFonts w:hint="eastAsia"/>
                      <w:color w:val="auto"/>
                      <w:lang w:val="en-US" w:eastAsia="zh-CN"/>
                    </w:rPr>
                    <w:t>）</w:t>
                  </w:r>
                  <w:r>
                    <w:rPr>
                      <w:rFonts w:hint="default"/>
                      <w:color w:val="auto"/>
                      <w:lang w:val="en-US" w:eastAsia="zh-CN"/>
                    </w:rPr>
                    <w:t>有关标准规定，设置垃圾转运站。为确保垃圾清运率达100%，环卫部门应配置必要的设备和运输车辆。</w:t>
                  </w:r>
                </w:p>
                <w:p w14:paraId="4EF148C9">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进一步推广垃圾袋装化，以便后续垃圾分类处理和综合利用，对垃圾中有用</w:t>
                  </w:r>
                </w:p>
                <w:p w14:paraId="4CEBF1E6">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的物质</w:t>
                  </w:r>
                  <w:r>
                    <w:rPr>
                      <w:rFonts w:hint="eastAsia"/>
                      <w:color w:val="auto"/>
                      <w:lang w:val="en-US" w:eastAsia="zh-CN"/>
                    </w:rPr>
                    <w:t>（</w:t>
                  </w:r>
                  <w:r>
                    <w:rPr>
                      <w:rFonts w:hint="default"/>
                      <w:color w:val="auto"/>
                      <w:lang w:val="en-US" w:eastAsia="zh-CN"/>
                    </w:rPr>
                    <w:t>如废纸、金属、玻璃等</w:t>
                  </w:r>
                  <w:r>
                    <w:rPr>
                      <w:rFonts w:hint="eastAsia"/>
                      <w:color w:val="auto"/>
                      <w:lang w:val="en-US" w:eastAsia="zh-CN"/>
                    </w:rPr>
                    <w:t>）</w:t>
                  </w:r>
                  <w:r>
                    <w:rPr>
                      <w:rFonts w:hint="default"/>
                      <w:color w:val="auto"/>
                      <w:lang w:val="en-US" w:eastAsia="zh-CN"/>
                    </w:rPr>
                    <w:t>应尽可能回收。</w:t>
                  </w:r>
                </w:p>
              </w:tc>
              <w:tc>
                <w:tcPr>
                  <w:tcW w:w="2631" w:type="dxa"/>
                  <w:tcBorders>
                    <w:tl2br w:val="nil"/>
                    <w:tr2bl w:val="nil"/>
                  </w:tcBorders>
                  <w:vAlign w:val="center"/>
                </w:tcPr>
                <w:p w14:paraId="734A3CAA">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生活垃圾集中收集，委托环卫部门清运；</w:t>
                  </w:r>
                </w:p>
              </w:tc>
              <w:tc>
                <w:tcPr>
                  <w:tcW w:w="810" w:type="dxa"/>
                  <w:tcBorders>
                    <w:tl2br w:val="nil"/>
                    <w:tr2bl w:val="nil"/>
                  </w:tcBorders>
                  <w:vAlign w:val="center"/>
                </w:tcPr>
                <w:p w14:paraId="2DB57B39">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符合</w:t>
                  </w:r>
                </w:p>
              </w:tc>
            </w:tr>
            <w:tr w14:paraId="4AFD4E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5F307888">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default"/>
                      <w:color w:val="auto"/>
                      <w:lang w:val="en-US" w:eastAsia="zh-CN"/>
                    </w:rPr>
                    <w:t>轮台工业园区产生的一般固体废物首先实行综合利用，对不可综合利用的一般固体废物，应送往一般工业固体废物处理处置场所，进行安全填埋处置。</w:t>
                  </w:r>
                </w:p>
              </w:tc>
              <w:tc>
                <w:tcPr>
                  <w:tcW w:w="2631" w:type="dxa"/>
                  <w:tcBorders>
                    <w:tl2br w:val="nil"/>
                    <w:tr2bl w:val="nil"/>
                  </w:tcBorders>
                  <w:vAlign w:val="center"/>
                </w:tcPr>
                <w:p w14:paraId="7C779079">
                  <w:pPr>
                    <w:pStyle w:val="7"/>
                    <w:keepNext w:val="0"/>
                    <w:keepLines w:val="0"/>
                    <w:suppressLineNumbers w:val="0"/>
                    <w:bidi w:val="0"/>
                    <w:spacing w:before="0" w:beforeAutospacing="0" w:after="0" w:afterAutospacing="0"/>
                    <w:ind w:left="0" w:right="0"/>
                    <w:jc w:val="center"/>
                    <w:rPr>
                      <w:rFonts w:hint="default"/>
                      <w:color w:val="auto"/>
                      <w:lang w:val="en-US" w:eastAsia="zh-CN"/>
                    </w:rPr>
                  </w:pPr>
                  <w:r>
                    <w:rPr>
                      <w:rFonts w:hint="eastAsia"/>
                      <w:color w:val="auto"/>
                      <w:lang w:val="en-US" w:eastAsia="zh-CN"/>
                    </w:rPr>
                    <w:t>本项目废玻璃外售，废靶材、喷砂除尘灰厂家回收；沉淀污泥集中收集外售；废RO膜厂家回收，废石英砂外售综合利用。</w:t>
                  </w:r>
                </w:p>
              </w:tc>
              <w:tc>
                <w:tcPr>
                  <w:tcW w:w="810" w:type="dxa"/>
                  <w:tcBorders>
                    <w:tl2br w:val="nil"/>
                    <w:tr2bl w:val="nil"/>
                  </w:tcBorders>
                  <w:vAlign w:val="center"/>
                </w:tcPr>
                <w:p w14:paraId="593DD53B">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符合</w:t>
                  </w:r>
                </w:p>
              </w:tc>
            </w:tr>
          </w:tbl>
          <w:p w14:paraId="2F3C12FB">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综上，本项目符合《</w:t>
            </w:r>
            <w:r>
              <w:rPr>
                <w:rFonts w:hint="default"/>
                <w:color w:val="auto"/>
              </w:rPr>
              <w:t>轮台工业园区国土空间专项规划（2024-2035年）环境影响报告书</w:t>
            </w:r>
            <w:r>
              <w:rPr>
                <w:rFonts w:hint="eastAsia"/>
                <w:color w:val="auto"/>
                <w:lang w:val="en-US" w:eastAsia="zh-CN"/>
              </w:rPr>
              <w:t>》结论</w:t>
            </w:r>
          </w:p>
          <w:p w14:paraId="71164691">
            <w:pPr>
              <w:pStyle w:val="3"/>
              <w:suppressLineNumbers w:val="0"/>
              <w:bidi w:val="0"/>
              <w:spacing w:before="0" w:beforeAutospacing="0" w:after="0" w:afterAutospacing="0"/>
              <w:ind w:left="0" w:right="0"/>
              <w:rPr>
                <w:rFonts w:hint="eastAsia"/>
                <w:color w:val="auto"/>
                <w:lang w:eastAsia="zh-CN"/>
              </w:rPr>
            </w:pPr>
            <w:r>
              <w:rPr>
                <w:rFonts w:hint="eastAsia"/>
                <w:color w:val="auto"/>
                <w:lang w:val="en-US" w:eastAsia="zh-CN"/>
              </w:rPr>
              <w:t>3、与“</w:t>
            </w:r>
            <w:r>
              <w:rPr>
                <w:rFonts w:hint="eastAsia"/>
                <w:color w:val="auto"/>
                <w:lang w:eastAsia="zh-CN"/>
              </w:rPr>
              <w:t>关于《</w:t>
            </w:r>
            <w:r>
              <w:rPr>
                <w:rFonts w:hint="default"/>
                <w:color w:val="auto"/>
                <w:lang w:val="en-US" w:eastAsia="zh-CN"/>
              </w:rPr>
              <w:t>轮台工业园区国土空间专项规划（2024-2035年）</w:t>
            </w:r>
            <w:r>
              <w:rPr>
                <w:rFonts w:hint="eastAsia"/>
                <w:color w:val="auto"/>
                <w:lang w:val="en-US" w:eastAsia="zh-CN"/>
              </w:rPr>
              <w:t>环境影响报告书</w:t>
            </w:r>
            <w:r>
              <w:rPr>
                <w:rFonts w:hint="eastAsia"/>
                <w:color w:val="auto"/>
                <w:lang w:eastAsia="zh-CN"/>
              </w:rPr>
              <w:t>》的审查意见</w:t>
            </w:r>
            <w:r>
              <w:rPr>
                <w:rFonts w:hint="eastAsia"/>
                <w:color w:val="auto"/>
                <w:lang w:val="en-US" w:eastAsia="zh-CN"/>
              </w:rPr>
              <w:t>”的符合性</w:t>
            </w:r>
          </w:p>
          <w:p w14:paraId="74C5A87B">
            <w:pPr>
              <w:pStyle w:val="8"/>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表1-2 项目与“</w:t>
            </w:r>
            <w:r>
              <w:rPr>
                <w:rFonts w:hint="eastAsia"/>
                <w:color w:val="auto"/>
                <w:lang w:eastAsia="zh-CN"/>
              </w:rPr>
              <w:t>关于《</w:t>
            </w:r>
            <w:r>
              <w:rPr>
                <w:rFonts w:hint="default"/>
                <w:color w:val="auto"/>
                <w:lang w:val="en-US" w:eastAsia="zh-CN"/>
              </w:rPr>
              <w:t>轮台工业园区国土空间专项规划（2024-2035年）</w:t>
            </w:r>
            <w:r>
              <w:rPr>
                <w:rFonts w:hint="eastAsia"/>
                <w:color w:val="auto"/>
                <w:lang w:val="en-US" w:eastAsia="zh-CN"/>
              </w:rPr>
              <w:t>环境影响报告书</w:t>
            </w:r>
            <w:r>
              <w:rPr>
                <w:rFonts w:hint="eastAsia"/>
                <w:color w:val="auto"/>
                <w:lang w:eastAsia="zh-CN"/>
              </w:rPr>
              <w:t>》的审查意见</w:t>
            </w:r>
            <w:r>
              <w:rPr>
                <w:rFonts w:hint="eastAsia"/>
                <w:color w:val="auto"/>
                <w:lang w:val="en-US" w:eastAsia="zh-CN"/>
              </w:rPr>
              <w:t>”的符合性分析</w:t>
            </w:r>
          </w:p>
          <w:tbl>
            <w:tblPr>
              <w:tblStyle w:val="31"/>
              <w:tblW w:w="744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07"/>
              <w:gridCol w:w="2631"/>
              <w:gridCol w:w="810"/>
            </w:tblGrid>
            <w:tr w14:paraId="25CFE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13D8E8C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环评结论</w:t>
                  </w:r>
                </w:p>
              </w:tc>
              <w:tc>
                <w:tcPr>
                  <w:tcW w:w="2631" w:type="dxa"/>
                  <w:tcBorders>
                    <w:tl2br w:val="nil"/>
                    <w:tr2bl w:val="nil"/>
                  </w:tcBorders>
                  <w:vAlign w:val="center"/>
                </w:tcPr>
                <w:p w14:paraId="2A84E778">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w:t>
                  </w:r>
                </w:p>
              </w:tc>
              <w:tc>
                <w:tcPr>
                  <w:tcW w:w="810" w:type="dxa"/>
                  <w:tcBorders>
                    <w:tl2br w:val="nil"/>
                    <w:tr2bl w:val="nil"/>
                  </w:tcBorders>
                  <w:vAlign w:val="center"/>
                </w:tcPr>
                <w:p w14:paraId="15A87D2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符合性</w:t>
                  </w:r>
                </w:p>
              </w:tc>
            </w:tr>
            <w:tr w14:paraId="3E5B85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26E97571">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eastAsia="zh-CN"/>
                    </w:rPr>
                    <w:t>（一）坚持绿色发展，优化产业结构、规划布局。坚持以环境质量改善为核心，遵循生态优先、绿色发展原则，依据区域环境和资源禀赋条件，合理确定园区各片区，尤其是拉依苏石油化工区发展定位、产业结构和规划布局。切实落实《报告书》提出的规划优化调整意见和生态环境保护对策措施，促进园区发展和环境保护相协调。严格按照集约开发的原则，优化土地用地布局，促进产业集聚，提高土地集约利用效率。</w:t>
                  </w:r>
                </w:p>
              </w:tc>
              <w:tc>
                <w:tcPr>
                  <w:tcW w:w="2631" w:type="dxa"/>
                  <w:tcBorders>
                    <w:tl2br w:val="nil"/>
                    <w:tr2bl w:val="nil"/>
                  </w:tcBorders>
                  <w:vAlign w:val="center"/>
                </w:tcPr>
                <w:p w14:paraId="00F8D8E9">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eastAsia="zh-CN"/>
                    </w:rPr>
                    <w:t>本项目位于</w:t>
                  </w:r>
                  <w:r>
                    <w:rPr>
                      <w:rFonts w:hint="eastAsia"/>
                      <w:color w:val="auto"/>
                      <w:lang w:val="en-US" w:eastAsia="zh-CN"/>
                    </w:rPr>
                    <w:t>轮台县</w:t>
                  </w:r>
                  <w:r>
                    <w:rPr>
                      <w:rFonts w:hint="default"/>
                      <w:color w:val="auto"/>
                      <w:lang w:val="en-US" w:eastAsia="zh-CN"/>
                    </w:rPr>
                    <w:t>轮台工业园区拉依苏化工区</w:t>
                  </w:r>
                  <w:r>
                    <w:rPr>
                      <w:rFonts w:hint="eastAsia"/>
                      <w:color w:val="auto"/>
                      <w:lang w:eastAsia="zh-CN"/>
                    </w:rPr>
                    <w:t>，属于工业用地。行业类别为“</w:t>
                  </w:r>
                  <w:r>
                    <w:rPr>
                      <w:rFonts w:hint="eastAsia"/>
                      <w:color w:val="auto"/>
                      <w:lang w:val="en-US" w:eastAsia="zh-CN"/>
                    </w:rPr>
                    <w:t>C3051技术玻璃制品制造</w:t>
                  </w:r>
                  <w:r>
                    <w:rPr>
                      <w:rFonts w:hint="eastAsia"/>
                      <w:color w:val="auto"/>
                      <w:lang w:eastAsia="zh-CN"/>
                    </w:rPr>
                    <w:t>”，</w:t>
                  </w:r>
                  <w:r>
                    <w:rPr>
                      <w:rFonts w:hint="default"/>
                      <w:color w:val="auto"/>
                    </w:rPr>
                    <w:t>产品为建筑节能建材</w:t>
                  </w:r>
                  <w:r>
                    <w:rPr>
                      <w:rFonts w:hint="eastAsia"/>
                      <w:color w:val="auto"/>
                      <w:lang w:eastAsia="zh-CN"/>
                    </w:rPr>
                    <w:t>。本项目位于</w:t>
                  </w:r>
                  <w:r>
                    <w:rPr>
                      <w:rFonts w:hint="eastAsia"/>
                      <w:color w:val="auto"/>
                      <w:lang w:val="en-US" w:eastAsia="zh-CN"/>
                    </w:rPr>
                    <w:t>建材产业区</w:t>
                  </w:r>
                  <w:r>
                    <w:rPr>
                      <w:rFonts w:hint="eastAsia"/>
                      <w:color w:val="auto"/>
                      <w:lang w:eastAsia="zh-CN"/>
                    </w:rPr>
                    <w:t>，因此符合</w:t>
                  </w:r>
                  <w:r>
                    <w:rPr>
                      <w:rFonts w:hint="default"/>
                      <w:color w:val="auto"/>
                      <w:lang w:val="en-US" w:eastAsia="zh-CN"/>
                    </w:rPr>
                    <w:t>轮台工业园区拉依苏化工区</w:t>
                  </w:r>
                  <w:r>
                    <w:rPr>
                      <w:rFonts w:hint="eastAsia"/>
                      <w:color w:val="auto"/>
                      <w:lang w:eastAsia="zh-CN"/>
                    </w:rPr>
                    <w:t>产业定位要求，符合</w:t>
                  </w:r>
                  <w:r>
                    <w:rPr>
                      <w:rFonts w:hint="default"/>
                      <w:color w:val="auto"/>
                    </w:rPr>
                    <w:t>《</w:t>
                  </w:r>
                  <w:r>
                    <w:rPr>
                      <w:rFonts w:hint="default"/>
                      <w:color w:val="auto"/>
                      <w:lang w:val="en-US" w:eastAsia="zh-CN"/>
                    </w:rPr>
                    <w:t>轮台工业园区国土空间专项规划（2024-2035年）</w:t>
                  </w:r>
                  <w:r>
                    <w:rPr>
                      <w:rFonts w:hint="default"/>
                      <w:color w:val="auto"/>
                    </w:rPr>
                    <w:t>》</w:t>
                  </w:r>
                  <w:r>
                    <w:rPr>
                      <w:rFonts w:hint="eastAsia"/>
                      <w:color w:val="auto"/>
                      <w:lang w:eastAsia="zh-CN"/>
                    </w:rPr>
                    <w:t>。</w:t>
                  </w:r>
                </w:p>
              </w:tc>
              <w:tc>
                <w:tcPr>
                  <w:tcW w:w="810" w:type="dxa"/>
                  <w:tcBorders>
                    <w:tl2br w:val="nil"/>
                    <w:tr2bl w:val="nil"/>
                  </w:tcBorders>
                  <w:vAlign w:val="center"/>
                </w:tcPr>
                <w:p w14:paraId="4D862BD3">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符合</w:t>
                  </w:r>
                </w:p>
              </w:tc>
            </w:tr>
            <w:tr w14:paraId="122839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464AD39E">
                  <w:pPr>
                    <w:pStyle w:val="7"/>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衔接生态环保要求，严格环境准入。按照规划产业布局入驻企业，结合区域发展定位、开发布局、生态环境保护目标，实行入园企业生态环境准入审核，不符合产业政策、行业准入条件、生态环境准入清单及国家、自治区明令禁止的项目一律不得入驻园区。引进项目的生产工艺、设备、污染治理技术，以及单位产品能耗、物耗、污染物排放和资源利用效率均需达到同行业国内先进水平。</w:t>
                  </w:r>
                </w:p>
              </w:tc>
              <w:tc>
                <w:tcPr>
                  <w:tcW w:w="2631" w:type="dxa"/>
                  <w:tcBorders>
                    <w:tl2br w:val="nil"/>
                    <w:tr2bl w:val="nil"/>
                  </w:tcBorders>
                  <w:vAlign w:val="center"/>
                </w:tcPr>
                <w:p w14:paraId="14DA8D56">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本项目符合</w:t>
                  </w:r>
                  <w:r>
                    <w:rPr>
                      <w:rFonts w:hint="default"/>
                      <w:color w:val="auto"/>
                      <w:lang w:eastAsia="zh-CN"/>
                    </w:rPr>
                    <w:t>《产业结构调整指导目录（20</w:t>
                  </w:r>
                  <w:r>
                    <w:rPr>
                      <w:rFonts w:hint="eastAsia"/>
                      <w:color w:val="auto"/>
                      <w:lang w:val="en-US" w:eastAsia="zh-CN"/>
                    </w:rPr>
                    <w:t>24</w:t>
                  </w:r>
                  <w:r>
                    <w:rPr>
                      <w:rFonts w:hint="default"/>
                      <w:color w:val="auto"/>
                      <w:lang w:eastAsia="zh-CN"/>
                    </w:rPr>
                    <w:t>年本）</w:t>
                  </w:r>
                  <w:r>
                    <w:rPr>
                      <w:rFonts w:hint="eastAsia"/>
                      <w:color w:val="auto"/>
                      <w:lang w:eastAsia="zh-CN"/>
                    </w:rPr>
                    <w:t>》《</w:t>
                  </w:r>
                  <w:r>
                    <w:rPr>
                      <w:rFonts w:hint="eastAsia"/>
                      <w:color w:val="auto"/>
                      <w:lang w:val="en-US" w:eastAsia="zh-CN"/>
                    </w:rPr>
                    <w:t>新疆维吾尔自治区生态环境分区管控动态更新成果》（新政发〔2024〕157号）、《巴音郭楞蒙古自治州“三线一单”生态环境分区管控动态更新成果（2023年）》（巴政办发〔2024〕32号）、</w:t>
                  </w:r>
                  <w:r>
                    <w:rPr>
                      <w:rFonts w:hint="default"/>
                      <w:color w:val="auto"/>
                      <w:lang w:eastAsia="zh-CN"/>
                    </w:rPr>
                    <w:t>《</w:t>
                  </w:r>
                  <w:r>
                    <w:rPr>
                      <w:rFonts w:hint="eastAsia"/>
                      <w:color w:val="auto"/>
                      <w:lang w:val="en-US" w:eastAsia="zh-CN"/>
                    </w:rPr>
                    <w:t>轮台工业园区国土空间专项规划（</w:t>
                  </w:r>
                  <w:r>
                    <w:rPr>
                      <w:rFonts w:hint="default"/>
                      <w:color w:val="auto"/>
                      <w:lang w:val="en-US" w:eastAsia="zh-CN"/>
                    </w:rPr>
                    <w:t>2024-2035</w:t>
                  </w:r>
                  <w:r>
                    <w:rPr>
                      <w:rFonts w:hint="eastAsia"/>
                      <w:color w:val="auto"/>
                      <w:lang w:val="en-US" w:eastAsia="zh-CN"/>
                    </w:rPr>
                    <w:t>年）</w:t>
                  </w:r>
                  <w:r>
                    <w:rPr>
                      <w:rFonts w:hint="default"/>
                      <w:color w:val="auto"/>
                      <w:lang w:eastAsia="zh-CN"/>
                    </w:rPr>
                    <w:t>》</w:t>
                  </w:r>
                  <w:r>
                    <w:rPr>
                      <w:rFonts w:hint="eastAsia"/>
                      <w:color w:val="auto"/>
                      <w:lang w:eastAsia="zh-CN"/>
                    </w:rPr>
                    <w:t>，</w:t>
                  </w:r>
                  <w:r>
                    <w:rPr>
                      <w:rFonts w:hint="default"/>
                      <w:color w:val="auto"/>
                      <w:lang w:val="en-US" w:eastAsia="en-US"/>
                    </w:rPr>
                    <w:t>不属于《市场准入负面清单（202</w:t>
                  </w:r>
                  <w:r>
                    <w:rPr>
                      <w:rFonts w:hint="eastAsia"/>
                      <w:color w:val="auto"/>
                      <w:lang w:val="en-US" w:eastAsia="en-US"/>
                    </w:rPr>
                    <w:t>5</w:t>
                  </w:r>
                  <w:r>
                    <w:rPr>
                      <w:rFonts w:hint="default"/>
                      <w:color w:val="auto"/>
                      <w:lang w:val="en-US" w:eastAsia="en-US"/>
                    </w:rPr>
                    <w:t>年版）》禁止准入事项</w:t>
                  </w:r>
                  <w:r>
                    <w:rPr>
                      <w:rFonts w:hint="eastAsia"/>
                      <w:color w:val="auto"/>
                      <w:lang w:val="en-US" w:eastAsia="en-US"/>
                    </w:rPr>
                    <w:t>。</w:t>
                  </w:r>
                </w:p>
              </w:tc>
              <w:tc>
                <w:tcPr>
                  <w:tcW w:w="810" w:type="dxa"/>
                  <w:tcBorders>
                    <w:tl2br w:val="nil"/>
                    <w:tr2bl w:val="nil"/>
                  </w:tcBorders>
                  <w:vAlign w:val="center"/>
                </w:tcPr>
                <w:p w14:paraId="32E1E06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符合</w:t>
                  </w:r>
                </w:p>
              </w:tc>
            </w:tr>
            <w:tr w14:paraId="728247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3798A05D">
                  <w:pPr>
                    <w:pStyle w:val="7"/>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严格管控区域污染物排放。严格控制开发强度，优化项目建设时序，落实污染物总量控制、减排任务。采取有效措施减少氮氧化物、颗粒物、挥发性有机物等污染物排放量，各类污染物排放须满足国家及自治区最新污染物排放标准要求。深入开展应对气候变化工作，提出污染物协同脱除、减污降碳协同控制要求</w:t>
                  </w:r>
                  <w:r>
                    <w:rPr>
                      <w:rFonts w:hint="eastAsia"/>
                      <w:color w:val="auto"/>
                      <w:lang w:val="en-US" w:eastAsia="zh-CN"/>
                    </w:rPr>
                    <w:t>严格控制气体</w:t>
                  </w:r>
                  <w:r>
                    <w:rPr>
                      <w:rFonts w:hint="eastAsia"/>
                      <w:color w:val="auto"/>
                      <w:lang w:eastAsia="zh-CN"/>
                    </w:rPr>
                    <w:t>排放</w:t>
                  </w:r>
                </w:p>
              </w:tc>
              <w:tc>
                <w:tcPr>
                  <w:tcW w:w="2631" w:type="dxa"/>
                  <w:tcBorders>
                    <w:tl2br w:val="nil"/>
                    <w:tr2bl w:val="nil"/>
                  </w:tcBorders>
                  <w:vAlign w:val="center"/>
                </w:tcPr>
                <w:p w14:paraId="2C116948">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本项目废气经布袋除尘+15m高排气筒处理后有组织排放，废气执行《玻璃工业大气污染物排放标准》（GB 26453-2022）表1中的排放限值。</w:t>
                  </w:r>
                </w:p>
              </w:tc>
              <w:tc>
                <w:tcPr>
                  <w:tcW w:w="810" w:type="dxa"/>
                  <w:tcBorders>
                    <w:tl2br w:val="nil"/>
                    <w:tr2bl w:val="nil"/>
                  </w:tcBorders>
                  <w:vAlign w:val="center"/>
                </w:tcPr>
                <w:p w14:paraId="0A0A9CD6">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符合</w:t>
                  </w:r>
                </w:p>
              </w:tc>
            </w:tr>
            <w:tr w14:paraId="7C20B6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07" w:type="dxa"/>
                  <w:tcBorders>
                    <w:tl2br w:val="nil"/>
                    <w:tr2bl w:val="nil"/>
                  </w:tcBorders>
                  <w:vAlign w:val="center"/>
                </w:tcPr>
                <w:p w14:paraId="0F9F3B78">
                  <w:pPr>
                    <w:pStyle w:val="7"/>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严格资源利用总量控制，加快基础设施建设。以水资源承载力为基础，坚持“以水定产、以水定量”，合理确定园区用水规模，充分挖掘园区可利用的中水资源，优先采用中水作为水源，提高水资源利用率，最大限度节约新鲜水用量，确保园区工业用水满足水资源“三条红线”指标要求；完善园区中水回用方案，加快完成园区中水回用系统及回用管网等基础设施建设。加强工业固体废物环境管理，以减量化、资源化、无害化为原则，推进固废资源化利用。</w:t>
                  </w:r>
                </w:p>
              </w:tc>
              <w:tc>
                <w:tcPr>
                  <w:tcW w:w="2631" w:type="dxa"/>
                  <w:tcBorders>
                    <w:tl2br w:val="nil"/>
                    <w:tr2bl w:val="nil"/>
                  </w:tcBorders>
                  <w:vAlign w:val="center"/>
                </w:tcPr>
                <w:p w14:paraId="4E2A0093">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本项目玻璃清洗废水经污水处理设施处理后循环使用不外排；软化浓水、生活污水排入园区管网，进入</w:t>
                  </w:r>
                  <w:r>
                    <w:rPr>
                      <w:rFonts w:hint="eastAsia"/>
                      <w:color w:val="auto"/>
                      <w:lang w:eastAsia="zh-CN"/>
                    </w:rPr>
                    <w:t>拉依苏化工区污水处理厂</w:t>
                  </w:r>
                  <w:r>
                    <w:rPr>
                      <w:rFonts w:hint="eastAsia"/>
                      <w:color w:val="auto"/>
                      <w:lang w:val="en-US" w:eastAsia="zh-CN"/>
                    </w:rPr>
                    <w:t>深度处理。本项目废玻璃外售，废靶材、喷砂除尘灰厂家回收；沉淀污泥集中收集外售；废RO膜厂家回收，废石英砂外售综合利用。</w:t>
                  </w:r>
                </w:p>
              </w:tc>
              <w:tc>
                <w:tcPr>
                  <w:tcW w:w="810" w:type="dxa"/>
                  <w:tcBorders>
                    <w:tl2br w:val="nil"/>
                    <w:tr2bl w:val="nil"/>
                  </w:tcBorders>
                  <w:vAlign w:val="center"/>
                </w:tcPr>
                <w:p w14:paraId="1E738FE4">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符合</w:t>
                  </w:r>
                </w:p>
              </w:tc>
            </w:tr>
          </w:tbl>
          <w:p w14:paraId="42B71EF1">
            <w:pPr>
              <w:keepNext w:val="0"/>
              <w:keepLines w:val="0"/>
              <w:suppressLineNumbers w:val="0"/>
              <w:bidi w:val="0"/>
              <w:spacing w:before="0" w:beforeAutospacing="0" w:after="0" w:afterAutospacing="0"/>
              <w:ind w:left="0" w:right="0"/>
              <w:rPr>
                <w:rFonts w:hint="eastAsia" w:eastAsia="宋体"/>
                <w:color w:val="auto"/>
                <w:lang w:val="en-US" w:eastAsia="zh-CN"/>
              </w:rPr>
            </w:pPr>
            <w:r>
              <w:rPr>
                <w:rFonts w:hint="eastAsia"/>
                <w:color w:val="auto"/>
                <w:highlight w:val="none"/>
                <w:lang w:val="en-US" w:eastAsia="zh-CN"/>
              </w:rPr>
              <w:t>综上，本项目符合“</w:t>
            </w:r>
            <w:r>
              <w:rPr>
                <w:rFonts w:hint="eastAsia"/>
                <w:color w:val="auto"/>
                <w:lang w:eastAsia="zh-CN"/>
              </w:rPr>
              <w:t>关于《</w:t>
            </w:r>
            <w:r>
              <w:rPr>
                <w:rFonts w:hint="default"/>
                <w:color w:val="auto"/>
                <w:lang w:val="en-US" w:eastAsia="zh-CN"/>
              </w:rPr>
              <w:t>轮台工业园区国土空间专项规划（2024-2035年）</w:t>
            </w:r>
            <w:r>
              <w:rPr>
                <w:rFonts w:hint="eastAsia"/>
                <w:color w:val="auto"/>
                <w:lang w:val="en-US" w:eastAsia="zh-CN"/>
              </w:rPr>
              <w:t>环境影响报告书</w:t>
            </w:r>
            <w:r>
              <w:rPr>
                <w:rFonts w:hint="eastAsia"/>
                <w:color w:val="auto"/>
                <w:lang w:eastAsia="zh-CN"/>
              </w:rPr>
              <w:t>》的审查意见</w:t>
            </w:r>
            <w:r>
              <w:rPr>
                <w:rFonts w:hint="eastAsia"/>
                <w:color w:val="auto"/>
                <w:highlight w:val="none"/>
                <w:lang w:val="en-US" w:eastAsia="zh-CN"/>
              </w:rPr>
              <w:t>”</w:t>
            </w:r>
            <w:r>
              <w:rPr>
                <w:rFonts w:hint="eastAsia"/>
                <w:color w:val="auto"/>
                <w:lang w:eastAsia="zh-CN"/>
              </w:rPr>
              <w:t>。</w:t>
            </w:r>
          </w:p>
        </w:tc>
      </w:tr>
      <w:tr w14:paraId="4EE361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5" w:type="pct"/>
            <w:vAlign w:val="center"/>
          </w:tcPr>
          <w:p w14:paraId="5FAF6B67">
            <w:pPr>
              <w:pStyle w:val="11"/>
              <w:keepNext w:val="0"/>
              <w:keepLines w:val="0"/>
              <w:suppressLineNumbers w:val="0"/>
              <w:bidi w:val="0"/>
              <w:spacing w:before="0" w:beforeAutospacing="0" w:after="0" w:afterAutospacing="0"/>
              <w:ind w:left="0"/>
              <w:rPr>
                <w:rFonts w:hint="default"/>
                <w:color w:val="auto"/>
              </w:rPr>
            </w:pPr>
            <w:r>
              <w:rPr>
                <w:rFonts w:hint="default"/>
                <w:color w:val="auto"/>
              </w:rPr>
              <w:t>其他符合性分析</w:t>
            </w:r>
          </w:p>
        </w:tc>
        <w:tc>
          <w:tcPr>
            <w:tcW w:w="4144" w:type="pct"/>
            <w:gridSpan w:val="3"/>
            <w:vAlign w:val="center"/>
          </w:tcPr>
          <w:p w14:paraId="4635A9EC">
            <w:pPr>
              <w:pStyle w:val="3"/>
              <w:suppressLineNumbers w:val="0"/>
              <w:bidi w:val="0"/>
              <w:spacing w:before="0" w:beforeAutospacing="0" w:after="0" w:afterAutospacing="0"/>
              <w:ind w:left="0" w:right="0"/>
              <w:rPr>
                <w:rFonts w:hint="default"/>
                <w:color w:val="auto"/>
              </w:rPr>
            </w:pPr>
            <w:r>
              <w:rPr>
                <w:rFonts w:hint="default"/>
                <w:color w:val="auto"/>
                <w:lang w:val="en-US" w:eastAsia="zh-CN"/>
              </w:rPr>
              <w:t>1、</w:t>
            </w:r>
            <w:r>
              <w:rPr>
                <w:rFonts w:hint="default"/>
                <w:color w:val="auto"/>
              </w:rPr>
              <w:t>产业政策符合性</w:t>
            </w:r>
          </w:p>
          <w:p w14:paraId="3F40508A">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本项目为</w:t>
            </w:r>
            <w:r>
              <w:rPr>
                <w:rFonts w:hint="eastAsia" w:ascii="Times New Roman" w:hAnsi="Times New Roman" w:eastAsia="宋体" w:cs="宋体"/>
                <w:color w:val="auto"/>
                <w:sz w:val="24"/>
                <w:szCs w:val="24"/>
                <w:lang w:val="en-US" w:eastAsia="zh-CN"/>
              </w:rPr>
              <w:t>玻璃及玻璃制品</w:t>
            </w:r>
            <w:r>
              <w:rPr>
                <w:rFonts w:hint="eastAsia"/>
                <w:color w:val="auto"/>
                <w:lang w:val="en-US" w:eastAsia="zh-CN"/>
              </w:rPr>
              <w:t>，</w:t>
            </w:r>
            <w:r>
              <w:rPr>
                <w:rFonts w:hint="eastAsia"/>
                <w:color w:val="auto"/>
                <w:lang w:eastAsia="zh-CN"/>
              </w:rPr>
              <w:t>根据</w:t>
            </w:r>
            <w:r>
              <w:rPr>
                <w:rFonts w:hint="default"/>
                <w:color w:val="auto"/>
              </w:rPr>
              <w:t>《产业结构调整指导目录（20</w:t>
            </w:r>
            <w:r>
              <w:rPr>
                <w:rFonts w:hint="eastAsia"/>
                <w:color w:val="auto"/>
                <w:lang w:val="en-US" w:eastAsia="zh-CN"/>
              </w:rPr>
              <w:t>24</w:t>
            </w:r>
            <w:r>
              <w:rPr>
                <w:rFonts w:hint="default"/>
                <w:color w:val="auto"/>
              </w:rPr>
              <w:t>年本）》</w:t>
            </w:r>
            <w:r>
              <w:rPr>
                <w:rFonts w:hint="eastAsia"/>
                <w:color w:val="auto"/>
                <w:lang w:eastAsia="zh-CN"/>
              </w:rPr>
              <w:t>，本</w:t>
            </w:r>
            <w:r>
              <w:rPr>
                <w:rFonts w:hint="eastAsia"/>
                <w:color w:val="auto"/>
              </w:rPr>
              <w:t>项目不属于鼓励、限制类、淘汰类：根据国务院关于发布实施《促进产业结构调整暂行规定》的决定（国发﹝</w:t>
            </w:r>
            <w:r>
              <w:rPr>
                <w:rFonts w:hint="eastAsia"/>
                <w:color w:val="auto"/>
                <w:lang w:val="en-US" w:eastAsia="zh-CN"/>
              </w:rPr>
              <w:t>2005</w:t>
            </w:r>
            <w:r>
              <w:rPr>
                <w:rFonts w:hint="eastAsia"/>
                <w:color w:val="auto"/>
              </w:rPr>
              <w:t>﹞40号）第三章产业结构调整指导目录第十三条“不属于鼓励类、限制类和淘汰类，且符合国家有关</w:t>
            </w:r>
            <w:r>
              <w:rPr>
                <w:rFonts w:hint="eastAsia"/>
                <w:color w:val="auto"/>
                <w:lang w:eastAsia="zh-CN"/>
              </w:rPr>
              <w:t>法律法规</w:t>
            </w:r>
            <w:r>
              <w:rPr>
                <w:rFonts w:hint="eastAsia"/>
                <w:color w:val="auto"/>
              </w:rPr>
              <w:t>和政策规定的，为允许类”，因此项目</w:t>
            </w:r>
            <w:r>
              <w:rPr>
                <w:rFonts w:hint="eastAsia"/>
                <w:color w:val="auto"/>
                <w:lang w:eastAsia="zh-CN"/>
              </w:rPr>
              <w:t>属于</w:t>
            </w:r>
            <w:r>
              <w:rPr>
                <w:rFonts w:hint="eastAsia"/>
                <w:color w:val="auto"/>
              </w:rPr>
              <w:t>允许类，符合国家的产业政策</w:t>
            </w:r>
            <w:r>
              <w:rPr>
                <w:rFonts w:hint="eastAsia"/>
                <w:color w:val="auto"/>
                <w:lang w:val="en-US" w:eastAsia="zh-CN"/>
              </w:rPr>
              <w:t>。本项目已取得备案证，备案证号：2506111965652822000133。</w:t>
            </w:r>
          </w:p>
          <w:p w14:paraId="355ADF1B">
            <w:pPr>
              <w:pStyle w:val="3"/>
              <w:suppressLineNumbers w:val="0"/>
              <w:bidi w:val="0"/>
              <w:spacing w:before="0" w:beforeAutospacing="0" w:after="0" w:afterAutospacing="0"/>
              <w:ind w:left="0" w:right="0"/>
              <w:jc w:val="both"/>
              <w:rPr>
                <w:rFonts w:hint="eastAsia"/>
                <w:color w:val="auto"/>
                <w:lang w:val="en-US" w:eastAsia="zh-CN"/>
              </w:rPr>
            </w:pPr>
            <w:r>
              <w:rPr>
                <w:rFonts w:hint="eastAsia"/>
                <w:color w:val="auto"/>
                <w:lang w:val="en-US" w:eastAsia="zh-CN"/>
              </w:rPr>
              <w:t>2、与新疆维吾尔自治区生态环境分区管控要求的符合性分析</w:t>
            </w:r>
          </w:p>
          <w:p w14:paraId="06946636">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《新疆维吾尔自治区生态环境分区管控动态更新成果》（新政发〔2024〕157号）的符合性分析。</w:t>
            </w:r>
          </w:p>
          <w:p w14:paraId="4B1778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2" w:firstLineChars="200"/>
              <w:textAlignment w:val="auto"/>
              <w:rPr>
                <w:rFonts w:hint="default"/>
                <w:color w:val="auto"/>
                <w:lang w:val="en-US" w:eastAsia="zh-CN"/>
              </w:rPr>
            </w:pPr>
            <w:r>
              <w:rPr>
                <w:rFonts w:hint="eastAsia" w:ascii="Times New Roman" w:hAnsi="Times New Roman" w:eastAsia="宋体" w:cs="Times New Roman"/>
                <w:b/>
                <w:bCs/>
                <w:color w:val="auto"/>
                <w:sz w:val="21"/>
                <w:szCs w:val="21"/>
                <w:lang w:val="en-US" w:eastAsia="zh-CN"/>
              </w:rPr>
              <w:t>表</w:t>
            </w:r>
            <w:r>
              <w:rPr>
                <w:rFonts w:hint="eastAsia" w:cs="Times New Roman"/>
                <w:b/>
                <w:bCs/>
                <w:color w:val="auto"/>
                <w:sz w:val="21"/>
                <w:szCs w:val="21"/>
                <w:lang w:val="en-US" w:eastAsia="zh-CN"/>
              </w:rPr>
              <w:t xml:space="preserve">1-3 </w:t>
            </w:r>
            <w:r>
              <w:rPr>
                <w:rFonts w:hint="eastAsia" w:ascii="Times New Roman" w:hAnsi="Times New Roman" w:eastAsia="宋体" w:cs="Times New Roman"/>
                <w:b/>
                <w:bCs/>
                <w:color w:val="auto"/>
                <w:sz w:val="21"/>
                <w:szCs w:val="21"/>
                <w:lang w:val="en-US" w:eastAsia="zh-CN"/>
              </w:rPr>
              <w:t>与《新疆维吾尔自治区生态环境分区管控动态更新成果</w:t>
            </w:r>
            <w:r>
              <w:rPr>
                <w:rFonts w:hint="eastAsia" w:cs="Times New Roman"/>
                <w:b/>
                <w:bCs/>
                <w:color w:val="auto"/>
                <w:sz w:val="21"/>
                <w:szCs w:val="21"/>
                <w:lang w:val="en-US" w:eastAsia="zh-CN"/>
              </w:rPr>
              <w:t>》</w:t>
            </w:r>
            <w:r>
              <w:rPr>
                <w:rFonts w:hint="eastAsia" w:ascii="Times New Roman" w:hAnsi="Times New Roman" w:eastAsia="宋体" w:cs="Times New Roman"/>
                <w:b/>
                <w:bCs/>
                <w:color w:val="auto"/>
                <w:sz w:val="21"/>
                <w:szCs w:val="21"/>
                <w:lang w:val="en-US" w:eastAsia="zh-CN"/>
              </w:rPr>
              <w:t>（新政发〔2024〕157号）的符合性表</w:t>
            </w:r>
          </w:p>
          <w:tbl>
            <w:tblPr>
              <w:tblStyle w:val="110"/>
              <w:tblW w:w="490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59"/>
              <w:gridCol w:w="497"/>
              <w:gridCol w:w="4424"/>
              <w:gridCol w:w="2128"/>
            </w:tblGrid>
            <w:tr w14:paraId="5D1611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72" w:hRule="atLeast"/>
                <w:jc w:val="center"/>
              </w:trPr>
              <w:tc>
                <w:tcPr>
                  <w:tcW w:w="516" w:type="pct"/>
                  <w:gridSpan w:val="2"/>
                  <w:tcBorders>
                    <w:tl2br w:val="nil"/>
                    <w:tr2bl w:val="nil"/>
                  </w:tcBorders>
                  <w:vAlign w:val="center"/>
                </w:tcPr>
                <w:p w14:paraId="594A71A7">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管控维度</w:t>
                  </w:r>
                </w:p>
              </w:tc>
              <w:tc>
                <w:tcPr>
                  <w:tcW w:w="3027" w:type="pct"/>
                  <w:tcBorders>
                    <w:tl2br w:val="nil"/>
                    <w:tr2bl w:val="nil"/>
                  </w:tcBorders>
                  <w:vAlign w:val="center"/>
                </w:tcPr>
                <w:p w14:paraId="50BC057B">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管控要求</w:t>
                  </w:r>
                </w:p>
              </w:tc>
              <w:tc>
                <w:tcPr>
                  <w:tcW w:w="1455" w:type="pct"/>
                  <w:tcBorders>
                    <w:tl2br w:val="nil"/>
                    <w:tr2bl w:val="nil"/>
                  </w:tcBorders>
                  <w:vAlign w:val="center"/>
                </w:tcPr>
                <w:p w14:paraId="01D85C41">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符合性分析</w:t>
                  </w:r>
                </w:p>
              </w:tc>
            </w:tr>
            <w:tr w14:paraId="71D3B4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608" w:hRule="atLeast"/>
                <w:jc w:val="center"/>
              </w:trPr>
              <w:tc>
                <w:tcPr>
                  <w:tcW w:w="177" w:type="pct"/>
                  <w:vMerge w:val="restart"/>
                  <w:tcBorders>
                    <w:tl2br w:val="nil"/>
                    <w:tr2bl w:val="nil"/>
                  </w:tcBorders>
                  <w:vAlign w:val="center"/>
                </w:tcPr>
                <w:p w14:paraId="19FE2940">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A1空间布局约束</w:t>
                  </w:r>
                </w:p>
              </w:tc>
              <w:tc>
                <w:tcPr>
                  <w:tcW w:w="339" w:type="pct"/>
                  <w:tcBorders>
                    <w:tl2br w:val="nil"/>
                    <w:tr2bl w:val="nil"/>
                  </w:tcBorders>
                  <w:vAlign w:val="center"/>
                </w:tcPr>
                <w:p w14:paraId="3438A471">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A1.1禁止开发建设的活动</w:t>
                  </w:r>
                </w:p>
              </w:tc>
              <w:tc>
                <w:tcPr>
                  <w:tcW w:w="3027" w:type="pct"/>
                  <w:tcBorders>
                    <w:tl2br w:val="nil"/>
                    <w:tr2bl w:val="nil"/>
                  </w:tcBorders>
                  <w:vAlign w:val="center"/>
                </w:tcPr>
                <w:p w14:paraId="635B8E5B">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〔A1.1-1〕禁止新建、扩建《产业结构调整指导目录</w:t>
                  </w:r>
                  <w:r>
                    <w:rPr>
                      <w:rFonts w:hint="eastAsia" w:cs="Times New Roman"/>
                      <w:b w:val="0"/>
                      <w:bCs/>
                      <w:color w:val="auto"/>
                      <w:spacing w:val="0"/>
                      <w:kern w:val="0"/>
                      <w:position w:val="0"/>
                      <w:sz w:val="21"/>
                      <w:szCs w:val="21"/>
                      <w:lang w:val="en-US" w:bidi="zh-CN"/>
                    </w:rPr>
                    <w:t>（</w:t>
                  </w:r>
                  <w:r>
                    <w:rPr>
                      <w:rFonts w:hint="default" w:ascii="Times New Roman" w:hAnsi="Times New Roman" w:eastAsia="宋体" w:cs="Times New Roman"/>
                      <w:b w:val="0"/>
                      <w:bCs/>
                      <w:color w:val="auto"/>
                      <w:spacing w:val="0"/>
                      <w:kern w:val="0"/>
                      <w:position w:val="0"/>
                      <w:sz w:val="21"/>
                      <w:szCs w:val="21"/>
                      <w:lang w:val="en-US" w:bidi="zh-CN"/>
                    </w:rPr>
                    <w:t>2024年本</w:t>
                  </w:r>
                  <w:r>
                    <w:rPr>
                      <w:rFonts w:hint="eastAsia" w:cs="Times New Roman"/>
                      <w:b w:val="0"/>
                      <w:bCs/>
                      <w:color w:val="auto"/>
                      <w:spacing w:val="0"/>
                      <w:kern w:val="0"/>
                      <w:position w:val="0"/>
                      <w:sz w:val="21"/>
                      <w:szCs w:val="21"/>
                      <w:lang w:val="en-US" w:bidi="zh-CN"/>
                    </w:rPr>
                    <w:t>）</w:t>
                  </w:r>
                  <w:r>
                    <w:rPr>
                      <w:rFonts w:hint="default" w:ascii="Times New Roman" w:hAnsi="Times New Roman" w:eastAsia="宋体" w:cs="Times New Roman"/>
                      <w:b w:val="0"/>
                      <w:bCs/>
                      <w:color w:val="auto"/>
                      <w:spacing w:val="0"/>
                      <w:kern w:val="0"/>
                      <w:position w:val="0"/>
                      <w:sz w:val="21"/>
                      <w:szCs w:val="21"/>
                      <w:lang w:val="en-US" w:bidi="zh-CN"/>
                    </w:rPr>
                    <w:t>》中淘汰类项目。禁止引入《市场准入负面清单</w:t>
                  </w:r>
                  <w:r>
                    <w:rPr>
                      <w:rFonts w:hint="eastAsia" w:cs="Times New Roman"/>
                      <w:b w:val="0"/>
                      <w:bCs/>
                      <w:color w:val="auto"/>
                      <w:spacing w:val="0"/>
                      <w:kern w:val="0"/>
                      <w:position w:val="0"/>
                      <w:sz w:val="21"/>
                      <w:szCs w:val="21"/>
                      <w:lang w:val="en-US" w:bidi="zh-CN"/>
                    </w:rPr>
                    <w:t>（</w:t>
                  </w:r>
                  <w:r>
                    <w:rPr>
                      <w:rFonts w:hint="default" w:ascii="Times New Roman" w:hAnsi="Times New Roman" w:eastAsia="宋体" w:cs="Times New Roman"/>
                      <w:b w:val="0"/>
                      <w:bCs/>
                      <w:color w:val="auto"/>
                      <w:spacing w:val="0"/>
                      <w:kern w:val="0"/>
                      <w:position w:val="0"/>
                      <w:sz w:val="21"/>
                      <w:szCs w:val="21"/>
                      <w:lang w:val="en-US" w:bidi="zh-CN"/>
                    </w:rPr>
                    <w:t>2022年版</w:t>
                  </w:r>
                  <w:r>
                    <w:rPr>
                      <w:rFonts w:hint="eastAsia" w:cs="Times New Roman"/>
                      <w:b w:val="0"/>
                      <w:bCs/>
                      <w:color w:val="auto"/>
                      <w:spacing w:val="0"/>
                      <w:kern w:val="0"/>
                      <w:position w:val="0"/>
                      <w:sz w:val="21"/>
                      <w:szCs w:val="21"/>
                      <w:lang w:val="en-US" w:bidi="zh-CN"/>
                    </w:rPr>
                    <w:t>）</w:t>
                  </w:r>
                  <w:r>
                    <w:rPr>
                      <w:rFonts w:hint="default" w:ascii="Times New Roman" w:hAnsi="Times New Roman" w:eastAsia="宋体" w:cs="Times New Roman"/>
                      <w:b w:val="0"/>
                      <w:bCs/>
                      <w:color w:val="auto"/>
                      <w:spacing w:val="0"/>
                      <w:kern w:val="0"/>
                      <w:position w:val="0"/>
                      <w:sz w:val="21"/>
                      <w:szCs w:val="21"/>
                      <w:lang w:val="en-US" w:bidi="zh-CN"/>
                    </w:rPr>
                    <w:t>》禁止准入类事项。</w:t>
                  </w:r>
                </w:p>
              </w:tc>
              <w:tc>
                <w:tcPr>
                  <w:tcW w:w="1455" w:type="pct"/>
                  <w:tcBorders>
                    <w:tl2br w:val="nil"/>
                    <w:tr2bl w:val="nil"/>
                  </w:tcBorders>
                  <w:vAlign w:val="center"/>
                </w:tcPr>
                <w:p w14:paraId="0412FFE0">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eastAsia="en-US" w:bidi="zh-CN"/>
                    </w:rPr>
                    <w:t>符合，本项目属于《产业结构调整指导目录（2024 年本）》</w:t>
                  </w:r>
                  <w:r>
                    <w:rPr>
                      <w:rFonts w:hint="eastAsia" w:ascii="Times New Roman" w:hAnsi="Times New Roman" w:eastAsia="宋体" w:cs="Times New Roman"/>
                      <w:b w:val="0"/>
                      <w:bCs/>
                      <w:color w:val="auto"/>
                      <w:spacing w:val="0"/>
                      <w:kern w:val="0"/>
                      <w:position w:val="0"/>
                      <w:sz w:val="21"/>
                      <w:szCs w:val="21"/>
                      <w:lang w:val="en-US" w:eastAsia="en-US" w:bidi="zh-CN"/>
                    </w:rPr>
                    <w:t>允许</w:t>
                  </w:r>
                  <w:r>
                    <w:rPr>
                      <w:rFonts w:hint="default" w:ascii="Times New Roman" w:hAnsi="Times New Roman" w:eastAsia="宋体" w:cs="Times New Roman"/>
                      <w:b w:val="0"/>
                      <w:bCs/>
                      <w:color w:val="auto"/>
                      <w:spacing w:val="0"/>
                      <w:kern w:val="0"/>
                      <w:position w:val="0"/>
                      <w:sz w:val="21"/>
                      <w:szCs w:val="21"/>
                      <w:lang w:val="en-US" w:eastAsia="en-US" w:bidi="zh-CN"/>
                    </w:rPr>
                    <w:t>类项目，不属于《市场准入负面清单（202</w:t>
                  </w:r>
                  <w:r>
                    <w:rPr>
                      <w:rFonts w:hint="eastAsia" w:cs="Times New Roman"/>
                      <w:b w:val="0"/>
                      <w:bCs/>
                      <w:color w:val="auto"/>
                      <w:spacing w:val="0"/>
                      <w:kern w:val="0"/>
                      <w:position w:val="0"/>
                      <w:sz w:val="21"/>
                      <w:szCs w:val="21"/>
                      <w:lang w:val="en-US" w:eastAsia="en-US" w:bidi="zh-CN"/>
                    </w:rPr>
                    <w:t>5</w:t>
                  </w:r>
                  <w:r>
                    <w:rPr>
                      <w:rFonts w:hint="default" w:ascii="Times New Roman" w:hAnsi="Times New Roman" w:eastAsia="宋体" w:cs="Times New Roman"/>
                      <w:b w:val="0"/>
                      <w:bCs/>
                      <w:color w:val="auto"/>
                      <w:spacing w:val="0"/>
                      <w:kern w:val="0"/>
                      <w:position w:val="0"/>
                      <w:sz w:val="21"/>
                      <w:szCs w:val="21"/>
                      <w:lang w:val="en-US" w:eastAsia="en-US" w:bidi="zh-CN"/>
                    </w:rPr>
                    <w:t>年版）》禁止准入事项。</w:t>
                  </w:r>
                </w:p>
              </w:tc>
            </w:tr>
            <w:tr w14:paraId="346F48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86" w:hRule="atLeast"/>
                <w:jc w:val="center"/>
              </w:trPr>
              <w:tc>
                <w:tcPr>
                  <w:tcW w:w="177" w:type="pct"/>
                  <w:vMerge w:val="continue"/>
                  <w:tcBorders>
                    <w:tl2br w:val="nil"/>
                    <w:tr2bl w:val="nil"/>
                  </w:tcBorders>
                  <w:vAlign w:val="center"/>
                </w:tcPr>
                <w:p w14:paraId="1EAE1DA5">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39" w:type="pct"/>
                  <w:tcBorders>
                    <w:tl2br w:val="nil"/>
                    <w:tr2bl w:val="nil"/>
                  </w:tcBorders>
                  <w:vAlign w:val="center"/>
                </w:tcPr>
                <w:p w14:paraId="502A0EA6">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A1.4其它布局要求</w:t>
                  </w:r>
                </w:p>
              </w:tc>
              <w:tc>
                <w:tcPr>
                  <w:tcW w:w="3027" w:type="pct"/>
                  <w:tcBorders>
                    <w:tl2br w:val="nil"/>
                    <w:tr2bl w:val="nil"/>
                  </w:tcBorders>
                  <w:vAlign w:val="center"/>
                </w:tcPr>
                <w:p w14:paraId="425536E8">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455" w:type="pct"/>
                  <w:tcBorders>
                    <w:tl2br w:val="nil"/>
                    <w:tr2bl w:val="nil"/>
                  </w:tcBorders>
                  <w:vAlign w:val="center"/>
                </w:tcPr>
                <w:p w14:paraId="3E023E60">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符合，</w:t>
                  </w:r>
                  <w:r>
                    <w:rPr>
                      <w:rFonts w:hint="default" w:ascii="Times New Roman" w:hAnsi="Times New Roman" w:eastAsia="宋体" w:cs="Times New Roman"/>
                      <w:b w:val="0"/>
                      <w:bCs/>
                      <w:color w:val="auto"/>
                      <w:spacing w:val="0"/>
                      <w:kern w:val="0"/>
                      <w:position w:val="0"/>
                      <w:sz w:val="21"/>
                      <w:szCs w:val="21"/>
                      <w:lang w:val="en-US" w:eastAsia="zh-CN" w:bidi="zh-CN"/>
                    </w:rPr>
                    <w:t>项目区周边无上述区域</w:t>
                  </w:r>
                  <w:r>
                    <w:rPr>
                      <w:rFonts w:hint="eastAsia" w:ascii="Times New Roman" w:hAnsi="Times New Roman" w:eastAsia="宋体" w:cs="Times New Roman"/>
                      <w:b w:val="0"/>
                      <w:bCs/>
                      <w:color w:val="auto"/>
                      <w:spacing w:val="0"/>
                      <w:kern w:val="0"/>
                      <w:position w:val="0"/>
                      <w:sz w:val="21"/>
                      <w:szCs w:val="21"/>
                      <w:lang w:val="en-US" w:eastAsia="zh-CN" w:bidi="zh-CN"/>
                    </w:rPr>
                    <w:t>，符合《</w:t>
                  </w:r>
                  <w:r>
                    <w:rPr>
                      <w:rFonts w:hint="eastAsia" w:cs="Times New Roman"/>
                      <w:b w:val="0"/>
                      <w:bCs/>
                      <w:color w:val="auto"/>
                      <w:spacing w:val="0"/>
                      <w:kern w:val="0"/>
                      <w:position w:val="0"/>
                      <w:sz w:val="21"/>
                      <w:szCs w:val="21"/>
                      <w:lang w:val="en-US" w:eastAsia="zh-CN" w:bidi="zh-CN"/>
                    </w:rPr>
                    <w:t>轮台工业园区国土空间专项规划（2024-2035年）</w:t>
                  </w:r>
                  <w:r>
                    <w:rPr>
                      <w:rFonts w:hint="eastAsia" w:ascii="Times New Roman" w:hAnsi="Times New Roman" w:eastAsia="宋体" w:cs="Times New Roman"/>
                      <w:b w:val="0"/>
                      <w:bCs/>
                      <w:color w:val="auto"/>
                      <w:spacing w:val="0"/>
                      <w:kern w:val="0"/>
                      <w:position w:val="0"/>
                      <w:sz w:val="21"/>
                      <w:szCs w:val="21"/>
                      <w:lang w:val="en-US" w:eastAsia="zh-CN" w:bidi="zh-CN"/>
                    </w:rPr>
                    <w:t>》</w:t>
                  </w:r>
                  <w:r>
                    <w:rPr>
                      <w:rFonts w:hint="default" w:ascii="Times New Roman" w:hAnsi="Times New Roman" w:eastAsia="宋体" w:cs="Times New Roman"/>
                      <w:b w:val="0"/>
                      <w:bCs/>
                      <w:color w:val="auto"/>
                      <w:spacing w:val="0"/>
                      <w:kern w:val="0"/>
                      <w:position w:val="0"/>
                      <w:sz w:val="21"/>
                      <w:szCs w:val="21"/>
                      <w:lang w:val="en-US" w:eastAsia="zh-CN" w:bidi="zh-CN"/>
                    </w:rPr>
                    <w:t>。</w:t>
                  </w:r>
                </w:p>
              </w:tc>
            </w:tr>
            <w:tr w14:paraId="089D69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608" w:hRule="atLeast"/>
                <w:jc w:val="center"/>
              </w:trPr>
              <w:tc>
                <w:tcPr>
                  <w:tcW w:w="177" w:type="pct"/>
                  <w:vMerge w:val="restart"/>
                  <w:tcBorders>
                    <w:tl2br w:val="nil"/>
                    <w:tr2bl w:val="nil"/>
                  </w:tcBorders>
                  <w:vAlign w:val="center"/>
                </w:tcPr>
                <w:p w14:paraId="3A4FC466">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A2污染物排放管控</w:t>
                  </w:r>
                </w:p>
              </w:tc>
              <w:tc>
                <w:tcPr>
                  <w:tcW w:w="339" w:type="pct"/>
                  <w:tcBorders>
                    <w:tl2br w:val="nil"/>
                    <w:tr2bl w:val="nil"/>
                  </w:tcBorders>
                  <w:vAlign w:val="center"/>
                </w:tcPr>
                <w:p w14:paraId="4CDEE7ED">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A2.1污染物削减/替代要求</w:t>
                  </w:r>
                </w:p>
              </w:tc>
              <w:tc>
                <w:tcPr>
                  <w:tcW w:w="3027" w:type="pct"/>
                  <w:tcBorders>
                    <w:tl2br w:val="nil"/>
                    <w:tr2bl w:val="nil"/>
                  </w:tcBorders>
                  <w:vAlign w:val="center"/>
                </w:tcPr>
                <w:p w14:paraId="6F526500">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2.1-1〕新、改、扩建重点行业建设项目应符合“三线一单”、产业政策、区域环评、规划环评和行业环境准入管控要求。重点区域的新、改、扩建重点行业建设项目应遵循重点重金属污染物排放“减量替代”原则。</w:t>
                  </w:r>
                </w:p>
              </w:tc>
              <w:tc>
                <w:tcPr>
                  <w:tcW w:w="1455" w:type="pct"/>
                  <w:tcBorders>
                    <w:tl2br w:val="nil"/>
                    <w:tr2bl w:val="nil"/>
                  </w:tcBorders>
                  <w:vAlign w:val="center"/>
                </w:tcPr>
                <w:p w14:paraId="31E14F04">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符合，</w:t>
                  </w:r>
                  <w:r>
                    <w:rPr>
                      <w:rFonts w:hint="eastAsia" w:ascii="Times New Roman" w:hAnsi="Times New Roman" w:eastAsia="宋体" w:cs="Times New Roman"/>
                      <w:b w:val="0"/>
                      <w:bCs/>
                      <w:color w:val="auto"/>
                      <w:spacing w:val="0"/>
                      <w:kern w:val="0"/>
                      <w:position w:val="0"/>
                      <w:sz w:val="21"/>
                      <w:szCs w:val="21"/>
                      <w:lang w:val="en-US" w:bidi="zh-CN"/>
                    </w:rPr>
                    <w:t>不涉及</w:t>
                  </w:r>
                </w:p>
              </w:tc>
            </w:tr>
            <w:tr w14:paraId="7C517C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366" w:hRule="atLeast"/>
                <w:jc w:val="center"/>
              </w:trPr>
              <w:tc>
                <w:tcPr>
                  <w:tcW w:w="177" w:type="pct"/>
                  <w:vMerge w:val="continue"/>
                  <w:tcBorders>
                    <w:tl2br w:val="nil"/>
                    <w:tr2bl w:val="nil"/>
                  </w:tcBorders>
                  <w:vAlign w:val="center"/>
                </w:tcPr>
                <w:p w14:paraId="5D1492C8">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39" w:type="pct"/>
                  <w:tcBorders>
                    <w:tl2br w:val="nil"/>
                    <w:tr2bl w:val="nil"/>
                  </w:tcBorders>
                  <w:vAlign w:val="center"/>
                </w:tcPr>
                <w:p w14:paraId="676B2AF7">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A2.2污染控制措施要求</w:t>
                  </w:r>
                </w:p>
              </w:tc>
              <w:tc>
                <w:tcPr>
                  <w:tcW w:w="3027" w:type="pct"/>
                  <w:tcBorders>
                    <w:tl2br w:val="nil"/>
                    <w:tr2bl w:val="nil"/>
                  </w:tcBorders>
                  <w:shd w:val="clear" w:color="auto" w:fill="auto"/>
                  <w:vAlign w:val="center"/>
                </w:tcPr>
                <w:p w14:paraId="67F187C2">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A2.2-7〕强化重点区域地下水环境风险管控，对化学品生产企业、工业集聚区、尾矿库、矿山开采区、危险废物处置场、垃圾填埋场等地下水污染源及周边区域，逐步开展地下水环境状况调查评估，加强风险管控。</w:t>
                  </w:r>
                </w:p>
              </w:tc>
              <w:tc>
                <w:tcPr>
                  <w:tcW w:w="1455" w:type="pct"/>
                  <w:tcBorders>
                    <w:tl2br w:val="nil"/>
                    <w:tr2bl w:val="nil"/>
                  </w:tcBorders>
                  <w:shd w:val="clear" w:color="auto" w:fill="auto"/>
                  <w:vAlign w:val="center"/>
                </w:tcPr>
                <w:p w14:paraId="0DF4CF03">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符合，</w:t>
                  </w:r>
                  <w:r>
                    <w:rPr>
                      <w:rFonts w:hint="eastAsia" w:ascii="Times New Roman" w:hAnsi="Times New Roman" w:eastAsia="宋体" w:cs="Times New Roman"/>
                      <w:b w:val="0"/>
                      <w:bCs/>
                      <w:color w:val="auto"/>
                      <w:spacing w:val="0"/>
                      <w:kern w:val="0"/>
                      <w:position w:val="0"/>
                      <w:sz w:val="21"/>
                      <w:szCs w:val="21"/>
                      <w:lang w:val="en-US" w:bidi="zh-CN"/>
                    </w:rPr>
                    <w:t>不涉及</w:t>
                  </w:r>
                </w:p>
              </w:tc>
            </w:tr>
            <w:tr w14:paraId="550EC3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366" w:hRule="atLeast"/>
                <w:jc w:val="center"/>
              </w:trPr>
              <w:tc>
                <w:tcPr>
                  <w:tcW w:w="177" w:type="pct"/>
                  <w:vMerge w:val="restart"/>
                  <w:tcBorders>
                    <w:tl2br w:val="nil"/>
                    <w:tr2bl w:val="nil"/>
                  </w:tcBorders>
                  <w:vAlign w:val="center"/>
                </w:tcPr>
                <w:p w14:paraId="6D044A14">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A3环境风险防控</w:t>
                  </w:r>
                </w:p>
              </w:tc>
              <w:tc>
                <w:tcPr>
                  <w:tcW w:w="339" w:type="pct"/>
                  <w:vMerge w:val="restart"/>
                  <w:tcBorders>
                    <w:tl2br w:val="nil"/>
                    <w:tr2bl w:val="nil"/>
                  </w:tcBorders>
                  <w:vAlign w:val="center"/>
                </w:tcPr>
                <w:p w14:paraId="370B5DFB">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A3.1人居环境要求</w:t>
                  </w:r>
                </w:p>
              </w:tc>
              <w:tc>
                <w:tcPr>
                  <w:tcW w:w="3027" w:type="pct"/>
                  <w:tcBorders>
                    <w:tl2br w:val="nil"/>
                    <w:tr2bl w:val="nil"/>
                  </w:tcBorders>
                  <w:vAlign w:val="center"/>
                </w:tcPr>
                <w:p w14:paraId="3F3D7DCB">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〔A3.1-1〕建立和完善重污染天气兵地联合应急预案、预报预警应急机制和会商联动机制。“乌一昌一石”区域内可能影响相邻行政区域大气环境的项目，兵地间、城市间必须相互征求意见。</w:t>
                  </w:r>
                </w:p>
              </w:tc>
              <w:tc>
                <w:tcPr>
                  <w:tcW w:w="1455" w:type="pct"/>
                  <w:tcBorders>
                    <w:tl2br w:val="nil"/>
                    <w:tr2bl w:val="nil"/>
                  </w:tcBorders>
                  <w:vAlign w:val="center"/>
                </w:tcPr>
                <w:p w14:paraId="348D72FE">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符合，</w:t>
                  </w:r>
                  <w:r>
                    <w:rPr>
                      <w:rFonts w:hint="eastAsia" w:ascii="Times New Roman" w:hAnsi="Times New Roman" w:eastAsia="宋体" w:cs="Times New Roman"/>
                      <w:b w:val="0"/>
                      <w:bCs/>
                      <w:color w:val="auto"/>
                      <w:spacing w:val="0"/>
                      <w:kern w:val="0"/>
                      <w:position w:val="0"/>
                      <w:sz w:val="21"/>
                      <w:szCs w:val="21"/>
                      <w:lang w:val="en-US" w:bidi="zh-CN"/>
                    </w:rPr>
                    <w:t>不涉及</w:t>
                  </w:r>
                </w:p>
              </w:tc>
            </w:tr>
            <w:tr w14:paraId="2D4967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095" w:hRule="atLeast"/>
                <w:jc w:val="center"/>
              </w:trPr>
              <w:tc>
                <w:tcPr>
                  <w:tcW w:w="177" w:type="pct"/>
                  <w:vMerge w:val="continue"/>
                  <w:tcBorders>
                    <w:tl2br w:val="nil"/>
                    <w:tr2bl w:val="nil"/>
                  </w:tcBorders>
                  <w:vAlign w:val="center"/>
                </w:tcPr>
                <w:p w14:paraId="1172320C">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39" w:type="pct"/>
                  <w:vMerge w:val="continue"/>
                  <w:tcBorders>
                    <w:tl2br w:val="nil"/>
                    <w:tr2bl w:val="nil"/>
                  </w:tcBorders>
                  <w:vAlign w:val="center"/>
                </w:tcPr>
                <w:p w14:paraId="5479C622">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027" w:type="pct"/>
                  <w:tcBorders>
                    <w:tl2br w:val="nil"/>
                    <w:tr2bl w:val="nil"/>
                  </w:tcBorders>
                  <w:shd w:val="clear" w:color="auto" w:fill="auto"/>
                  <w:vAlign w:val="center"/>
                </w:tcPr>
                <w:p w14:paraId="0F87CF0D">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〔A3.1-3〕强化重污染天气监测预报预警能力，建立和完善重污染天气兵地联合应急预案、预警应急机制和会商联动机制，加强轻、中度污染天气管控。</w:t>
                  </w:r>
                </w:p>
              </w:tc>
              <w:tc>
                <w:tcPr>
                  <w:tcW w:w="1455" w:type="pct"/>
                  <w:tcBorders>
                    <w:tl2br w:val="nil"/>
                    <w:tr2bl w:val="nil"/>
                  </w:tcBorders>
                  <w:shd w:val="clear" w:color="auto" w:fill="auto"/>
                  <w:vAlign w:val="center"/>
                </w:tcPr>
                <w:p w14:paraId="7417EB60">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符合，</w:t>
                  </w:r>
                  <w:r>
                    <w:rPr>
                      <w:rFonts w:hint="eastAsia" w:ascii="Times New Roman" w:hAnsi="Times New Roman" w:eastAsia="宋体" w:cs="Times New Roman"/>
                      <w:b w:val="0"/>
                      <w:bCs/>
                      <w:color w:val="auto"/>
                      <w:spacing w:val="0"/>
                      <w:kern w:val="0"/>
                      <w:position w:val="0"/>
                      <w:sz w:val="21"/>
                      <w:szCs w:val="21"/>
                      <w:lang w:val="en-US" w:bidi="zh-CN"/>
                    </w:rPr>
                    <w:t>不涉及</w:t>
                  </w:r>
                </w:p>
              </w:tc>
            </w:tr>
            <w:tr w14:paraId="56B6DE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72" w:hRule="atLeast"/>
                <w:jc w:val="center"/>
              </w:trPr>
              <w:tc>
                <w:tcPr>
                  <w:tcW w:w="177" w:type="pct"/>
                  <w:vMerge w:val="continue"/>
                  <w:tcBorders>
                    <w:tl2br w:val="nil"/>
                    <w:tr2bl w:val="nil"/>
                  </w:tcBorders>
                  <w:vAlign w:val="center"/>
                </w:tcPr>
                <w:p w14:paraId="15D629AB">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39" w:type="pct"/>
                  <w:vMerge w:val="restart"/>
                  <w:tcBorders>
                    <w:tl2br w:val="nil"/>
                    <w:tr2bl w:val="nil"/>
                  </w:tcBorders>
                  <w:vAlign w:val="center"/>
                </w:tcPr>
                <w:p w14:paraId="6BDD7CAF">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A3.2联防联控要求</w:t>
                  </w:r>
                </w:p>
              </w:tc>
              <w:tc>
                <w:tcPr>
                  <w:tcW w:w="3027" w:type="pct"/>
                  <w:tcBorders>
                    <w:tl2br w:val="nil"/>
                    <w:tr2bl w:val="nil"/>
                  </w:tcBorders>
                  <w:shd w:val="clear" w:color="auto" w:fill="auto"/>
                  <w:vAlign w:val="center"/>
                </w:tcPr>
                <w:p w14:paraId="25412A77">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455" w:type="pct"/>
                  <w:tcBorders>
                    <w:tl2br w:val="nil"/>
                    <w:tr2bl w:val="nil"/>
                  </w:tcBorders>
                  <w:shd w:val="clear" w:color="auto" w:fill="auto"/>
                  <w:vAlign w:val="center"/>
                </w:tcPr>
                <w:p w14:paraId="244C8E21">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符合，</w:t>
                  </w:r>
                  <w:r>
                    <w:rPr>
                      <w:rFonts w:hint="eastAsia" w:cs="Times New Roman"/>
                      <w:b w:val="0"/>
                      <w:bCs/>
                      <w:color w:val="auto"/>
                      <w:spacing w:val="0"/>
                      <w:kern w:val="0"/>
                      <w:position w:val="0"/>
                      <w:sz w:val="21"/>
                      <w:szCs w:val="21"/>
                      <w:lang w:val="en-US" w:eastAsia="zh-CN" w:bidi="zh-CN"/>
                    </w:rPr>
                    <w:t>本项目不涉及环境风险物质</w:t>
                  </w:r>
                  <w:r>
                    <w:rPr>
                      <w:rFonts w:hint="default" w:ascii="Times New Roman" w:hAnsi="Times New Roman" w:eastAsia="宋体" w:cs="Times New Roman"/>
                      <w:b w:val="0"/>
                      <w:bCs/>
                      <w:color w:val="auto"/>
                      <w:spacing w:val="0"/>
                      <w:kern w:val="0"/>
                      <w:position w:val="0"/>
                      <w:sz w:val="21"/>
                      <w:szCs w:val="21"/>
                      <w:lang w:val="en-US" w:bidi="zh-CN"/>
                    </w:rPr>
                    <w:t>。</w:t>
                  </w:r>
                </w:p>
              </w:tc>
            </w:tr>
            <w:tr w14:paraId="5327FE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639" w:hRule="atLeast"/>
                <w:jc w:val="center"/>
              </w:trPr>
              <w:tc>
                <w:tcPr>
                  <w:tcW w:w="177" w:type="pct"/>
                  <w:vMerge w:val="continue"/>
                  <w:tcBorders>
                    <w:tl2br w:val="nil"/>
                    <w:tr2bl w:val="nil"/>
                  </w:tcBorders>
                  <w:vAlign w:val="center"/>
                </w:tcPr>
                <w:p w14:paraId="776DA916">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39" w:type="pct"/>
                  <w:vMerge w:val="continue"/>
                  <w:tcBorders>
                    <w:tl2br w:val="nil"/>
                    <w:tr2bl w:val="nil"/>
                  </w:tcBorders>
                  <w:vAlign w:val="center"/>
                </w:tcPr>
                <w:p w14:paraId="236A0340">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027" w:type="pct"/>
                  <w:tcBorders>
                    <w:tl2br w:val="nil"/>
                    <w:tr2bl w:val="nil"/>
                  </w:tcBorders>
                  <w:shd w:val="clear" w:color="auto" w:fill="auto"/>
                  <w:vAlign w:val="center"/>
                </w:tcPr>
                <w:p w14:paraId="61522E5E">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A3.2-6〕强化兵地联防联控联治，落实兵地统一规划、统一政策、统一标准、统一要求、统一推进的防治管理措施，完善重大项目环境影响评价区域会商、重污染天气兵地联合应急联动机制。建立兵地生态环境联合执法和联合监测长效机制。</w:t>
                  </w:r>
                </w:p>
              </w:tc>
              <w:tc>
                <w:tcPr>
                  <w:tcW w:w="1455" w:type="pct"/>
                  <w:tcBorders>
                    <w:tl2br w:val="nil"/>
                    <w:tr2bl w:val="nil"/>
                  </w:tcBorders>
                  <w:shd w:val="clear" w:color="auto" w:fill="auto"/>
                  <w:vAlign w:val="center"/>
                </w:tcPr>
                <w:p w14:paraId="5D4D8A45">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符合，</w:t>
                  </w:r>
                  <w:r>
                    <w:rPr>
                      <w:rFonts w:hint="eastAsia" w:ascii="Times New Roman" w:hAnsi="Times New Roman" w:eastAsia="宋体" w:cs="Times New Roman"/>
                      <w:b w:val="0"/>
                      <w:bCs/>
                      <w:color w:val="auto"/>
                      <w:spacing w:val="0"/>
                      <w:kern w:val="0"/>
                      <w:position w:val="0"/>
                      <w:sz w:val="21"/>
                      <w:szCs w:val="21"/>
                      <w:lang w:val="en-US" w:bidi="zh-CN"/>
                    </w:rPr>
                    <w:t>不涉及</w:t>
                  </w:r>
                </w:p>
              </w:tc>
            </w:tr>
            <w:tr w14:paraId="2F3999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177" w:type="pct"/>
                  <w:vMerge w:val="continue"/>
                  <w:tcBorders>
                    <w:tl2br w:val="nil"/>
                    <w:tr2bl w:val="nil"/>
                  </w:tcBorders>
                  <w:vAlign w:val="center"/>
                </w:tcPr>
                <w:p w14:paraId="6CD10E0E">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39" w:type="pct"/>
                  <w:tcBorders>
                    <w:tl2br w:val="nil"/>
                    <w:tr2bl w:val="nil"/>
                  </w:tcBorders>
                  <w:vAlign w:val="center"/>
                </w:tcPr>
                <w:p w14:paraId="499E6776">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A4.2土地资源</w:t>
                  </w:r>
                </w:p>
              </w:tc>
              <w:tc>
                <w:tcPr>
                  <w:tcW w:w="3027" w:type="pct"/>
                  <w:tcBorders>
                    <w:tl2br w:val="nil"/>
                    <w:tr2bl w:val="nil"/>
                  </w:tcBorders>
                  <w:vAlign w:val="center"/>
                </w:tcPr>
                <w:p w14:paraId="7B1B7AA8">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〔A4.2-1〕土地资源上线指标控制在最终批复的国土空间规划控制指标内。</w:t>
                  </w:r>
                </w:p>
              </w:tc>
              <w:tc>
                <w:tcPr>
                  <w:tcW w:w="1455" w:type="pct"/>
                  <w:tcBorders>
                    <w:tl2br w:val="nil"/>
                    <w:tr2bl w:val="nil"/>
                  </w:tcBorders>
                  <w:vAlign w:val="center"/>
                </w:tcPr>
                <w:p w14:paraId="5C08B665">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符合，</w:t>
                  </w:r>
                  <w:r>
                    <w:rPr>
                      <w:rFonts w:hint="eastAsia" w:cs="Times New Roman"/>
                      <w:b w:val="0"/>
                      <w:bCs/>
                      <w:color w:val="auto"/>
                      <w:spacing w:val="0"/>
                      <w:kern w:val="0"/>
                      <w:position w:val="0"/>
                      <w:sz w:val="21"/>
                      <w:szCs w:val="21"/>
                      <w:lang w:val="en-US" w:bidi="zh-CN"/>
                    </w:rPr>
                    <w:t>本项目已取得用地手续</w:t>
                  </w:r>
                  <w:r>
                    <w:rPr>
                      <w:rFonts w:hint="default" w:ascii="Times New Roman" w:hAnsi="Times New Roman" w:eastAsia="宋体" w:cs="Times New Roman"/>
                      <w:b w:val="0"/>
                      <w:bCs/>
                      <w:color w:val="auto"/>
                      <w:spacing w:val="0"/>
                      <w:kern w:val="0"/>
                      <w:position w:val="0"/>
                      <w:sz w:val="21"/>
                      <w:szCs w:val="21"/>
                      <w:lang w:val="en-US" w:bidi="zh-CN"/>
                    </w:rPr>
                    <w:t>。</w:t>
                  </w:r>
                </w:p>
              </w:tc>
            </w:tr>
            <w:tr w14:paraId="1B904A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809" w:hRule="atLeast"/>
                <w:jc w:val="center"/>
              </w:trPr>
              <w:tc>
                <w:tcPr>
                  <w:tcW w:w="177" w:type="pct"/>
                  <w:vMerge w:val="continue"/>
                  <w:tcBorders>
                    <w:tl2br w:val="nil"/>
                    <w:tr2bl w:val="nil"/>
                  </w:tcBorders>
                  <w:vAlign w:val="center"/>
                </w:tcPr>
                <w:p w14:paraId="5F614A76">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39" w:type="pct"/>
                  <w:vMerge w:val="restart"/>
                  <w:tcBorders>
                    <w:tl2br w:val="nil"/>
                    <w:tr2bl w:val="nil"/>
                  </w:tcBorders>
                  <w:vAlign w:val="center"/>
                </w:tcPr>
                <w:p w14:paraId="51CB443D">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A4.5资源综合利用</w:t>
                  </w:r>
                </w:p>
              </w:tc>
              <w:tc>
                <w:tcPr>
                  <w:tcW w:w="3027" w:type="pct"/>
                  <w:tcBorders>
                    <w:tl2br w:val="nil"/>
                    <w:tr2bl w:val="nil"/>
                  </w:tcBorders>
                  <w:vAlign w:val="center"/>
                </w:tcPr>
                <w:p w14:paraId="73E73EAF">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bidi="zh-CN"/>
                    </w:rPr>
                  </w:pPr>
                  <w:r>
                    <w:rPr>
                      <w:rFonts w:hint="default" w:ascii="Times New Roman" w:hAnsi="Times New Roman" w:eastAsia="宋体" w:cs="Times New Roman"/>
                      <w:b w:val="0"/>
                      <w:bCs/>
                      <w:color w:val="auto"/>
                      <w:spacing w:val="0"/>
                      <w:kern w:val="0"/>
                      <w:position w:val="0"/>
                      <w:sz w:val="21"/>
                      <w:szCs w:val="21"/>
                      <w:lang w:val="en-US" w:bidi="zh-CN"/>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ascii="Times New Roman" w:hAnsi="Times New Roman" w:eastAsia="宋体" w:cs="Times New Roman"/>
                      <w:b w:val="0"/>
                      <w:bCs/>
                      <w:color w:val="auto"/>
                      <w:spacing w:val="0"/>
                      <w:kern w:val="0"/>
                      <w:position w:val="0"/>
                      <w:sz w:val="21"/>
                      <w:szCs w:val="21"/>
                      <w:lang w:val="en-US" w:bidi="zh-CN"/>
                    </w:rPr>
                    <w:t>（</w:t>
                  </w:r>
                  <w:r>
                    <w:rPr>
                      <w:rFonts w:hint="default" w:ascii="Times New Roman" w:hAnsi="Times New Roman" w:eastAsia="宋体" w:cs="Times New Roman"/>
                      <w:b w:val="0"/>
                      <w:bCs/>
                      <w:color w:val="auto"/>
                      <w:spacing w:val="0"/>
                      <w:kern w:val="0"/>
                      <w:position w:val="0"/>
                      <w:sz w:val="21"/>
                      <w:szCs w:val="21"/>
                      <w:lang w:val="en-US" w:bidi="zh-CN"/>
                    </w:rPr>
                    <w:t>市</w:t>
                  </w:r>
                  <w:r>
                    <w:rPr>
                      <w:rFonts w:hint="eastAsia" w:ascii="Times New Roman" w:hAnsi="Times New Roman" w:eastAsia="宋体" w:cs="Times New Roman"/>
                      <w:b w:val="0"/>
                      <w:bCs/>
                      <w:color w:val="auto"/>
                      <w:spacing w:val="0"/>
                      <w:kern w:val="0"/>
                      <w:position w:val="0"/>
                      <w:sz w:val="21"/>
                      <w:szCs w:val="21"/>
                      <w:lang w:val="en-US" w:bidi="zh-CN"/>
                    </w:rPr>
                    <w:t>）</w:t>
                  </w:r>
                  <w:r>
                    <w:rPr>
                      <w:rFonts w:hint="default" w:ascii="Times New Roman" w:hAnsi="Times New Roman" w:eastAsia="宋体" w:cs="Times New Roman"/>
                      <w:b w:val="0"/>
                      <w:bCs/>
                      <w:color w:val="auto"/>
                      <w:spacing w:val="0"/>
                      <w:kern w:val="0"/>
                      <w:position w:val="0"/>
                      <w:sz w:val="21"/>
                      <w:szCs w:val="21"/>
                      <w:lang w:val="en-US" w:bidi="zh-CN"/>
                    </w:rPr>
                    <w:t>生活垃圾处理设施，到2025年，全疆城市生活垃圾无害化处理率达到99%以上。</w:t>
                  </w:r>
                </w:p>
              </w:tc>
              <w:tc>
                <w:tcPr>
                  <w:tcW w:w="1455" w:type="pct"/>
                  <w:tcBorders>
                    <w:tl2br w:val="nil"/>
                    <w:tr2bl w:val="nil"/>
                  </w:tcBorders>
                  <w:vAlign w:val="center"/>
                </w:tcPr>
                <w:p w14:paraId="3D3FA698">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eastAsia" w:ascii="Times New Roman" w:hAnsi="Times New Roman" w:eastAsia="宋体" w:cs="Times New Roman"/>
                      <w:b w:val="0"/>
                      <w:bCs/>
                      <w:color w:val="auto"/>
                      <w:spacing w:val="0"/>
                      <w:kern w:val="0"/>
                      <w:position w:val="0"/>
                      <w:sz w:val="21"/>
                      <w:szCs w:val="21"/>
                      <w:lang w:val="en-US" w:eastAsia="zh-CN" w:bidi="zh-CN"/>
                    </w:rPr>
                    <w:t>符合，生活垃圾集中收集，委托环卫部门清运处置；废玻璃外售，废靶材、喷砂除尘灰厂家回收；</w:t>
                  </w:r>
                  <w:r>
                    <w:rPr>
                      <w:rFonts w:hint="eastAsia" w:cs="Times New Roman"/>
                      <w:b w:val="0"/>
                      <w:bCs/>
                      <w:color w:val="auto"/>
                      <w:spacing w:val="0"/>
                      <w:kern w:val="0"/>
                      <w:position w:val="0"/>
                      <w:sz w:val="21"/>
                      <w:szCs w:val="21"/>
                      <w:lang w:val="en-US" w:eastAsia="zh-CN" w:bidi="zh-CN"/>
                    </w:rPr>
                    <w:t>沉淀污泥</w:t>
                  </w:r>
                  <w:r>
                    <w:rPr>
                      <w:rFonts w:hint="eastAsia" w:ascii="Times New Roman" w:hAnsi="Times New Roman" w:eastAsia="宋体" w:cs="Times New Roman"/>
                      <w:b w:val="0"/>
                      <w:bCs/>
                      <w:color w:val="auto"/>
                      <w:spacing w:val="0"/>
                      <w:kern w:val="0"/>
                      <w:position w:val="0"/>
                      <w:sz w:val="21"/>
                      <w:szCs w:val="21"/>
                      <w:lang w:val="en-US" w:eastAsia="zh-CN" w:bidi="zh-CN"/>
                    </w:rPr>
                    <w:t>集中收集外售；废RO膜厂家回收，废石英砂外售综合利用。</w:t>
                  </w:r>
                </w:p>
              </w:tc>
            </w:tr>
            <w:tr w14:paraId="4DE278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10" w:hRule="atLeast"/>
                <w:jc w:val="center"/>
              </w:trPr>
              <w:tc>
                <w:tcPr>
                  <w:tcW w:w="177" w:type="pct"/>
                  <w:vMerge w:val="continue"/>
                  <w:tcBorders>
                    <w:tl2br w:val="nil"/>
                    <w:tr2bl w:val="nil"/>
                  </w:tcBorders>
                  <w:vAlign w:val="center"/>
                </w:tcPr>
                <w:p w14:paraId="14C80CC5">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39" w:type="pct"/>
                  <w:vMerge w:val="continue"/>
                  <w:tcBorders>
                    <w:tl2br w:val="nil"/>
                    <w:tr2bl w:val="nil"/>
                  </w:tcBorders>
                  <w:vAlign w:val="center"/>
                </w:tcPr>
                <w:p w14:paraId="4409700D">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color w:val="auto"/>
                      <w:spacing w:val="0"/>
                      <w:kern w:val="0"/>
                      <w:position w:val="0"/>
                      <w:sz w:val="21"/>
                      <w:szCs w:val="21"/>
                      <w:lang w:val="en-US" w:bidi="zh-CN"/>
                    </w:rPr>
                  </w:pPr>
                </w:p>
              </w:tc>
              <w:tc>
                <w:tcPr>
                  <w:tcW w:w="3027" w:type="pct"/>
                  <w:tcBorders>
                    <w:tl2br w:val="nil"/>
                    <w:tr2bl w:val="nil"/>
                  </w:tcBorders>
                  <w:shd w:val="clear" w:color="auto" w:fill="auto"/>
                  <w:vAlign w:val="center"/>
                </w:tcPr>
                <w:p w14:paraId="6858DEC8">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default" w:ascii="Times New Roman" w:hAnsi="Times New Roman" w:eastAsia="宋体" w:cs="Times New Roman"/>
                      <w:b w:val="0"/>
                      <w:bCs/>
                      <w:color w:val="auto"/>
                      <w:spacing w:val="0"/>
                      <w:kern w:val="0"/>
                      <w:position w:val="0"/>
                      <w:sz w:val="21"/>
                      <w:szCs w:val="21"/>
                      <w:lang w:val="en-US" w:bidi="zh-CN"/>
                    </w:rPr>
                    <w:t>〔A4.5-3〕结合工业领域减污降碳要求，加快探索钢铁、有色、化工、建材等重点行业工业固体废物减量化路径，全面推行清洁生产。全面推进绿色矿山、</w:t>
                  </w:r>
                  <w:r>
                    <w:rPr>
                      <w:rFonts w:hint="eastAsia" w:cs="Times New Roman"/>
                      <w:b w:val="0"/>
                      <w:bCs/>
                      <w:color w:val="auto"/>
                      <w:spacing w:val="0"/>
                      <w:kern w:val="0"/>
                      <w:position w:val="0"/>
                      <w:sz w:val="21"/>
                      <w:szCs w:val="21"/>
                      <w:lang w:val="en-US" w:bidi="zh-CN"/>
                    </w:rPr>
                    <w:t>“</w:t>
                  </w:r>
                  <w:r>
                    <w:rPr>
                      <w:rFonts w:hint="default" w:ascii="Times New Roman" w:hAnsi="Times New Roman" w:eastAsia="宋体" w:cs="Times New Roman"/>
                      <w:b w:val="0"/>
                      <w:bCs/>
                      <w:color w:val="auto"/>
                      <w:spacing w:val="0"/>
                      <w:kern w:val="0"/>
                      <w:position w:val="0"/>
                      <w:sz w:val="21"/>
                      <w:szCs w:val="21"/>
                      <w:lang w:val="en-US" w:bidi="zh-CN"/>
                    </w:rPr>
                    <w:t>无废</w:t>
                  </w:r>
                  <w:r>
                    <w:rPr>
                      <w:rFonts w:hint="eastAsia" w:cs="Times New Roman"/>
                      <w:b w:val="0"/>
                      <w:bCs/>
                      <w:color w:val="auto"/>
                      <w:spacing w:val="0"/>
                      <w:kern w:val="0"/>
                      <w:position w:val="0"/>
                      <w:sz w:val="21"/>
                      <w:szCs w:val="21"/>
                      <w:lang w:val="en-US" w:bidi="zh-CN"/>
                    </w:rPr>
                    <w:t>”</w:t>
                  </w:r>
                  <w:r>
                    <w:rPr>
                      <w:rFonts w:hint="default" w:ascii="Times New Roman" w:hAnsi="Times New Roman" w:eastAsia="宋体" w:cs="Times New Roman"/>
                      <w:b w:val="0"/>
                      <w:bCs/>
                      <w:color w:val="auto"/>
                      <w:spacing w:val="0"/>
                      <w:kern w:val="0"/>
                      <w:position w:val="0"/>
                      <w:sz w:val="21"/>
                      <w:szCs w:val="21"/>
                      <w:lang w:val="en-US" w:bidi="zh-CN"/>
                    </w:rPr>
                    <w:t>矿区建设，推广尾矿等大宗工业固体废物环境友好型井下充填回填，减少尾矿库贮存量。推动大宗工业固体废物在提取有价组分、生产建材、筑路、生态修复、土壤治理等领域的规模化利用。</w:t>
                  </w:r>
                </w:p>
              </w:tc>
              <w:tc>
                <w:tcPr>
                  <w:tcW w:w="1455" w:type="pct"/>
                  <w:tcBorders>
                    <w:tl2br w:val="nil"/>
                    <w:tr2bl w:val="nil"/>
                  </w:tcBorders>
                  <w:shd w:val="clear" w:color="auto" w:fill="auto"/>
                  <w:vAlign w:val="center"/>
                </w:tcPr>
                <w:p w14:paraId="153A854B">
                  <w:pPr>
                    <w:keepNext/>
                    <w:keepLines w:val="0"/>
                    <w:pageBreakBefore w:val="0"/>
                    <w:widowControl/>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pacing w:val="0"/>
                      <w:kern w:val="0"/>
                      <w:position w:val="0"/>
                      <w:sz w:val="21"/>
                      <w:szCs w:val="21"/>
                      <w:lang w:val="en-US" w:eastAsia="zh-CN" w:bidi="zh-CN"/>
                    </w:rPr>
                  </w:pPr>
                  <w:r>
                    <w:rPr>
                      <w:rFonts w:hint="eastAsia" w:ascii="Times New Roman" w:hAnsi="Times New Roman" w:eastAsia="宋体" w:cs="Times New Roman"/>
                      <w:b w:val="0"/>
                      <w:bCs/>
                      <w:color w:val="auto"/>
                      <w:spacing w:val="0"/>
                      <w:kern w:val="0"/>
                      <w:position w:val="0"/>
                      <w:sz w:val="21"/>
                      <w:szCs w:val="21"/>
                      <w:lang w:val="en-US" w:eastAsia="zh-CN" w:bidi="zh-CN"/>
                    </w:rPr>
                    <w:t>符合，本项目不涉及。</w:t>
                  </w:r>
                </w:p>
              </w:tc>
            </w:tr>
          </w:tbl>
          <w:p w14:paraId="0AF58ABB">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rPr>
              <w:t>综上所述</w:t>
            </w:r>
            <w:r>
              <w:rPr>
                <w:rFonts w:hint="default"/>
                <w:color w:val="auto"/>
              </w:rPr>
              <w:t>，</w:t>
            </w:r>
            <w:r>
              <w:rPr>
                <w:rFonts w:hint="eastAsia"/>
                <w:color w:val="auto"/>
              </w:rPr>
              <w:t>项目</w:t>
            </w:r>
            <w:r>
              <w:rPr>
                <w:rFonts w:hint="default"/>
                <w:color w:val="auto"/>
              </w:rPr>
              <w:t>符合</w:t>
            </w:r>
            <w:r>
              <w:rPr>
                <w:rFonts w:hint="eastAsia" w:ascii="Times New Roman" w:hAnsi="Times New Roman" w:eastAsia="宋体" w:cs="Times New Roman"/>
                <w:color w:val="auto"/>
                <w:kern w:val="0"/>
                <w:lang w:val="en-US" w:eastAsia="zh-CN"/>
              </w:rPr>
              <w:t>《新疆维吾尔自治区生态环境分区管控动态更新成果</w:t>
            </w:r>
            <w:r>
              <w:rPr>
                <w:rFonts w:hint="eastAsia" w:cs="Times New Roman"/>
                <w:color w:val="auto"/>
                <w:kern w:val="0"/>
                <w:lang w:val="en-US" w:eastAsia="zh-CN"/>
              </w:rPr>
              <w:t>》</w:t>
            </w:r>
            <w:r>
              <w:rPr>
                <w:rFonts w:hint="eastAsia" w:ascii="Times New Roman" w:hAnsi="Times New Roman" w:eastAsia="宋体" w:cs="Times New Roman"/>
                <w:color w:val="auto"/>
                <w:kern w:val="0"/>
                <w:lang w:val="en-US" w:eastAsia="zh-CN"/>
              </w:rPr>
              <w:t>（新政发〔2024〕157号）</w:t>
            </w:r>
            <w:r>
              <w:rPr>
                <w:rFonts w:hint="eastAsia"/>
                <w:color w:val="auto"/>
                <w:lang w:eastAsia="zh-CN"/>
              </w:rPr>
              <w:t>的要求。</w:t>
            </w:r>
          </w:p>
          <w:p w14:paraId="71EF5C3A">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3、与《巴音郭楞蒙古自治州“三线一单”生态环境分区管控动态更新成果（2023年）》（巴政办发〔2024〕32号）的符合性</w:t>
            </w:r>
          </w:p>
          <w:p w14:paraId="211A2150">
            <w:pPr>
              <w:keepNext w:val="0"/>
              <w:keepLines w:val="0"/>
              <w:suppressLineNumbers w:val="0"/>
              <w:spacing w:before="0" w:beforeAutospacing="0" w:after="0" w:afterAutospacing="0"/>
              <w:ind w:left="0" w:right="0"/>
              <w:rPr>
                <w:rFonts w:hint="eastAsia"/>
                <w:color w:val="auto"/>
                <w:lang w:eastAsia="zh-CN"/>
              </w:rPr>
            </w:pPr>
            <w:r>
              <w:rPr>
                <w:rFonts w:hint="eastAsia"/>
                <w:color w:val="auto"/>
                <w:lang w:val="en-US" w:eastAsia="zh-CN"/>
              </w:rPr>
              <w:t>本项目与《巴州“三线一单”生态环境分区管控动态更新成果（2023年）》（巴政办发〔2024〕32号）的符合性分析，根据“三线一单”分析研判的结果，本项目涉及重</w:t>
            </w:r>
            <w:r>
              <w:rPr>
                <w:rFonts w:hint="eastAsia" w:ascii="Times New Roman" w:hAnsi="Times New Roman" w:eastAsia="宋体" w:cs="Times New Roman"/>
                <w:color w:val="auto"/>
                <w:lang w:val="en-US" w:eastAsia="zh-CN"/>
              </w:rPr>
              <w:t>点管控单元，管控单元名称：轮台工业园，环境管控</w:t>
            </w:r>
            <w:r>
              <w:rPr>
                <w:rFonts w:hint="eastAsia"/>
                <w:color w:val="auto"/>
                <w:lang w:val="en-US" w:eastAsia="zh-CN"/>
              </w:rPr>
              <w:t>单元编码：ZH65282220004，详见表1-4。项目区环境管控单元位置示意图见附图1-1</w:t>
            </w:r>
            <w:r>
              <w:rPr>
                <w:rFonts w:hint="eastAsia"/>
                <w:color w:val="auto"/>
                <w:lang w:eastAsia="zh-CN"/>
              </w:rPr>
              <w:t>。</w:t>
            </w:r>
          </w:p>
          <w:p w14:paraId="25D42C18">
            <w:pPr>
              <w:pStyle w:val="5"/>
              <w:keepNext w:val="0"/>
              <w:keepLines w:val="0"/>
              <w:suppressLineNumbers w:val="0"/>
              <w:bidi w:val="0"/>
              <w:spacing w:before="0" w:beforeAutospacing="0" w:after="0" w:afterAutospacing="0"/>
              <w:ind w:left="0" w:right="0"/>
              <w:rPr>
                <w:rFonts w:hint="default"/>
                <w:color w:val="auto"/>
              </w:rPr>
            </w:pPr>
            <w:r>
              <w:rPr>
                <w:rFonts w:hint="default"/>
                <w:color w:val="auto"/>
              </w:rPr>
              <w:t>表</w:t>
            </w:r>
            <w:r>
              <w:rPr>
                <w:rFonts w:hint="eastAsia"/>
                <w:color w:val="auto"/>
                <w:lang w:val="en-US" w:eastAsia="zh-CN"/>
              </w:rPr>
              <w:t>1-4</w:t>
            </w:r>
            <w:r>
              <w:rPr>
                <w:rFonts w:hint="eastAsia"/>
                <w:color w:val="auto"/>
              </w:rPr>
              <w:t xml:space="preserve"> </w:t>
            </w:r>
            <w:r>
              <w:rPr>
                <w:rFonts w:hint="eastAsia"/>
                <w:color w:val="auto"/>
                <w:lang w:val="en-US" w:eastAsia="zh-CN"/>
              </w:rPr>
              <w:t xml:space="preserve">   </w:t>
            </w:r>
            <w:r>
              <w:rPr>
                <w:rFonts w:hint="default"/>
                <w:color w:val="auto"/>
              </w:rPr>
              <w:t>与《巴音郭楞蒙古自治州生态环境准入清单》的符合性分析</w:t>
            </w:r>
          </w:p>
          <w:tbl>
            <w:tblPr>
              <w:tblStyle w:val="31"/>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0"/>
              <w:gridCol w:w="428"/>
              <w:gridCol w:w="2971"/>
              <w:gridCol w:w="2857"/>
              <w:gridCol w:w="759"/>
            </w:tblGrid>
            <w:tr w14:paraId="291188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76" w:type="pct"/>
                  <w:gridSpan w:val="2"/>
                  <w:tcBorders>
                    <w:tl2br w:val="nil"/>
                    <w:tr2bl w:val="nil"/>
                  </w:tcBorders>
                  <w:vAlign w:val="center"/>
                </w:tcPr>
                <w:p w14:paraId="5ECE45BB">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管控</w:t>
                  </w:r>
                </w:p>
                <w:p w14:paraId="6B80B2E2">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类别</w:t>
                  </w:r>
                </w:p>
              </w:tc>
              <w:tc>
                <w:tcPr>
                  <w:tcW w:w="1995" w:type="pct"/>
                  <w:tcBorders>
                    <w:tl2br w:val="nil"/>
                    <w:tr2bl w:val="nil"/>
                  </w:tcBorders>
                  <w:vAlign w:val="center"/>
                </w:tcPr>
                <w:p w14:paraId="1D7A758B">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管控要求</w:t>
                  </w:r>
                </w:p>
              </w:tc>
              <w:tc>
                <w:tcPr>
                  <w:tcW w:w="1918" w:type="pct"/>
                  <w:tcBorders>
                    <w:tl2br w:val="nil"/>
                    <w:tr2bl w:val="nil"/>
                  </w:tcBorders>
                  <w:vAlign w:val="center"/>
                </w:tcPr>
                <w:p w14:paraId="1DB70119">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该项目具体情况</w:t>
                  </w:r>
                </w:p>
              </w:tc>
              <w:tc>
                <w:tcPr>
                  <w:tcW w:w="509" w:type="pct"/>
                  <w:tcBorders>
                    <w:tl2br w:val="nil"/>
                    <w:tr2bl w:val="nil"/>
                  </w:tcBorders>
                  <w:vAlign w:val="center"/>
                </w:tcPr>
                <w:p w14:paraId="1B2336D5">
                  <w:pPr>
                    <w:pStyle w:val="7"/>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符合性</w:t>
                  </w:r>
                </w:p>
              </w:tc>
            </w:tr>
            <w:tr w14:paraId="360990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88" w:type="pct"/>
                  <w:vMerge w:val="restart"/>
                  <w:tcBorders>
                    <w:tl2br w:val="nil"/>
                    <w:tr2bl w:val="nil"/>
                  </w:tcBorders>
                  <w:vAlign w:val="center"/>
                </w:tcPr>
                <w:p w14:paraId="27128EFE">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管控要求</w:t>
                  </w:r>
                </w:p>
              </w:tc>
              <w:tc>
                <w:tcPr>
                  <w:tcW w:w="287" w:type="pct"/>
                  <w:tcBorders>
                    <w:tl2br w:val="nil"/>
                    <w:tr2bl w:val="nil"/>
                  </w:tcBorders>
                  <w:vAlign w:val="center"/>
                </w:tcPr>
                <w:p w14:paraId="5FC44366">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空间布局约束</w:t>
                  </w:r>
                </w:p>
              </w:tc>
              <w:tc>
                <w:tcPr>
                  <w:tcW w:w="1995" w:type="pct"/>
                  <w:tcBorders>
                    <w:tl2br w:val="nil"/>
                    <w:tr2bl w:val="nil"/>
                  </w:tcBorders>
                  <w:vAlign w:val="center"/>
                </w:tcPr>
                <w:p w14:paraId="513B001F">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禁止引进能</w:t>
                  </w:r>
                  <w:r>
                    <w:rPr>
                      <w:rFonts w:hint="eastAsia"/>
                      <w:color w:val="auto"/>
                      <w:lang w:val="en-US" w:eastAsia="zh-CN"/>
                    </w:rPr>
                    <w:t>（</w:t>
                  </w:r>
                  <w:r>
                    <w:rPr>
                      <w:rFonts w:hint="default"/>
                      <w:color w:val="auto"/>
                      <w:lang w:val="en-US" w:eastAsia="zh-CN"/>
                    </w:rPr>
                    <w:t>水</w:t>
                  </w:r>
                  <w:r>
                    <w:rPr>
                      <w:rFonts w:hint="eastAsia"/>
                      <w:color w:val="auto"/>
                      <w:lang w:val="en-US" w:eastAsia="zh-CN"/>
                    </w:rPr>
                    <w:t>）</w:t>
                  </w:r>
                  <w:r>
                    <w:rPr>
                      <w:rFonts w:hint="default"/>
                      <w:color w:val="auto"/>
                      <w:lang w:val="en-US" w:eastAsia="zh-CN"/>
                    </w:rPr>
                    <w:t>耗不符合相关国家标准中准入值要求，且污染物排放和环境风险防控不符</w:t>
                  </w:r>
                </w:p>
                <w:p w14:paraId="37A95A88">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合国家</w:t>
                  </w:r>
                  <w:r>
                    <w:rPr>
                      <w:rFonts w:hint="eastAsia"/>
                      <w:color w:val="auto"/>
                      <w:lang w:val="en-US" w:eastAsia="zh-CN"/>
                    </w:rPr>
                    <w:t>（</w:t>
                  </w:r>
                  <w:r>
                    <w:rPr>
                      <w:rFonts w:hint="default"/>
                      <w:color w:val="auto"/>
                      <w:lang w:val="en-US" w:eastAsia="zh-CN"/>
                    </w:rPr>
                    <w:t>地方</w:t>
                  </w:r>
                  <w:r>
                    <w:rPr>
                      <w:rFonts w:hint="eastAsia"/>
                      <w:color w:val="auto"/>
                      <w:lang w:val="en-US" w:eastAsia="zh-CN"/>
                    </w:rPr>
                    <w:t>）</w:t>
                  </w:r>
                  <w:r>
                    <w:rPr>
                      <w:rFonts w:hint="default"/>
                      <w:color w:val="auto"/>
                      <w:lang w:val="en-US" w:eastAsia="zh-CN"/>
                    </w:rPr>
                    <w:t>标准及有关产业准入条件的高污染</w:t>
                  </w:r>
                  <w:r>
                    <w:rPr>
                      <w:rFonts w:hint="eastAsia"/>
                      <w:color w:val="auto"/>
                      <w:lang w:val="en-US" w:eastAsia="zh-CN"/>
                    </w:rPr>
                    <w:t>（</w:t>
                  </w:r>
                  <w:r>
                    <w:rPr>
                      <w:rFonts w:hint="default"/>
                      <w:color w:val="auto"/>
                      <w:lang w:val="en-US" w:eastAsia="zh-CN"/>
                    </w:rPr>
                    <w:t>排放</w:t>
                  </w:r>
                  <w:r>
                    <w:rPr>
                      <w:rFonts w:hint="eastAsia"/>
                      <w:color w:val="auto"/>
                      <w:lang w:val="en-US" w:eastAsia="zh-CN"/>
                    </w:rPr>
                    <w:t>）</w:t>
                  </w:r>
                  <w:r>
                    <w:rPr>
                      <w:rFonts w:hint="default"/>
                      <w:color w:val="auto"/>
                      <w:lang w:val="en-US" w:eastAsia="zh-CN"/>
                    </w:rPr>
                    <w:t>、高能</w:t>
                  </w:r>
                  <w:r>
                    <w:rPr>
                      <w:rFonts w:hint="eastAsia"/>
                      <w:color w:val="auto"/>
                      <w:lang w:val="en-US" w:eastAsia="zh-CN"/>
                    </w:rPr>
                    <w:t>（</w:t>
                  </w:r>
                  <w:r>
                    <w:rPr>
                      <w:rFonts w:hint="default"/>
                      <w:color w:val="auto"/>
                      <w:lang w:val="en-US" w:eastAsia="zh-CN"/>
                    </w:rPr>
                    <w:t>水</w:t>
                  </w:r>
                  <w:r>
                    <w:rPr>
                      <w:rFonts w:hint="eastAsia"/>
                      <w:color w:val="auto"/>
                      <w:lang w:val="en-US" w:eastAsia="zh-CN"/>
                    </w:rPr>
                    <w:t>）</w:t>
                  </w:r>
                  <w:r>
                    <w:rPr>
                      <w:rFonts w:hint="default"/>
                      <w:color w:val="auto"/>
                      <w:lang w:val="en-US" w:eastAsia="zh-CN"/>
                    </w:rPr>
                    <w:t>耗、高环境风险的</w:t>
                  </w:r>
                </w:p>
                <w:p w14:paraId="4D5687A0">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工业项目。</w:t>
                  </w:r>
                </w:p>
              </w:tc>
              <w:tc>
                <w:tcPr>
                  <w:tcW w:w="1918" w:type="pct"/>
                  <w:tcBorders>
                    <w:tl2br w:val="nil"/>
                    <w:tr2bl w:val="nil"/>
                  </w:tcBorders>
                  <w:vAlign w:val="center"/>
                </w:tcPr>
                <w:p w14:paraId="52BACBD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ascii="Times New Roman" w:hAnsi="Times New Roman" w:eastAsia="宋体" w:cs="Times New Roman"/>
                      <w:b w:val="0"/>
                      <w:bCs/>
                      <w:color w:val="auto"/>
                      <w:spacing w:val="0"/>
                      <w:kern w:val="0"/>
                      <w:position w:val="0"/>
                      <w:sz w:val="21"/>
                      <w:szCs w:val="21"/>
                      <w:lang w:val="en-US" w:eastAsia="en-US" w:bidi="zh-CN"/>
                    </w:rPr>
                    <w:t>本项目属于《产业结构调整指导目录（2024 年本）》</w:t>
                  </w:r>
                  <w:r>
                    <w:rPr>
                      <w:rFonts w:hint="eastAsia" w:ascii="Times New Roman" w:hAnsi="Times New Roman" w:eastAsia="宋体" w:cs="Times New Roman"/>
                      <w:b w:val="0"/>
                      <w:bCs/>
                      <w:color w:val="auto"/>
                      <w:spacing w:val="0"/>
                      <w:kern w:val="0"/>
                      <w:position w:val="0"/>
                      <w:sz w:val="21"/>
                      <w:szCs w:val="21"/>
                      <w:lang w:val="en-US" w:eastAsia="en-US" w:bidi="zh-CN"/>
                    </w:rPr>
                    <w:t>允许</w:t>
                  </w:r>
                  <w:r>
                    <w:rPr>
                      <w:rFonts w:hint="default" w:ascii="Times New Roman" w:hAnsi="Times New Roman" w:eastAsia="宋体" w:cs="Times New Roman"/>
                      <w:b w:val="0"/>
                      <w:bCs/>
                      <w:color w:val="auto"/>
                      <w:spacing w:val="0"/>
                      <w:kern w:val="0"/>
                      <w:position w:val="0"/>
                      <w:sz w:val="21"/>
                      <w:szCs w:val="21"/>
                      <w:lang w:val="en-US" w:eastAsia="en-US" w:bidi="zh-CN"/>
                    </w:rPr>
                    <w:t>类项目，不属于《市场准入负面清单（202</w:t>
                  </w:r>
                  <w:r>
                    <w:rPr>
                      <w:rFonts w:hint="eastAsia" w:cs="Times New Roman"/>
                      <w:b w:val="0"/>
                      <w:bCs/>
                      <w:color w:val="auto"/>
                      <w:spacing w:val="0"/>
                      <w:kern w:val="0"/>
                      <w:position w:val="0"/>
                      <w:sz w:val="21"/>
                      <w:szCs w:val="21"/>
                      <w:lang w:val="en-US" w:eastAsia="en-US" w:bidi="zh-CN"/>
                    </w:rPr>
                    <w:t>5</w:t>
                  </w:r>
                  <w:r>
                    <w:rPr>
                      <w:rFonts w:hint="default" w:ascii="Times New Roman" w:hAnsi="Times New Roman" w:eastAsia="宋体" w:cs="Times New Roman"/>
                      <w:b w:val="0"/>
                      <w:bCs/>
                      <w:color w:val="auto"/>
                      <w:spacing w:val="0"/>
                      <w:kern w:val="0"/>
                      <w:position w:val="0"/>
                      <w:sz w:val="21"/>
                      <w:szCs w:val="21"/>
                      <w:lang w:val="en-US" w:eastAsia="en-US" w:bidi="zh-CN"/>
                    </w:rPr>
                    <w:t>年版）》禁止准入事项</w:t>
                  </w:r>
                  <w:r>
                    <w:rPr>
                      <w:rFonts w:hint="eastAsia" w:cs="Times New Roman"/>
                      <w:b w:val="0"/>
                      <w:bCs/>
                      <w:color w:val="auto"/>
                      <w:spacing w:val="0"/>
                      <w:kern w:val="0"/>
                      <w:position w:val="0"/>
                      <w:sz w:val="21"/>
                      <w:szCs w:val="21"/>
                      <w:lang w:val="en-US" w:eastAsia="en-US" w:bidi="zh-CN"/>
                    </w:rPr>
                    <w:t>；不属于</w:t>
                  </w:r>
                  <w:r>
                    <w:rPr>
                      <w:rFonts w:hint="default"/>
                      <w:color w:val="auto"/>
                      <w:lang w:val="en-US" w:eastAsia="zh-CN"/>
                    </w:rPr>
                    <w:t>高污染</w:t>
                  </w:r>
                  <w:r>
                    <w:rPr>
                      <w:rFonts w:hint="eastAsia"/>
                      <w:color w:val="auto"/>
                      <w:lang w:val="en-US" w:eastAsia="zh-CN"/>
                    </w:rPr>
                    <w:t>（</w:t>
                  </w:r>
                  <w:r>
                    <w:rPr>
                      <w:rFonts w:hint="default"/>
                      <w:color w:val="auto"/>
                      <w:lang w:val="en-US" w:eastAsia="zh-CN"/>
                    </w:rPr>
                    <w:t>排放</w:t>
                  </w:r>
                  <w:r>
                    <w:rPr>
                      <w:rFonts w:hint="eastAsia"/>
                      <w:color w:val="auto"/>
                      <w:lang w:val="en-US" w:eastAsia="zh-CN"/>
                    </w:rPr>
                    <w:t>）</w:t>
                  </w:r>
                  <w:r>
                    <w:rPr>
                      <w:rFonts w:hint="default"/>
                      <w:color w:val="auto"/>
                      <w:lang w:val="en-US" w:eastAsia="zh-CN"/>
                    </w:rPr>
                    <w:t>、高能</w:t>
                  </w:r>
                  <w:r>
                    <w:rPr>
                      <w:rFonts w:hint="eastAsia"/>
                      <w:color w:val="auto"/>
                      <w:lang w:val="en-US" w:eastAsia="zh-CN"/>
                    </w:rPr>
                    <w:t>（</w:t>
                  </w:r>
                  <w:r>
                    <w:rPr>
                      <w:rFonts w:hint="default"/>
                      <w:color w:val="auto"/>
                      <w:lang w:val="en-US" w:eastAsia="zh-CN"/>
                    </w:rPr>
                    <w:t>水</w:t>
                  </w:r>
                  <w:r>
                    <w:rPr>
                      <w:rFonts w:hint="eastAsia"/>
                      <w:color w:val="auto"/>
                      <w:lang w:val="en-US" w:eastAsia="zh-CN"/>
                    </w:rPr>
                    <w:t>）</w:t>
                  </w:r>
                  <w:r>
                    <w:rPr>
                      <w:rFonts w:hint="default"/>
                      <w:color w:val="auto"/>
                      <w:lang w:val="en-US" w:eastAsia="zh-CN"/>
                    </w:rPr>
                    <w:t>耗、高环境风险的工业项目</w:t>
                  </w:r>
                  <w:r>
                    <w:rPr>
                      <w:rFonts w:hint="eastAsia"/>
                      <w:color w:val="auto"/>
                      <w:lang w:val="en-US" w:eastAsia="zh-CN"/>
                    </w:rPr>
                    <w:t>。</w:t>
                  </w:r>
                </w:p>
              </w:tc>
              <w:tc>
                <w:tcPr>
                  <w:tcW w:w="509" w:type="pct"/>
                  <w:tcBorders>
                    <w:tl2br w:val="nil"/>
                    <w:tr2bl w:val="nil"/>
                  </w:tcBorders>
                  <w:vAlign w:val="center"/>
                </w:tcPr>
                <w:p w14:paraId="60E1CAB3">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eastAsia="zh-CN"/>
                    </w:rPr>
                    <w:t>符合</w:t>
                  </w:r>
                </w:p>
              </w:tc>
            </w:tr>
            <w:tr w14:paraId="5A41FB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88" w:type="pct"/>
                  <w:vMerge w:val="continue"/>
                  <w:tcBorders>
                    <w:tl2br w:val="nil"/>
                    <w:tr2bl w:val="nil"/>
                  </w:tcBorders>
                  <w:vAlign w:val="center"/>
                </w:tcPr>
                <w:p w14:paraId="29140250">
                  <w:pPr>
                    <w:pStyle w:val="7"/>
                    <w:keepNext w:val="0"/>
                    <w:keepLines w:val="0"/>
                    <w:suppressLineNumbers w:val="0"/>
                    <w:bidi w:val="0"/>
                    <w:spacing w:before="0" w:beforeAutospacing="0" w:after="0" w:afterAutospacing="0"/>
                    <w:ind w:left="0" w:right="0"/>
                    <w:rPr>
                      <w:rFonts w:hint="default"/>
                      <w:color w:val="auto"/>
                    </w:rPr>
                  </w:pPr>
                </w:p>
              </w:tc>
              <w:tc>
                <w:tcPr>
                  <w:tcW w:w="287" w:type="pct"/>
                  <w:tcBorders>
                    <w:tl2br w:val="nil"/>
                    <w:tr2bl w:val="nil"/>
                  </w:tcBorders>
                  <w:vAlign w:val="center"/>
                </w:tcPr>
                <w:p w14:paraId="3E916E57">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污染物排放管控</w:t>
                  </w:r>
                </w:p>
              </w:tc>
              <w:tc>
                <w:tcPr>
                  <w:tcW w:w="1995" w:type="pct"/>
                  <w:tcBorders>
                    <w:tl2br w:val="nil"/>
                    <w:tr2bl w:val="nil"/>
                  </w:tcBorders>
                  <w:vAlign w:val="center"/>
                </w:tcPr>
                <w:p w14:paraId="0B4A58D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1.大气排放污染物的企业事业单位和其他生产经营者应当履行大气污染防治的法定义务，执行大气污染物排放标准，遵守大气污染物排放总量控制要求。</w:t>
                  </w:r>
                </w:p>
                <w:p w14:paraId="71FE6B1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2.实施挥发性有机物及恶臭治理。加快石化企业脱硫以及动力车间脱硫、脱硝工作，加强罐区油气治理、装卸储运油气回收以及工艺废气挥发性有机物治理、恶臭治理。积极推进陶瓷、玻璃、砖瓦等建材行业二氧化硫、烟粉尘控制。在石化、有机化工、煤化工等重点行业开展挥发性有机物综合治理，在石化行业开展“泄漏检测与修复”技术改造。建立挥发性有机物重点监管企业名录。积极推进加油站、储油库和油罐车开展油气回收，完成所有加油站、储油库和油罐车油气回收治理。</w:t>
                  </w:r>
                </w:p>
                <w:p w14:paraId="524099F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3.防治地下水污染。石化生产存贮销售企业和工业园区等区域应进行必要的防渗处理。加油站地下油罐全部更新为双层罐或完成防渗池设置。</w:t>
                  </w:r>
                </w:p>
              </w:tc>
              <w:tc>
                <w:tcPr>
                  <w:tcW w:w="1918" w:type="pct"/>
                  <w:tcBorders>
                    <w:tl2br w:val="nil"/>
                    <w:tr2bl w:val="nil"/>
                  </w:tcBorders>
                  <w:vAlign w:val="center"/>
                </w:tcPr>
                <w:p w14:paraId="4F317FE9">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1.本项目颗粒物经布袋除尘+15m高排气筒处理后有组织排放，废气执行《玻璃工业大气污染物排放标准》（GB 26453-2022）表1中的排放限值。本项目无</w:t>
                  </w:r>
                  <w:r>
                    <w:rPr>
                      <w:rFonts w:hint="default"/>
                      <w:color w:val="auto"/>
                      <w:lang w:val="en-US" w:eastAsia="zh-CN"/>
                    </w:rPr>
                    <w:t>总量控制要求</w:t>
                  </w:r>
                  <w:r>
                    <w:rPr>
                      <w:rFonts w:hint="eastAsia"/>
                      <w:color w:val="auto"/>
                      <w:lang w:val="en-US" w:eastAsia="zh-CN"/>
                    </w:rPr>
                    <w:t>。</w:t>
                  </w:r>
                </w:p>
                <w:p w14:paraId="79B3F238">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2.不涉及。</w:t>
                  </w:r>
                </w:p>
                <w:p w14:paraId="46F3D2CB">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3.采取分区防渗。</w:t>
                  </w:r>
                </w:p>
              </w:tc>
              <w:tc>
                <w:tcPr>
                  <w:tcW w:w="509" w:type="pct"/>
                  <w:tcBorders>
                    <w:tl2br w:val="nil"/>
                    <w:tr2bl w:val="nil"/>
                  </w:tcBorders>
                  <w:vAlign w:val="center"/>
                </w:tcPr>
                <w:p w14:paraId="7CD385AE">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eastAsia="zh-CN"/>
                    </w:rPr>
                    <w:t>符合</w:t>
                  </w:r>
                </w:p>
              </w:tc>
            </w:tr>
            <w:tr w14:paraId="14A08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88" w:type="pct"/>
                  <w:vMerge w:val="continue"/>
                  <w:tcBorders>
                    <w:tl2br w:val="nil"/>
                    <w:tr2bl w:val="nil"/>
                  </w:tcBorders>
                  <w:vAlign w:val="center"/>
                </w:tcPr>
                <w:p w14:paraId="2A81F2DA">
                  <w:pPr>
                    <w:pStyle w:val="7"/>
                    <w:keepNext w:val="0"/>
                    <w:keepLines w:val="0"/>
                    <w:suppressLineNumbers w:val="0"/>
                    <w:bidi w:val="0"/>
                    <w:spacing w:before="0" w:beforeAutospacing="0" w:after="0" w:afterAutospacing="0"/>
                    <w:ind w:left="0" w:right="0"/>
                    <w:rPr>
                      <w:rFonts w:hint="default"/>
                      <w:color w:val="auto"/>
                    </w:rPr>
                  </w:pPr>
                </w:p>
              </w:tc>
              <w:tc>
                <w:tcPr>
                  <w:tcW w:w="287" w:type="pct"/>
                  <w:tcBorders>
                    <w:tl2br w:val="nil"/>
                    <w:tr2bl w:val="nil"/>
                  </w:tcBorders>
                  <w:vAlign w:val="center"/>
                </w:tcPr>
                <w:p w14:paraId="116F742B">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环境风险防控</w:t>
                  </w:r>
                </w:p>
              </w:tc>
              <w:tc>
                <w:tcPr>
                  <w:tcW w:w="1995" w:type="pct"/>
                  <w:tcBorders>
                    <w:tl2br w:val="nil"/>
                    <w:tr2bl w:val="nil"/>
                  </w:tcBorders>
                  <w:vAlign w:val="center"/>
                </w:tcPr>
                <w:p w14:paraId="4250B4C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1.定期评估地下水环境安全隐患，检查重点工业企业周边地下水污染状况，并定期公布污染地下水的企业名单。公布环境风险大、严重影响公众健康的地下水污染场地清单，开展修复试点。</w:t>
                  </w:r>
                </w:p>
                <w:p w14:paraId="4218FE6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2.重点排污单位应当根据所在地重污染天气应急预案，编制本单位重污染天气应急响应方</w:t>
                  </w:r>
                </w:p>
                <w:p w14:paraId="2C0CF8CB">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案。</w:t>
                  </w:r>
                </w:p>
                <w:p w14:paraId="6CA3ECF3">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3.土壤环境重点监管企业全部纳入监督性环境监测范围，重点监测污染物为</w:t>
                  </w:r>
                  <w:r>
                    <w:rPr>
                      <w:rFonts w:hint="eastAsia"/>
                      <w:color w:val="auto"/>
                      <w:lang w:val="en-US" w:eastAsia="zh-CN"/>
                    </w:rPr>
                    <w:t>镉</w:t>
                  </w:r>
                  <w:r>
                    <w:rPr>
                      <w:rFonts w:hint="default"/>
                      <w:color w:val="auto"/>
                      <w:lang w:val="en-US" w:eastAsia="zh-CN"/>
                    </w:rPr>
                    <w:t>、汞、珅、铅、</w:t>
                  </w:r>
                  <w:r>
                    <w:rPr>
                      <w:rFonts w:hint="eastAsia"/>
                      <w:color w:val="auto"/>
                      <w:lang w:val="en-US" w:eastAsia="zh-CN"/>
                    </w:rPr>
                    <w:t>铬</w:t>
                  </w:r>
                  <w:r>
                    <w:rPr>
                      <w:rFonts w:hint="default"/>
                      <w:color w:val="auto"/>
                      <w:lang w:val="en-US" w:eastAsia="zh-CN"/>
                    </w:rPr>
                    <w:t>等重金属和多环芳烃、石油类等有机污染物。土壤环境监管重点行业企业拆除生产设施设备、构筑物和污染治理设施，要事先制定残留污染物清理和安全处置方案，并报所在地环境保护、工业和信息化部门备案</w:t>
                  </w:r>
                  <w:r>
                    <w:rPr>
                      <w:rFonts w:hint="eastAsia"/>
                      <w:color w:val="auto"/>
                      <w:lang w:val="en-US" w:eastAsia="zh-CN"/>
                    </w:rPr>
                    <w:t>；</w:t>
                  </w:r>
                  <w:r>
                    <w:rPr>
                      <w:rFonts w:hint="default"/>
                      <w:color w:val="auto"/>
                      <w:lang w:val="en-US" w:eastAsia="zh-CN"/>
                    </w:rPr>
                    <w:t>要严格按照有关规定实施安全处理处置，防范拆除活动污染土壤。</w:t>
                  </w:r>
                </w:p>
              </w:tc>
              <w:tc>
                <w:tcPr>
                  <w:tcW w:w="1918" w:type="pct"/>
                  <w:tcBorders>
                    <w:tl2br w:val="nil"/>
                    <w:tr2bl w:val="nil"/>
                  </w:tcBorders>
                  <w:vAlign w:val="center"/>
                </w:tcPr>
                <w:p w14:paraId="7572328C">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1.不涉及</w:t>
                  </w:r>
                </w:p>
                <w:p w14:paraId="1A21A1DF">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2.不涉及</w:t>
                  </w:r>
                </w:p>
                <w:p w14:paraId="6070F8A0">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3.不涉及</w:t>
                  </w:r>
                </w:p>
              </w:tc>
              <w:tc>
                <w:tcPr>
                  <w:tcW w:w="509" w:type="pct"/>
                  <w:tcBorders>
                    <w:tl2br w:val="nil"/>
                    <w:tr2bl w:val="nil"/>
                  </w:tcBorders>
                  <w:vAlign w:val="center"/>
                </w:tcPr>
                <w:p w14:paraId="3D59B688">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eastAsia="zh-CN"/>
                    </w:rPr>
                    <w:t>符合</w:t>
                  </w:r>
                </w:p>
              </w:tc>
            </w:tr>
            <w:tr w14:paraId="3119E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88" w:type="pct"/>
                  <w:vMerge w:val="continue"/>
                  <w:tcBorders>
                    <w:tl2br w:val="nil"/>
                    <w:tr2bl w:val="nil"/>
                  </w:tcBorders>
                  <w:vAlign w:val="center"/>
                </w:tcPr>
                <w:p w14:paraId="3AD10659">
                  <w:pPr>
                    <w:pStyle w:val="7"/>
                    <w:keepNext w:val="0"/>
                    <w:keepLines w:val="0"/>
                    <w:suppressLineNumbers w:val="0"/>
                    <w:bidi w:val="0"/>
                    <w:spacing w:before="0" w:beforeAutospacing="0" w:after="0" w:afterAutospacing="0"/>
                    <w:ind w:left="0" w:right="0"/>
                    <w:rPr>
                      <w:rFonts w:hint="default"/>
                      <w:color w:val="auto"/>
                    </w:rPr>
                  </w:pPr>
                </w:p>
              </w:tc>
              <w:tc>
                <w:tcPr>
                  <w:tcW w:w="287" w:type="pct"/>
                  <w:tcBorders>
                    <w:tl2br w:val="nil"/>
                    <w:tr2bl w:val="nil"/>
                  </w:tcBorders>
                  <w:vAlign w:val="center"/>
                </w:tcPr>
                <w:p w14:paraId="4A82F453">
                  <w:pPr>
                    <w:pStyle w:val="7"/>
                    <w:keepNext w:val="0"/>
                    <w:keepLines w:val="0"/>
                    <w:suppressLineNumbers w:val="0"/>
                    <w:bidi w:val="0"/>
                    <w:spacing w:before="0" w:beforeAutospacing="0" w:after="0" w:afterAutospacing="0"/>
                    <w:ind w:left="0" w:right="0"/>
                    <w:rPr>
                      <w:rFonts w:hint="eastAsia"/>
                      <w:color w:val="auto"/>
                      <w:lang w:eastAsia="zh-CN"/>
                    </w:rPr>
                  </w:pPr>
                  <w:r>
                    <w:rPr>
                      <w:rFonts w:hint="default"/>
                      <w:color w:val="auto"/>
                    </w:rPr>
                    <w:t>资源</w:t>
                  </w:r>
                  <w:r>
                    <w:rPr>
                      <w:rFonts w:hint="eastAsia"/>
                      <w:color w:val="auto"/>
                      <w:lang w:eastAsia="zh-CN"/>
                    </w:rPr>
                    <w:t>利用效率</w:t>
                  </w:r>
                </w:p>
              </w:tc>
              <w:tc>
                <w:tcPr>
                  <w:tcW w:w="1995" w:type="pct"/>
                  <w:tcBorders>
                    <w:tl2br w:val="nil"/>
                    <w:tr2bl w:val="nil"/>
                  </w:tcBorders>
                  <w:vAlign w:val="center"/>
                </w:tcPr>
                <w:p w14:paraId="6DEC5FE9">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强化工业水循环利用。推进加强洗煤废水循环利用。在高耗水行业开展试点示范，筛选具有明显经济效益的节水治污技术。鼓励纺织印染、石油石化、煤化工等高耗水企业废水深度处理回用。具备使用再生水条件但未充分利用的项目，不得批准其新增取水许可。</w:t>
                  </w:r>
                </w:p>
              </w:tc>
              <w:tc>
                <w:tcPr>
                  <w:tcW w:w="1918" w:type="pct"/>
                  <w:tcBorders>
                    <w:tl2br w:val="nil"/>
                    <w:tr2bl w:val="nil"/>
                  </w:tcBorders>
                  <w:vAlign w:val="center"/>
                </w:tcPr>
                <w:p w14:paraId="28DE8711">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本项目玻璃清洗废水经污水处理设施处理后循环使用不外排；软化浓水、生活污水排入园区管网，进入</w:t>
                  </w:r>
                  <w:r>
                    <w:rPr>
                      <w:rFonts w:hint="eastAsia"/>
                      <w:color w:val="auto"/>
                      <w:lang w:eastAsia="zh-CN"/>
                    </w:rPr>
                    <w:t>拉依苏化工区污水处理厂</w:t>
                  </w:r>
                  <w:r>
                    <w:rPr>
                      <w:rFonts w:hint="eastAsia"/>
                      <w:color w:val="auto"/>
                      <w:lang w:val="en-US" w:eastAsia="zh-CN"/>
                    </w:rPr>
                    <w:t>深度处理。</w:t>
                  </w:r>
                </w:p>
              </w:tc>
              <w:tc>
                <w:tcPr>
                  <w:tcW w:w="509" w:type="pct"/>
                  <w:tcBorders>
                    <w:tl2br w:val="nil"/>
                    <w:tr2bl w:val="nil"/>
                  </w:tcBorders>
                  <w:vAlign w:val="center"/>
                </w:tcPr>
                <w:p w14:paraId="1ED5AB86">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eastAsia="zh-CN"/>
                    </w:rPr>
                    <w:t>符合</w:t>
                  </w:r>
                </w:p>
              </w:tc>
            </w:tr>
          </w:tbl>
          <w:p w14:paraId="479010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color w:val="auto"/>
              </w:rPr>
            </w:pPr>
            <w:r>
              <w:rPr>
                <w:rFonts w:hint="eastAsia"/>
                <w:color w:val="auto"/>
              </w:rPr>
              <w:t>综上可知，本项目建设符合《巴音郭楞蒙古自治州生态环境准入清单》中的“空间布局约束、污染物排放管控、环境风险防控、资源开发效率要求”相关要求。</w:t>
            </w:r>
          </w:p>
          <w:p w14:paraId="7FB60473">
            <w:pPr>
              <w:pStyle w:val="3"/>
              <w:numPr>
                <w:ilvl w:val="0"/>
                <w:numId w:val="0"/>
              </w:numPr>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4、与《巴音郭楞蒙古自治州生态环境“十四五”规划》的符合性分析</w:t>
            </w:r>
          </w:p>
          <w:p w14:paraId="1C751BCC">
            <w:pPr>
              <w:keepNext w:val="0"/>
              <w:keepLines w:val="0"/>
              <w:suppressLineNumbers w:val="0"/>
              <w:bidi w:val="0"/>
              <w:spacing w:before="0" w:beforeAutospacing="0" w:after="0" w:afterAutospacing="0"/>
              <w:ind w:left="0" w:right="0"/>
              <w:rPr>
                <w:rFonts w:hint="default"/>
                <w:color w:val="auto"/>
              </w:rPr>
            </w:pPr>
            <w:r>
              <w:rPr>
                <w:rFonts w:hint="default"/>
                <w:color w:val="auto"/>
              </w:rPr>
              <w:t>强化大气污染分区控制和分类管理，加强污染源解析，实行差异化控制要求，制定有针对性的污染防治措施。</w:t>
            </w:r>
          </w:p>
          <w:p w14:paraId="5874F0DC">
            <w:pPr>
              <w:keepNext w:val="0"/>
              <w:keepLines w:val="0"/>
              <w:suppressLineNumbers w:val="0"/>
              <w:bidi w:val="0"/>
              <w:spacing w:before="0" w:beforeAutospacing="0" w:after="0" w:afterAutospacing="0"/>
              <w:ind w:left="0" w:right="0"/>
              <w:rPr>
                <w:rFonts w:hint="default"/>
                <w:color w:val="auto"/>
              </w:rPr>
            </w:pPr>
            <w:r>
              <w:rPr>
                <w:rFonts w:hint="eastAsia"/>
                <w:color w:val="auto"/>
                <w:lang w:eastAsia="zh-CN"/>
              </w:rPr>
              <w:t>加强环境噪声污染防控。加强噪声污染源监管，继续强化和深入推进交通运输、建筑施工、社会生活、工业企业、机场周边噪声污染防治，推进工业企业噪声纳入排污许可管理。</w:t>
            </w:r>
          </w:p>
          <w:p w14:paraId="147A36BC">
            <w:pPr>
              <w:keepNext w:val="0"/>
              <w:keepLines w:val="0"/>
              <w:suppressLineNumbers w:val="0"/>
              <w:bidi w:val="0"/>
              <w:spacing w:before="0" w:beforeAutospacing="0" w:after="0" w:afterAutospacing="0"/>
              <w:ind w:left="0" w:right="0"/>
              <w:rPr>
                <w:rFonts w:hint="eastAsia" w:eastAsia="宋体"/>
                <w:color w:val="auto"/>
                <w:lang w:val="en-US" w:eastAsia="zh-CN"/>
              </w:rPr>
            </w:pPr>
            <w:r>
              <w:rPr>
                <w:rFonts w:hint="default"/>
                <w:color w:val="auto"/>
              </w:rPr>
              <w:t>加强固体废物处置。加强固体废物源头减量和资源化利用，最大限度减少填埋量。持续开展固体废物非法转移和倾倒排查整治，推动开展塑料</w:t>
            </w:r>
            <w:r>
              <w:rPr>
                <w:rFonts w:hint="default"/>
                <w:color w:val="auto"/>
                <w:lang w:eastAsia="zh-CN"/>
              </w:rPr>
              <w:t>行业</w:t>
            </w:r>
            <w:r>
              <w:rPr>
                <w:rFonts w:hint="default"/>
                <w:color w:val="auto"/>
              </w:rPr>
              <w:t>专项清理，持续推进废塑料加工</w:t>
            </w:r>
            <w:r>
              <w:rPr>
                <w:rFonts w:hint="default"/>
                <w:color w:val="auto"/>
                <w:lang w:eastAsia="zh-CN"/>
              </w:rPr>
              <w:t>利用</w:t>
            </w:r>
            <w:r>
              <w:rPr>
                <w:rFonts w:hint="default"/>
                <w:color w:val="auto"/>
              </w:rPr>
              <w:t>行业整治，加强废塑料回收、利用、处置等环节的环境监管，降低污染风险。加强工业固体废物堆存场所环境整治。持续推进工业固体废物综合利用和环境整治，不断提高大宗工业固体废物资源化利用水平</w:t>
            </w:r>
            <w:r>
              <w:rPr>
                <w:rFonts w:hint="eastAsia"/>
                <w:color w:val="auto"/>
                <w:lang w:eastAsia="zh-CN"/>
              </w:rPr>
              <w:t>。</w:t>
            </w:r>
          </w:p>
          <w:p w14:paraId="4A11E20E">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本项目运营期颗粒物经布袋除尘+15m高排气筒处理后有组织排放，废气执行《玻璃工业大气污染物排放标准》（GB 26453-2022）表1中的排放限值。生活垃圾集中收集，委托环卫部门清运处置；废玻璃外售，废靶材、喷砂除尘灰厂家回收。噪声经基础减振、隔声等措施处理后，满足</w:t>
            </w:r>
            <w:r>
              <w:rPr>
                <w:rFonts w:hint="default"/>
                <w:color w:val="auto"/>
                <w:lang w:eastAsia="zh-CN"/>
              </w:rPr>
              <w:t>《工业企业厂界环境噪声排放标准》（GB 12348-2008）中</w:t>
            </w:r>
            <w:r>
              <w:rPr>
                <w:rFonts w:hint="eastAsia"/>
                <w:color w:val="auto"/>
                <w:lang w:val="en-US" w:eastAsia="zh-CN"/>
              </w:rPr>
              <w:t>3</w:t>
            </w:r>
            <w:r>
              <w:rPr>
                <w:rFonts w:hint="default"/>
                <w:color w:val="auto"/>
                <w:lang w:eastAsia="zh-CN"/>
              </w:rPr>
              <w:t>类标准</w:t>
            </w:r>
            <w:r>
              <w:rPr>
                <w:rFonts w:hint="eastAsia"/>
                <w:color w:val="auto"/>
                <w:lang w:val="en-US" w:eastAsia="zh-CN"/>
              </w:rPr>
              <w:t>限值。沉淀污泥集中收集外售；废RO膜厂家回收，废石英砂外售综合利用，固废均合理处置；综上，符合《巴音郭楞蒙古自治州生态环境“十四五”规划》的要求。</w:t>
            </w:r>
          </w:p>
          <w:p w14:paraId="59FC470C">
            <w:pPr>
              <w:pStyle w:val="3"/>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5、选址合理性分析</w:t>
            </w:r>
          </w:p>
          <w:p w14:paraId="0ECAF5E6">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本项目位于</w:t>
            </w:r>
            <w:r>
              <w:rPr>
                <w:rFonts w:hint="eastAsia"/>
                <w:color w:val="auto"/>
              </w:rPr>
              <w:t>新疆维吾尔自治区</w:t>
            </w:r>
            <w:r>
              <w:rPr>
                <w:rFonts w:hint="eastAsia" w:ascii="Times New Roman" w:hAnsi="Times New Roman" w:eastAsia="宋体" w:cs="宋体"/>
                <w:color w:val="auto"/>
                <w:sz w:val="24"/>
                <w:szCs w:val="24"/>
                <w:lang w:val="en-US" w:eastAsia="zh-CN"/>
              </w:rPr>
              <w:t>巴音郭楞蒙古自治州</w:t>
            </w:r>
            <w:r>
              <w:rPr>
                <w:rFonts w:hint="eastAsia" w:cs="宋体"/>
                <w:color w:val="auto"/>
                <w:sz w:val="24"/>
                <w:szCs w:val="24"/>
                <w:lang w:val="en-US" w:eastAsia="zh-CN"/>
              </w:rPr>
              <w:t>轮台县</w:t>
            </w:r>
            <w:r>
              <w:rPr>
                <w:rFonts w:hint="default" w:ascii="Times New Roman" w:hAnsi="Times New Roman" w:eastAsia="宋体" w:cs="Times New Roman"/>
                <w:color w:val="auto"/>
                <w:lang w:val="en-US" w:eastAsia="zh-CN"/>
              </w:rPr>
              <w:t>轮台工业园区拉依苏化工区</w:t>
            </w:r>
            <w:r>
              <w:rPr>
                <w:rFonts w:hint="eastAsia"/>
                <w:color w:val="auto"/>
                <w:lang w:val="en-US" w:eastAsia="zh-CN"/>
              </w:rPr>
              <w:t>新疆光耀玻璃科技有限公司院内，租用新疆光耀玻璃科技有限公司院内生产车间，新疆光耀玻璃科技有限公司已取得土地证，用地为工业用地</w:t>
            </w:r>
            <w:r>
              <w:rPr>
                <w:rFonts w:hint="eastAsia"/>
                <w:color w:val="auto"/>
                <w:lang w:eastAsia="zh-CN"/>
              </w:rPr>
              <w:t>，符合国土空间用途管控要求</w:t>
            </w:r>
            <w:r>
              <w:rPr>
                <w:rFonts w:hint="eastAsia"/>
                <w:color w:val="auto"/>
                <w:lang w:val="en-US" w:eastAsia="zh-CN"/>
              </w:rPr>
              <w:t>；符合《</w:t>
            </w:r>
            <w:r>
              <w:rPr>
                <w:rFonts w:hint="eastAsia"/>
                <w:color w:val="auto"/>
                <w:lang w:eastAsia="zh-CN"/>
              </w:rPr>
              <w:t>轮台工业园区国土空间专项规划（2024-2035年）》</w:t>
            </w:r>
            <w:r>
              <w:rPr>
                <w:rFonts w:hint="eastAsia"/>
                <w:color w:val="auto"/>
                <w:lang w:val="en-US" w:eastAsia="zh-CN"/>
              </w:rPr>
              <w:t>《</w:t>
            </w:r>
            <w:r>
              <w:rPr>
                <w:rFonts w:hint="eastAsia"/>
                <w:color w:val="auto"/>
                <w:lang w:eastAsia="zh-CN"/>
              </w:rPr>
              <w:t>轮台工业园区国土空间专项规划（2024-2035年）</w:t>
            </w:r>
            <w:r>
              <w:rPr>
                <w:rFonts w:hint="default"/>
                <w:color w:val="auto"/>
              </w:rPr>
              <w:t>环境影响报告书</w:t>
            </w:r>
            <w:r>
              <w:rPr>
                <w:rFonts w:hint="eastAsia"/>
                <w:color w:val="auto"/>
                <w:lang w:val="en-US" w:eastAsia="zh-CN"/>
              </w:rPr>
              <w:t>》及审查意见、</w:t>
            </w:r>
            <w:r>
              <w:rPr>
                <w:rFonts w:hint="default"/>
                <w:color w:val="auto"/>
              </w:rPr>
              <w:t>《产业结构调整指导目录（20</w:t>
            </w:r>
            <w:r>
              <w:rPr>
                <w:rFonts w:hint="eastAsia"/>
                <w:color w:val="auto"/>
                <w:lang w:val="en-US" w:eastAsia="zh-CN"/>
              </w:rPr>
              <w:t>24</w:t>
            </w:r>
            <w:r>
              <w:rPr>
                <w:rFonts w:hint="default"/>
                <w:color w:val="auto"/>
              </w:rPr>
              <w:t>年本）》《巴音郭楞蒙古自治州生态环境准入清单》</w:t>
            </w:r>
            <w:r>
              <w:rPr>
                <w:rFonts w:hint="eastAsia"/>
                <w:color w:val="auto"/>
                <w:lang w:val="en-US" w:eastAsia="zh-CN"/>
              </w:rPr>
              <w:t>，项目选址周边无自然保护区、水源保护地、风景名胜区等，周边基础设施已完善，周边交通便利；由此判断本项目选址合理。</w:t>
            </w:r>
          </w:p>
          <w:p w14:paraId="74B804F9">
            <w:pPr>
              <w:pStyle w:val="47"/>
              <w:keepNext w:val="0"/>
              <w:keepLines w:val="0"/>
              <w:suppressLineNumbers w:val="0"/>
              <w:spacing w:before="0" w:beforeAutospacing="0" w:after="0" w:afterAutospacing="0"/>
              <w:ind w:left="0" w:right="0"/>
              <w:rPr>
                <w:rFonts w:hint="eastAsia"/>
                <w:color w:val="auto"/>
                <w:lang w:val="en-US" w:eastAsia="zh-CN"/>
              </w:rPr>
            </w:pPr>
          </w:p>
          <w:p w14:paraId="76729C51">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278E6A94">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33F77598">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3D5F06E6">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51803381">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3E49E286">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0CE937D0">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7E0C08CC">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347EF9C3">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14B42B04">
            <w:pPr>
              <w:keepNext w:val="0"/>
              <w:keepLines w:val="0"/>
              <w:suppressLineNumbers w:val="0"/>
              <w:spacing w:before="0" w:beforeAutospacing="0" w:after="0" w:afterAutospacing="0"/>
              <w:ind w:left="0" w:leftChars="0" w:right="0" w:firstLine="0" w:firstLineChars="0"/>
              <w:rPr>
                <w:rFonts w:hint="eastAsia"/>
                <w:color w:val="auto"/>
                <w:lang w:val="en-US" w:eastAsia="zh-CN"/>
              </w:rPr>
            </w:pPr>
          </w:p>
          <w:p w14:paraId="4C32DDAE">
            <w:pPr>
              <w:keepNext w:val="0"/>
              <w:keepLines w:val="0"/>
              <w:suppressLineNumbers w:val="0"/>
              <w:spacing w:before="0" w:beforeAutospacing="0" w:after="0" w:afterAutospacing="0"/>
              <w:ind w:left="0" w:leftChars="0" w:right="0" w:firstLine="0" w:firstLineChars="0"/>
              <w:rPr>
                <w:rFonts w:hint="eastAsia"/>
                <w:color w:val="auto"/>
                <w:lang w:val="en-US" w:eastAsia="zh-CN"/>
              </w:rPr>
            </w:pPr>
          </w:p>
        </w:tc>
      </w:tr>
    </w:tbl>
    <w:p w14:paraId="2014F9C8">
      <w:pPr>
        <w:spacing w:line="360" w:lineRule="auto"/>
        <w:outlineLvl w:val="0"/>
        <w:rPr>
          <w:rFonts w:eastAsia="黑体"/>
          <w:color w:val="auto"/>
          <w:sz w:val="30"/>
        </w:rPr>
        <w:sectPr>
          <w:footerReference r:id="rId7" w:type="default"/>
          <w:pgSz w:w="11906" w:h="16838"/>
          <w:pgMar w:top="1304" w:right="1361" w:bottom="1304" w:left="1361" w:header="851" w:footer="1077" w:gutter="0"/>
          <w:pgBorders>
            <w:top w:val="none" w:sz="0" w:space="0"/>
            <w:left w:val="none" w:sz="0" w:space="0"/>
            <w:bottom w:val="none" w:sz="0" w:space="0"/>
            <w:right w:val="none" w:sz="0" w:space="0"/>
          </w:pgBorders>
          <w:pgNumType w:start="1"/>
          <w:cols w:space="720" w:num="1"/>
          <w:docGrid w:linePitch="312" w:charSpace="0"/>
        </w:sectPr>
      </w:pPr>
    </w:p>
    <w:p w14:paraId="657388EA">
      <w:pPr>
        <w:pStyle w:val="25"/>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二、建设项目工程分析</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8292"/>
      </w:tblGrid>
      <w:tr w14:paraId="0C367E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7" w:type="pct"/>
            <w:tcBorders>
              <w:tl2br w:val="nil"/>
              <w:tr2bl w:val="nil"/>
            </w:tcBorders>
            <w:vAlign w:val="center"/>
          </w:tcPr>
          <w:p w14:paraId="4C30A4D6">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建设内容</w:t>
            </w:r>
          </w:p>
        </w:tc>
        <w:tc>
          <w:tcPr>
            <w:tcW w:w="4512" w:type="pct"/>
            <w:tcBorders>
              <w:tl2br w:val="nil"/>
              <w:tr2bl w:val="nil"/>
            </w:tcBorders>
          </w:tcPr>
          <w:p w14:paraId="6095D38A">
            <w:pPr>
              <w:pStyle w:val="3"/>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1、建设内容</w:t>
            </w:r>
          </w:p>
          <w:p w14:paraId="6AD56FDF">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本项目位于</w:t>
            </w:r>
            <w:r>
              <w:rPr>
                <w:rFonts w:hint="eastAsia"/>
                <w:color w:val="auto"/>
              </w:rPr>
              <w:t>新疆维吾尔自治区巴音郭楞蒙古自治州</w:t>
            </w:r>
            <w:r>
              <w:rPr>
                <w:rFonts w:hint="eastAsia" w:cs="宋体"/>
                <w:color w:val="auto"/>
                <w:sz w:val="24"/>
                <w:szCs w:val="24"/>
                <w:lang w:val="en-US" w:eastAsia="zh-CN"/>
              </w:rPr>
              <w:t>轮台县</w:t>
            </w:r>
            <w:r>
              <w:rPr>
                <w:rFonts w:hint="default" w:ascii="Times New Roman" w:hAnsi="Times New Roman" w:eastAsia="宋体" w:cs="Times New Roman"/>
                <w:color w:val="auto"/>
                <w:lang w:val="en-US" w:eastAsia="zh-CN"/>
              </w:rPr>
              <w:t>轮台工业园区拉依苏化工区</w:t>
            </w:r>
            <w:r>
              <w:rPr>
                <w:rFonts w:hint="eastAsia"/>
                <w:color w:val="auto"/>
                <w:lang w:val="en-US" w:eastAsia="zh-CN"/>
              </w:rPr>
              <w:t>新疆光耀玻璃科技有限公司院内，中心地理坐标为东经</w:t>
            </w:r>
            <w:r>
              <w:rPr>
                <w:rFonts w:hint="default"/>
                <w:color w:val="auto"/>
                <w:lang w:val="en-US" w:eastAsia="zh-CN"/>
              </w:rPr>
              <w:t>8</w:t>
            </w:r>
            <w:r>
              <w:rPr>
                <w:rFonts w:hint="eastAsia"/>
                <w:color w:val="auto"/>
                <w:lang w:val="en-US" w:eastAsia="zh-CN"/>
              </w:rPr>
              <w:t>4</w:t>
            </w:r>
            <w:r>
              <w:rPr>
                <w:rFonts w:hint="default"/>
                <w:color w:val="auto"/>
                <w:lang w:val="en-US" w:eastAsia="zh-CN"/>
              </w:rPr>
              <w:t>°</w:t>
            </w:r>
            <w:r>
              <w:rPr>
                <w:rFonts w:hint="eastAsia"/>
                <w:color w:val="auto"/>
                <w:lang w:val="en-US" w:eastAsia="zh-CN"/>
              </w:rPr>
              <w:t>2</w:t>
            </w:r>
            <w:r>
              <w:rPr>
                <w:rFonts w:hint="default"/>
                <w:color w:val="auto"/>
                <w:lang w:val="en-US" w:eastAsia="zh-CN"/>
              </w:rPr>
              <w:t>′1</w:t>
            </w:r>
            <w:r>
              <w:rPr>
                <w:rFonts w:hint="eastAsia"/>
                <w:color w:val="auto"/>
                <w:lang w:val="en-US" w:eastAsia="zh-CN"/>
              </w:rPr>
              <w:t>5.606</w:t>
            </w:r>
            <w:r>
              <w:rPr>
                <w:rFonts w:hint="default"/>
                <w:color w:val="auto"/>
                <w:lang w:val="en-US" w:eastAsia="zh-CN"/>
              </w:rPr>
              <w:t>″</w:t>
            </w:r>
            <w:r>
              <w:rPr>
                <w:rFonts w:hint="eastAsia"/>
                <w:color w:val="auto"/>
                <w:lang w:eastAsia="zh-CN"/>
              </w:rPr>
              <w:t>，</w:t>
            </w:r>
            <w:r>
              <w:rPr>
                <w:rFonts w:hint="eastAsia"/>
                <w:color w:val="auto"/>
                <w:lang w:val="en-US" w:eastAsia="zh-CN"/>
              </w:rPr>
              <w:t>北纬</w:t>
            </w:r>
            <w:r>
              <w:rPr>
                <w:rFonts w:hint="default"/>
                <w:color w:val="auto"/>
                <w:lang w:val="en-US" w:eastAsia="zh-CN"/>
              </w:rPr>
              <w:t>41°</w:t>
            </w:r>
            <w:r>
              <w:rPr>
                <w:rFonts w:hint="eastAsia"/>
                <w:color w:val="auto"/>
                <w:lang w:val="en-US" w:eastAsia="zh-CN"/>
              </w:rPr>
              <w:t>49</w:t>
            </w:r>
            <w:r>
              <w:rPr>
                <w:rFonts w:hint="default"/>
                <w:color w:val="auto"/>
                <w:lang w:val="en-US" w:eastAsia="zh-CN"/>
              </w:rPr>
              <w:t>′</w:t>
            </w:r>
            <w:r>
              <w:rPr>
                <w:rFonts w:hint="eastAsia"/>
                <w:color w:val="auto"/>
                <w:lang w:val="en-US" w:eastAsia="zh-CN"/>
              </w:rPr>
              <w:t>5.076</w:t>
            </w:r>
            <w:r>
              <w:rPr>
                <w:rFonts w:hint="default"/>
                <w:color w:val="auto"/>
                <w:lang w:val="en-US" w:eastAsia="zh-CN"/>
              </w:rPr>
              <w:t>1″</w:t>
            </w:r>
            <w:r>
              <w:rPr>
                <w:rFonts w:hint="eastAsia"/>
                <w:color w:val="auto"/>
                <w:lang w:val="en-US" w:eastAsia="zh-CN"/>
              </w:rPr>
              <w:t>。地理位置见附图2-1，项目区北侧、西侧均为空地，东侧为园区道路，南侧紧邻新疆光耀玻璃科技有限公司库房，周边关系示意图见附图2-2。</w:t>
            </w:r>
          </w:p>
          <w:p w14:paraId="57B55AE9">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本项目为新建项目，总投资11000万元，总面积10000m</w:t>
            </w:r>
            <w:r>
              <w:rPr>
                <w:rFonts w:hint="eastAsia"/>
                <w:color w:val="auto"/>
                <w:vertAlign w:val="superscript"/>
                <w:lang w:val="en-US" w:eastAsia="zh-CN"/>
              </w:rPr>
              <w:t>2</w:t>
            </w:r>
            <w:r>
              <w:rPr>
                <w:rFonts w:hint="eastAsia"/>
                <w:color w:val="auto"/>
                <w:lang w:val="en-US" w:eastAsia="zh-CN"/>
              </w:rPr>
              <w:t>，租用新疆光耀玻璃科技有限公司生产车间，主要建设内容包括：新建一条</w:t>
            </w:r>
            <w:r>
              <w:rPr>
                <w:rFonts w:hint="eastAsia"/>
                <w:color w:val="auto"/>
                <w:lang w:eastAsia="zh-CN"/>
              </w:rPr>
              <w:t>L</w:t>
            </w:r>
            <w:r>
              <w:rPr>
                <w:rFonts w:hint="eastAsia"/>
                <w:color w:val="auto"/>
                <w:lang w:val="en-US" w:eastAsia="zh-CN"/>
              </w:rPr>
              <w:t>ow</w:t>
            </w:r>
            <w:r>
              <w:rPr>
                <w:rFonts w:hint="eastAsia"/>
                <w:color w:val="auto"/>
                <w:lang w:eastAsia="zh-CN"/>
              </w:rPr>
              <w:t>-E玻璃生产线</w:t>
            </w:r>
            <w:r>
              <w:rPr>
                <w:rFonts w:hint="eastAsia"/>
                <w:color w:val="auto"/>
                <w:lang w:val="en-US" w:eastAsia="zh-CN"/>
              </w:rPr>
              <w:t>，年产300万m</w:t>
            </w:r>
            <w:r>
              <w:rPr>
                <w:rFonts w:hint="eastAsia"/>
                <w:color w:val="auto"/>
                <w:vertAlign w:val="superscript"/>
                <w:lang w:val="en-US" w:eastAsia="zh-CN"/>
              </w:rPr>
              <w:t>2</w:t>
            </w:r>
            <w:r>
              <w:rPr>
                <w:rFonts w:hint="default"/>
                <w:color w:val="auto"/>
                <w:spacing w:val="13"/>
                <w:szCs w:val="28"/>
              </w:rPr>
              <w:t>双银</w:t>
            </w:r>
            <w:r>
              <w:rPr>
                <w:rFonts w:hint="default"/>
                <w:color w:val="auto"/>
                <w:szCs w:val="28"/>
              </w:rPr>
              <w:t>Low</w:t>
            </w:r>
            <w:r>
              <w:rPr>
                <w:rFonts w:hint="default"/>
                <w:color w:val="auto"/>
                <w:spacing w:val="13"/>
                <w:szCs w:val="28"/>
              </w:rPr>
              <w:t>-E镀膜玻璃</w:t>
            </w:r>
            <w:r>
              <w:rPr>
                <w:rFonts w:hint="eastAsia"/>
                <w:color w:val="auto"/>
                <w:lang w:val="en-US" w:eastAsia="zh-CN"/>
              </w:rPr>
              <w:t>，年产500万m</w:t>
            </w:r>
            <w:r>
              <w:rPr>
                <w:rFonts w:hint="eastAsia"/>
                <w:color w:val="auto"/>
                <w:vertAlign w:val="superscript"/>
                <w:lang w:val="en-US" w:eastAsia="zh-CN"/>
              </w:rPr>
              <w:t>2</w:t>
            </w:r>
            <w:r>
              <w:rPr>
                <w:rFonts w:hint="eastAsia"/>
                <w:color w:val="auto"/>
                <w:vertAlign w:val="baseline"/>
                <w:lang w:val="en-US" w:eastAsia="zh-CN"/>
              </w:rPr>
              <w:t>万</w:t>
            </w:r>
            <w:r>
              <w:rPr>
                <w:rFonts w:hint="eastAsia"/>
                <w:color w:val="auto"/>
                <w:spacing w:val="13"/>
                <w:szCs w:val="28"/>
                <w:lang w:val="en-US" w:eastAsia="zh-CN"/>
              </w:rPr>
              <w:t>单</w:t>
            </w:r>
            <w:r>
              <w:rPr>
                <w:rFonts w:hint="default"/>
                <w:color w:val="auto"/>
                <w:spacing w:val="13"/>
                <w:szCs w:val="28"/>
              </w:rPr>
              <w:t>银</w:t>
            </w:r>
            <w:r>
              <w:rPr>
                <w:rFonts w:hint="default"/>
                <w:color w:val="auto"/>
                <w:szCs w:val="28"/>
              </w:rPr>
              <w:t>Low</w:t>
            </w:r>
            <w:r>
              <w:rPr>
                <w:rFonts w:hint="default"/>
                <w:color w:val="auto"/>
                <w:spacing w:val="13"/>
                <w:szCs w:val="28"/>
              </w:rPr>
              <w:t>-E镀膜玻璃</w:t>
            </w:r>
            <w:r>
              <w:rPr>
                <w:rFonts w:hint="eastAsia"/>
                <w:color w:val="auto"/>
                <w:lang w:val="en-US" w:eastAsia="zh-CN"/>
              </w:rPr>
              <w:t>。</w:t>
            </w:r>
          </w:p>
          <w:p w14:paraId="17E25038">
            <w:pPr>
              <w:keepNext w:val="0"/>
              <w:keepLines w:val="0"/>
              <w:widowControl/>
              <w:suppressLineNumbers w:val="0"/>
              <w:spacing w:before="0" w:beforeAutospacing="0" w:after="0" w:afterAutospacing="0"/>
              <w:ind w:left="0" w:right="0"/>
              <w:jc w:val="both"/>
              <w:rPr>
                <w:rFonts w:hint="default"/>
                <w:color w:val="auto"/>
                <w:lang w:val="en-US" w:eastAsia="zh-CN"/>
              </w:rPr>
            </w:pPr>
            <w:r>
              <w:rPr>
                <w:rFonts w:hint="default"/>
                <w:color w:val="auto"/>
                <w:lang w:eastAsia="zh-CN"/>
              </w:rPr>
              <w:t>主要建设内容详见表</w:t>
            </w:r>
            <w:r>
              <w:rPr>
                <w:rFonts w:hint="eastAsia"/>
                <w:color w:val="auto"/>
                <w:lang w:val="en-US" w:eastAsia="zh-CN"/>
              </w:rPr>
              <w:t>2-</w:t>
            </w:r>
            <w:r>
              <w:rPr>
                <w:rFonts w:hint="default"/>
                <w:color w:val="auto"/>
                <w:lang w:eastAsia="zh-CN"/>
              </w:rPr>
              <w:t>1</w:t>
            </w:r>
            <w:r>
              <w:rPr>
                <w:rFonts w:hint="eastAsia"/>
                <w:color w:val="auto"/>
                <w:lang w:eastAsia="zh-CN"/>
              </w:rPr>
              <w:t>。</w:t>
            </w:r>
          </w:p>
          <w:p w14:paraId="4C183B27">
            <w:pPr>
              <w:pStyle w:val="5"/>
              <w:keepNext w:val="0"/>
              <w:keepLines w:val="0"/>
              <w:suppressLineNumbers w:val="0"/>
              <w:bidi w:val="0"/>
              <w:spacing w:before="0" w:beforeAutospacing="0" w:after="0" w:afterAutospacing="0"/>
              <w:ind w:left="0" w:right="0"/>
              <w:rPr>
                <w:rFonts w:hint="default"/>
                <w:color w:val="auto"/>
              </w:rPr>
            </w:pPr>
            <w:r>
              <w:rPr>
                <w:rFonts w:hint="default"/>
                <w:color w:val="auto"/>
              </w:rPr>
              <w:t>表</w:t>
            </w:r>
            <w:r>
              <w:rPr>
                <w:rFonts w:hint="eastAsia"/>
                <w:color w:val="auto"/>
                <w:lang w:val="en-US" w:eastAsia="zh-CN"/>
              </w:rPr>
              <w:t xml:space="preserve">2-1                          </w:t>
            </w:r>
            <w:r>
              <w:rPr>
                <w:rFonts w:hint="eastAsia"/>
                <w:color w:val="auto"/>
                <w:lang w:eastAsia="zh-CN"/>
              </w:rPr>
              <w:t>主要工程建设内容</w:t>
            </w:r>
            <w:r>
              <w:rPr>
                <w:rFonts w:hint="default"/>
                <w:color w:val="auto"/>
              </w:rPr>
              <w:t>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189"/>
              <w:gridCol w:w="1100"/>
              <w:gridCol w:w="5126"/>
            </w:tblGrid>
            <w:tr w14:paraId="4E8373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tcBorders>
                    <w:tl2br w:val="nil"/>
                    <w:tr2bl w:val="nil"/>
                  </w:tcBorders>
                  <w:noWrap w:val="0"/>
                  <w:vAlign w:val="center"/>
                </w:tcPr>
                <w:p w14:paraId="52CF827C">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项目组成</w:t>
                  </w:r>
                </w:p>
              </w:tc>
              <w:tc>
                <w:tcPr>
                  <w:tcW w:w="736" w:type="pct"/>
                  <w:tcBorders>
                    <w:tl2br w:val="nil"/>
                    <w:tr2bl w:val="nil"/>
                  </w:tcBorders>
                  <w:noWrap w:val="0"/>
                  <w:vAlign w:val="center"/>
                </w:tcPr>
                <w:p w14:paraId="437E403C">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项目</w:t>
                  </w:r>
                </w:p>
              </w:tc>
              <w:tc>
                <w:tcPr>
                  <w:tcW w:w="3855" w:type="pct"/>
                  <w:gridSpan w:val="2"/>
                  <w:tcBorders>
                    <w:tl2br w:val="nil"/>
                    <w:tr2bl w:val="nil"/>
                  </w:tcBorders>
                  <w:noWrap w:val="0"/>
                  <w:vAlign w:val="center"/>
                </w:tcPr>
                <w:p w14:paraId="0857B52C">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建设内容</w:t>
                  </w:r>
                </w:p>
              </w:tc>
            </w:tr>
            <w:tr w14:paraId="15DA28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tcBorders>
                    <w:tl2br w:val="nil"/>
                    <w:tr2bl w:val="nil"/>
                  </w:tcBorders>
                  <w:noWrap w:val="0"/>
                  <w:vAlign w:val="center"/>
                </w:tcPr>
                <w:p w14:paraId="40A90653">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主体工程</w:t>
                  </w:r>
                </w:p>
              </w:tc>
              <w:tc>
                <w:tcPr>
                  <w:tcW w:w="736" w:type="pct"/>
                  <w:tcBorders>
                    <w:tl2br w:val="nil"/>
                    <w:tr2bl w:val="nil"/>
                  </w:tcBorders>
                  <w:noWrap w:val="0"/>
                  <w:vAlign w:val="center"/>
                </w:tcPr>
                <w:p w14:paraId="147BB02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镀膜生产车间</w:t>
                  </w:r>
                </w:p>
              </w:tc>
              <w:tc>
                <w:tcPr>
                  <w:tcW w:w="3855" w:type="pct"/>
                  <w:gridSpan w:val="2"/>
                  <w:tcBorders>
                    <w:tl2br w:val="nil"/>
                    <w:tr2bl w:val="nil"/>
                  </w:tcBorders>
                  <w:noWrap w:val="0"/>
                  <w:vAlign w:val="center"/>
                </w:tcPr>
                <w:p w14:paraId="3884651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租用新疆光耀玻璃科技有限公司生产车间，1F，钢架结构，车间面积7120m</w:t>
                  </w:r>
                  <w:r>
                    <w:rPr>
                      <w:rFonts w:hint="eastAsia"/>
                      <w:color w:val="auto"/>
                      <w:vertAlign w:val="superscript"/>
                      <w:lang w:val="en-US" w:eastAsia="zh-CN"/>
                    </w:rPr>
                    <w:t>2</w:t>
                  </w:r>
                  <w:r>
                    <w:rPr>
                      <w:rFonts w:hint="eastAsia"/>
                      <w:color w:val="auto"/>
                      <w:lang w:val="en-US" w:eastAsia="zh-CN"/>
                    </w:rPr>
                    <w:t>，新建一条Low-E玻璃生产线。</w:t>
                  </w:r>
                </w:p>
              </w:tc>
            </w:tr>
            <w:tr w14:paraId="1F955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tcBorders>
                    <w:tl2br w:val="nil"/>
                    <w:tr2bl w:val="nil"/>
                  </w:tcBorders>
                  <w:noWrap w:val="0"/>
                  <w:vAlign w:val="center"/>
                </w:tcPr>
                <w:p w14:paraId="23EDE17B">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辅助工程</w:t>
                  </w:r>
                </w:p>
              </w:tc>
              <w:tc>
                <w:tcPr>
                  <w:tcW w:w="736" w:type="pct"/>
                  <w:tcBorders>
                    <w:tl2br w:val="nil"/>
                    <w:tr2bl w:val="nil"/>
                  </w:tcBorders>
                  <w:shd w:val="clear" w:color="auto" w:fill="auto"/>
                  <w:noWrap w:val="0"/>
                  <w:vAlign w:val="center"/>
                </w:tcPr>
                <w:p w14:paraId="784897F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检测室</w:t>
                  </w:r>
                </w:p>
              </w:tc>
              <w:tc>
                <w:tcPr>
                  <w:tcW w:w="3855" w:type="pct"/>
                  <w:gridSpan w:val="2"/>
                  <w:tcBorders>
                    <w:tl2br w:val="nil"/>
                    <w:tr2bl w:val="nil"/>
                  </w:tcBorders>
                  <w:shd w:val="clear" w:color="auto" w:fill="auto"/>
                  <w:noWrap w:val="0"/>
                  <w:vAlign w:val="center"/>
                </w:tcPr>
                <w:p w14:paraId="12941CA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1F，钢化结构，面积180m</w:t>
                  </w:r>
                  <w:r>
                    <w:rPr>
                      <w:rFonts w:hint="eastAsia"/>
                      <w:color w:val="auto"/>
                      <w:vertAlign w:val="superscript"/>
                      <w:lang w:val="en-US" w:eastAsia="zh-CN"/>
                    </w:rPr>
                    <w:t>2</w:t>
                  </w:r>
                  <w:r>
                    <w:rPr>
                      <w:rFonts w:hint="eastAsia"/>
                      <w:color w:val="auto"/>
                      <w:lang w:val="en-US" w:eastAsia="zh-CN"/>
                    </w:rPr>
                    <w:t>，对玻璃进行测试，取样做离线测试、钢化实验，检验钢化稳定性、辐射率、耐候性能，均为物理实验</w:t>
                  </w:r>
                </w:p>
              </w:tc>
            </w:tr>
            <w:tr w14:paraId="2B2BDB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tcBorders>
                    <w:tl2br w:val="nil"/>
                    <w:tr2bl w:val="nil"/>
                  </w:tcBorders>
                  <w:noWrap w:val="0"/>
                  <w:vAlign w:val="center"/>
                </w:tcPr>
                <w:p w14:paraId="6F6B82A3">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储运工程</w:t>
                  </w:r>
                </w:p>
              </w:tc>
              <w:tc>
                <w:tcPr>
                  <w:tcW w:w="736" w:type="pct"/>
                  <w:tcBorders>
                    <w:tl2br w:val="nil"/>
                    <w:tr2bl w:val="nil"/>
                  </w:tcBorders>
                  <w:shd w:val="clear" w:color="auto" w:fill="auto"/>
                  <w:noWrap w:val="0"/>
                  <w:vAlign w:val="center"/>
                </w:tcPr>
                <w:p w14:paraId="4D4695D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成品库</w:t>
                  </w:r>
                </w:p>
              </w:tc>
              <w:tc>
                <w:tcPr>
                  <w:tcW w:w="3855" w:type="pct"/>
                  <w:gridSpan w:val="2"/>
                  <w:tcBorders>
                    <w:tl2br w:val="nil"/>
                    <w:tr2bl w:val="nil"/>
                  </w:tcBorders>
                  <w:shd w:val="clear" w:color="auto" w:fill="auto"/>
                  <w:noWrap w:val="0"/>
                  <w:vAlign w:val="center"/>
                </w:tcPr>
                <w:p w14:paraId="15637CF7">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1F，钢架结构，面积2700m</w:t>
                  </w:r>
                  <w:r>
                    <w:rPr>
                      <w:rFonts w:hint="eastAsia"/>
                      <w:color w:val="auto"/>
                      <w:vertAlign w:val="superscript"/>
                      <w:lang w:val="en-US" w:eastAsia="zh-CN"/>
                    </w:rPr>
                    <w:t>2</w:t>
                  </w:r>
                  <w:r>
                    <w:rPr>
                      <w:rFonts w:hint="eastAsia"/>
                      <w:color w:val="auto"/>
                      <w:lang w:val="en-US" w:eastAsia="zh-CN"/>
                    </w:rPr>
                    <w:t>，用于成品玻璃储存。</w:t>
                  </w:r>
                </w:p>
              </w:tc>
            </w:tr>
            <w:tr w14:paraId="3E8B8E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tcBorders>
                    <w:tl2br w:val="nil"/>
                    <w:tr2bl w:val="nil"/>
                  </w:tcBorders>
                  <w:noWrap w:val="0"/>
                  <w:vAlign w:val="center"/>
                </w:tcPr>
                <w:p w14:paraId="0EDFF2E2">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依托工程</w:t>
                  </w:r>
                </w:p>
              </w:tc>
              <w:tc>
                <w:tcPr>
                  <w:tcW w:w="736" w:type="pct"/>
                  <w:tcBorders>
                    <w:tl2br w:val="nil"/>
                    <w:tr2bl w:val="nil"/>
                  </w:tcBorders>
                  <w:shd w:val="clear" w:color="auto" w:fill="auto"/>
                  <w:noWrap w:val="0"/>
                  <w:vAlign w:val="center"/>
                </w:tcPr>
                <w:p w14:paraId="44B6E00D">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办公生活区</w:t>
                  </w:r>
                </w:p>
              </w:tc>
              <w:tc>
                <w:tcPr>
                  <w:tcW w:w="3855" w:type="pct"/>
                  <w:gridSpan w:val="2"/>
                  <w:tcBorders>
                    <w:tl2br w:val="nil"/>
                    <w:tr2bl w:val="nil"/>
                  </w:tcBorders>
                  <w:shd w:val="clear" w:color="auto" w:fill="auto"/>
                  <w:noWrap w:val="0"/>
                  <w:vAlign w:val="center"/>
                </w:tcPr>
                <w:p w14:paraId="482EDC18">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依托新疆光耀玻璃科技有限公司现有办公生活区</w:t>
                  </w:r>
                </w:p>
              </w:tc>
            </w:tr>
            <w:tr w14:paraId="5F8995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vMerge w:val="restart"/>
                  <w:tcBorders>
                    <w:tl2br w:val="nil"/>
                    <w:tr2bl w:val="nil"/>
                  </w:tcBorders>
                  <w:noWrap w:val="0"/>
                  <w:vAlign w:val="center"/>
                </w:tcPr>
                <w:p w14:paraId="66671CAF">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公用工程</w:t>
                  </w:r>
                </w:p>
              </w:tc>
              <w:tc>
                <w:tcPr>
                  <w:tcW w:w="736" w:type="pct"/>
                  <w:tcBorders>
                    <w:tl2br w:val="nil"/>
                    <w:tr2bl w:val="nil"/>
                  </w:tcBorders>
                  <w:shd w:val="clear" w:color="auto" w:fill="auto"/>
                  <w:noWrap w:val="0"/>
                  <w:vAlign w:val="center"/>
                </w:tcPr>
                <w:p w14:paraId="1DFA3EB2">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rPr>
                    <w:t>供水</w:t>
                  </w:r>
                </w:p>
              </w:tc>
              <w:tc>
                <w:tcPr>
                  <w:tcW w:w="3855" w:type="pct"/>
                  <w:gridSpan w:val="2"/>
                  <w:tcBorders>
                    <w:tl2br w:val="nil"/>
                    <w:tr2bl w:val="nil"/>
                  </w:tcBorders>
                  <w:shd w:val="clear" w:color="auto" w:fill="auto"/>
                  <w:noWrap w:val="0"/>
                  <w:vAlign w:val="center"/>
                </w:tcPr>
                <w:p w14:paraId="694AB3D9">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园区供水管网</w:t>
                  </w:r>
                </w:p>
              </w:tc>
            </w:tr>
            <w:tr w14:paraId="4FA1A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vMerge w:val="continue"/>
                  <w:tcBorders>
                    <w:tl2br w:val="nil"/>
                    <w:tr2bl w:val="nil"/>
                  </w:tcBorders>
                  <w:noWrap w:val="0"/>
                  <w:vAlign w:val="center"/>
                </w:tcPr>
                <w:p w14:paraId="14ACC1A1">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736" w:type="pct"/>
                  <w:tcBorders>
                    <w:tl2br w:val="nil"/>
                    <w:tr2bl w:val="nil"/>
                  </w:tcBorders>
                  <w:shd w:val="clear" w:color="auto" w:fill="auto"/>
                  <w:noWrap w:val="0"/>
                  <w:vAlign w:val="center"/>
                </w:tcPr>
                <w:p w14:paraId="5E4AF3D1">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排水</w:t>
                  </w:r>
                </w:p>
              </w:tc>
              <w:tc>
                <w:tcPr>
                  <w:tcW w:w="3855" w:type="pct"/>
                  <w:gridSpan w:val="2"/>
                  <w:tcBorders>
                    <w:tl2br w:val="nil"/>
                    <w:tr2bl w:val="nil"/>
                  </w:tcBorders>
                  <w:shd w:val="clear" w:color="auto" w:fill="auto"/>
                  <w:noWrap w:val="0"/>
                  <w:vAlign w:val="center"/>
                </w:tcPr>
                <w:p w14:paraId="08809C0F">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软化浓水和生活污水排入园区管网，</w:t>
                  </w:r>
                  <w:r>
                    <w:rPr>
                      <w:rFonts w:hint="eastAsia"/>
                      <w:color w:val="auto"/>
                      <w:lang w:eastAsia="zh-CN"/>
                    </w:rPr>
                    <w:t>最终进入拉依苏化工区污水处理厂</w:t>
                  </w:r>
                </w:p>
              </w:tc>
            </w:tr>
            <w:tr w14:paraId="1230FD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vMerge w:val="continue"/>
                  <w:tcBorders>
                    <w:tl2br w:val="nil"/>
                    <w:tr2bl w:val="nil"/>
                  </w:tcBorders>
                  <w:noWrap w:val="0"/>
                  <w:vAlign w:val="center"/>
                </w:tcPr>
                <w:p w14:paraId="1289F35A">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736" w:type="pct"/>
                  <w:tcBorders>
                    <w:tl2br w:val="nil"/>
                    <w:tr2bl w:val="nil"/>
                  </w:tcBorders>
                  <w:shd w:val="clear" w:color="auto" w:fill="auto"/>
                  <w:noWrap w:val="0"/>
                  <w:vAlign w:val="center"/>
                </w:tcPr>
                <w:p w14:paraId="67E7E3A1">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rPr>
                    <w:t>供电</w:t>
                  </w:r>
                </w:p>
              </w:tc>
              <w:tc>
                <w:tcPr>
                  <w:tcW w:w="3855" w:type="pct"/>
                  <w:gridSpan w:val="2"/>
                  <w:tcBorders>
                    <w:tl2br w:val="nil"/>
                    <w:tr2bl w:val="nil"/>
                  </w:tcBorders>
                  <w:shd w:val="clear" w:color="auto" w:fill="auto"/>
                  <w:noWrap w:val="0"/>
                  <w:vAlign w:val="center"/>
                </w:tcPr>
                <w:p w14:paraId="6278EF8C">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国家电网</w:t>
                  </w:r>
                </w:p>
              </w:tc>
            </w:tr>
            <w:tr w14:paraId="13B308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vMerge w:val="continue"/>
                  <w:tcBorders>
                    <w:tl2br w:val="nil"/>
                    <w:tr2bl w:val="nil"/>
                  </w:tcBorders>
                  <w:noWrap w:val="0"/>
                  <w:vAlign w:val="center"/>
                </w:tcPr>
                <w:p w14:paraId="6C3B000F">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736" w:type="pct"/>
                  <w:tcBorders>
                    <w:tl2br w:val="nil"/>
                    <w:tr2bl w:val="nil"/>
                  </w:tcBorders>
                  <w:shd w:val="clear" w:color="auto" w:fill="auto"/>
                  <w:noWrap w:val="0"/>
                  <w:vAlign w:val="center"/>
                </w:tcPr>
                <w:p w14:paraId="1B237D49">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供暖</w:t>
                  </w:r>
                </w:p>
              </w:tc>
              <w:tc>
                <w:tcPr>
                  <w:tcW w:w="3855" w:type="pct"/>
                  <w:gridSpan w:val="2"/>
                  <w:tcBorders>
                    <w:tl2br w:val="nil"/>
                    <w:tr2bl w:val="nil"/>
                  </w:tcBorders>
                  <w:shd w:val="clear" w:color="auto" w:fill="auto"/>
                  <w:noWrap w:val="0"/>
                  <w:vAlign w:val="center"/>
                </w:tcPr>
                <w:p w14:paraId="3E4ABB60">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车间内无需供暖</w:t>
                  </w:r>
                </w:p>
              </w:tc>
            </w:tr>
            <w:tr w14:paraId="53CCC7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vMerge w:val="restart"/>
                  <w:tcBorders>
                    <w:tl2br w:val="nil"/>
                    <w:tr2bl w:val="nil"/>
                  </w:tcBorders>
                  <w:noWrap w:val="0"/>
                  <w:vAlign w:val="center"/>
                </w:tcPr>
                <w:p w14:paraId="7CAF4C22">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环保工程</w:t>
                  </w:r>
                </w:p>
              </w:tc>
              <w:tc>
                <w:tcPr>
                  <w:tcW w:w="736" w:type="pct"/>
                  <w:tcBorders>
                    <w:tl2br w:val="nil"/>
                    <w:tr2bl w:val="nil"/>
                  </w:tcBorders>
                  <w:noWrap w:val="0"/>
                  <w:vAlign w:val="center"/>
                </w:tcPr>
                <w:p w14:paraId="5DEF16CF">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废气处理</w:t>
                  </w:r>
                </w:p>
              </w:tc>
              <w:tc>
                <w:tcPr>
                  <w:tcW w:w="3855" w:type="pct"/>
                  <w:gridSpan w:val="2"/>
                  <w:tcBorders>
                    <w:tl2br w:val="nil"/>
                    <w:tr2bl w:val="nil"/>
                  </w:tcBorders>
                  <w:noWrap w:val="0"/>
                  <w:vAlign w:val="center"/>
                </w:tcPr>
                <w:p w14:paraId="1289840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喷砂工序产生的颗粒物经布袋除尘处理后经15m高排气筒排放，未收集粉尘车间内沉降</w:t>
                  </w:r>
                </w:p>
              </w:tc>
            </w:tr>
            <w:tr w14:paraId="398560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408" w:type="pct"/>
                  <w:vMerge w:val="continue"/>
                  <w:tcBorders>
                    <w:tl2br w:val="nil"/>
                    <w:tr2bl w:val="nil"/>
                  </w:tcBorders>
                </w:tcPr>
                <w:p w14:paraId="44477E33">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736" w:type="pct"/>
                  <w:vMerge w:val="restart"/>
                  <w:tcBorders>
                    <w:tl2br w:val="nil"/>
                    <w:tr2bl w:val="nil"/>
                  </w:tcBorders>
                  <w:vAlign w:val="center"/>
                </w:tcPr>
                <w:p w14:paraId="54AE64E7">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废水处理</w:t>
                  </w:r>
                </w:p>
              </w:tc>
              <w:tc>
                <w:tcPr>
                  <w:tcW w:w="3855" w:type="pct"/>
                  <w:gridSpan w:val="2"/>
                  <w:tcBorders>
                    <w:tl2br w:val="nil"/>
                    <w:tr2bl w:val="nil"/>
                  </w:tcBorders>
                  <w:vAlign w:val="center"/>
                </w:tcPr>
                <w:p w14:paraId="3D9482A6">
                  <w:pPr>
                    <w:pStyle w:val="7"/>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玻璃清洗废水经调节池-反应沉淀-气浮-二沉池-石英砂过滤-软化水制备后回用</w:t>
                  </w:r>
                  <w:r>
                    <w:rPr>
                      <w:rFonts w:hint="eastAsia"/>
                      <w:color w:val="auto"/>
                      <w:lang w:eastAsia="zh-CN"/>
                    </w:rPr>
                    <w:t>，</w:t>
                  </w:r>
                  <w:r>
                    <w:rPr>
                      <w:rFonts w:hint="eastAsia"/>
                      <w:color w:val="auto"/>
                      <w:lang w:val="en-US" w:eastAsia="zh-CN"/>
                    </w:rPr>
                    <w:t>处理能力：72m</w:t>
                  </w:r>
                  <w:r>
                    <w:rPr>
                      <w:rFonts w:hint="eastAsia"/>
                      <w:color w:val="auto"/>
                      <w:vertAlign w:val="superscript"/>
                      <w:lang w:val="en-US" w:eastAsia="zh-CN"/>
                    </w:rPr>
                    <w:t>3</w:t>
                  </w:r>
                  <w:r>
                    <w:rPr>
                      <w:rFonts w:hint="eastAsia"/>
                      <w:color w:val="auto"/>
                      <w:lang w:val="en-US" w:eastAsia="zh-CN"/>
                    </w:rPr>
                    <w:t>/d。</w:t>
                  </w:r>
                </w:p>
              </w:tc>
            </w:tr>
            <w:tr w14:paraId="572F1A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408" w:type="pct"/>
                  <w:vMerge w:val="continue"/>
                  <w:tcBorders>
                    <w:tl2br w:val="nil"/>
                    <w:tr2bl w:val="nil"/>
                  </w:tcBorders>
                </w:tcPr>
                <w:p w14:paraId="34776C72">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736" w:type="pct"/>
                  <w:vMerge w:val="continue"/>
                  <w:tcBorders>
                    <w:tl2br w:val="nil"/>
                    <w:tr2bl w:val="nil"/>
                  </w:tcBorders>
                  <w:vAlign w:val="center"/>
                </w:tcPr>
                <w:p w14:paraId="42A79354">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3855" w:type="pct"/>
                  <w:gridSpan w:val="2"/>
                  <w:tcBorders>
                    <w:tl2br w:val="nil"/>
                    <w:tr2bl w:val="nil"/>
                  </w:tcBorders>
                  <w:vAlign w:val="center"/>
                </w:tcPr>
                <w:p w14:paraId="58369C9C">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软化浓水、生活污水进入园区下水管网，最终进入</w:t>
                  </w:r>
                  <w:r>
                    <w:rPr>
                      <w:rFonts w:hint="default"/>
                      <w:color w:val="auto"/>
                      <w:lang w:val="en-US" w:eastAsia="zh-CN"/>
                    </w:rPr>
                    <w:t>河北巴州生态产业园污水处理厂</w:t>
                  </w:r>
                </w:p>
              </w:tc>
            </w:tr>
            <w:tr w14:paraId="2A4F9B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8" w:type="pct"/>
                  <w:vMerge w:val="continue"/>
                  <w:tcBorders>
                    <w:tl2br w:val="nil"/>
                    <w:tr2bl w:val="nil"/>
                  </w:tcBorders>
                </w:tcPr>
                <w:p w14:paraId="61382486">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736" w:type="pct"/>
                  <w:tcBorders>
                    <w:tl2br w:val="nil"/>
                    <w:tr2bl w:val="nil"/>
                  </w:tcBorders>
                  <w:vAlign w:val="center"/>
                </w:tcPr>
                <w:p w14:paraId="06802DDE">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噪声处理</w:t>
                  </w:r>
                </w:p>
              </w:tc>
              <w:tc>
                <w:tcPr>
                  <w:tcW w:w="3855" w:type="pct"/>
                  <w:gridSpan w:val="2"/>
                  <w:tcBorders>
                    <w:tl2br w:val="nil"/>
                    <w:tr2bl w:val="nil"/>
                  </w:tcBorders>
                  <w:vAlign w:val="center"/>
                </w:tcPr>
                <w:p w14:paraId="08889925">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合理布局，噪声设备采取减振、隔声的措施，有效降低噪声排放</w:t>
                  </w:r>
                </w:p>
              </w:tc>
            </w:tr>
            <w:tr w14:paraId="1E0705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408" w:type="pct"/>
                  <w:vMerge w:val="continue"/>
                  <w:tcBorders>
                    <w:tl2br w:val="nil"/>
                    <w:tr2bl w:val="nil"/>
                  </w:tcBorders>
                </w:tcPr>
                <w:p w14:paraId="6D5BEA3D">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736" w:type="pct"/>
                  <w:vMerge w:val="restart"/>
                  <w:tcBorders>
                    <w:tl2br w:val="nil"/>
                    <w:tr2bl w:val="nil"/>
                  </w:tcBorders>
                  <w:vAlign w:val="center"/>
                </w:tcPr>
                <w:p w14:paraId="441EA3C7">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rPr>
                    <w:t>固废处理</w:t>
                  </w:r>
                </w:p>
              </w:tc>
              <w:tc>
                <w:tcPr>
                  <w:tcW w:w="681" w:type="pct"/>
                  <w:tcBorders>
                    <w:tl2br w:val="nil"/>
                    <w:tr2bl w:val="nil"/>
                  </w:tcBorders>
                  <w:shd w:val="clear" w:color="auto" w:fill="auto"/>
                  <w:vAlign w:val="center"/>
                </w:tcPr>
                <w:p w14:paraId="762C4196">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生活垃圾</w:t>
                  </w:r>
                </w:p>
              </w:tc>
              <w:tc>
                <w:tcPr>
                  <w:tcW w:w="3174" w:type="pct"/>
                  <w:tcBorders>
                    <w:tl2br w:val="nil"/>
                    <w:tr2bl w:val="nil"/>
                  </w:tcBorders>
                  <w:shd w:val="clear" w:color="auto" w:fill="auto"/>
                  <w:vAlign w:val="top"/>
                </w:tcPr>
                <w:p w14:paraId="3FB32B77">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生活垃圾集中收集至垃圾桶，委托环卫部门定期清运</w:t>
                  </w:r>
                </w:p>
              </w:tc>
            </w:tr>
            <w:tr w14:paraId="32B0FC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08" w:type="pct"/>
                  <w:vMerge w:val="continue"/>
                  <w:tcBorders>
                    <w:tl2br w:val="nil"/>
                    <w:tr2bl w:val="nil"/>
                  </w:tcBorders>
                </w:tcPr>
                <w:p w14:paraId="2675E770">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736" w:type="pct"/>
                  <w:vMerge w:val="continue"/>
                  <w:tcBorders>
                    <w:tl2br w:val="nil"/>
                    <w:tr2bl w:val="nil"/>
                  </w:tcBorders>
                  <w:vAlign w:val="center"/>
                </w:tcPr>
                <w:p w14:paraId="461729C7">
                  <w:pPr>
                    <w:pStyle w:val="7"/>
                    <w:keepNext w:val="0"/>
                    <w:keepLines w:val="0"/>
                    <w:suppressLineNumbers w:val="0"/>
                    <w:bidi w:val="0"/>
                    <w:spacing w:before="0" w:beforeAutospacing="0" w:after="0" w:afterAutospacing="0"/>
                    <w:ind w:left="0" w:right="0"/>
                    <w:rPr>
                      <w:rFonts w:hint="eastAsia"/>
                      <w:color w:val="auto"/>
                    </w:rPr>
                  </w:pPr>
                </w:p>
              </w:tc>
              <w:tc>
                <w:tcPr>
                  <w:tcW w:w="681" w:type="pct"/>
                  <w:tcBorders>
                    <w:tl2br w:val="nil"/>
                    <w:tr2bl w:val="nil"/>
                  </w:tcBorders>
                  <w:shd w:val="clear" w:color="auto" w:fill="auto"/>
                  <w:vAlign w:val="center"/>
                </w:tcPr>
                <w:p w14:paraId="7F7E2BB4">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一般工业固废</w:t>
                  </w:r>
                </w:p>
              </w:tc>
              <w:tc>
                <w:tcPr>
                  <w:tcW w:w="3174" w:type="pct"/>
                  <w:tcBorders>
                    <w:tl2br w:val="nil"/>
                    <w:tr2bl w:val="nil"/>
                  </w:tcBorders>
                  <w:shd w:val="clear" w:color="auto" w:fill="auto"/>
                  <w:vAlign w:val="top"/>
                </w:tcPr>
                <w:p w14:paraId="09E71D3A">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废玻璃外售，废靶材、喷砂除尘灰厂家回收；沉淀污泥集中收集外售；废RO膜厂家回收，废石英砂外售综合利用。</w:t>
                  </w:r>
                </w:p>
              </w:tc>
            </w:tr>
          </w:tbl>
          <w:p w14:paraId="37B29CF6">
            <w:pPr>
              <w:pStyle w:val="3"/>
              <w:numPr>
                <w:ilvl w:val="0"/>
                <w:numId w:val="2"/>
              </w:numPr>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主要产品产能</w:t>
            </w:r>
          </w:p>
          <w:p w14:paraId="75AD829E">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新建一条</w:t>
            </w:r>
            <w:r>
              <w:rPr>
                <w:rFonts w:hint="eastAsia"/>
                <w:color w:val="auto"/>
                <w:lang w:eastAsia="zh-CN"/>
              </w:rPr>
              <w:t>L</w:t>
            </w:r>
            <w:r>
              <w:rPr>
                <w:rFonts w:hint="eastAsia"/>
                <w:color w:val="auto"/>
                <w:lang w:val="en-US" w:eastAsia="zh-CN"/>
              </w:rPr>
              <w:t>ow</w:t>
            </w:r>
            <w:r>
              <w:rPr>
                <w:rFonts w:hint="eastAsia"/>
                <w:color w:val="auto"/>
                <w:lang w:eastAsia="zh-CN"/>
              </w:rPr>
              <w:t>-E玻璃生产线</w:t>
            </w:r>
            <w:r>
              <w:rPr>
                <w:rFonts w:hint="eastAsia"/>
                <w:color w:val="auto"/>
                <w:lang w:val="en-US" w:eastAsia="zh-CN"/>
              </w:rPr>
              <w:t>，年产300万m</w:t>
            </w:r>
            <w:r>
              <w:rPr>
                <w:rFonts w:hint="eastAsia"/>
                <w:color w:val="auto"/>
                <w:vertAlign w:val="superscript"/>
                <w:lang w:val="en-US" w:eastAsia="zh-CN"/>
              </w:rPr>
              <w:t>2</w:t>
            </w:r>
            <w:r>
              <w:rPr>
                <w:rFonts w:hint="default"/>
                <w:color w:val="auto"/>
                <w:spacing w:val="13"/>
                <w:szCs w:val="28"/>
              </w:rPr>
              <w:t>双银</w:t>
            </w:r>
            <w:r>
              <w:rPr>
                <w:rFonts w:hint="default"/>
                <w:color w:val="auto"/>
                <w:szCs w:val="28"/>
              </w:rPr>
              <w:t>Low</w:t>
            </w:r>
            <w:r>
              <w:rPr>
                <w:rFonts w:hint="default"/>
                <w:color w:val="auto"/>
                <w:spacing w:val="13"/>
                <w:szCs w:val="28"/>
              </w:rPr>
              <w:t>-E镀膜玻璃</w:t>
            </w:r>
            <w:r>
              <w:rPr>
                <w:rFonts w:hint="eastAsia"/>
                <w:color w:val="auto"/>
                <w:lang w:val="en-US" w:eastAsia="zh-CN"/>
              </w:rPr>
              <w:t>，年产500万m</w:t>
            </w:r>
            <w:r>
              <w:rPr>
                <w:rFonts w:hint="eastAsia"/>
                <w:color w:val="auto"/>
                <w:vertAlign w:val="superscript"/>
                <w:lang w:val="en-US" w:eastAsia="zh-CN"/>
              </w:rPr>
              <w:t>2</w:t>
            </w:r>
            <w:r>
              <w:rPr>
                <w:rFonts w:hint="eastAsia"/>
                <w:color w:val="auto"/>
                <w:spacing w:val="13"/>
                <w:szCs w:val="28"/>
                <w:lang w:val="en-US" w:eastAsia="zh-CN"/>
              </w:rPr>
              <w:t>单</w:t>
            </w:r>
            <w:r>
              <w:rPr>
                <w:rFonts w:hint="default"/>
                <w:color w:val="auto"/>
                <w:spacing w:val="13"/>
                <w:szCs w:val="28"/>
              </w:rPr>
              <w:t>银</w:t>
            </w:r>
            <w:r>
              <w:rPr>
                <w:rFonts w:hint="default"/>
                <w:color w:val="auto"/>
                <w:szCs w:val="28"/>
              </w:rPr>
              <w:t>Low</w:t>
            </w:r>
            <w:r>
              <w:rPr>
                <w:rFonts w:hint="default"/>
                <w:color w:val="auto"/>
                <w:spacing w:val="13"/>
                <w:szCs w:val="28"/>
              </w:rPr>
              <w:t>-E镀膜玻璃</w:t>
            </w:r>
            <w:r>
              <w:rPr>
                <w:rFonts w:hint="eastAsia"/>
                <w:color w:val="auto"/>
                <w:lang w:val="en-US" w:eastAsia="zh-CN"/>
              </w:rPr>
              <w:t>。</w:t>
            </w:r>
          </w:p>
          <w:p w14:paraId="1D4A8F1D">
            <w:pPr>
              <w:pStyle w:val="5"/>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表2-2                     主要产品产能表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2945"/>
              <w:gridCol w:w="1087"/>
              <w:gridCol w:w="1607"/>
              <w:gridCol w:w="1593"/>
            </w:tblGrid>
            <w:tr w14:paraId="45A714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1" w:type="pct"/>
                  <w:tcBorders>
                    <w:tl2br w:val="nil"/>
                    <w:tr2bl w:val="nil"/>
                  </w:tcBorders>
                  <w:noWrap w:val="0"/>
                  <w:vAlign w:val="center"/>
                </w:tcPr>
                <w:p w14:paraId="1DFB2BCC">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序号</w:t>
                  </w:r>
                </w:p>
              </w:tc>
              <w:tc>
                <w:tcPr>
                  <w:tcW w:w="1823" w:type="pct"/>
                  <w:tcBorders>
                    <w:tl2br w:val="nil"/>
                    <w:tr2bl w:val="nil"/>
                  </w:tcBorders>
                  <w:noWrap w:val="0"/>
                  <w:vAlign w:val="center"/>
                </w:tcPr>
                <w:p w14:paraId="702D15F1">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产品名称</w:t>
                  </w:r>
                </w:p>
              </w:tc>
              <w:tc>
                <w:tcPr>
                  <w:tcW w:w="673" w:type="pct"/>
                  <w:tcBorders>
                    <w:tl2br w:val="nil"/>
                    <w:tr2bl w:val="nil"/>
                  </w:tcBorders>
                  <w:noWrap w:val="0"/>
                  <w:vAlign w:val="center"/>
                </w:tcPr>
                <w:p w14:paraId="26040861">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单位</w:t>
                  </w:r>
                </w:p>
              </w:tc>
              <w:tc>
                <w:tcPr>
                  <w:tcW w:w="995" w:type="pct"/>
                  <w:tcBorders>
                    <w:tl2br w:val="nil"/>
                    <w:tr2bl w:val="nil"/>
                  </w:tcBorders>
                  <w:noWrap w:val="0"/>
                  <w:vAlign w:val="center"/>
                </w:tcPr>
                <w:p w14:paraId="16B3964C">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年产量</w:t>
                  </w:r>
                </w:p>
              </w:tc>
              <w:tc>
                <w:tcPr>
                  <w:tcW w:w="986" w:type="pct"/>
                  <w:tcBorders>
                    <w:tl2br w:val="nil"/>
                    <w:tr2bl w:val="nil"/>
                  </w:tcBorders>
                  <w:noWrap w:val="0"/>
                  <w:vAlign w:val="center"/>
                </w:tcPr>
                <w:p w14:paraId="39F77D4E">
                  <w:pPr>
                    <w:pStyle w:val="7"/>
                    <w:keepNext w:val="0"/>
                    <w:keepLines w:val="0"/>
                    <w:suppressLineNumbers w:val="0"/>
                    <w:bidi w:val="0"/>
                    <w:spacing w:before="0" w:beforeAutospacing="0" w:after="0" w:afterAutospacing="0"/>
                    <w:ind w:left="0" w:right="0"/>
                    <w:rPr>
                      <w:rFonts w:hint="default"/>
                      <w:color w:val="auto"/>
                    </w:rPr>
                  </w:pPr>
                </w:p>
              </w:tc>
            </w:tr>
            <w:tr w14:paraId="11CAF2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1" w:type="pct"/>
                  <w:tcBorders>
                    <w:tl2br w:val="nil"/>
                    <w:tr2bl w:val="nil"/>
                  </w:tcBorders>
                  <w:noWrap w:val="0"/>
                  <w:vAlign w:val="center"/>
                </w:tcPr>
                <w:p w14:paraId="45F06004">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1</w:t>
                  </w:r>
                </w:p>
              </w:tc>
              <w:tc>
                <w:tcPr>
                  <w:tcW w:w="1823" w:type="pct"/>
                  <w:tcBorders>
                    <w:tl2br w:val="nil"/>
                    <w:tr2bl w:val="nil"/>
                  </w:tcBorders>
                  <w:noWrap w:val="0"/>
                  <w:vAlign w:val="center"/>
                </w:tcPr>
                <w:p w14:paraId="5B17B4F0">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单银Low-E镀膜玻璃</w:t>
                  </w:r>
                </w:p>
              </w:tc>
              <w:tc>
                <w:tcPr>
                  <w:tcW w:w="673" w:type="pct"/>
                  <w:tcBorders>
                    <w:tl2br w:val="nil"/>
                    <w:tr2bl w:val="nil"/>
                  </w:tcBorders>
                  <w:noWrap w:val="0"/>
                  <w:vAlign w:val="center"/>
                </w:tcPr>
                <w:p w14:paraId="3D834AEA">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万m</w:t>
                  </w:r>
                  <w:r>
                    <w:rPr>
                      <w:rFonts w:hint="default"/>
                      <w:color w:val="auto"/>
                      <w:vertAlign w:val="superscript"/>
                    </w:rPr>
                    <w:t>2</w:t>
                  </w:r>
                </w:p>
              </w:tc>
              <w:tc>
                <w:tcPr>
                  <w:tcW w:w="995" w:type="pct"/>
                  <w:tcBorders>
                    <w:tl2br w:val="nil"/>
                    <w:tr2bl w:val="nil"/>
                  </w:tcBorders>
                  <w:noWrap w:val="0"/>
                  <w:vAlign w:val="center"/>
                </w:tcPr>
                <w:p w14:paraId="58B408F8">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5</w:t>
                  </w:r>
                  <w:r>
                    <w:rPr>
                      <w:rFonts w:hint="default"/>
                      <w:color w:val="auto"/>
                    </w:rPr>
                    <w:t>00</w:t>
                  </w:r>
                </w:p>
              </w:tc>
              <w:tc>
                <w:tcPr>
                  <w:tcW w:w="986" w:type="pct"/>
                  <w:vMerge w:val="restart"/>
                  <w:tcBorders>
                    <w:tl2br w:val="nil"/>
                    <w:tr2bl w:val="nil"/>
                  </w:tcBorders>
                  <w:noWrap w:val="0"/>
                  <w:vAlign w:val="center"/>
                </w:tcPr>
                <w:p w14:paraId="13C3F878">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L</w:t>
                  </w:r>
                  <w:r>
                    <w:rPr>
                      <w:rFonts w:hint="eastAsia"/>
                      <w:color w:val="auto"/>
                      <w:lang w:val="en-US" w:eastAsia="zh-CN"/>
                    </w:rPr>
                    <w:t>ow</w:t>
                  </w:r>
                  <w:r>
                    <w:rPr>
                      <w:rFonts w:hint="eastAsia"/>
                      <w:color w:val="auto"/>
                    </w:rPr>
                    <w:t>－E镀膜玻璃</w:t>
                  </w:r>
                  <w:r>
                    <w:rPr>
                      <w:rFonts w:hint="default"/>
                      <w:color w:val="auto"/>
                    </w:rPr>
                    <w:t>生产线</w:t>
                  </w:r>
                  <w:r>
                    <w:rPr>
                      <w:rFonts w:hint="eastAsia"/>
                      <w:color w:val="auto"/>
                    </w:rPr>
                    <w:t>1</w:t>
                  </w:r>
                  <w:r>
                    <w:rPr>
                      <w:rFonts w:hint="eastAsia"/>
                      <w:color w:val="auto"/>
                      <w:lang w:eastAsia="zh-CN"/>
                    </w:rPr>
                    <w:t>条</w:t>
                  </w:r>
                </w:p>
              </w:tc>
            </w:tr>
            <w:tr w14:paraId="06B51D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1" w:type="pct"/>
                  <w:tcBorders>
                    <w:tl2br w:val="nil"/>
                    <w:tr2bl w:val="nil"/>
                  </w:tcBorders>
                  <w:noWrap w:val="0"/>
                  <w:vAlign w:val="center"/>
                </w:tcPr>
                <w:p w14:paraId="1EE0E84B">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2</w:t>
                  </w:r>
                </w:p>
              </w:tc>
              <w:tc>
                <w:tcPr>
                  <w:tcW w:w="1823" w:type="pct"/>
                  <w:tcBorders>
                    <w:tl2br w:val="nil"/>
                    <w:tr2bl w:val="nil"/>
                  </w:tcBorders>
                  <w:noWrap w:val="0"/>
                  <w:vAlign w:val="center"/>
                </w:tcPr>
                <w:p w14:paraId="6CF42F2A">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双银Low-E 镀膜玻璃</w:t>
                  </w:r>
                </w:p>
              </w:tc>
              <w:tc>
                <w:tcPr>
                  <w:tcW w:w="673" w:type="pct"/>
                  <w:tcBorders>
                    <w:tl2br w:val="nil"/>
                    <w:tr2bl w:val="nil"/>
                  </w:tcBorders>
                  <w:noWrap w:val="0"/>
                  <w:vAlign w:val="center"/>
                </w:tcPr>
                <w:p w14:paraId="3F2725C1">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万m</w:t>
                  </w:r>
                  <w:r>
                    <w:rPr>
                      <w:rFonts w:hint="default"/>
                      <w:color w:val="auto"/>
                      <w:vertAlign w:val="superscript"/>
                    </w:rPr>
                    <w:t>2</w:t>
                  </w:r>
                </w:p>
              </w:tc>
              <w:tc>
                <w:tcPr>
                  <w:tcW w:w="995" w:type="pct"/>
                  <w:tcBorders>
                    <w:tl2br w:val="nil"/>
                    <w:tr2bl w:val="nil"/>
                  </w:tcBorders>
                  <w:noWrap w:val="0"/>
                  <w:vAlign w:val="center"/>
                </w:tcPr>
                <w:p w14:paraId="1E3397D6">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3</w:t>
                  </w:r>
                  <w:r>
                    <w:rPr>
                      <w:rFonts w:hint="default"/>
                      <w:color w:val="auto"/>
                    </w:rPr>
                    <w:t>00</w:t>
                  </w:r>
                </w:p>
              </w:tc>
              <w:tc>
                <w:tcPr>
                  <w:tcW w:w="986" w:type="pct"/>
                  <w:vMerge w:val="continue"/>
                  <w:tcBorders>
                    <w:tl2br w:val="nil"/>
                    <w:tr2bl w:val="nil"/>
                  </w:tcBorders>
                  <w:noWrap w:val="0"/>
                  <w:vAlign w:val="center"/>
                </w:tcPr>
                <w:p w14:paraId="6052F1C7">
                  <w:pPr>
                    <w:pStyle w:val="7"/>
                    <w:keepNext w:val="0"/>
                    <w:keepLines w:val="0"/>
                    <w:suppressLineNumbers w:val="0"/>
                    <w:bidi w:val="0"/>
                    <w:spacing w:before="0" w:beforeAutospacing="0" w:after="0" w:afterAutospacing="0"/>
                    <w:ind w:left="0" w:right="0"/>
                    <w:rPr>
                      <w:rFonts w:hint="eastAsia"/>
                      <w:color w:val="auto"/>
                    </w:rPr>
                  </w:pPr>
                </w:p>
              </w:tc>
            </w:tr>
            <w:tr w14:paraId="18E162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1" w:type="pct"/>
                  <w:tcBorders>
                    <w:tl2br w:val="nil"/>
                    <w:tr2bl w:val="nil"/>
                  </w:tcBorders>
                  <w:noWrap w:val="0"/>
                  <w:vAlign w:val="center"/>
                </w:tcPr>
                <w:p w14:paraId="1E2717A9">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3</w:t>
                  </w:r>
                </w:p>
              </w:tc>
              <w:tc>
                <w:tcPr>
                  <w:tcW w:w="1823" w:type="pct"/>
                  <w:tcBorders>
                    <w:tl2br w:val="nil"/>
                    <w:tr2bl w:val="nil"/>
                  </w:tcBorders>
                  <w:noWrap w:val="0"/>
                  <w:vAlign w:val="center"/>
                </w:tcPr>
                <w:p w14:paraId="45C5E0B9">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年工作日</w:t>
                  </w:r>
                </w:p>
              </w:tc>
              <w:tc>
                <w:tcPr>
                  <w:tcW w:w="673" w:type="pct"/>
                  <w:tcBorders>
                    <w:tl2br w:val="nil"/>
                    <w:tr2bl w:val="nil"/>
                  </w:tcBorders>
                  <w:noWrap w:val="0"/>
                  <w:vAlign w:val="center"/>
                </w:tcPr>
                <w:p w14:paraId="24E088E6">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天</w:t>
                  </w:r>
                </w:p>
              </w:tc>
              <w:tc>
                <w:tcPr>
                  <w:tcW w:w="995" w:type="pct"/>
                  <w:tcBorders>
                    <w:tl2br w:val="nil"/>
                    <w:tr2bl w:val="nil"/>
                  </w:tcBorders>
                  <w:noWrap w:val="0"/>
                  <w:vAlign w:val="center"/>
                </w:tcPr>
                <w:p w14:paraId="47EEB0BF">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300</w:t>
                  </w:r>
                </w:p>
              </w:tc>
              <w:tc>
                <w:tcPr>
                  <w:tcW w:w="986" w:type="pct"/>
                  <w:tcBorders>
                    <w:tl2br w:val="nil"/>
                    <w:tr2bl w:val="nil"/>
                  </w:tcBorders>
                  <w:noWrap w:val="0"/>
                  <w:vAlign w:val="center"/>
                </w:tcPr>
                <w:p w14:paraId="5E90112B">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3班制，每班8h</w:t>
                  </w:r>
                </w:p>
              </w:tc>
            </w:tr>
            <w:tr w14:paraId="55425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1" w:type="pct"/>
                  <w:tcBorders>
                    <w:tl2br w:val="nil"/>
                    <w:tr2bl w:val="nil"/>
                  </w:tcBorders>
                  <w:noWrap w:val="0"/>
                  <w:vAlign w:val="center"/>
                </w:tcPr>
                <w:p w14:paraId="11383711">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4</w:t>
                  </w:r>
                </w:p>
              </w:tc>
              <w:tc>
                <w:tcPr>
                  <w:tcW w:w="1823" w:type="pct"/>
                  <w:tcBorders>
                    <w:tl2br w:val="nil"/>
                    <w:tr2bl w:val="nil"/>
                  </w:tcBorders>
                  <w:noWrap w:val="0"/>
                  <w:vAlign w:val="center"/>
                </w:tcPr>
                <w:p w14:paraId="692443FC">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成品率</w:t>
                  </w:r>
                </w:p>
              </w:tc>
              <w:tc>
                <w:tcPr>
                  <w:tcW w:w="673" w:type="pct"/>
                  <w:tcBorders>
                    <w:tl2br w:val="nil"/>
                    <w:tr2bl w:val="nil"/>
                  </w:tcBorders>
                  <w:noWrap w:val="0"/>
                  <w:vAlign w:val="center"/>
                </w:tcPr>
                <w:p w14:paraId="2AC8EE63">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w:t>
                  </w:r>
                </w:p>
              </w:tc>
              <w:tc>
                <w:tcPr>
                  <w:tcW w:w="995" w:type="pct"/>
                  <w:tcBorders>
                    <w:tl2br w:val="nil"/>
                    <w:tr2bl w:val="nil"/>
                  </w:tcBorders>
                  <w:noWrap w:val="0"/>
                  <w:vAlign w:val="center"/>
                </w:tcPr>
                <w:p w14:paraId="3F9D5AA3">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99%</w:t>
                  </w:r>
                </w:p>
              </w:tc>
              <w:tc>
                <w:tcPr>
                  <w:tcW w:w="986" w:type="pct"/>
                  <w:tcBorders>
                    <w:tl2br w:val="nil"/>
                    <w:tr2bl w:val="nil"/>
                  </w:tcBorders>
                  <w:noWrap w:val="0"/>
                  <w:vAlign w:val="center"/>
                </w:tcPr>
                <w:p w14:paraId="0F79F18B">
                  <w:pPr>
                    <w:pStyle w:val="7"/>
                    <w:keepNext w:val="0"/>
                    <w:keepLines w:val="0"/>
                    <w:suppressLineNumbers w:val="0"/>
                    <w:bidi w:val="0"/>
                    <w:spacing w:before="0" w:beforeAutospacing="0" w:after="0" w:afterAutospacing="0"/>
                    <w:ind w:left="0" w:right="0"/>
                    <w:rPr>
                      <w:rFonts w:hint="default"/>
                      <w:color w:val="auto"/>
                    </w:rPr>
                  </w:pPr>
                </w:p>
              </w:tc>
            </w:tr>
            <w:tr w14:paraId="7997A0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1" w:type="pct"/>
                  <w:tcBorders>
                    <w:tl2br w:val="nil"/>
                    <w:tr2bl w:val="nil"/>
                  </w:tcBorders>
                  <w:noWrap w:val="0"/>
                  <w:vAlign w:val="center"/>
                </w:tcPr>
                <w:p w14:paraId="01C8F8F3">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5</w:t>
                  </w:r>
                </w:p>
              </w:tc>
              <w:tc>
                <w:tcPr>
                  <w:tcW w:w="1823" w:type="pct"/>
                  <w:tcBorders>
                    <w:tl2br w:val="nil"/>
                    <w:tr2bl w:val="nil"/>
                  </w:tcBorders>
                  <w:noWrap w:val="0"/>
                  <w:vAlign w:val="center"/>
                </w:tcPr>
                <w:p w14:paraId="28C94D1F">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最大规格</w:t>
                  </w:r>
                </w:p>
              </w:tc>
              <w:tc>
                <w:tcPr>
                  <w:tcW w:w="673" w:type="pct"/>
                  <w:tcBorders>
                    <w:tl2br w:val="nil"/>
                    <w:tr2bl w:val="nil"/>
                  </w:tcBorders>
                  <w:noWrap w:val="0"/>
                  <w:vAlign w:val="center"/>
                </w:tcPr>
                <w:p w14:paraId="29FF85E6">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mm</w:t>
                  </w:r>
                </w:p>
              </w:tc>
              <w:tc>
                <w:tcPr>
                  <w:tcW w:w="995" w:type="pct"/>
                  <w:tcBorders>
                    <w:tl2br w:val="nil"/>
                    <w:tr2bl w:val="nil"/>
                  </w:tcBorders>
                  <w:noWrap w:val="0"/>
                  <w:vAlign w:val="center"/>
                </w:tcPr>
                <w:p w14:paraId="6954552D">
                  <w:pPr>
                    <w:pStyle w:val="7"/>
                    <w:keepNext w:val="0"/>
                    <w:keepLines w:val="0"/>
                    <w:suppressLineNumbers w:val="0"/>
                    <w:bidi w:val="0"/>
                    <w:spacing w:before="0" w:beforeAutospacing="0" w:after="0" w:afterAutospacing="0"/>
                    <w:ind w:left="0" w:right="0"/>
                    <w:rPr>
                      <w:rFonts w:hint="eastAsia"/>
                      <w:color w:val="auto"/>
                    </w:rPr>
                  </w:pPr>
                  <w:r>
                    <w:rPr>
                      <w:rFonts w:hint="default"/>
                      <w:color w:val="auto"/>
                    </w:rPr>
                    <w:t>2</w:t>
                  </w:r>
                  <w:r>
                    <w:rPr>
                      <w:rFonts w:hint="eastAsia"/>
                      <w:color w:val="auto"/>
                    </w:rPr>
                    <w:t>6</w:t>
                  </w:r>
                  <w:r>
                    <w:rPr>
                      <w:rFonts w:hint="default"/>
                      <w:color w:val="auto"/>
                    </w:rPr>
                    <w:t>00*</w:t>
                  </w:r>
                  <w:r>
                    <w:rPr>
                      <w:rFonts w:hint="eastAsia"/>
                      <w:color w:val="auto"/>
                      <w:lang w:val="en-US" w:eastAsia="zh-CN"/>
                    </w:rPr>
                    <w:t>4</w:t>
                  </w:r>
                  <w:r>
                    <w:rPr>
                      <w:rFonts w:hint="eastAsia"/>
                      <w:color w:val="auto"/>
                    </w:rPr>
                    <w:t>200</w:t>
                  </w:r>
                </w:p>
              </w:tc>
              <w:tc>
                <w:tcPr>
                  <w:tcW w:w="986" w:type="pct"/>
                  <w:tcBorders>
                    <w:tl2br w:val="nil"/>
                    <w:tr2bl w:val="nil"/>
                  </w:tcBorders>
                  <w:noWrap w:val="0"/>
                  <w:vAlign w:val="center"/>
                </w:tcPr>
                <w:p w14:paraId="532A1278">
                  <w:pPr>
                    <w:pStyle w:val="7"/>
                    <w:keepNext w:val="0"/>
                    <w:keepLines w:val="0"/>
                    <w:suppressLineNumbers w:val="0"/>
                    <w:bidi w:val="0"/>
                    <w:spacing w:before="0" w:beforeAutospacing="0" w:after="0" w:afterAutospacing="0"/>
                    <w:ind w:left="0" w:right="0"/>
                    <w:rPr>
                      <w:rFonts w:hint="default"/>
                      <w:color w:val="auto"/>
                    </w:rPr>
                  </w:pPr>
                </w:p>
              </w:tc>
            </w:tr>
            <w:tr w14:paraId="708C5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1" w:type="pct"/>
                  <w:tcBorders>
                    <w:tl2br w:val="nil"/>
                    <w:tr2bl w:val="nil"/>
                  </w:tcBorders>
                  <w:noWrap w:val="0"/>
                  <w:vAlign w:val="center"/>
                </w:tcPr>
                <w:p w14:paraId="0AF7FA44">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6</w:t>
                  </w:r>
                </w:p>
              </w:tc>
              <w:tc>
                <w:tcPr>
                  <w:tcW w:w="1823" w:type="pct"/>
                  <w:tcBorders>
                    <w:tl2br w:val="nil"/>
                    <w:tr2bl w:val="nil"/>
                  </w:tcBorders>
                  <w:noWrap w:val="0"/>
                  <w:vAlign w:val="center"/>
                </w:tcPr>
                <w:p w14:paraId="2356797D">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最小规格</w:t>
                  </w:r>
                </w:p>
              </w:tc>
              <w:tc>
                <w:tcPr>
                  <w:tcW w:w="673" w:type="pct"/>
                  <w:tcBorders>
                    <w:tl2br w:val="nil"/>
                    <w:tr2bl w:val="nil"/>
                  </w:tcBorders>
                  <w:noWrap w:val="0"/>
                  <w:vAlign w:val="center"/>
                </w:tcPr>
                <w:p w14:paraId="64AB7DDD">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mm</w:t>
                  </w:r>
                </w:p>
              </w:tc>
              <w:tc>
                <w:tcPr>
                  <w:tcW w:w="995" w:type="pct"/>
                  <w:tcBorders>
                    <w:tl2br w:val="nil"/>
                    <w:tr2bl w:val="nil"/>
                  </w:tcBorders>
                  <w:noWrap w:val="0"/>
                  <w:vAlign w:val="center"/>
                </w:tcPr>
                <w:p w14:paraId="48514E65">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3</w:t>
                  </w:r>
                  <w:r>
                    <w:rPr>
                      <w:rFonts w:hint="default"/>
                      <w:color w:val="auto"/>
                    </w:rPr>
                    <w:t>00*900</w:t>
                  </w:r>
                </w:p>
              </w:tc>
              <w:tc>
                <w:tcPr>
                  <w:tcW w:w="986" w:type="pct"/>
                  <w:tcBorders>
                    <w:tl2br w:val="nil"/>
                    <w:tr2bl w:val="nil"/>
                  </w:tcBorders>
                  <w:noWrap w:val="0"/>
                  <w:vAlign w:val="center"/>
                </w:tcPr>
                <w:p w14:paraId="4E870406">
                  <w:pPr>
                    <w:pStyle w:val="7"/>
                    <w:keepNext w:val="0"/>
                    <w:keepLines w:val="0"/>
                    <w:suppressLineNumbers w:val="0"/>
                    <w:bidi w:val="0"/>
                    <w:spacing w:before="0" w:beforeAutospacing="0" w:after="0" w:afterAutospacing="0"/>
                    <w:ind w:left="0" w:right="0"/>
                    <w:rPr>
                      <w:rFonts w:hint="eastAsia"/>
                      <w:color w:val="auto"/>
                    </w:rPr>
                  </w:pPr>
                </w:p>
              </w:tc>
            </w:tr>
            <w:tr w14:paraId="37D9F2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1" w:type="pct"/>
                  <w:tcBorders>
                    <w:tl2br w:val="nil"/>
                    <w:tr2bl w:val="nil"/>
                  </w:tcBorders>
                  <w:noWrap w:val="0"/>
                  <w:vAlign w:val="center"/>
                </w:tcPr>
                <w:p w14:paraId="17026507">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7</w:t>
                  </w:r>
                </w:p>
              </w:tc>
              <w:tc>
                <w:tcPr>
                  <w:tcW w:w="1823" w:type="pct"/>
                  <w:tcBorders>
                    <w:tl2br w:val="nil"/>
                    <w:tr2bl w:val="nil"/>
                  </w:tcBorders>
                  <w:noWrap w:val="0"/>
                  <w:vAlign w:val="center"/>
                </w:tcPr>
                <w:p w14:paraId="0C84AED0">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产品厚度</w:t>
                  </w:r>
                </w:p>
              </w:tc>
              <w:tc>
                <w:tcPr>
                  <w:tcW w:w="673" w:type="pct"/>
                  <w:tcBorders>
                    <w:tl2br w:val="nil"/>
                    <w:tr2bl w:val="nil"/>
                  </w:tcBorders>
                  <w:noWrap w:val="0"/>
                  <w:vAlign w:val="center"/>
                </w:tcPr>
                <w:p w14:paraId="328A1694">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mm</w:t>
                  </w:r>
                </w:p>
              </w:tc>
              <w:tc>
                <w:tcPr>
                  <w:tcW w:w="995" w:type="pct"/>
                  <w:tcBorders>
                    <w:tl2br w:val="nil"/>
                    <w:tr2bl w:val="nil"/>
                  </w:tcBorders>
                  <w:noWrap w:val="0"/>
                  <w:vAlign w:val="center"/>
                </w:tcPr>
                <w:p w14:paraId="11AC20D2">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3-12</w:t>
                  </w:r>
                </w:p>
              </w:tc>
              <w:tc>
                <w:tcPr>
                  <w:tcW w:w="986" w:type="pct"/>
                  <w:tcBorders>
                    <w:tl2br w:val="nil"/>
                    <w:tr2bl w:val="nil"/>
                  </w:tcBorders>
                  <w:noWrap w:val="0"/>
                  <w:vAlign w:val="center"/>
                </w:tcPr>
                <w:p w14:paraId="3105D307">
                  <w:pPr>
                    <w:pStyle w:val="7"/>
                    <w:keepNext w:val="0"/>
                    <w:keepLines w:val="0"/>
                    <w:suppressLineNumbers w:val="0"/>
                    <w:bidi w:val="0"/>
                    <w:spacing w:before="0" w:beforeAutospacing="0" w:after="0" w:afterAutospacing="0"/>
                    <w:ind w:left="0" w:right="0"/>
                    <w:rPr>
                      <w:rFonts w:hint="default"/>
                      <w:color w:val="auto"/>
                    </w:rPr>
                  </w:pPr>
                </w:p>
              </w:tc>
            </w:tr>
          </w:tbl>
          <w:p w14:paraId="6F475279">
            <w:pPr>
              <w:pStyle w:val="3"/>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3、</w:t>
            </w:r>
            <w:r>
              <w:rPr>
                <w:rFonts w:hint="default"/>
                <w:color w:val="auto"/>
                <w:lang w:val="en-US" w:eastAsia="zh-CN"/>
              </w:rPr>
              <w:t>主要</w:t>
            </w:r>
            <w:r>
              <w:rPr>
                <w:rFonts w:hint="eastAsia"/>
                <w:color w:val="auto"/>
                <w:lang w:val="en-US" w:eastAsia="zh-CN"/>
              </w:rPr>
              <w:t>原辅材料消耗</w:t>
            </w:r>
          </w:p>
          <w:p w14:paraId="7985330E">
            <w:pPr>
              <w:keepNext w:val="0"/>
              <w:keepLines w:val="0"/>
              <w:suppressLineNumbers w:val="0"/>
              <w:bidi w:val="0"/>
              <w:spacing w:before="0" w:beforeAutospacing="0" w:after="0" w:afterAutospacing="0"/>
              <w:ind w:left="0" w:right="0"/>
              <w:rPr>
                <w:rFonts w:hint="default"/>
                <w:color w:val="auto"/>
              </w:rPr>
            </w:pPr>
            <w:r>
              <w:rPr>
                <w:rFonts w:hint="default"/>
                <w:color w:val="auto"/>
              </w:rPr>
              <w:t>本项目具体</w:t>
            </w:r>
            <w:r>
              <w:rPr>
                <w:rFonts w:hint="eastAsia"/>
                <w:color w:val="auto"/>
                <w:lang w:eastAsia="zh-CN"/>
              </w:rPr>
              <w:t>原辅材料</w:t>
            </w:r>
            <w:r>
              <w:rPr>
                <w:rFonts w:hint="eastAsia"/>
                <w:color w:val="auto"/>
                <w:lang w:val="en-US" w:eastAsia="zh-CN"/>
              </w:rPr>
              <w:t>及能源</w:t>
            </w:r>
            <w:r>
              <w:rPr>
                <w:rFonts w:hint="default"/>
                <w:color w:val="auto"/>
              </w:rPr>
              <w:t>消耗情况见表</w:t>
            </w:r>
            <w:r>
              <w:rPr>
                <w:rFonts w:hint="eastAsia"/>
                <w:color w:val="auto"/>
                <w:lang w:val="en-US" w:eastAsia="zh-CN"/>
              </w:rPr>
              <w:t>2-3</w:t>
            </w:r>
            <w:r>
              <w:rPr>
                <w:rFonts w:hint="default"/>
                <w:color w:val="auto"/>
              </w:rPr>
              <w:t>。</w:t>
            </w:r>
          </w:p>
          <w:p w14:paraId="74370007">
            <w:pPr>
              <w:pStyle w:val="5"/>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表</w:t>
            </w:r>
            <w:r>
              <w:rPr>
                <w:rFonts w:hint="eastAsia"/>
                <w:color w:val="auto"/>
                <w:lang w:val="en-US" w:eastAsia="zh-CN"/>
              </w:rPr>
              <w:t xml:space="preserve">2-3                      </w:t>
            </w:r>
            <w:r>
              <w:rPr>
                <w:rFonts w:hint="default"/>
                <w:color w:val="auto"/>
                <w:lang w:val="en-US" w:eastAsia="zh-CN"/>
              </w:rPr>
              <w:t>主要原辅材料</w:t>
            </w:r>
            <w:r>
              <w:rPr>
                <w:rFonts w:hint="eastAsia"/>
                <w:color w:val="auto"/>
                <w:lang w:val="en-US" w:eastAsia="zh-CN"/>
              </w:rPr>
              <w:t>及能源</w:t>
            </w:r>
            <w:r>
              <w:rPr>
                <w:rFonts w:hint="default"/>
                <w:color w:val="auto"/>
                <w:lang w:val="en-US" w:eastAsia="zh-CN"/>
              </w:rPr>
              <w:t>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2105"/>
              <w:gridCol w:w="1989"/>
              <w:gridCol w:w="1609"/>
              <w:gridCol w:w="1609"/>
            </w:tblGrid>
            <w:tr w14:paraId="0713C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tcBorders>
                    <w:tl2br w:val="nil"/>
                    <w:tr2bl w:val="nil"/>
                  </w:tcBorders>
                  <w:noWrap w:val="0"/>
                  <w:vAlign w:val="center"/>
                </w:tcPr>
                <w:p w14:paraId="5F6249F5">
                  <w:pPr>
                    <w:pStyle w:val="7"/>
                    <w:keepNext w:val="0"/>
                    <w:keepLines w:val="0"/>
                    <w:suppressLineNumbers w:val="0"/>
                    <w:bidi w:val="0"/>
                    <w:spacing w:before="0" w:beforeAutospacing="0" w:after="0" w:afterAutospacing="0"/>
                    <w:ind w:left="0" w:right="0"/>
                    <w:rPr>
                      <w:rFonts w:hint="eastAsia" w:eastAsia="宋体"/>
                      <w:color w:val="auto"/>
                      <w:lang w:eastAsia="zh-CN"/>
                    </w:rPr>
                  </w:pPr>
                  <w:r>
                    <w:rPr>
                      <w:rFonts w:hint="eastAsia"/>
                      <w:color w:val="auto"/>
                      <w:lang w:val="en-US" w:eastAsia="zh-CN"/>
                    </w:rPr>
                    <w:t>项目</w:t>
                  </w:r>
                </w:p>
              </w:tc>
              <w:tc>
                <w:tcPr>
                  <w:tcW w:w="1303" w:type="pct"/>
                  <w:tcBorders>
                    <w:tl2br w:val="nil"/>
                    <w:tr2bl w:val="nil"/>
                  </w:tcBorders>
                  <w:noWrap w:val="0"/>
                  <w:vAlign w:val="center"/>
                </w:tcPr>
                <w:p w14:paraId="14A41D0E">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材料名称</w:t>
                  </w:r>
                </w:p>
              </w:tc>
              <w:tc>
                <w:tcPr>
                  <w:tcW w:w="1231" w:type="pct"/>
                  <w:tcBorders>
                    <w:tl2br w:val="nil"/>
                    <w:tr2bl w:val="nil"/>
                  </w:tcBorders>
                  <w:noWrap w:val="0"/>
                  <w:vAlign w:val="center"/>
                </w:tcPr>
                <w:p w14:paraId="66B058F8">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单位</w:t>
                  </w:r>
                </w:p>
              </w:tc>
              <w:tc>
                <w:tcPr>
                  <w:tcW w:w="996" w:type="pct"/>
                  <w:tcBorders>
                    <w:tl2br w:val="nil"/>
                    <w:tr2bl w:val="nil"/>
                  </w:tcBorders>
                  <w:noWrap w:val="0"/>
                  <w:vAlign w:val="center"/>
                </w:tcPr>
                <w:p w14:paraId="714DE2C9">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数量</w:t>
                  </w:r>
                </w:p>
              </w:tc>
              <w:tc>
                <w:tcPr>
                  <w:tcW w:w="996" w:type="pct"/>
                  <w:tcBorders>
                    <w:tl2br w:val="nil"/>
                    <w:tr2bl w:val="nil"/>
                  </w:tcBorders>
                  <w:noWrap w:val="0"/>
                  <w:vAlign w:val="center"/>
                </w:tcPr>
                <w:p w14:paraId="64710777">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来源</w:t>
                  </w:r>
                </w:p>
              </w:tc>
            </w:tr>
            <w:tr w14:paraId="22D109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restart"/>
                  <w:tcBorders>
                    <w:tl2br w:val="nil"/>
                    <w:tr2bl w:val="nil"/>
                  </w:tcBorders>
                  <w:noWrap w:val="0"/>
                  <w:vAlign w:val="center"/>
                </w:tcPr>
                <w:p w14:paraId="1270303F">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原辅材料</w:t>
                  </w:r>
                </w:p>
              </w:tc>
              <w:tc>
                <w:tcPr>
                  <w:tcW w:w="1303" w:type="pct"/>
                  <w:tcBorders>
                    <w:tl2br w:val="nil"/>
                    <w:tr2bl w:val="nil"/>
                  </w:tcBorders>
                  <w:noWrap w:val="0"/>
                  <w:vAlign w:val="center"/>
                </w:tcPr>
                <w:p w14:paraId="0D0ADE33">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平板玻璃</w:t>
                  </w:r>
                </w:p>
              </w:tc>
              <w:tc>
                <w:tcPr>
                  <w:tcW w:w="1231" w:type="pct"/>
                  <w:tcBorders>
                    <w:tl2br w:val="nil"/>
                    <w:tr2bl w:val="nil"/>
                  </w:tcBorders>
                  <w:noWrap w:val="0"/>
                  <w:vAlign w:val="center"/>
                </w:tcPr>
                <w:p w14:paraId="2AFEB4F3">
                  <w:pPr>
                    <w:pStyle w:val="7"/>
                    <w:keepNext w:val="0"/>
                    <w:keepLines w:val="0"/>
                    <w:suppressLineNumbers w:val="0"/>
                    <w:bidi w:val="0"/>
                    <w:spacing w:before="0" w:beforeAutospacing="0" w:after="0" w:afterAutospacing="0"/>
                    <w:ind w:left="0" w:right="0"/>
                    <w:rPr>
                      <w:rFonts w:hint="eastAsia"/>
                      <w:color w:val="auto"/>
                    </w:rPr>
                  </w:pPr>
                  <w:r>
                    <w:rPr>
                      <w:rFonts w:hint="eastAsia"/>
                      <w:color w:val="auto"/>
                      <w:lang w:eastAsia="zh-CN"/>
                    </w:rPr>
                    <w:t>万平方米</w:t>
                  </w:r>
                </w:p>
              </w:tc>
              <w:tc>
                <w:tcPr>
                  <w:tcW w:w="996" w:type="pct"/>
                  <w:tcBorders>
                    <w:tl2br w:val="nil"/>
                    <w:tr2bl w:val="nil"/>
                  </w:tcBorders>
                  <w:noWrap w:val="0"/>
                  <w:vAlign w:val="center"/>
                </w:tcPr>
                <w:p w14:paraId="1E34A05E">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810</w:t>
                  </w:r>
                </w:p>
              </w:tc>
              <w:tc>
                <w:tcPr>
                  <w:tcW w:w="996" w:type="pct"/>
                  <w:tcBorders>
                    <w:tl2br w:val="nil"/>
                    <w:tr2bl w:val="nil"/>
                  </w:tcBorders>
                  <w:noWrap w:val="0"/>
                  <w:vAlign w:val="center"/>
                </w:tcPr>
                <w:p w14:paraId="5DE597B0">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273A2D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79FA43FD">
                  <w:pPr>
                    <w:pStyle w:val="7"/>
                    <w:keepNext w:val="0"/>
                    <w:keepLines w:val="0"/>
                    <w:suppressLineNumbers w:val="0"/>
                    <w:bidi w:val="0"/>
                    <w:spacing w:before="0" w:beforeAutospacing="0" w:after="0" w:afterAutospacing="0"/>
                    <w:ind w:left="0" w:right="0"/>
                    <w:rPr>
                      <w:rFonts w:hint="default"/>
                      <w:color w:val="auto"/>
                    </w:rPr>
                  </w:pPr>
                </w:p>
              </w:tc>
              <w:tc>
                <w:tcPr>
                  <w:tcW w:w="1303" w:type="pct"/>
                  <w:tcBorders>
                    <w:tl2br w:val="nil"/>
                    <w:tr2bl w:val="nil"/>
                  </w:tcBorders>
                  <w:noWrap w:val="0"/>
                  <w:vAlign w:val="center"/>
                </w:tcPr>
                <w:p w14:paraId="6300C811">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银靶</w:t>
                  </w:r>
                </w:p>
              </w:tc>
              <w:tc>
                <w:tcPr>
                  <w:tcW w:w="1231" w:type="pct"/>
                  <w:tcBorders>
                    <w:tl2br w:val="nil"/>
                    <w:tr2bl w:val="nil"/>
                  </w:tcBorders>
                  <w:noWrap w:val="0"/>
                  <w:vAlign w:val="center"/>
                </w:tcPr>
                <w:p w14:paraId="25418309">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t/a</w:t>
                  </w:r>
                </w:p>
              </w:tc>
              <w:tc>
                <w:tcPr>
                  <w:tcW w:w="996" w:type="pct"/>
                  <w:tcBorders>
                    <w:tl2br w:val="nil"/>
                    <w:tr2bl w:val="nil"/>
                  </w:tcBorders>
                  <w:noWrap w:val="0"/>
                  <w:vAlign w:val="center"/>
                </w:tcPr>
                <w:p w14:paraId="45589662">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1</w:t>
                  </w:r>
                </w:p>
              </w:tc>
              <w:tc>
                <w:tcPr>
                  <w:tcW w:w="996" w:type="pct"/>
                  <w:tcBorders>
                    <w:tl2br w:val="nil"/>
                    <w:tr2bl w:val="nil"/>
                  </w:tcBorders>
                  <w:noWrap w:val="0"/>
                  <w:vAlign w:val="center"/>
                </w:tcPr>
                <w:p w14:paraId="612ADDA5">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4792C7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5B94D2EA">
                  <w:pPr>
                    <w:pStyle w:val="7"/>
                    <w:keepNext w:val="0"/>
                    <w:keepLines w:val="0"/>
                    <w:suppressLineNumbers w:val="0"/>
                    <w:bidi w:val="0"/>
                    <w:spacing w:before="0" w:beforeAutospacing="0" w:after="0" w:afterAutospacing="0"/>
                    <w:ind w:left="0" w:right="0"/>
                    <w:rPr>
                      <w:rFonts w:hint="default"/>
                      <w:color w:val="auto"/>
                    </w:rPr>
                  </w:pPr>
                </w:p>
              </w:tc>
              <w:tc>
                <w:tcPr>
                  <w:tcW w:w="1303" w:type="pct"/>
                  <w:tcBorders>
                    <w:tl2br w:val="nil"/>
                    <w:tr2bl w:val="nil"/>
                  </w:tcBorders>
                  <w:noWrap w:val="0"/>
                  <w:vAlign w:val="center"/>
                </w:tcPr>
                <w:p w14:paraId="5D6CE75C">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防霉隔离粉</w:t>
                  </w:r>
                </w:p>
              </w:tc>
              <w:tc>
                <w:tcPr>
                  <w:tcW w:w="1231" w:type="pct"/>
                  <w:tcBorders>
                    <w:tl2br w:val="nil"/>
                    <w:tr2bl w:val="nil"/>
                  </w:tcBorders>
                  <w:noWrap w:val="0"/>
                  <w:vAlign w:val="center"/>
                </w:tcPr>
                <w:p w14:paraId="597961EC">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t/a</w:t>
                  </w:r>
                </w:p>
              </w:tc>
              <w:tc>
                <w:tcPr>
                  <w:tcW w:w="996" w:type="pct"/>
                  <w:tcBorders>
                    <w:tl2br w:val="nil"/>
                    <w:tr2bl w:val="nil"/>
                  </w:tcBorders>
                  <w:noWrap w:val="0"/>
                  <w:vAlign w:val="center"/>
                </w:tcPr>
                <w:p w14:paraId="384710FD">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 xml:space="preserve">3.15 </w:t>
                  </w:r>
                </w:p>
              </w:tc>
              <w:tc>
                <w:tcPr>
                  <w:tcW w:w="996" w:type="pct"/>
                  <w:tcBorders>
                    <w:tl2br w:val="nil"/>
                    <w:tr2bl w:val="nil"/>
                  </w:tcBorders>
                  <w:noWrap w:val="0"/>
                  <w:vAlign w:val="center"/>
                </w:tcPr>
                <w:p w14:paraId="6F353A13">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外购椰壳防霉隔离粉</w:t>
                  </w:r>
                </w:p>
              </w:tc>
            </w:tr>
            <w:tr w14:paraId="7BD70F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00E9F94D">
                  <w:pPr>
                    <w:pStyle w:val="7"/>
                    <w:keepNext w:val="0"/>
                    <w:keepLines w:val="0"/>
                    <w:suppressLineNumbers w:val="0"/>
                    <w:bidi w:val="0"/>
                    <w:spacing w:before="0" w:beforeAutospacing="0" w:after="0" w:afterAutospacing="0"/>
                    <w:ind w:left="0" w:right="0"/>
                    <w:rPr>
                      <w:rFonts w:hint="default"/>
                      <w:color w:val="auto"/>
                    </w:rPr>
                  </w:pPr>
                </w:p>
              </w:tc>
              <w:tc>
                <w:tcPr>
                  <w:tcW w:w="1303" w:type="pct"/>
                  <w:tcBorders>
                    <w:tl2br w:val="nil"/>
                    <w:tr2bl w:val="nil"/>
                  </w:tcBorders>
                  <w:noWrap w:val="0"/>
                  <w:vAlign w:val="center"/>
                </w:tcPr>
                <w:p w14:paraId="4B2D153B">
                  <w:pPr>
                    <w:pStyle w:val="7"/>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PE膜</w:t>
                  </w:r>
                </w:p>
              </w:tc>
              <w:tc>
                <w:tcPr>
                  <w:tcW w:w="1231" w:type="pct"/>
                  <w:tcBorders>
                    <w:tl2br w:val="nil"/>
                    <w:tr2bl w:val="nil"/>
                  </w:tcBorders>
                  <w:noWrap w:val="0"/>
                  <w:vAlign w:val="center"/>
                </w:tcPr>
                <w:p w14:paraId="539A8B56">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卷/年</w:t>
                  </w:r>
                </w:p>
              </w:tc>
              <w:tc>
                <w:tcPr>
                  <w:tcW w:w="996" w:type="pct"/>
                  <w:tcBorders>
                    <w:tl2br w:val="nil"/>
                    <w:tr2bl w:val="nil"/>
                  </w:tcBorders>
                  <w:noWrap w:val="0"/>
                  <w:vAlign w:val="center"/>
                </w:tcPr>
                <w:p w14:paraId="79D70008">
                  <w:pPr>
                    <w:pStyle w:val="7"/>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200</w:t>
                  </w:r>
                </w:p>
              </w:tc>
              <w:tc>
                <w:tcPr>
                  <w:tcW w:w="996" w:type="pct"/>
                  <w:tcBorders>
                    <w:tl2br w:val="nil"/>
                    <w:tr2bl w:val="nil"/>
                  </w:tcBorders>
                  <w:noWrap w:val="0"/>
                  <w:vAlign w:val="center"/>
                </w:tcPr>
                <w:p w14:paraId="7454047F">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0A2010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17BEB1A2">
                  <w:pPr>
                    <w:pStyle w:val="7"/>
                    <w:keepNext w:val="0"/>
                    <w:keepLines w:val="0"/>
                    <w:suppressLineNumbers w:val="0"/>
                    <w:bidi w:val="0"/>
                    <w:spacing w:before="0" w:beforeAutospacing="0" w:after="0" w:afterAutospacing="0"/>
                    <w:ind w:left="0" w:right="0"/>
                    <w:rPr>
                      <w:rFonts w:hint="default"/>
                      <w:color w:val="auto"/>
                    </w:rPr>
                  </w:pPr>
                </w:p>
              </w:tc>
              <w:tc>
                <w:tcPr>
                  <w:tcW w:w="1303" w:type="pct"/>
                  <w:tcBorders>
                    <w:tl2br w:val="nil"/>
                    <w:tr2bl w:val="nil"/>
                  </w:tcBorders>
                  <w:noWrap w:val="0"/>
                  <w:vAlign w:val="center"/>
                </w:tcPr>
                <w:p w14:paraId="5BA4D56A">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氩气</w:t>
                  </w:r>
                </w:p>
              </w:tc>
              <w:tc>
                <w:tcPr>
                  <w:tcW w:w="1231" w:type="pct"/>
                  <w:tcBorders>
                    <w:tl2br w:val="nil"/>
                    <w:tr2bl w:val="nil"/>
                  </w:tcBorders>
                  <w:noWrap w:val="0"/>
                  <w:vAlign w:val="center"/>
                </w:tcPr>
                <w:p w14:paraId="32127EA7">
                  <w:pPr>
                    <w:pStyle w:val="7"/>
                    <w:keepNext w:val="0"/>
                    <w:keepLines w:val="0"/>
                    <w:suppressLineNumbers w:val="0"/>
                    <w:bidi w:val="0"/>
                    <w:spacing w:before="0" w:beforeAutospacing="0" w:after="0" w:afterAutospacing="0"/>
                    <w:ind w:left="0" w:right="0"/>
                    <w:rPr>
                      <w:rFonts w:hint="eastAsia"/>
                      <w:color w:val="auto"/>
                    </w:rPr>
                  </w:pPr>
                  <w:r>
                    <w:rPr>
                      <w:rFonts w:hint="default"/>
                      <w:color w:val="auto"/>
                    </w:rPr>
                    <w:t>m³/a</w:t>
                  </w:r>
                </w:p>
              </w:tc>
              <w:tc>
                <w:tcPr>
                  <w:tcW w:w="996" w:type="pct"/>
                  <w:tcBorders>
                    <w:tl2br w:val="nil"/>
                    <w:tr2bl w:val="nil"/>
                  </w:tcBorders>
                  <w:noWrap w:val="0"/>
                  <w:vAlign w:val="center"/>
                </w:tcPr>
                <w:p w14:paraId="438C0041">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40</w:t>
                  </w:r>
                </w:p>
              </w:tc>
              <w:tc>
                <w:tcPr>
                  <w:tcW w:w="996" w:type="pct"/>
                  <w:tcBorders>
                    <w:tl2br w:val="nil"/>
                    <w:tr2bl w:val="nil"/>
                  </w:tcBorders>
                  <w:noWrap w:val="0"/>
                  <w:vAlign w:val="center"/>
                </w:tcPr>
                <w:p w14:paraId="5FF3D198">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59B674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6E4D0866">
                  <w:pPr>
                    <w:pStyle w:val="7"/>
                    <w:keepNext w:val="0"/>
                    <w:keepLines w:val="0"/>
                    <w:suppressLineNumbers w:val="0"/>
                    <w:bidi w:val="0"/>
                    <w:spacing w:before="0" w:beforeAutospacing="0" w:after="0" w:afterAutospacing="0"/>
                    <w:ind w:left="0" w:right="0"/>
                    <w:rPr>
                      <w:rFonts w:hint="default"/>
                      <w:color w:val="auto"/>
                    </w:rPr>
                  </w:pPr>
                </w:p>
              </w:tc>
              <w:tc>
                <w:tcPr>
                  <w:tcW w:w="1303" w:type="pct"/>
                  <w:tcBorders>
                    <w:tl2br w:val="nil"/>
                    <w:tr2bl w:val="nil"/>
                  </w:tcBorders>
                  <w:noWrap w:val="0"/>
                  <w:vAlign w:val="center"/>
                </w:tcPr>
                <w:p w14:paraId="789A11F6">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氧气</w:t>
                  </w:r>
                </w:p>
              </w:tc>
              <w:tc>
                <w:tcPr>
                  <w:tcW w:w="1231" w:type="pct"/>
                  <w:tcBorders>
                    <w:tl2br w:val="nil"/>
                    <w:tr2bl w:val="nil"/>
                  </w:tcBorders>
                  <w:noWrap w:val="0"/>
                  <w:vAlign w:val="center"/>
                </w:tcPr>
                <w:p w14:paraId="31170B39">
                  <w:pPr>
                    <w:pStyle w:val="7"/>
                    <w:keepNext w:val="0"/>
                    <w:keepLines w:val="0"/>
                    <w:suppressLineNumbers w:val="0"/>
                    <w:bidi w:val="0"/>
                    <w:spacing w:before="0" w:beforeAutospacing="0" w:after="0" w:afterAutospacing="0"/>
                    <w:ind w:left="0" w:right="0"/>
                    <w:rPr>
                      <w:rFonts w:hint="eastAsia"/>
                      <w:color w:val="auto"/>
                    </w:rPr>
                  </w:pPr>
                  <w:r>
                    <w:rPr>
                      <w:rFonts w:hint="default"/>
                      <w:color w:val="auto"/>
                    </w:rPr>
                    <w:t>m³/a</w:t>
                  </w:r>
                </w:p>
              </w:tc>
              <w:tc>
                <w:tcPr>
                  <w:tcW w:w="996" w:type="pct"/>
                  <w:tcBorders>
                    <w:tl2br w:val="nil"/>
                    <w:tr2bl w:val="nil"/>
                  </w:tcBorders>
                  <w:noWrap w:val="0"/>
                  <w:vAlign w:val="center"/>
                </w:tcPr>
                <w:p w14:paraId="13BB58C0">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1</w:t>
                  </w:r>
                </w:p>
              </w:tc>
              <w:tc>
                <w:tcPr>
                  <w:tcW w:w="996" w:type="pct"/>
                  <w:tcBorders>
                    <w:tl2br w:val="nil"/>
                    <w:tr2bl w:val="nil"/>
                  </w:tcBorders>
                  <w:noWrap w:val="0"/>
                  <w:vAlign w:val="center"/>
                </w:tcPr>
                <w:p w14:paraId="13F05535">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1C0ECF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493C8225">
                  <w:pPr>
                    <w:pStyle w:val="7"/>
                    <w:keepNext w:val="0"/>
                    <w:keepLines w:val="0"/>
                    <w:suppressLineNumbers w:val="0"/>
                    <w:bidi w:val="0"/>
                    <w:spacing w:before="0" w:beforeAutospacing="0" w:after="0" w:afterAutospacing="0"/>
                    <w:ind w:left="0" w:right="0"/>
                    <w:rPr>
                      <w:rFonts w:hint="default"/>
                      <w:color w:val="auto"/>
                    </w:rPr>
                  </w:pPr>
                </w:p>
              </w:tc>
              <w:tc>
                <w:tcPr>
                  <w:tcW w:w="1303" w:type="pct"/>
                  <w:tcBorders>
                    <w:tl2br w:val="nil"/>
                    <w:tr2bl w:val="nil"/>
                  </w:tcBorders>
                  <w:noWrap w:val="0"/>
                  <w:vAlign w:val="center"/>
                </w:tcPr>
                <w:p w14:paraId="4F2E212B">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氮气</w:t>
                  </w:r>
                </w:p>
              </w:tc>
              <w:tc>
                <w:tcPr>
                  <w:tcW w:w="1231" w:type="pct"/>
                  <w:tcBorders>
                    <w:tl2br w:val="nil"/>
                    <w:tr2bl w:val="nil"/>
                  </w:tcBorders>
                  <w:noWrap w:val="0"/>
                  <w:vAlign w:val="center"/>
                </w:tcPr>
                <w:p w14:paraId="2765F858">
                  <w:pPr>
                    <w:pStyle w:val="7"/>
                    <w:keepNext w:val="0"/>
                    <w:keepLines w:val="0"/>
                    <w:suppressLineNumbers w:val="0"/>
                    <w:bidi w:val="0"/>
                    <w:spacing w:before="0" w:beforeAutospacing="0" w:after="0" w:afterAutospacing="0"/>
                    <w:ind w:left="0" w:right="0"/>
                    <w:rPr>
                      <w:rFonts w:hint="default"/>
                      <w:color w:val="auto"/>
                    </w:rPr>
                  </w:pPr>
                  <w:r>
                    <w:rPr>
                      <w:rFonts w:hint="default"/>
                      <w:color w:val="auto"/>
                    </w:rPr>
                    <w:t>m³/a</w:t>
                  </w:r>
                </w:p>
              </w:tc>
              <w:tc>
                <w:tcPr>
                  <w:tcW w:w="996" w:type="pct"/>
                  <w:tcBorders>
                    <w:tl2br w:val="nil"/>
                    <w:tr2bl w:val="nil"/>
                  </w:tcBorders>
                  <w:noWrap w:val="0"/>
                  <w:vAlign w:val="center"/>
                </w:tcPr>
                <w:p w14:paraId="62DA3339">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54</w:t>
                  </w:r>
                </w:p>
              </w:tc>
              <w:tc>
                <w:tcPr>
                  <w:tcW w:w="996" w:type="pct"/>
                  <w:tcBorders>
                    <w:tl2br w:val="nil"/>
                    <w:tr2bl w:val="nil"/>
                  </w:tcBorders>
                  <w:noWrap w:val="0"/>
                  <w:vAlign w:val="center"/>
                </w:tcPr>
                <w:p w14:paraId="3F7D7C26">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03DBD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7F0F2AE8">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1303" w:type="pct"/>
                  <w:tcBorders>
                    <w:tl2br w:val="nil"/>
                    <w:tr2bl w:val="nil"/>
                  </w:tcBorders>
                  <w:noWrap w:val="0"/>
                  <w:vAlign w:val="center"/>
                </w:tcPr>
                <w:p w14:paraId="29840A78">
                  <w:pPr>
                    <w:pStyle w:val="7"/>
                    <w:keepNext w:val="0"/>
                    <w:keepLines w:val="0"/>
                    <w:suppressLineNumbers w:val="0"/>
                    <w:bidi w:val="0"/>
                    <w:spacing w:before="0" w:beforeAutospacing="0" w:after="0" w:afterAutospacing="0"/>
                    <w:ind w:left="0" w:right="0"/>
                    <w:rPr>
                      <w:rFonts w:hint="eastAsia"/>
                      <w:color w:val="auto"/>
                    </w:rPr>
                  </w:pPr>
                  <w:r>
                    <w:rPr>
                      <w:rFonts w:hint="eastAsia"/>
                      <w:color w:val="auto"/>
                      <w:lang w:val="en-US" w:eastAsia="zh-CN"/>
                    </w:rPr>
                    <w:t>硅铝靶</w:t>
                  </w:r>
                </w:p>
              </w:tc>
              <w:tc>
                <w:tcPr>
                  <w:tcW w:w="1231" w:type="pct"/>
                  <w:tcBorders>
                    <w:tl2br w:val="nil"/>
                    <w:tr2bl w:val="nil"/>
                  </w:tcBorders>
                  <w:noWrap w:val="0"/>
                  <w:vAlign w:val="center"/>
                </w:tcPr>
                <w:p w14:paraId="7173AF1B">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根</w:t>
                  </w:r>
                </w:p>
              </w:tc>
              <w:tc>
                <w:tcPr>
                  <w:tcW w:w="996" w:type="pct"/>
                  <w:tcBorders>
                    <w:tl2br w:val="nil"/>
                    <w:tr2bl w:val="nil"/>
                  </w:tcBorders>
                  <w:noWrap w:val="0"/>
                  <w:vAlign w:val="center"/>
                </w:tcPr>
                <w:p w14:paraId="036AF42D">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72</w:t>
                  </w:r>
                </w:p>
              </w:tc>
              <w:tc>
                <w:tcPr>
                  <w:tcW w:w="996" w:type="pct"/>
                  <w:tcBorders>
                    <w:tl2br w:val="nil"/>
                    <w:tr2bl w:val="nil"/>
                  </w:tcBorders>
                  <w:noWrap w:val="0"/>
                  <w:vAlign w:val="center"/>
                </w:tcPr>
                <w:p w14:paraId="492DE563">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1536A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4B8C1A7C">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1303" w:type="pct"/>
                  <w:tcBorders>
                    <w:tl2br w:val="nil"/>
                    <w:tr2bl w:val="nil"/>
                  </w:tcBorders>
                  <w:noWrap w:val="0"/>
                  <w:vAlign w:val="center"/>
                </w:tcPr>
                <w:p w14:paraId="3D3D4667">
                  <w:pPr>
                    <w:pStyle w:val="7"/>
                    <w:keepNext w:val="0"/>
                    <w:keepLines w:val="0"/>
                    <w:suppressLineNumbers w:val="0"/>
                    <w:bidi w:val="0"/>
                    <w:spacing w:before="0" w:beforeAutospacing="0" w:after="0" w:afterAutospacing="0"/>
                    <w:ind w:left="0" w:right="0"/>
                    <w:rPr>
                      <w:rFonts w:hint="eastAsia"/>
                      <w:color w:val="auto"/>
                    </w:rPr>
                  </w:pPr>
                  <w:r>
                    <w:rPr>
                      <w:rFonts w:hint="eastAsia"/>
                      <w:color w:val="auto"/>
                      <w:lang w:val="en-US" w:eastAsia="zh-CN"/>
                    </w:rPr>
                    <w:t>锌铝靶</w:t>
                  </w:r>
                </w:p>
              </w:tc>
              <w:tc>
                <w:tcPr>
                  <w:tcW w:w="1231" w:type="pct"/>
                  <w:tcBorders>
                    <w:tl2br w:val="nil"/>
                    <w:tr2bl w:val="nil"/>
                  </w:tcBorders>
                  <w:noWrap w:val="0"/>
                  <w:vAlign w:val="center"/>
                </w:tcPr>
                <w:p w14:paraId="354CF758">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根</w:t>
                  </w:r>
                </w:p>
              </w:tc>
              <w:tc>
                <w:tcPr>
                  <w:tcW w:w="996" w:type="pct"/>
                  <w:tcBorders>
                    <w:tl2br w:val="nil"/>
                    <w:tr2bl w:val="nil"/>
                  </w:tcBorders>
                  <w:noWrap w:val="0"/>
                  <w:vAlign w:val="center"/>
                </w:tcPr>
                <w:p w14:paraId="33837887">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20</w:t>
                  </w:r>
                </w:p>
              </w:tc>
              <w:tc>
                <w:tcPr>
                  <w:tcW w:w="996" w:type="pct"/>
                  <w:tcBorders>
                    <w:tl2br w:val="nil"/>
                    <w:tr2bl w:val="nil"/>
                  </w:tcBorders>
                  <w:noWrap w:val="0"/>
                  <w:vAlign w:val="center"/>
                </w:tcPr>
                <w:p w14:paraId="6FC60793">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6F3710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43929F17">
                  <w:pPr>
                    <w:pStyle w:val="7"/>
                    <w:keepNext w:val="0"/>
                    <w:keepLines w:val="0"/>
                    <w:suppressLineNumbers w:val="0"/>
                    <w:bidi w:val="0"/>
                    <w:spacing w:before="0" w:beforeAutospacing="0" w:after="0" w:afterAutospacing="0"/>
                    <w:ind w:left="0" w:right="0"/>
                    <w:rPr>
                      <w:rFonts w:hint="default"/>
                      <w:color w:val="auto"/>
                      <w:lang w:val="en-US" w:eastAsia="zh-CN"/>
                    </w:rPr>
                  </w:pPr>
                </w:p>
              </w:tc>
              <w:tc>
                <w:tcPr>
                  <w:tcW w:w="1303" w:type="pct"/>
                  <w:tcBorders>
                    <w:tl2br w:val="nil"/>
                    <w:tr2bl w:val="nil"/>
                  </w:tcBorders>
                  <w:noWrap w:val="0"/>
                  <w:vAlign w:val="center"/>
                </w:tcPr>
                <w:p w14:paraId="6AED53FD">
                  <w:pPr>
                    <w:pStyle w:val="7"/>
                    <w:keepNext w:val="0"/>
                    <w:keepLines w:val="0"/>
                    <w:suppressLineNumbers w:val="0"/>
                    <w:bidi w:val="0"/>
                    <w:spacing w:before="0" w:beforeAutospacing="0" w:after="0" w:afterAutospacing="0"/>
                    <w:ind w:left="0" w:right="0"/>
                    <w:rPr>
                      <w:rFonts w:hint="eastAsia"/>
                      <w:color w:val="auto"/>
                    </w:rPr>
                  </w:pPr>
                  <w:r>
                    <w:rPr>
                      <w:rFonts w:hint="eastAsia"/>
                      <w:color w:val="auto"/>
                      <w:lang w:val="en-US" w:eastAsia="zh-CN"/>
                    </w:rPr>
                    <w:t>镍铬靶</w:t>
                  </w:r>
                </w:p>
              </w:tc>
              <w:tc>
                <w:tcPr>
                  <w:tcW w:w="1231" w:type="pct"/>
                  <w:tcBorders>
                    <w:tl2br w:val="nil"/>
                    <w:tr2bl w:val="nil"/>
                  </w:tcBorders>
                  <w:noWrap w:val="0"/>
                  <w:vAlign w:val="center"/>
                </w:tcPr>
                <w:p w14:paraId="2EED204A">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套</w:t>
                  </w:r>
                </w:p>
              </w:tc>
              <w:tc>
                <w:tcPr>
                  <w:tcW w:w="996" w:type="pct"/>
                  <w:tcBorders>
                    <w:tl2br w:val="nil"/>
                    <w:tr2bl w:val="nil"/>
                  </w:tcBorders>
                  <w:noWrap w:val="0"/>
                  <w:vAlign w:val="center"/>
                </w:tcPr>
                <w:p w14:paraId="1D2FF882">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18</w:t>
                  </w:r>
                </w:p>
              </w:tc>
              <w:tc>
                <w:tcPr>
                  <w:tcW w:w="996" w:type="pct"/>
                  <w:tcBorders>
                    <w:tl2br w:val="nil"/>
                    <w:tr2bl w:val="nil"/>
                  </w:tcBorders>
                  <w:noWrap w:val="0"/>
                  <w:vAlign w:val="center"/>
                </w:tcPr>
                <w:p w14:paraId="40A72D66">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60DAC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29B7593D">
                  <w:pPr>
                    <w:pStyle w:val="7"/>
                    <w:keepNext w:val="0"/>
                    <w:keepLines w:val="0"/>
                    <w:suppressLineNumbers w:val="0"/>
                    <w:bidi w:val="0"/>
                    <w:spacing w:before="0" w:beforeAutospacing="0" w:after="0" w:afterAutospacing="0"/>
                    <w:ind w:left="0" w:right="0"/>
                    <w:rPr>
                      <w:rFonts w:hint="default"/>
                      <w:color w:val="auto"/>
                      <w:lang w:val="en-US" w:eastAsia="zh-CN"/>
                    </w:rPr>
                  </w:pPr>
                </w:p>
              </w:tc>
              <w:tc>
                <w:tcPr>
                  <w:tcW w:w="1303" w:type="pct"/>
                  <w:tcBorders>
                    <w:tl2br w:val="nil"/>
                    <w:tr2bl w:val="nil"/>
                  </w:tcBorders>
                  <w:noWrap w:val="0"/>
                  <w:vAlign w:val="center"/>
                </w:tcPr>
                <w:p w14:paraId="134C8F09">
                  <w:pPr>
                    <w:pStyle w:val="7"/>
                    <w:keepNext w:val="0"/>
                    <w:keepLines w:val="0"/>
                    <w:suppressLineNumbers w:val="0"/>
                    <w:bidi w:val="0"/>
                    <w:spacing w:before="0" w:beforeAutospacing="0" w:after="0" w:afterAutospacing="0"/>
                    <w:ind w:left="0" w:right="0"/>
                    <w:rPr>
                      <w:rFonts w:hint="eastAsia"/>
                      <w:color w:val="auto"/>
                    </w:rPr>
                  </w:pPr>
                  <w:r>
                    <w:rPr>
                      <w:rFonts w:hint="default"/>
                      <w:color w:val="auto"/>
                      <w:lang w:val="en-US" w:eastAsia="zh-CN"/>
                    </w:rPr>
                    <w:t>AZO</w:t>
                  </w:r>
                </w:p>
              </w:tc>
              <w:tc>
                <w:tcPr>
                  <w:tcW w:w="1231" w:type="pct"/>
                  <w:tcBorders>
                    <w:tl2br w:val="nil"/>
                    <w:tr2bl w:val="nil"/>
                  </w:tcBorders>
                  <w:noWrap w:val="0"/>
                  <w:vAlign w:val="center"/>
                </w:tcPr>
                <w:p w14:paraId="6E5E9D6C">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根</w:t>
                  </w:r>
                </w:p>
              </w:tc>
              <w:tc>
                <w:tcPr>
                  <w:tcW w:w="996" w:type="pct"/>
                  <w:tcBorders>
                    <w:tl2br w:val="nil"/>
                    <w:tr2bl w:val="nil"/>
                  </w:tcBorders>
                  <w:noWrap w:val="0"/>
                  <w:vAlign w:val="center"/>
                </w:tcPr>
                <w:p w14:paraId="5CF4A4E1">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10</w:t>
                  </w:r>
                </w:p>
              </w:tc>
              <w:tc>
                <w:tcPr>
                  <w:tcW w:w="996" w:type="pct"/>
                  <w:tcBorders>
                    <w:tl2br w:val="nil"/>
                    <w:tr2bl w:val="nil"/>
                  </w:tcBorders>
                  <w:noWrap w:val="0"/>
                  <w:vAlign w:val="center"/>
                </w:tcPr>
                <w:p w14:paraId="4CDC3FFD">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7314B4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1" w:type="pct"/>
                  <w:vMerge w:val="continue"/>
                  <w:tcBorders>
                    <w:tl2br w:val="nil"/>
                    <w:tr2bl w:val="nil"/>
                  </w:tcBorders>
                  <w:noWrap w:val="0"/>
                  <w:vAlign w:val="center"/>
                </w:tcPr>
                <w:p w14:paraId="4608E7D1">
                  <w:pPr>
                    <w:pStyle w:val="7"/>
                    <w:keepNext w:val="0"/>
                    <w:keepLines w:val="0"/>
                    <w:suppressLineNumbers w:val="0"/>
                    <w:bidi w:val="0"/>
                    <w:spacing w:before="0" w:beforeAutospacing="0" w:after="0" w:afterAutospacing="0"/>
                    <w:ind w:left="0" w:right="0"/>
                    <w:rPr>
                      <w:rFonts w:hint="default"/>
                      <w:color w:val="auto"/>
                      <w:lang w:val="en-US" w:eastAsia="zh-CN"/>
                    </w:rPr>
                  </w:pPr>
                </w:p>
              </w:tc>
              <w:tc>
                <w:tcPr>
                  <w:tcW w:w="1303" w:type="pct"/>
                  <w:tcBorders>
                    <w:tl2br w:val="nil"/>
                    <w:tr2bl w:val="nil"/>
                  </w:tcBorders>
                  <w:noWrap w:val="0"/>
                  <w:vAlign w:val="center"/>
                </w:tcPr>
                <w:p w14:paraId="71FF32C0">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TZO</w:t>
                  </w:r>
                </w:p>
              </w:tc>
              <w:tc>
                <w:tcPr>
                  <w:tcW w:w="1231" w:type="pct"/>
                  <w:tcBorders>
                    <w:tl2br w:val="nil"/>
                    <w:tr2bl w:val="nil"/>
                  </w:tcBorders>
                  <w:noWrap w:val="0"/>
                  <w:vAlign w:val="center"/>
                </w:tcPr>
                <w:p w14:paraId="7F9ACFA0">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根</w:t>
                  </w:r>
                </w:p>
              </w:tc>
              <w:tc>
                <w:tcPr>
                  <w:tcW w:w="996" w:type="pct"/>
                  <w:tcBorders>
                    <w:tl2br w:val="nil"/>
                    <w:tr2bl w:val="nil"/>
                  </w:tcBorders>
                  <w:noWrap w:val="0"/>
                  <w:vAlign w:val="center"/>
                </w:tcPr>
                <w:p w14:paraId="37C44EE6">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10</w:t>
                  </w:r>
                </w:p>
              </w:tc>
              <w:tc>
                <w:tcPr>
                  <w:tcW w:w="996" w:type="pct"/>
                  <w:tcBorders>
                    <w:tl2br w:val="nil"/>
                    <w:tr2bl w:val="nil"/>
                  </w:tcBorders>
                  <w:noWrap w:val="0"/>
                  <w:vAlign w:val="center"/>
                </w:tcPr>
                <w:p w14:paraId="75EF251B">
                  <w:pPr>
                    <w:pStyle w:val="7"/>
                    <w:keepNext w:val="0"/>
                    <w:keepLines w:val="0"/>
                    <w:suppressLineNumbers w:val="0"/>
                    <w:bidi w:val="0"/>
                    <w:spacing w:before="0" w:beforeAutospacing="0" w:after="0" w:afterAutospacing="0"/>
                    <w:ind w:left="0" w:right="0"/>
                    <w:rPr>
                      <w:rFonts w:hint="eastAsia"/>
                      <w:color w:val="auto"/>
                    </w:rPr>
                  </w:pPr>
                  <w:r>
                    <w:rPr>
                      <w:rFonts w:hint="eastAsia"/>
                      <w:color w:val="auto"/>
                    </w:rPr>
                    <w:t>外购</w:t>
                  </w:r>
                </w:p>
              </w:tc>
            </w:tr>
            <w:tr w14:paraId="402C8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restart"/>
                  <w:tcBorders>
                    <w:tl2br w:val="nil"/>
                    <w:tr2bl w:val="nil"/>
                  </w:tcBorders>
                  <w:noWrap w:val="0"/>
                  <w:vAlign w:val="center"/>
                </w:tcPr>
                <w:p w14:paraId="5D8E3066">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污水处理药剂</w:t>
                  </w:r>
                </w:p>
              </w:tc>
              <w:tc>
                <w:tcPr>
                  <w:tcW w:w="1303" w:type="pct"/>
                  <w:tcBorders>
                    <w:tl2br w:val="nil"/>
                    <w:tr2bl w:val="nil"/>
                  </w:tcBorders>
                  <w:noWrap w:val="0"/>
                  <w:vAlign w:val="center"/>
                </w:tcPr>
                <w:p w14:paraId="38AF7874">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PAC（聚合氯化铝）</w:t>
                  </w:r>
                </w:p>
              </w:tc>
              <w:tc>
                <w:tcPr>
                  <w:tcW w:w="1231" w:type="pct"/>
                  <w:tcBorders>
                    <w:tl2br w:val="nil"/>
                    <w:tr2bl w:val="nil"/>
                  </w:tcBorders>
                  <w:noWrap w:val="0"/>
                  <w:vAlign w:val="center"/>
                </w:tcPr>
                <w:p w14:paraId="1011B48D">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t/a</w:t>
                  </w:r>
                </w:p>
              </w:tc>
              <w:tc>
                <w:tcPr>
                  <w:tcW w:w="996" w:type="pct"/>
                  <w:tcBorders>
                    <w:tl2br w:val="nil"/>
                    <w:tr2bl w:val="nil"/>
                  </w:tcBorders>
                  <w:noWrap w:val="0"/>
                  <w:vAlign w:val="center"/>
                </w:tcPr>
                <w:p w14:paraId="4C833B21">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2</w:t>
                  </w:r>
                </w:p>
              </w:tc>
              <w:tc>
                <w:tcPr>
                  <w:tcW w:w="996" w:type="pct"/>
                  <w:tcBorders>
                    <w:tl2br w:val="nil"/>
                    <w:tr2bl w:val="nil"/>
                  </w:tcBorders>
                  <w:shd w:val="clear" w:color="auto" w:fill="auto"/>
                  <w:noWrap w:val="0"/>
                  <w:vAlign w:val="center"/>
                </w:tcPr>
                <w:p w14:paraId="788E3F0E">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eastAsia"/>
                      <w:color w:val="auto"/>
                    </w:rPr>
                    <w:t>外购</w:t>
                  </w:r>
                </w:p>
              </w:tc>
            </w:tr>
            <w:tr w14:paraId="14F3E9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71" w:type="pct"/>
                  <w:vMerge w:val="continue"/>
                  <w:tcBorders>
                    <w:tl2br w:val="nil"/>
                    <w:tr2bl w:val="nil"/>
                  </w:tcBorders>
                  <w:noWrap w:val="0"/>
                  <w:vAlign w:val="center"/>
                </w:tcPr>
                <w:p w14:paraId="33418284">
                  <w:pPr>
                    <w:pStyle w:val="7"/>
                    <w:keepNext w:val="0"/>
                    <w:keepLines w:val="0"/>
                    <w:suppressLineNumbers w:val="0"/>
                    <w:bidi w:val="0"/>
                    <w:spacing w:before="0" w:beforeAutospacing="0" w:after="0" w:afterAutospacing="0"/>
                    <w:ind w:left="0" w:right="0"/>
                    <w:rPr>
                      <w:rFonts w:hint="default"/>
                      <w:color w:val="auto"/>
                      <w:lang w:val="en-US" w:eastAsia="zh-CN"/>
                    </w:rPr>
                  </w:pPr>
                </w:p>
              </w:tc>
              <w:tc>
                <w:tcPr>
                  <w:tcW w:w="1303" w:type="pct"/>
                  <w:tcBorders>
                    <w:tl2br w:val="nil"/>
                    <w:tr2bl w:val="nil"/>
                  </w:tcBorders>
                  <w:noWrap w:val="0"/>
                  <w:vAlign w:val="center"/>
                </w:tcPr>
                <w:p w14:paraId="33EE538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PAM（阴离子聚丙烯酰胺）</w:t>
                  </w:r>
                </w:p>
              </w:tc>
              <w:tc>
                <w:tcPr>
                  <w:tcW w:w="1231" w:type="pct"/>
                  <w:tcBorders>
                    <w:tl2br w:val="nil"/>
                    <w:tr2bl w:val="nil"/>
                  </w:tcBorders>
                  <w:noWrap w:val="0"/>
                  <w:vAlign w:val="center"/>
                </w:tcPr>
                <w:p w14:paraId="54CCC893">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t/a</w:t>
                  </w:r>
                </w:p>
              </w:tc>
              <w:tc>
                <w:tcPr>
                  <w:tcW w:w="996" w:type="pct"/>
                  <w:tcBorders>
                    <w:tl2br w:val="nil"/>
                    <w:tr2bl w:val="nil"/>
                  </w:tcBorders>
                  <w:noWrap w:val="0"/>
                  <w:vAlign w:val="center"/>
                </w:tcPr>
                <w:p w14:paraId="7B9B7669">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0.5</w:t>
                  </w:r>
                </w:p>
              </w:tc>
              <w:tc>
                <w:tcPr>
                  <w:tcW w:w="996" w:type="pct"/>
                  <w:tcBorders>
                    <w:tl2br w:val="nil"/>
                    <w:tr2bl w:val="nil"/>
                  </w:tcBorders>
                  <w:shd w:val="clear" w:color="auto" w:fill="auto"/>
                  <w:noWrap w:val="0"/>
                  <w:vAlign w:val="center"/>
                </w:tcPr>
                <w:p w14:paraId="5BD26902">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eastAsia"/>
                      <w:color w:val="auto"/>
                    </w:rPr>
                    <w:t>外购</w:t>
                  </w:r>
                </w:p>
              </w:tc>
            </w:tr>
            <w:tr w14:paraId="026A8D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restart"/>
                  <w:tcBorders>
                    <w:tl2br w:val="nil"/>
                    <w:tr2bl w:val="nil"/>
                  </w:tcBorders>
                  <w:noWrap w:val="0"/>
                  <w:vAlign w:val="center"/>
                </w:tcPr>
                <w:p w14:paraId="665C1084">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能源消耗</w:t>
                  </w:r>
                </w:p>
              </w:tc>
              <w:tc>
                <w:tcPr>
                  <w:tcW w:w="1303" w:type="pct"/>
                  <w:tcBorders>
                    <w:tl2br w:val="nil"/>
                    <w:tr2bl w:val="nil"/>
                  </w:tcBorders>
                  <w:shd w:val="clear" w:color="auto" w:fill="auto"/>
                  <w:noWrap w:val="0"/>
                  <w:vAlign w:val="center"/>
                </w:tcPr>
                <w:p w14:paraId="63E0CF73">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电</w:t>
                  </w:r>
                </w:p>
              </w:tc>
              <w:tc>
                <w:tcPr>
                  <w:tcW w:w="1231" w:type="pct"/>
                  <w:tcBorders>
                    <w:tl2br w:val="nil"/>
                    <w:tr2bl w:val="nil"/>
                  </w:tcBorders>
                  <w:shd w:val="clear" w:color="auto" w:fill="auto"/>
                  <w:noWrap w:val="0"/>
                  <w:vAlign w:val="center"/>
                </w:tcPr>
                <w:p w14:paraId="378A3A4C">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万kW·h</w:t>
                  </w:r>
                </w:p>
              </w:tc>
              <w:tc>
                <w:tcPr>
                  <w:tcW w:w="996" w:type="pct"/>
                  <w:tcBorders>
                    <w:tl2br w:val="nil"/>
                    <w:tr2bl w:val="nil"/>
                  </w:tcBorders>
                  <w:shd w:val="clear" w:color="auto" w:fill="auto"/>
                  <w:noWrap w:val="0"/>
                  <w:vAlign w:val="center"/>
                </w:tcPr>
                <w:p w14:paraId="45343096">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1350</w:t>
                  </w:r>
                </w:p>
              </w:tc>
              <w:tc>
                <w:tcPr>
                  <w:tcW w:w="996" w:type="pct"/>
                  <w:tcBorders>
                    <w:tl2br w:val="nil"/>
                    <w:tr2bl w:val="nil"/>
                  </w:tcBorders>
                  <w:shd w:val="clear" w:color="auto" w:fill="auto"/>
                  <w:noWrap w:val="0"/>
                  <w:vAlign w:val="center"/>
                </w:tcPr>
                <w:p w14:paraId="557325F1">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国家电网</w:t>
                  </w:r>
                </w:p>
              </w:tc>
            </w:tr>
            <w:tr w14:paraId="2E4D62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1" w:type="pct"/>
                  <w:vMerge w:val="continue"/>
                  <w:tcBorders>
                    <w:tl2br w:val="nil"/>
                    <w:tr2bl w:val="nil"/>
                  </w:tcBorders>
                  <w:noWrap w:val="0"/>
                  <w:vAlign w:val="center"/>
                </w:tcPr>
                <w:p w14:paraId="129A671F">
                  <w:pPr>
                    <w:pStyle w:val="7"/>
                    <w:keepNext w:val="0"/>
                    <w:keepLines w:val="0"/>
                    <w:suppressLineNumbers w:val="0"/>
                    <w:bidi w:val="0"/>
                    <w:spacing w:before="0" w:beforeAutospacing="0" w:after="0" w:afterAutospacing="0"/>
                    <w:ind w:left="0" w:right="0"/>
                    <w:rPr>
                      <w:rFonts w:hint="eastAsia"/>
                      <w:color w:val="auto"/>
                      <w:lang w:val="en-US" w:eastAsia="zh-CN"/>
                    </w:rPr>
                  </w:pPr>
                </w:p>
              </w:tc>
              <w:tc>
                <w:tcPr>
                  <w:tcW w:w="1303" w:type="pct"/>
                  <w:tcBorders>
                    <w:tl2br w:val="nil"/>
                    <w:tr2bl w:val="nil"/>
                  </w:tcBorders>
                  <w:shd w:val="clear" w:color="auto" w:fill="auto"/>
                  <w:noWrap w:val="0"/>
                  <w:vAlign w:val="center"/>
                </w:tcPr>
                <w:p w14:paraId="4812B656">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新鲜水</w:t>
                  </w:r>
                </w:p>
              </w:tc>
              <w:tc>
                <w:tcPr>
                  <w:tcW w:w="1231" w:type="pct"/>
                  <w:tcBorders>
                    <w:tl2br w:val="nil"/>
                    <w:tr2bl w:val="nil"/>
                  </w:tcBorders>
                  <w:shd w:val="clear" w:color="auto" w:fill="auto"/>
                  <w:noWrap w:val="0"/>
                  <w:vAlign w:val="center"/>
                </w:tcPr>
                <w:p w14:paraId="6B2A7BC3">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m³</w:t>
                  </w:r>
                </w:p>
              </w:tc>
              <w:tc>
                <w:tcPr>
                  <w:tcW w:w="996" w:type="pct"/>
                  <w:tcBorders>
                    <w:tl2br w:val="nil"/>
                    <w:tr2bl w:val="nil"/>
                  </w:tcBorders>
                  <w:shd w:val="clear" w:color="auto" w:fill="auto"/>
                  <w:noWrap w:val="0"/>
                  <w:vAlign w:val="center"/>
                </w:tcPr>
                <w:p w14:paraId="7FD5920C">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cs="Times New Roman"/>
                      <w:color w:val="auto"/>
                      <w:lang w:val="en-US" w:eastAsia="zh-CN"/>
                    </w:rPr>
                    <w:t>6441</w:t>
                  </w:r>
                </w:p>
              </w:tc>
              <w:tc>
                <w:tcPr>
                  <w:tcW w:w="996" w:type="pct"/>
                  <w:tcBorders>
                    <w:tl2br w:val="nil"/>
                    <w:tr2bl w:val="nil"/>
                  </w:tcBorders>
                  <w:shd w:val="clear" w:color="auto" w:fill="auto"/>
                  <w:noWrap w:val="0"/>
                  <w:vAlign w:val="center"/>
                </w:tcPr>
                <w:p w14:paraId="282A0EEF">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园区供水管网</w:t>
                  </w:r>
                </w:p>
              </w:tc>
            </w:tr>
          </w:tbl>
          <w:p w14:paraId="4B4921BB">
            <w:pPr>
              <w:pStyle w:val="8"/>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表2-4                           理化性质表</w:t>
            </w:r>
          </w:p>
          <w:tbl>
            <w:tblPr>
              <w:tblStyle w:val="31"/>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6874"/>
            </w:tblGrid>
            <w:tr w14:paraId="6547D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dxa"/>
                  <w:tcBorders>
                    <w:tl2br w:val="nil"/>
                    <w:tr2bl w:val="nil"/>
                  </w:tcBorders>
                  <w:vAlign w:val="center"/>
                </w:tcPr>
                <w:p w14:paraId="526EA17C">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default"/>
                      <w:color w:val="auto"/>
                      <w:lang w:val="en-US" w:eastAsia="zh-CN"/>
                    </w:rPr>
                    <w:t>防霉隔离粉</w:t>
                  </w:r>
                </w:p>
              </w:tc>
              <w:tc>
                <w:tcPr>
                  <w:tcW w:w="6874" w:type="dxa"/>
                  <w:tcBorders>
                    <w:tl2br w:val="nil"/>
                    <w:tr2bl w:val="nil"/>
                  </w:tcBorders>
                  <w:vAlign w:val="center"/>
                </w:tcPr>
                <w:p w14:paraId="76F17798">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default"/>
                      <w:color w:val="auto"/>
                      <w:lang w:val="en-US" w:eastAsia="zh-CN"/>
                    </w:rPr>
                    <w:t>中文名为玻璃椰壳防霉隔离粉，椰壳防霉隔离粉是一种优质的玻璃防霉隔离材料，基于其具备优秀的环保、防霉及隔离性能，主要成分</w:t>
                  </w:r>
                  <w:r>
                    <w:rPr>
                      <w:rFonts w:hint="eastAsia"/>
                      <w:color w:val="auto"/>
                      <w:lang w:val="en-US" w:eastAsia="zh-CN"/>
                    </w:rPr>
                    <w:t>：</w:t>
                  </w:r>
                  <w:r>
                    <w:rPr>
                      <w:rFonts w:hint="default"/>
                      <w:color w:val="auto"/>
                      <w:lang w:val="en-US" w:eastAsia="zh-CN"/>
                    </w:rPr>
                    <w:t>椰壳原材料、少量其他植物材料、各种添加剂等，状态为天然植物产物，棕红色不规则粉末</w:t>
                  </w:r>
                  <w:r>
                    <w:rPr>
                      <w:rFonts w:hint="eastAsia"/>
                      <w:color w:val="auto"/>
                      <w:lang w:val="en-US" w:eastAsia="zh-CN"/>
                    </w:rPr>
                    <w:t>（</w:t>
                  </w:r>
                  <w:r>
                    <w:rPr>
                      <w:rFonts w:hint="default"/>
                      <w:color w:val="auto"/>
                      <w:lang w:val="en-US" w:eastAsia="zh-CN"/>
                    </w:rPr>
                    <w:t>颗粒</w:t>
                  </w:r>
                  <w:r>
                    <w:rPr>
                      <w:rFonts w:hint="eastAsia"/>
                      <w:color w:val="auto"/>
                      <w:lang w:val="en-US" w:eastAsia="zh-CN"/>
                    </w:rPr>
                    <w:t>）</w:t>
                  </w:r>
                  <w:r>
                    <w:rPr>
                      <w:rFonts w:hint="default"/>
                      <w:color w:val="auto"/>
                      <w:lang w:val="en-US" w:eastAsia="zh-CN"/>
                    </w:rPr>
                    <w:t>固体，采用优质椰壳等为原料，经粉碎、混合、挤压、干燥、改性等等而成，具有先进性，解决了国内建筑材料如玻璃发霉问题的困扰，环保性好，符合欧美等</w:t>
                  </w:r>
                  <w:r>
                    <w:rPr>
                      <w:rFonts w:hint="eastAsia"/>
                      <w:color w:val="auto"/>
                      <w:lang w:val="en-US" w:eastAsia="zh-CN"/>
                    </w:rPr>
                    <w:t>国家</w:t>
                  </w:r>
                  <w:r>
                    <w:rPr>
                      <w:rFonts w:hint="default"/>
                      <w:color w:val="auto"/>
                      <w:lang w:val="en-US" w:eastAsia="zh-CN"/>
                    </w:rPr>
                    <w:t>对环保要求的标准，随着国内高端玻璃发展的需求，椰壳材料正以其优异的性能逐渐替换掉落后不环保的传统化工防霉隔离材料。</w:t>
                  </w:r>
                </w:p>
              </w:tc>
            </w:tr>
            <w:tr w14:paraId="064EF4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dxa"/>
                  <w:tcBorders>
                    <w:tl2br w:val="nil"/>
                    <w:tr2bl w:val="nil"/>
                  </w:tcBorders>
                  <w:vAlign w:val="center"/>
                </w:tcPr>
                <w:p w14:paraId="1C9B1997">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rPr>
                    <w:t>银靶</w:t>
                  </w:r>
                </w:p>
              </w:tc>
              <w:tc>
                <w:tcPr>
                  <w:tcW w:w="6874" w:type="dxa"/>
                  <w:tcBorders>
                    <w:tl2br w:val="nil"/>
                    <w:tr2bl w:val="nil"/>
                  </w:tcBorders>
                  <w:vAlign w:val="center"/>
                </w:tcPr>
                <w:p w14:paraId="54D39D7E">
                  <w:pPr>
                    <w:pStyle w:val="7"/>
                    <w:keepNext w:val="0"/>
                    <w:keepLines w:val="0"/>
                    <w:numPr>
                      <w:ilvl w:val="0"/>
                      <w:numId w:val="3"/>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外观：银白色致密金属固体，旋转 / 平面靶，金属光泽，无气味</w:t>
                  </w:r>
                </w:p>
                <w:p w14:paraId="5BA8180F">
                  <w:pPr>
                    <w:pStyle w:val="7"/>
                    <w:keepNext w:val="0"/>
                    <w:keepLines w:val="0"/>
                    <w:numPr>
                      <w:ilvl w:val="0"/>
                      <w:numId w:val="3"/>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密度 10.49 g/cm³；熔点 961.93 ℃，沸点 2212 ℃</w:t>
                  </w:r>
                </w:p>
                <w:p w14:paraId="0718DDE4">
                  <w:pPr>
                    <w:pStyle w:val="7"/>
                    <w:keepNext w:val="0"/>
                    <w:keepLines w:val="0"/>
                    <w:numPr>
                      <w:ilvl w:val="0"/>
                      <w:numId w:val="3"/>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溶解性：不溶于水、乙醇；常温稳定，可被浓硝酸、热浓硫酸腐蚀</w:t>
                  </w:r>
                </w:p>
                <w:p w14:paraId="39DAFD30">
                  <w:pPr>
                    <w:pStyle w:val="7"/>
                    <w:keepNext w:val="0"/>
                    <w:keepLines w:val="0"/>
                    <w:numPr>
                      <w:ilvl w:val="0"/>
                      <w:numId w:val="3"/>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危险特性：整块不属于危化品；</w:t>
                  </w:r>
                </w:p>
                <w:p w14:paraId="41ED499B">
                  <w:pPr>
                    <w:pStyle w:val="7"/>
                    <w:keepNext w:val="0"/>
                    <w:keepLines w:val="0"/>
                    <w:numPr>
                      <w:ilvl w:val="0"/>
                      <w:numId w:val="3"/>
                    </w:numPr>
                    <w:suppressLineNumbers w:val="0"/>
                    <w:bidi w:val="0"/>
                    <w:spacing w:before="0" w:beforeAutospacing="0" w:after="0" w:afterAutospacing="0"/>
                    <w:ind w:left="0" w:leftChars="0" w:right="0" w:firstLine="420" w:firstLineChars="200"/>
                    <w:jc w:val="left"/>
                    <w:rPr>
                      <w:rFonts w:hint="eastAsia"/>
                      <w:color w:val="auto"/>
                      <w:lang w:val="en-US" w:eastAsia="zh-CN"/>
                    </w:rPr>
                  </w:pPr>
                  <w:r>
                    <w:rPr>
                      <w:rFonts w:hint="default"/>
                      <w:color w:val="auto"/>
                    </w:rPr>
                    <w:t>储存保存条件：室内干燥通风库房存放；密封包装，避免硫化氢、硫蒸气环境，防止表面硫化变色发黑；远离强酸、强氧化剂；轻拿轻放，防止磕碰划伤；禁止露天存放。</w:t>
                  </w:r>
                </w:p>
              </w:tc>
            </w:tr>
            <w:tr w14:paraId="7AD100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dxa"/>
                  <w:tcBorders>
                    <w:tl2br w:val="nil"/>
                    <w:tr2bl w:val="nil"/>
                  </w:tcBorders>
                  <w:vAlign w:val="center"/>
                </w:tcPr>
                <w:p w14:paraId="4585B380">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硅铝靶</w:t>
                  </w:r>
                </w:p>
              </w:tc>
              <w:tc>
                <w:tcPr>
                  <w:tcW w:w="6874" w:type="dxa"/>
                  <w:tcBorders>
                    <w:tl2br w:val="nil"/>
                    <w:tr2bl w:val="nil"/>
                  </w:tcBorders>
                  <w:vAlign w:val="center"/>
                </w:tcPr>
                <w:p w14:paraId="76220517">
                  <w:pPr>
                    <w:pStyle w:val="7"/>
                    <w:keepNext w:val="0"/>
                    <w:keepLines w:val="0"/>
                    <w:numPr>
                      <w:ilvl w:val="0"/>
                      <w:numId w:val="4"/>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外观：银灰色致密金属合金固体</w:t>
                  </w:r>
                </w:p>
                <w:p w14:paraId="77C9590E">
                  <w:pPr>
                    <w:pStyle w:val="7"/>
                    <w:keepNext w:val="0"/>
                    <w:keepLines w:val="0"/>
                    <w:numPr>
                      <w:ilvl w:val="0"/>
                      <w:numId w:val="4"/>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密度 2.4</w:t>
                  </w:r>
                  <w:r>
                    <w:rPr>
                      <w:rFonts w:hint="default"/>
                      <w:color w:val="auto"/>
                    </w:rPr>
                    <w:noBreakHyphen/>
                  </w:r>
                  <w:r>
                    <w:rPr>
                      <w:rFonts w:hint="default"/>
                      <w:color w:val="auto"/>
                    </w:rPr>
                    <w:t>2.6 g/cm³，共晶熔点约 577 ℃</w:t>
                  </w:r>
                </w:p>
                <w:p w14:paraId="3E080CBE">
                  <w:pPr>
                    <w:pStyle w:val="7"/>
                    <w:keepNext w:val="0"/>
                    <w:keepLines w:val="0"/>
                    <w:numPr>
                      <w:ilvl w:val="0"/>
                      <w:numId w:val="4"/>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溶解性：不溶于水；遇强碱缓慢反应释放氢气；块状常温空气较稳定</w:t>
                  </w:r>
                </w:p>
                <w:p w14:paraId="30722389">
                  <w:pPr>
                    <w:pStyle w:val="7"/>
                    <w:keepNext w:val="0"/>
                    <w:keepLines w:val="0"/>
                    <w:numPr>
                      <w:ilvl w:val="0"/>
                      <w:numId w:val="4"/>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危险特性：整块无危险；</w:t>
                  </w:r>
                </w:p>
                <w:p w14:paraId="2DBC8E4B">
                  <w:pPr>
                    <w:pStyle w:val="7"/>
                    <w:keepNext w:val="0"/>
                    <w:keepLines w:val="0"/>
                    <w:numPr>
                      <w:ilvl w:val="0"/>
                      <w:numId w:val="4"/>
                    </w:numPr>
                    <w:suppressLineNumbers w:val="0"/>
                    <w:bidi w:val="0"/>
                    <w:spacing w:before="0" w:beforeAutospacing="0" w:after="0" w:afterAutospacing="0"/>
                    <w:ind w:left="0" w:leftChars="0" w:right="0" w:firstLine="420" w:firstLineChars="200"/>
                    <w:jc w:val="left"/>
                    <w:rPr>
                      <w:rFonts w:hint="eastAsia"/>
                      <w:color w:val="auto"/>
                      <w:lang w:val="en-US" w:eastAsia="zh-CN"/>
                    </w:rPr>
                  </w:pPr>
                  <w:r>
                    <w:rPr>
                      <w:rFonts w:hint="default"/>
                      <w:color w:val="auto"/>
                    </w:rPr>
                    <w:t>储存保存条件：室内干燥存放，远离强碱、碱液；避免破损进水受潮；堆放避免撞击破碎。</w:t>
                  </w:r>
                </w:p>
              </w:tc>
            </w:tr>
            <w:tr w14:paraId="20E851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53" w:hRule="atLeast"/>
              </w:trPr>
              <w:tc>
                <w:tcPr>
                  <w:tcW w:w="1197" w:type="dxa"/>
                  <w:tcBorders>
                    <w:tl2br w:val="nil"/>
                    <w:tr2bl w:val="nil"/>
                  </w:tcBorders>
                  <w:vAlign w:val="center"/>
                </w:tcPr>
                <w:p w14:paraId="2CF2F9BF">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锌铝靶</w:t>
                  </w:r>
                </w:p>
              </w:tc>
              <w:tc>
                <w:tcPr>
                  <w:tcW w:w="6874" w:type="dxa"/>
                  <w:tcBorders>
                    <w:tl2br w:val="nil"/>
                    <w:tr2bl w:val="nil"/>
                  </w:tcBorders>
                  <w:vAlign w:val="center"/>
                </w:tcPr>
                <w:p w14:paraId="67049F54">
                  <w:pPr>
                    <w:pStyle w:val="7"/>
                    <w:keepNext w:val="0"/>
                    <w:keepLines w:val="0"/>
                    <w:numPr>
                      <w:ilvl w:val="0"/>
                      <w:numId w:val="5"/>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外观：银灰色金属合金固体</w:t>
                  </w:r>
                </w:p>
                <w:p w14:paraId="7AB96C18">
                  <w:pPr>
                    <w:pStyle w:val="7"/>
                    <w:keepNext w:val="0"/>
                    <w:keepLines w:val="0"/>
                    <w:numPr>
                      <w:ilvl w:val="0"/>
                      <w:numId w:val="5"/>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密度 5.2</w:t>
                  </w:r>
                  <w:r>
                    <w:rPr>
                      <w:rFonts w:hint="default"/>
                      <w:color w:val="auto"/>
                    </w:rPr>
                    <w:noBreakHyphen/>
                  </w:r>
                  <w:r>
                    <w:rPr>
                      <w:rFonts w:hint="default"/>
                      <w:color w:val="auto"/>
                    </w:rPr>
                    <w:t>5.4 g/cm³；熔点 380</w:t>
                  </w:r>
                  <w:r>
                    <w:rPr>
                      <w:rFonts w:hint="default"/>
                      <w:color w:val="auto"/>
                    </w:rPr>
                    <w:noBreakHyphen/>
                  </w:r>
                  <w:r>
                    <w:rPr>
                      <w:rFonts w:hint="default"/>
                      <w:color w:val="auto"/>
                    </w:rPr>
                    <w:t>420 ℃</w:t>
                  </w:r>
                </w:p>
                <w:p w14:paraId="7F1957BB">
                  <w:pPr>
                    <w:pStyle w:val="7"/>
                    <w:keepNext w:val="0"/>
                    <w:keepLines w:val="0"/>
                    <w:numPr>
                      <w:ilvl w:val="0"/>
                      <w:numId w:val="5"/>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溶解性：不溶于水；潮湿空气中表面易氧化；遇酸反应释放氢气</w:t>
                  </w:r>
                </w:p>
                <w:p w14:paraId="44337768">
                  <w:pPr>
                    <w:pStyle w:val="7"/>
                    <w:keepNext w:val="0"/>
                    <w:keepLines w:val="0"/>
                    <w:numPr>
                      <w:ilvl w:val="0"/>
                      <w:numId w:val="5"/>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危险特性：整块不属于危化品，锌铝粉末可燃</w:t>
                  </w:r>
                </w:p>
                <w:p w14:paraId="23E05B6B">
                  <w:pPr>
                    <w:pStyle w:val="7"/>
                    <w:keepNext w:val="0"/>
                    <w:keepLines w:val="0"/>
                    <w:numPr>
                      <w:ilvl w:val="0"/>
                      <w:numId w:val="5"/>
                    </w:numPr>
                    <w:suppressLineNumbers w:val="0"/>
                    <w:bidi w:val="0"/>
                    <w:spacing w:before="0" w:beforeAutospacing="0" w:after="0" w:afterAutospacing="0"/>
                    <w:ind w:left="0" w:leftChars="0" w:right="0" w:firstLine="420" w:firstLineChars="200"/>
                    <w:jc w:val="left"/>
                    <w:rPr>
                      <w:rFonts w:hint="eastAsia"/>
                      <w:color w:val="auto"/>
                      <w:lang w:val="en-US" w:eastAsia="zh-CN"/>
                    </w:rPr>
                  </w:pPr>
                  <w:r>
                    <w:rPr>
                      <w:rFonts w:hint="default"/>
                      <w:color w:val="auto"/>
                    </w:rPr>
                    <w:t>储存保存条件：库房保持干燥通风，防潮防锈，避免高湿凝露；远离酸类物料；避免摔打破碎；防止氧化起皮。</w:t>
                  </w:r>
                </w:p>
              </w:tc>
            </w:tr>
            <w:tr w14:paraId="2947D3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dxa"/>
                  <w:tcBorders>
                    <w:tl2br w:val="nil"/>
                    <w:tr2bl w:val="nil"/>
                  </w:tcBorders>
                  <w:vAlign w:val="center"/>
                </w:tcPr>
                <w:p w14:paraId="09C69F75">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镍铬靶</w:t>
                  </w:r>
                </w:p>
              </w:tc>
              <w:tc>
                <w:tcPr>
                  <w:tcW w:w="6874" w:type="dxa"/>
                  <w:tcBorders>
                    <w:tl2br w:val="nil"/>
                    <w:tr2bl w:val="nil"/>
                  </w:tcBorders>
                  <w:vAlign w:val="center"/>
                </w:tcPr>
                <w:p w14:paraId="1C3929E6">
                  <w:pPr>
                    <w:pStyle w:val="7"/>
                    <w:keepNext w:val="0"/>
                    <w:keepLines w:val="0"/>
                    <w:numPr>
                      <w:ilvl w:val="0"/>
                      <w:numId w:val="6"/>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外观：银灰色致密金属合金固体</w:t>
                  </w:r>
                </w:p>
                <w:p w14:paraId="6DF4F363">
                  <w:pPr>
                    <w:pStyle w:val="7"/>
                    <w:keepNext w:val="0"/>
                    <w:keepLines w:val="0"/>
                    <w:numPr>
                      <w:ilvl w:val="0"/>
                      <w:numId w:val="6"/>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密度 8.4</w:t>
                  </w:r>
                  <w:r>
                    <w:rPr>
                      <w:rFonts w:hint="default"/>
                      <w:color w:val="auto"/>
                    </w:rPr>
                    <w:noBreakHyphen/>
                  </w:r>
                  <w:r>
                    <w:rPr>
                      <w:rFonts w:hint="default"/>
                      <w:color w:val="auto"/>
                    </w:rPr>
                    <w:t>8.5 g/cm³；熔点约 1420 ℃</w:t>
                  </w:r>
                </w:p>
                <w:p w14:paraId="5043E976">
                  <w:pPr>
                    <w:pStyle w:val="7"/>
                    <w:keepNext w:val="0"/>
                    <w:keepLines w:val="0"/>
                    <w:numPr>
                      <w:ilvl w:val="0"/>
                      <w:numId w:val="6"/>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溶解性：不溶于水；耐普通腐蚀，强氧化性酸可溶解</w:t>
                  </w:r>
                </w:p>
                <w:p w14:paraId="446BFBB1">
                  <w:pPr>
                    <w:pStyle w:val="7"/>
                    <w:keepNext w:val="0"/>
                    <w:keepLines w:val="0"/>
                    <w:numPr>
                      <w:ilvl w:val="0"/>
                      <w:numId w:val="6"/>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危险特性：整块靶材无危险；</w:t>
                  </w:r>
                </w:p>
                <w:p w14:paraId="05F0B785">
                  <w:pPr>
                    <w:pStyle w:val="7"/>
                    <w:keepNext w:val="0"/>
                    <w:keepLines w:val="0"/>
                    <w:numPr>
                      <w:ilvl w:val="0"/>
                      <w:numId w:val="6"/>
                    </w:numPr>
                    <w:suppressLineNumbers w:val="0"/>
                    <w:bidi w:val="0"/>
                    <w:spacing w:before="0" w:beforeAutospacing="0" w:after="0" w:afterAutospacing="0"/>
                    <w:ind w:left="0" w:leftChars="0" w:right="0" w:firstLine="420" w:firstLineChars="200"/>
                    <w:jc w:val="left"/>
                    <w:rPr>
                      <w:rFonts w:hint="eastAsia"/>
                      <w:color w:val="auto"/>
                      <w:lang w:val="en-US" w:eastAsia="zh-CN"/>
                    </w:rPr>
                  </w:pPr>
                  <w:r>
                    <w:rPr>
                      <w:rFonts w:hint="default"/>
                      <w:color w:val="auto"/>
                    </w:rPr>
                    <w:t>储存保存条件：室内干燥存放；避免磕碰破碎；</w:t>
                  </w:r>
                </w:p>
              </w:tc>
            </w:tr>
            <w:tr w14:paraId="3D8676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dxa"/>
                  <w:tcBorders>
                    <w:tl2br w:val="nil"/>
                    <w:tr2bl w:val="nil"/>
                  </w:tcBorders>
                  <w:vAlign w:val="center"/>
                </w:tcPr>
                <w:p w14:paraId="5694304B">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AZO</w:t>
                  </w:r>
                </w:p>
              </w:tc>
              <w:tc>
                <w:tcPr>
                  <w:tcW w:w="6874" w:type="dxa"/>
                  <w:tcBorders>
                    <w:tl2br w:val="nil"/>
                    <w:tr2bl w:val="nil"/>
                  </w:tcBorders>
                  <w:vAlign w:val="center"/>
                </w:tcPr>
                <w:p w14:paraId="09418F7D">
                  <w:pPr>
                    <w:pStyle w:val="7"/>
                    <w:keepNext w:val="0"/>
                    <w:keepLines w:val="0"/>
                    <w:numPr>
                      <w:ilvl w:val="0"/>
                      <w:numId w:val="7"/>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铝掺杂氧化锌陶瓷靶 ZnO:Al₂O₃</w:t>
                  </w:r>
                </w:p>
                <w:p w14:paraId="7473040A">
                  <w:pPr>
                    <w:pStyle w:val="7"/>
                    <w:keepNext w:val="0"/>
                    <w:keepLines w:val="0"/>
                    <w:numPr>
                      <w:ilvl w:val="0"/>
                      <w:numId w:val="7"/>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外观：浅绿</w:t>
                  </w:r>
                  <w:r>
                    <w:rPr>
                      <w:rFonts w:hint="default"/>
                      <w:color w:val="auto"/>
                    </w:rPr>
                    <w:noBreakHyphen/>
                  </w:r>
                  <w:r>
                    <w:rPr>
                      <w:rFonts w:hint="default"/>
                      <w:color w:val="auto"/>
                    </w:rPr>
                    <w:t>灰白色烧结陶瓷块，无气味</w:t>
                  </w:r>
                </w:p>
                <w:p w14:paraId="658B2F33">
                  <w:pPr>
                    <w:pStyle w:val="7"/>
                    <w:keepNext w:val="0"/>
                    <w:keepLines w:val="0"/>
                    <w:numPr>
                      <w:ilvl w:val="0"/>
                      <w:numId w:val="7"/>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密度 5.6 g/cm³，熔点 1975 ℃</w:t>
                  </w:r>
                </w:p>
                <w:p w14:paraId="533EEB5B">
                  <w:pPr>
                    <w:pStyle w:val="7"/>
                    <w:keepNext w:val="0"/>
                    <w:keepLines w:val="0"/>
                    <w:numPr>
                      <w:ilvl w:val="0"/>
                      <w:numId w:val="7"/>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溶解性：几乎不溶于水；可被强酸缓慢腐蚀</w:t>
                  </w:r>
                </w:p>
                <w:p w14:paraId="0FD11173">
                  <w:pPr>
                    <w:pStyle w:val="7"/>
                    <w:keepNext w:val="0"/>
                    <w:keepLines w:val="0"/>
                    <w:numPr>
                      <w:ilvl w:val="0"/>
                      <w:numId w:val="7"/>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危险特性：整块无危险；</w:t>
                  </w:r>
                </w:p>
                <w:p w14:paraId="77154E0E">
                  <w:pPr>
                    <w:pStyle w:val="7"/>
                    <w:keepNext w:val="0"/>
                    <w:keepLines w:val="0"/>
                    <w:numPr>
                      <w:ilvl w:val="0"/>
                      <w:numId w:val="7"/>
                    </w:numPr>
                    <w:suppressLineNumbers w:val="0"/>
                    <w:bidi w:val="0"/>
                    <w:spacing w:before="0" w:beforeAutospacing="0" w:after="0" w:afterAutospacing="0"/>
                    <w:ind w:left="0" w:leftChars="0" w:right="0" w:firstLine="420" w:firstLineChars="200"/>
                    <w:jc w:val="left"/>
                    <w:rPr>
                      <w:rFonts w:hint="eastAsia"/>
                      <w:color w:val="auto"/>
                      <w:lang w:val="en-US" w:eastAsia="zh-CN"/>
                    </w:rPr>
                  </w:pPr>
                  <w:r>
                    <w:rPr>
                      <w:rFonts w:hint="default"/>
                      <w:color w:val="auto"/>
                    </w:rPr>
                    <w:t>✅储存保存条件：陶瓷脆性大，室内存放，做好缓冲防护，严防跌落撞击碎裂；干燥，避免长期接触强酸；成品原包装存放。</w:t>
                  </w:r>
                </w:p>
              </w:tc>
            </w:tr>
            <w:tr w14:paraId="647B54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dxa"/>
                  <w:tcBorders>
                    <w:tl2br w:val="nil"/>
                    <w:tr2bl w:val="nil"/>
                  </w:tcBorders>
                  <w:vAlign w:val="center"/>
                </w:tcPr>
                <w:p w14:paraId="27428580">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TZO</w:t>
                  </w:r>
                </w:p>
              </w:tc>
              <w:tc>
                <w:tcPr>
                  <w:tcW w:w="6874" w:type="dxa"/>
                  <w:tcBorders>
                    <w:tl2br w:val="nil"/>
                    <w:tr2bl w:val="nil"/>
                  </w:tcBorders>
                  <w:vAlign w:val="center"/>
                </w:tcPr>
                <w:p w14:paraId="5AEA767C">
                  <w:pPr>
                    <w:pStyle w:val="7"/>
                    <w:keepNext w:val="0"/>
                    <w:keepLines w:val="0"/>
                    <w:numPr>
                      <w:ilvl w:val="0"/>
                      <w:numId w:val="8"/>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氧化锌锡陶瓷靶 Zn</w:t>
                  </w:r>
                  <w:r>
                    <w:rPr>
                      <w:rFonts w:hint="default"/>
                      <w:color w:val="auto"/>
                    </w:rPr>
                    <w:noBreakHyphen/>
                  </w:r>
                  <w:r>
                    <w:rPr>
                      <w:rFonts w:hint="default"/>
                      <w:color w:val="auto"/>
                    </w:rPr>
                    <w:t>Sn</w:t>
                  </w:r>
                  <w:r>
                    <w:rPr>
                      <w:rFonts w:hint="default"/>
                      <w:color w:val="auto"/>
                    </w:rPr>
                    <w:noBreakHyphen/>
                  </w:r>
                  <w:r>
                    <w:rPr>
                      <w:rFonts w:hint="default"/>
                      <w:color w:val="auto"/>
                    </w:rPr>
                    <w:t>O</w:t>
                  </w:r>
                </w:p>
                <w:p w14:paraId="76905653">
                  <w:pPr>
                    <w:pStyle w:val="7"/>
                    <w:keepNext w:val="0"/>
                    <w:keepLines w:val="0"/>
                    <w:numPr>
                      <w:ilvl w:val="0"/>
                      <w:numId w:val="8"/>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外观：灰白色</w:t>
                  </w:r>
                  <w:r>
                    <w:rPr>
                      <w:rFonts w:hint="default"/>
                      <w:color w:val="auto"/>
                    </w:rPr>
                    <w:noBreakHyphen/>
                  </w:r>
                  <w:r>
                    <w:rPr>
                      <w:rFonts w:hint="default"/>
                      <w:color w:val="auto"/>
                    </w:rPr>
                    <w:t>浅黄灰色烧结陶瓷固体</w:t>
                  </w:r>
                </w:p>
                <w:p w14:paraId="21768D11">
                  <w:pPr>
                    <w:pStyle w:val="7"/>
                    <w:keepNext w:val="0"/>
                    <w:keepLines w:val="0"/>
                    <w:numPr>
                      <w:ilvl w:val="0"/>
                      <w:numId w:val="8"/>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密度 6.8</w:t>
                  </w:r>
                  <w:r>
                    <w:rPr>
                      <w:rFonts w:hint="default"/>
                      <w:color w:val="auto"/>
                    </w:rPr>
                    <w:noBreakHyphen/>
                  </w:r>
                  <w:r>
                    <w:rPr>
                      <w:rFonts w:hint="default"/>
                      <w:color w:val="auto"/>
                    </w:rPr>
                    <w:t>7.1 g/cm³，高熔点复合氧化物</w:t>
                  </w:r>
                </w:p>
                <w:p w14:paraId="395AF963">
                  <w:pPr>
                    <w:pStyle w:val="7"/>
                    <w:keepNext w:val="0"/>
                    <w:keepLines w:val="0"/>
                    <w:numPr>
                      <w:ilvl w:val="0"/>
                      <w:numId w:val="8"/>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溶解性：不溶于水；浓强酸长时间才缓慢侵蚀</w:t>
                  </w:r>
                </w:p>
                <w:p w14:paraId="3FD799B6">
                  <w:pPr>
                    <w:pStyle w:val="7"/>
                    <w:keepNext w:val="0"/>
                    <w:keepLines w:val="0"/>
                    <w:numPr>
                      <w:ilvl w:val="0"/>
                      <w:numId w:val="8"/>
                    </w:numPr>
                    <w:suppressLineNumbers w:val="0"/>
                    <w:bidi w:val="0"/>
                    <w:spacing w:before="0" w:beforeAutospacing="0" w:after="0" w:afterAutospacing="0"/>
                    <w:ind w:left="0" w:leftChars="0" w:right="0" w:firstLine="420" w:firstLineChars="200"/>
                    <w:jc w:val="left"/>
                    <w:rPr>
                      <w:rFonts w:hint="default"/>
                      <w:color w:val="auto"/>
                    </w:rPr>
                  </w:pPr>
                  <w:r>
                    <w:rPr>
                      <w:rFonts w:hint="default"/>
                      <w:color w:val="auto"/>
                    </w:rPr>
                    <w:t>危险特性：整块无危险</w:t>
                  </w:r>
                </w:p>
                <w:p w14:paraId="6A73502D">
                  <w:pPr>
                    <w:pStyle w:val="7"/>
                    <w:keepNext w:val="0"/>
                    <w:keepLines w:val="0"/>
                    <w:numPr>
                      <w:ilvl w:val="0"/>
                      <w:numId w:val="8"/>
                    </w:numPr>
                    <w:suppressLineNumbers w:val="0"/>
                    <w:bidi w:val="0"/>
                    <w:spacing w:before="0" w:beforeAutospacing="0" w:after="0" w:afterAutospacing="0"/>
                    <w:ind w:left="0" w:leftChars="0" w:right="0" w:firstLine="420" w:firstLineChars="200"/>
                    <w:jc w:val="left"/>
                    <w:rPr>
                      <w:rFonts w:hint="eastAsia"/>
                      <w:color w:val="auto"/>
                      <w:lang w:val="en-US" w:eastAsia="zh-CN"/>
                    </w:rPr>
                  </w:pPr>
                  <w:r>
                    <w:rPr>
                      <w:rFonts w:hint="default"/>
                      <w:color w:val="auto"/>
                    </w:rPr>
                    <w:t>储存保存条件：脆性陶瓷靶材，室内原包装存放；防撞击、防摔落破碎；库房干燥，远离强酸。</w:t>
                  </w:r>
                </w:p>
              </w:tc>
            </w:tr>
            <w:tr w14:paraId="433A36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dxa"/>
                  <w:tcBorders>
                    <w:tl2br w:val="nil"/>
                    <w:tr2bl w:val="nil"/>
                  </w:tcBorders>
                  <w:vAlign w:val="center"/>
                </w:tcPr>
                <w:p w14:paraId="430C9886">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PAC</w:t>
                  </w:r>
                </w:p>
              </w:tc>
              <w:tc>
                <w:tcPr>
                  <w:tcW w:w="6874" w:type="dxa"/>
                  <w:tcBorders>
                    <w:tl2br w:val="nil"/>
                    <w:tr2bl w:val="nil"/>
                  </w:tcBorders>
                  <w:vAlign w:val="center"/>
                </w:tcPr>
                <w:p w14:paraId="792CC1BD">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default"/>
                      <w:color w:val="auto"/>
                    </w:rPr>
                    <w:t>聚合氯化铝（PAC）为无机高分子聚合物，固体为淡黄色颗粒粉末，易吸潮、易溶于水，水溶液呈弱酸性，具有一定腐蚀性；常温条件下性质稳定，高温条件下可分解释放氯化氢。</w:t>
                  </w:r>
                </w:p>
              </w:tc>
            </w:tr>
            <w:tr w14:paraId="0306E0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dxa"/>
                  <w:tcBorders>
                    <w:tl2br w:val="nil"/>
                    <w:tr2bl w:val="nil"/>
                  </w:tcBorders>
                  <w:vAlign w:val="center"/>
                </w:tcPr>
                <w:p w14:paraId="3DADFB28">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PAM</w:t>
                  </w:r>
                </w:p>
              </w:tc>
              <w:tc>
                <w:tcPr>
                  <w:tcW w:w="6874" w:type="dxa"/>
                  <w:tcBorders>
                    <w:tl2br w:val="nil"/>
                    <w:tr2bl w:val="nil"/>
                  </w:tcBorders>
                  <w:vAlign w:val="center"/>
                </w:tcPr>
                <w:p w14:paraId="598A9B8F">
                  <w:pPr>
                    <w:pStyle w:val="7"/>
                    <w:keepNext w:val="0"/>
                    <w:keepLines w:val="0"/>
                    <w:suppressLineNumbers w:val="0"/>
                    <w:bidi w:val="0"/>
                    <w:spacing w:before="0" w:beforeAutospacing="0" w:after="0" w:afterAutospacing="0"/>
                    <w:ind w:left="0" w:right="0"/>
                    <w:jc w:val="center"/>
                    <w:rPr>
                      <w:rFonts w:hint="eastAsia"/>
                      <w:color w:val="auto"/>
                      <w:lang w:val="en-US" w:eastAsia="zh-CN"/>
                    </w:rPr>
                  </w:pPr>
                  <w:r>
                    <w:rPr>
                      <w:rFonts w:hint="default"/>
                      <w:color w:val="auto"/>
                    </w:rPr>
                    <w:t>阴离子聚丙烯酰胺（PAM）为水溶性高分子聚合物，固体为白色颗粒粉末，易吸潮，易溶于水，不溶于多数有机溶剂，水溶液呈中性。成品药剂丙烯酰胺单体残留含量极低；高温下可发生降解。</w:t>
                  </w:r>
                </w:p>
              </w:tc>
            </w:tr>
          </w:tbl>
          <w:p w14:paraId="1589D146">
            <w:pPr>
              <w:pStyle w:val="3"/>
              <w:numPr>
                <w:ilvl w:val="0"/>
                <w:numId w:val="9"/>
              </w:numPr>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主</w:t>
            </w:r>
            <w:r>
              <w:rPr>
                <w:rFonts w:hint="default"/>
                <w:color w:val="auto"/>
                <w:lang w:val="en-US" w:eastAsia="zh-CN"/>
              </w:rPr>
              <w:t>要生产设备</w:t>
            </w:r>
          </w:p>
          <w:p w14:paraId="380AFB81">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lang w:val="en-US" w:eastAsia="zh-CN"/>
              </w:rPr>
            </w:pPr>
            <w:r>
              <w:rPr>
                <w:rFonts w:hint="eastAsia"/>
                <w:color w:val="auto"/>
                <w:sz w:val="24"/>
              </w:rPr>
              <w:t>本项目主要设备详见下表</w:t>
            </w:r>
            <w:r>
              <w:rPr>
                <w:rFonts w:hint="eastAsia"/>
                <w:color w:val="auto"/>
                <w:sz w:val="24"/>
                <w:lang w:val="en-US" w:eastAsia="zh-CN"/>
              </w:rPr>
              <w:t>2-5</w:t>
            </w:r>
            <w:r>
              <w:rPr>
                <w:rFonts w:hint="eastAsia"/>
                <w:color w:val="auto"/>
                <w:lang w:val="en-US" w:eastAsia="zh-CN"/>
              </w:rPr>
              <w:t>：</w:t>
            </w:r>
          </w:p>
          <w:p w14:paraId="4B384673">
            <w:pPr>
              <w:pStyle w:val="5"/>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表</w:t>
            </w:r>
            <w:r>
              <w:rPr>
                <w:rFonts w:hint="eastAsia"/>
                <w:color w:val="auto"/>
                <w:lang w:val="en-US" w:eastAsia="zh-CN"/>
              </w:rPr>
              <w:t xml:space="preserve">2-5                      </w:t>
            </w:r>
            <w:r>
              <w:rPr>
                <w:rFonts w:hint="default"/>
                <w:color w:val="auto"/>
                <w:lang w:val="en-US" w:eastAsia="zh-CN"/>
              </w:rPr>
              <w:t>主要生产设备</w:t>
            </w:r>
          </w:p>
          <w:tbl>
            <w:tblPr>
              <w:tblStyle w:val="30"/>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62"/>
              <w:gridCol w:w="1725"/>
              <w:gridCol w:w="1778"/>
              <w:gridCol w:w="885"/>
              <w:gridCol w:w="1071"/>
              <w:gridCol w:w="1952"/>
            </w:tblGrid>
            <w:tr w14:paraId="5A56B3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19" w:hRule="atLeast"/>
                <w:jc w:val="center"/>
              </w:trPr>
              <w:tc>
                <w:tcPr>
                  <w:tcW w:w="410" w:type="pct"/>
                  <w:tcBorders>
                    <w:tl2br w:val="nil"/>
                    <w:tr2bl w:val="nil"/>
                  </w:tcBorders>
                  <w:shd w:val="clear" w:color="auto" w:fill="auto"/>
                  <w:vAlign w:val="center"/>
                </w:tcPr>
                <w:p w14:paraId="61183EA4">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序号</w:t>
                  </w:r>
                </w:p>
              </w:tc>
              <w:tc>
                <w:tcPr>
                  <w:tcW w:w="1068" w:type="pct"/>
                  <w:tcBorders>
                    <w:tl2br w:val="nil"/>
                    <w:tr2bl w:val="nil"/>
                  </w:tcBorders>
                  <w:shd w:val="clear" w:color="auto" w:fill="auto"/>
                  <w:vAlign w:val="center"/>
                </w:tcPr>
                <w:p w14:paraId="0FF2C908">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名称</w:t>
                  </w:r>
                </w:p>
              </w:tc>
              <w:tc>
                <w:tcPr>
                  <w:tcW w:w="1101" w:type="pct"/>
                  <w:tcBorders>
                    <w:tl2br w:val="nil"/>
                    <w:tr2bl w:val="nil"/>
                  </w:tcBorders>
                  <w:shd w:val="clear" w:color="auto" w:fill="auto"/>
                  <w:vAlign w:val="center"/>
                </w:tcPr>
                <w:p w14:paraId="137FC4C9">
                  <w:pPr>
                    <w:pStyle w:val="7"/>
                    <w:keepNext w:val="0"/>
                    <w:keepLines w:val="0"/>
                    <w:suppressLineNumbers w:val="0"/>
                    <w:bidi w:val="0"/>
                    <w:spacing w:before="0" w:beforeAutospacing="0" w:after="0" w:afterAutospacing="0"/>
                    <w:ind w:left="0" w:right="0"/>
                    <w:rPr>
                      <w:rFonts w:hint="eastAsia" w:eastAsia="宋体"/>
                      <w:color w:val="auto"/>
                      <w:lang w:eastAsia="zh-CN"/>
                    </w:rPr>
                  </w:pPr>
                  <w:r>
                    <w:rPr>
                      <w:rFonts w:hint="eastAsia"/>
                      <w:color w:val="auto"/>
                      <w:lang w:val="en-US" w:eastAsia="zh-CN"/>
                    </w:rPr>
                    <w:t>参数</w:t>
                  </w:r>
                </w:p>
              </w:tc>
              <w:tc>
                <w:tcPr>
                  <w:tcW w:w="548" w:type="pct"/>
                  <w:tcBorders>
                    <w:tl2br w:val="nil"/>
                    <w:tr2bl w:val="nil"/>
                  </w:tcBorders>
                  <w:shd w:val="clear" w:color="auto" w:fill="auto"/>
                  <w:vAlign w:val="center"/>
                </w:tcPr>
                <w:p w14:paraId="1AE39DEE">
                  <w:pPr>
                    <w:pStyle w:val="7"/>
                    <w:keepNext w:val="0"/>
                    <w:keepLines w:val="0"/>
                    <w:suppressLineNumbers w:val="0"/>
                    <w:bidi w:val="0"/>
                    <w:spacing w:before="0" w:beforeAutospacing="0" w:after="0" w:afterAutospacing="0"/>
                    <w:ind w:left="0" w:right="0"/>
                    <w:rPr>
                      <w:rFonts w:hint="default"/>
                      <w:color w:val="auto"/>
                    </w:rPr>
                  </w:pPr>
                  <w:r>
                    <w:rPr>
                      <w:rFonts w:hint="eastAsia"/>
                      <w:color w:val="auto"/>
                    </w:rPr>
                    <w:t>数量</w:t>
                  </w:r>
                </w:p>
              </w:tc>
              <w:tc>
                <w:tcPr>
                  <w:tcW w:w="663" w:type="pct"/>
                  <w:tcBorders>
                    <w:tl2br w:val="nil"/>
                    <w:tr2bl w:val="nil"/>
                  </w:tcBorders>
                  <w:shd w:val="clear" w:color="auto" w:fill="auto"/>
                  <w:vAlign w:val="center"/>
                </w:tcPr>
                <w:p w14:paraId="54D132F3">
                  <w:pPr>
                    <w:pStyle w:val="7"/>
                    <w:keepNext w:val="0"/>
                    <w:keepLines w:val="0"/>
                    <w:suppressLineNumbers w:val="0"/>
                    <w:bidi w:val="0"/>
                    <w:spacing w:before="0" w:beforeAutospacing="0" w:after="0" w:afterAutospacing="0"/>
                    <w:ind w:left="0" w:right="0"/>
                    <w:rPr>
                      <w:rFonts w:hint="eastAsia" w:eastAsia="宋体"/>
                      <w:color w:val="auto"/>
                      <w:lang w:val="en-US" w:eastAsia="zh-CN"/>
                    </w:rPr>
                  </w:pPr>
                  <w:r>
                    <w:rPr>
                      <w:rFonts w:hint="eastAsia"/>
                      <w:color w:val="auto"/>
                      <w:lang w:val="en-US" w:eastAsia="zh-CN"/>
                    </w:rPr>
                    <w:t>单位</w:t>
                  </w:r>
                </w:p>
              </w:tc>
              <w:tc>
                <w:tcPr>
                  <w:tcW w:w="1208" w:type="pct"/>
                  <w:tcBorders>
                    <w:tl2br w:val="nil"/>
                    <w:tr2bl w:val="nil"/>
                  </w:tcBorders>
                  <w:shd w:val="clear" w:color="auto" w:fill="auto"/>
                  <w:vAlign w:val="center"/>
                </w:tcPr>
                <w:p w14:paraId="3E00D423">
                  <w:pPr>
                    <w:pStyle w:val="7"/>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位置</w:t>
                  </w:r>
                </w:p>
              </w:tc>
            </w:tr>
            <w:tr w14:paraId="76CA3D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10" w:type="pct"/>
                  <w:tcBorders>
                    <w:tl2br w:val="nil"/>
                    <w:tr2bl w:val="nil"/>
                  </w:tcBorders>
                  <w:shd w:val="clear" w:color="auto" w:fill="auto"/>
                  <w:vAlign w:val="center"/>
                </w:tcPr>
                <w:p w14:paraId="498D3125">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1725" w:type="dxa"/>
                  <w:tcBorders>
                    <w:tl2br w:val="nil"/>
                    <w:tr2bl w:val="nil"/>
                  </w:tcBorders>
                  <w:shd w:val="clear" w:color="auto" w:fill="auto"/>
                  <w:vAlign w:val="center"/>
                </w:tcPr>
                <w:p w14:paraId="4B818BBA">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清洗机</w:t>
                  </w:r>
                </w:p>
              </w:tc>
              <w:tc>
                <w:tcPr>
                  <w:tcW w:w="1778" w:type="dxa"/>
                  <w:tcBorders>
                    <w:tl2br w:val="nil"/>
                    <w:tr2bl w:val="nil"/>
                  </w:tcBorders>
                  <w:shd w:val="clear" w:color="auto" w:fill="auto"/>
                  <w:vAlign w:val="center"/>
                </w:tcPr>
                <w:p w14:paraId="22C45D69">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功率</w:t>
                  </w:r>
                  <w:r>
                    <w:rPr>
                      <w:rFonts w:hint="default"/>
                      <w:color w:val="auto"/>
                      <w:lang w:val="en-US" w:eastAsia="zh-CN"/>
                    </w:rPr>
                    <w:t>312kW</w:t>
                  </w:r>
                </w:p>
              </w:tc>
              <w:tc>
                <w:tcPr>
                  <w:tcW w:w="885" w:type="dxa"/>
                  <w:tcBorders>
                    <w:tl2br w:val="nil"/>
                    <w:tr2bl w:val="nil"/>
                  </w:tcBorders>
                  <w:shd w:val="clear" w:color="auto" w:fill="auto"/>
                  <w:vAlign w:val="center"/>
                </w:tcPr>
                <w:p w14:paraId="58EDD08A">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default"/>
                      <w:color w:val="auto"/>
                      <w:lang w:val="en-US" w:eastAsia="zh-CN"/>
                    </w:rPr>
                    <w:t>1</w:t>
                  </w:r>
                </w:p>
              </w:tc>
              <w:tc>
                <w:tcPr>
                  <w:tcW w:w="1071" w:type="dxa"/>
                  <w:tcBorders>
                    <w:tl2br w:val="nil"/>
                    <w:tr2bl w:val="nil"/>
                  </w:tcBorders>
                  <w:shd w:val="clear" w:color="auto" w:fill="auto"/>
                  <w:vAlign w:val="center"/>
                </w:tcPr>
                <w:p w14:paraId="4986E898">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台</w:t>
                  </w:r>
                </w:p>
              </w:tc>
              <w:tc>
                <w:tcPr>
                  <w:tcW w:w="1208" w:type="pct"/>
                  <w:tcBorders>
                    <w:tl2br w:val="nil"/>
                    <w:tr2bl w:val="nil"/>
                  </w:tcBorders>
                  <w:shd w:val="clear" w:color="auto" w:fill="auto"/>
                  <w:vAlign w:val="center"/>
                </w:tcPr>
                <w:p w14:paraId="5FD30049">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rPr>
                  </w:pPr>
                  <w:r>
                    <w:rPr>
                      <w:rFonts w:hint="eastAsia" w:ascii="Times New Roman" w:hAnsi="Times New Roman" w:eastAsia="宋体" w:cs="Times New Roman"/>
                      <w:color w:val="auto"/>
                    </w:rPr>
                    <w:t>镀膜车间</w:t>
                  </w:r>
                </w:p>
              </w:tc>
            </w:tr>
            <w:tr w14:paraId="59F20D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10" w:type="pct"/>
                  <w:tcBorders>
                    <w:tl2br w:val="nil"/>
                    <w:tr2bl w:val="nil"/>
                  </w:tcBorders>
                  <w:shd w:val="clear" w:color="auto" w:fill="auto"/>
                  <w:vAlign w:val="center"/>
                </w:tcPr>
                <w:p w14:paraId="467621C3">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p>
              </w:tc>
              <w:tc>
                <w:tcPr>
                  <w:tcW w:w="1725" w:type="dxa"/>
                  <w:tcBorders>
                    <w:tl2br w:val="nil"/>
                    <w:tr2bl w:val="nil"/>
                  </w:tcBorders>
                  <w:shd w:val="clear" w:color="auto" w:fill="auto"/>
                  <w:vAlign w:val="center"/>
                </w:tcPr>
                <w:p w14:paraId="43F87079">
                  <w:pPr>
                    <w:pStyle w:val="7"/>
                    <w:keepNext w:val="0"/>
                    <w:keepLines w:val="0"/>
                    <w:suppressLineNumbers w:val="0"/>
                    <w:bidi w:val="0"/>
                    <w:spacing w:before="0" w:beforeAutospacing="0" w:after="0" w:afterAutospacing="0"/>
                    <w:ind w:left="0" w:right="0"/>
                    <w:rPr>
                      <w:rFonts w:hint="eastAsia"/>
                      <w:color w:val="auto"/>
                    </w:rPr>
                  </w:pPr>
                  <w:r>
                    <w:rPr>
                      <w:rFonts w:hint="eastAsia"/>
                      <w:color w:val="auto"/>
                      <w:lang w:val="en-US" w:eastAsia="zh-CN"/>
                    </w:rPr>
                    <w:t>镀膜机</w:t>
                  </w:r>
                </w:p>
              </w:tc>
              <w:tc>
                <w:tcPr>
                  <w:tcW w:w="1778" w:type="dxa"/>
                  <w:tcBorders>
                    <w:tl2br w:val="nil"/>
                    <w:tr2bl w:val="nil"/>
                  </w:tcBorders>
                  <w:shd w:val="clear" w:color="auto" w:fill="auto"/>
                  <w:vAlign w:val="center"/>
                </w:tcPr>
                <w:p w14:paraId="408F78E5">
                  <w:pPr>
                    <w:pStyle w:val="7"/>
                    <w:keepNext w:val="0"/>
                    <w:keepLines w:val="0"/>
                    <w:suppressLineNumbers w:val="0"/>
                    <w:bidi w:val="0"/>
                    <w:spacing w:before="0" w:beforeAutospacing="0" w:after="0" w:afterAutospacing="0"/>
                    <w:ind w:left="0" w:right="0"/>
                    <w:rPr>
                      <w:rFonts w:hint="eastAsia"/>
                      <w:color w:val="auto"/>
                    </w:rPr>
                  </w:pPr>
                  <w:r>
                    <w:rPr>
                      <w:rFonts w:hint="eastAsia"/>
                      <w:color w:val="auto"/>
                      <w:lang w:val="en-US" w:eastAsia="zh-CN"/>
                    </w:rPr>
                    <w:t>功率</w:t>
                  </w:r>
                  <w:r>
                    <w:rPr>
                      <w:rFonts w:hint="default"/>
                      <w:color w:val="auto"/>
                      <w:lang w:val="en-US" w:eastAsia="zh-CN"/>
                    </w:rPr>
                    <w:t>2000kW</w:t>
                  </w:r>
                </w:p>
              </w:tc>
              <w:tc>
                <w:tcPr>
                  <w:tcW w:w="885" w:type="dxa"/>
                  <w:tcBorders>
                    <w:tl2br w:val="nil"/>
                    <w:tr2bl w:val="nil"/>
                  </w:tcBorders>
                  <w:shd w:val="clear" w:color="auto" w:fill="auto"/>
                  <w:vAlign w:val="center"/>
                </w:tcPr>
                <w:p w14:paraId="34AC8E9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1</w:t>
                  </w:r>
                </w:p>
              </w:tc>
              <w:tc>
                <w:tcPr>
                  <w:tcW w:w="1071" w:type="dxa"/>
                  <w:tcBorders>
                    <w:tl2br w:val="nil"/>
                    <w:tr2bl w:val="nil"/>
                  </w:tcBorders>
                  <w:shd w:val="clear" w:color="auto" w:fill="auto"/>
                  <w:vAlign w:val="center"/>
                </w:tcPr>
                <w:p w14:paraId="77AE44C8">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套</w:t>
                  </w:r>
                </w:p>
              </w:tc>
              <w:tc>
                <w:tcPr>
                  <w:tcW w:w="1208" w:type="pct"/>
                  <w:tcBorders>
                    <w:tl2br w:val="nil"/>
                    <w:tr2bl w:val="nil"/>
                  </w:tcBorders>
                  <w:shd w:val="clear" w:color="auto" w:fill="auto"/>
                  <w:vAlign w:val="center"/>
                </w:tcPr>
                <w:p w14:paraId="6FD5E7AD">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镀膜车间</w:t>
                  </w:r>
                </w:p>
              </w:tc>
            </w:tr>
            <w:tr w14:paraId="29461C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10" w:type="pct"/>
                  <w:tcBorders>
                    <w:tl2br w:val="nil"/>
                    <w:tr2bl w:val="nil"/>
                  </w:tcBorders>
                  <w:shd w:val="clear" w:color="auto" w:fill="auto"/>
                  <w:vAlign w:val="center"/>
                </w:tcPr>
                <w:p w14:paraId="5677E711">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p>
              </w:tc>
              <w:tc>
                <w:tcPr>
                  <w:tcW w:w="1725" w:type="dxa"/>
                  <w:tcBorders>
                    <w:tl2br w:val="nil"/>
                    <w:tr2bl w:val="nil"/>
                  </w:tcBorders>
                  <w:shd w:val="clear" w:color="auto" w:fill="auto"/>
                  <w:vAlign w:val="center"/>
                </w:tcPr>
                <w:p w14:paraId="3369854E">
                  <w:pPr>
                    <w:pStyle w:val="7"/>
                    <w:keepNext w:val="0"/>
                    <w:keepLines w:val="0"/>
                    <w:suppressLineNumbers w:val="0"/>
                    <w:bidi w:val="0"/>
                    <w:spacing w:before="0" w:beforeAutospacing="0" w:after="0" w:afterAutospacing="0"/>
                    <w:ind w:left="0" w:right="0"/>
                    <w:rPr>
                      <w:rFonts w:hint="eastAsia"/>
                      <w:color w:val="auto"/>
                    </w:rPr>
                  </w:pPr>
                  <w:r>
                    <w:rPr>
                      <w:rFonts w:hint="eastAsia"/>
                      <w:color w:val="auto"/>
                      <w:lang w:val="en-US" w:eastAsia="zh-CN"/>
                    </w:rPr>
                    <w:t>自动上下片</w:t>
                  </w:r>
                </w:p>
              </w:tc>
              <w:tc>
                <w:tcPr>
                  <w:tcW w:w="1778" w:type="dxa"/>
                  <w:tcBorders>
                    <w:tl2br w:val="nil"/>
                    <w:tr2bl w:val="nil"/>
                  </w:tcBorders>
                  <w:shd w:val="clear" w:color="auto" w:fill="auto"/>
                  <w:vAlign w:val="center"/>
                </w:tcPr>
                <w:p w14:paraId="514ABAE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功率</w:t>
                  </w:r>
                  <w:r>
                    <w:rPr>
                      <w:rFonts w:hint="default"/>
                      <w:color w:val="auto"/>
                      <w:lang w:val="en-US" w:eastAsia="zh-CN"/>
                    </w:rPr>
                    <w:t>10KW</w:t>
                  </w:r>
                </w:p>
              </w:tc>
              <w:tc>
                <w:tcPr>
                  <w:tcW w:w="885" w:type="dxa"/>
                  <w:tcBorders>
                    <w:tl2br w:val="nil"/>
                    <w:tr2bl w:val="nil"/>
                  </w:tcBorders>
                  <w:shd w:val="clear" w:color="auto" w:fill="auto"/>
                  <w:vAlign w:val="center"/>
                </w:tcPr>
                <w:p w14:paraId="3103B71D">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default"/>
                      <w:color w:val="auto"/>
                      <w:lang w:val="en-US" w:eastAsia="zh-CN"/>
                    </w:rPr>
                    <w:t>4</w:t>
                  </w:r>
                </w:p>
              </w:tc>
              <w:tc>
                <w:tcPr>
                  <w:tcW w:w="1071" w:type="dxa"/>
                  <w:tcBorders>
                    <w:tl2br w:val="nil"/>
                    <w:tr2bl w:val="nil"/>
                  </w:tcBorders>
                  <w:shd w:val="clear" w:color="auto" w:fill="auto"/>
                  <w:vAlign w:val="center"/>
                </w:tcPr>
                <w:p w14:paraId="527E0072">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组</w:t>
                  </w:r>
                </w:p>
              </w:tc>
              <w:tc>
                <w:tcPr>
                  <w:tcW w:w="1208" w:type="pct"/>
                  <w:tcBorders>
                    <w:tl2br w:val="nil"/>
                    <w:tr2bl w:val="nil"/>
                  </w:tcBorders>
                  <w:shd w:val="clear" w:color="auto" w:fill="auto"/>
                  <w:vAlign w:val="center"/>
                </w:tcPr>
                <w:p w14:paraId="7BFEDE23">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镀膜车间</w:t>
                  </w:r>
                </w:p>
              </w:tc>
            </w:tr>
            <w:tr w14:paraId="19B9EC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10" w:type="pct"/>
                  <w:tcBorders>
                    <w:tl2br w:val="nil"/>
                    <w:tr2bl w:val="nil"/>
                  </w:tcBorders>
                  <w:shd w:val="clear" w:color="auto" w:fill="auto"/>
                  <w:vAlign w:val="center"/>
                </w:tcPr>
                <w:p w14:paraId="0D899475">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p>
              </w:tc>
              <w:tc>
                <w:tcPr>
                  <w:tcW w:w="1725" w:type="dxa"/>
                  <w:tcBorders>
                    <w:tl2br w:val="nil"/>
                    <w:tr2bl w:val="nil"/>
                  </w:tcBorders>
                  <w:shd w:val="clear" w:color="auto" w:fill="auto"/>
                  <w:vAlign w:val="center"/>
                </w:tcPr>
                <w:p w14:paraId="3990ACC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喷粉机</w:t>
                  </w:r>
                </w:p>
              </w:tc>
              <w:tc>
                <w:tcPr>
                  <w:tcW w:w="1778" w:type="dxa"/>
                  <w:tcBorders>
                    <w:tl2br w:val="nil"/>
                    <w:tr2bl w:val="nil"/>
                  </w:tcBorders>
                  <w:shd w:val="clear" w:color="auto" w:fill="auto"/>
                  <w:vAlign w:val="center"/>
                </w:tcPr>
                <w:p w14:paraId="21782270">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功率</w:t>
                  </w:r>
                  <w:r>
                    <w:rPr>
                      <w:rFonts w:hint="default"/>
                      <w:color w:val="auto"/>
                      <w:lang w:val="en-US" w:eastAsia="zh-CN"/>
                    </w:rPr>
                    <w:t>5kW</w:t>
                  </w:r>
                </w:p>
              </w:tc>
              <w:tc>
                <w:tcPr>
                  <w:tcW w:w="885" w:type="dxa"/>
                  <w:tcBorders>
                    <w:tl2br w:val="nil"/>
                    <w:tr2bl w:val="nil"/>
                  </w:tcBorders>
                  <w:shd w:val="clear" w:color="auto" w:fill="auto"/>
                  <w:vAlign w:val="center"/>
                </w:tcPr>
                <w:p w14:paraId="791C53A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1</w:t>
                  </w:r>
                </w:p>
              </w:tc>
              <w:tc>
                <w:tcPr>
                  <w:tcW w:w="1071" w:type="dxa"/>
                  <w:tcBorders>
                    <w:tl2br w:val="nil"/>
                    <w:tr2bl w:val="nil"/>
                  </w:tcBorders>
                  <w:shd w:val="clear" w:color="auto" w:fill="auto"/>
                  <w:vAlign w:val="center"/>
                </w:tcPr>
                <w:p w14:paraId="36ED2923">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台</w:t>
                  </w:r>
                </w:p>
              </w:tc>
              <w:tc>
                <w:tcPr>
                  <w:tcW w:w="1208" w:type="pct"/>
                  <w:tcBorders>
                    <w:tl2br w:val="nil"/>
                    <w:tr2bl w:val="nil"/>
                  </w:tcBorders>
                  <w:shd w:val="clear" w:color="auto" w:fill="auto"/>
                  <w:vAlign w:val="center"/>
                </w:tcPr>
                <w:p w14:paraId="2624859B">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镀膜车间</w:t>
                  </w:r>
                </w:p>
              </w:tc>
            </w:tr>
            <w:tr w14:paraId="090B78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10" w:type="pct"/>
                  <w:tcBorders>
                    <w:tl2br w:val="nil"/>
                    <w:tr2bl w:val="nil"/>
                  </w:tcBorders>
                  <w:shd w:val="clear" w:color="auto" w:fill="auto"/>
                  <w:vAlign w:val="center"/>
                </w:tcPr>
                <w:p w14:paraId="0BF7C74D">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w:t>
                  </w:r>
                </w:p>
              </w:tc>
              <w:tc>
                <w:tcPr>
                  <w:tcW w:w="1725" w:type="dxa"/>
                  <w:tcBorders>
                    <w:tl2br w:val="nil"/>
                    <w:tr2bl w:val="nil"/>
                  </w:tcBorders>
                  <w:shd w:val="clear" w:color="auto" w:fill="auto"/>
                  <w:vAlign w:val="center"/>
                </w:tcPr>
                <w:p w14:paraId="7A77A240">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冷却水系统</w:t>
                  </w:r>
                </w:p>
              </w:tc>
              <w:tc>
                <w:tcPr>
                  <w:tcW w:w="1778" w:type="dxa"/>
                  <w:tcBorders>
                    <w:tl2br w:val="nil"/>
                    <w:tr2bl w:val="nil"/>
                  </w:tcBorders>
                  <w:shd w:val="clear" w:color="auto" w:fill="auto"/>
                  <w:vAlign w:val="center"/>
                </w:tcPr>
                <w:p w14:paraId="5FCBD192">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功率</w:t>
                  </w:r>
                  <w:r>
                    <w:rPr>
                      <w:rFonts w:hint="default"/>
                      <w:color w:val="auto"/>
                      <w:lang w:val="en-US" w:eastAsia="zh-CN"/>
                    </w:rPr>
                    <w:t>350kW</w:t>
                  </w:r>
                </w:p>
              </w:tc>
              <w:tc>
                <w:tcPr>
                  <w:tcW w:w="885" w:type="dxa"/>
                  <w:tcBorders>
                    <w:tl2br w:val="nil"/>
                    <w:tr2bl w:val="nil"/>
                  </w:tcBorders>
                  <w:shd w:val="clear" w:color="auto" w:fill="auto"/>
                  <w:vAlign w:val="center"/>
                </w:tcPr>
                <w:p w14:paraId="623CE29D">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2</w:t>
                  </w:r>
                </w:p>
              </w:tc>
              <w:tc>
                <w:tcPr>
                  <w:tcW w:w="1071" w:type="dxa"/>
                  <w:tcBorders>
                    <w:tl2br w:val="nil"/>
                    <w:tr2bl w:val="nil"/>
                  </w:tcBorders>
                  <w:shd w:val="clear" w:color="auto" w:fill="auto"/>
                  <w:vAlign w:val="center"/>
                </w:tcPr>
                <w:p w14:paraId="01678C4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个</w:t>
                  </w:r>
                </w:p>
              </w:tc>
              <w:tc>
                <w:tcPr>
                  <w:tcW w:w="1208" w:type="pct"/>
                  <w:tcBorders>
                    <w:tl2br w:val="nil"/>
                    <w:tr2bl w:val="nil"/>
                  </w:tcBorders>
                  <w:shd w:val="clear" w:color="auto" w:fill="auto"/>
                  <w:vAlign w:val="center"/>
                </w:tcPr>
                <w:p w14:paraId="14D392E7">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车间外</w:t>
                  </w:r>
                </w:p>
              </w:tc>
            </w:tr>
            <w:tr w14:paraId="79C8CF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10" w:type="pct"/>
                  <w:tcBorders>
                    <w:tl2br w:val="nil"/>
                    <w:tr2bl w:val="nil"/>
                  </w:tcBorders>
                  <w:shd w:val="clear" w:color="auto" w:fill="auto"/>
                  <w:vAlign w:val="center"/>
                </w:tcPr>
                <w:p w14:paraId="74EB14B4">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w:t>
                  </w:r>
                </w:p>
              </w:tc>
              <w:tc>
                <w:tcPr>
                  <w:tcW w:w="1725" w:type="dxa"/>
                  <w:tcBorders>
                    <w:tl2br w:val="nil"/>
                    <w:tr2bl w:val="nil"/>
                  </w:tcBorders>
                  <w:shd w:val="clear" w:color="auto" w:fill="auto"/>
                  <w:vAlign w:val="center"/>
                </w:tcPr>
                <w:p w14:paraId="33E4794C">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超纯水制备系统</w:t>
                  </w:r>
                </w:p>
              </w:tc>
              <w:tc>
                <w:tcPr>
                  <w:tcW w:w="1778" w:type="dxa"/>
                  <w:tcBorders>
                    <w:tl2br w:val="nil"/>
                    <w:tr2bl w:val="nil"/>
                  </w:tcBorders>
                  <w:shd w:val="clear" w:color="auto" w:fill="auto"/>
                  <w:vAlign w:val="center"/>
                </w:tcPr>
                <w:p w14:paraId="054A05EF">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功率</w:t>
                  </w:r>
                  <w:r>
                    <w:rPr>
                      <w:rFonts w:hint="default"/>
                      <w:color w:val="auto"/>
                      <w:lang w:val="en-US" w:eastAsia="zh-CN"/>
                    </w:rPr>
                    <w:t>50kW</w:t>
                  </w:r>
                </w:p>
              </w:tc>
              <w:tc>
                <w:tcPr>
                  <w:tcW w:w="885" w:type="dxa"/>
                  <w:tcBorders>
                    <w:tl2br w:val="nil"/>
                    <w:tr2bl w:val="nil"/>
                  </w:tcBorders>
                  <w:shd w:val="clear" w:color="auto" w:fill="auto"/>
                  <w:vAlign w:val="center"/>
                </w:tcPr>
                <w:p w14:paraId="719CC7DB">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1</w:t>
                  </w:r>
                </w:p>
              </w:tc>
              <w:tc>
                <w:tcPr>
                  <w:tcW w:w="1071" w:type="dxa"/>
                  <w:tcBorders>
                    <w:tl2br w:val="nil"/>
                    <w:tr2bl w:val="nil"/>
                  </w:tcBorders>
                  <w:shd w:val="clear" w:color="auto" w:fill="auto"/>
                  <w:vAlign w:val="center"/>
                </w:tcPr>
                <w:p w14:paraId="6173FECD">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套</w:t>
                  </w:r>
                </w:p>
              </w:tc>
              <w:tc>
                <w:tcPr>
                  <w:tcW w:w="1208" w:type="pct"/>
                  <w:tcBorders>
                    <w:tl2br w:val="nil"/>
                    <w:tr2bl w:val="nil"/>
                  </w:tcBorders>
                  <w:shd w:val="clear" w:color="auto" w:fill="auto"/>
                  <w:vAlign w:val="center"/>
                </w:tcPr>
                <w:p w14:paraId="0907A528">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镀膜车间</w:t>
                  </w:r>
                </w:p>
              </w:tc>
            </w:tr>
            <w:tr w14:paraId="03A628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10" w:type="pct"/>
                  <w:tcBorders>
                    <w:tl2br w:val="nil"/>
                    <w:tr2bl w:val="nil"/>
                  </w:tcBorders>
                  <w:shd w:val="clear" w:color="auto" w:fill="auto"/>
                  <w:vAlign w:val="center"/>
                </w:tcPr>
                <w:p w14:paraId="433403EC">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w:t>
                  </w:r>
                </w:p>
              </w:tc>
              <w:tc>
                <w:tcPr>
                  <w:tcW w:w="1725" w:type="dxa"/>
                  <w:tcBorders>
                    <w:tl2br w:val="nil"/>
                    <w:tr2bl w:val="nil"/>
                  </w:tcBorders>
                  <w:shd w:val="clear" w:color="auto" w:fill="auto"/>
                  <w:vAlign w:val="center"/>
                </w:tcPr>
                <w:p w14:paraId="4F2BC4D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空压机</w:t>
                  </w:r>
                </w:p>
              </w:tc>
              <w:tc>
                <w:tcPr>
                  <w:tcW w:w="1778" w:type="dxa"/>
                  <w:tcBorders>
                    <w:tl2br w:val="nil"/>
                    <w:tr2bl w:val="nil"/>
                  </w:tcBorders>
                  <w:shd w:val="clear" w:color="auto" w:fill="auto"/>
                  <w:vAlign w:val="center"/>
                </w:tcPr>
                <w:p w14:paraId="2B34FC87">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w:t>
                  </w:r>
                </w:p>
              </w:tc>
              <w:tc>
                <w:tcPr>
                  <w:tcW w:w="885" w:type="dxa"/>
                  <w:tcBorders>
                    <w:tl2br w:val="nil"/>
                    <w:tr2bl w:val="nil"/>
                  </w:tcBorders>
                  <w:shd w:val="clear" w:color="auto" w:fill="auto"/>
                  <w:vAlign w:val="center"/>
                </w:tcPr>
                <w:p w14:paraId="085BF37D">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2</w:t>
                  </w:r>
                </w:p>
              </w:tc>
              <w:tc>
                <w:tcPr>
                  <w:tcW w:w="1071" w:type="dxa"/>
                  <w:tcBorders>
                    <w:tl2br w:val="nil"/>
                    <w:tr2bl w:val="nil"/>
                  </w:tcBorders>
                  <w:shd w:val="clear" w:color="auto" w:fill="auto"/>
                  <w:vAlign w:val="center"/>
                </w:tcPr>
                <w:p w14:paraId="30075CD8">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台</w:t>
                  </w:r>
                </w:p>
              </w:tc>
              <w:tc>
                <w:tcPr>
                  <w:tcW w:w="1208" w:type="pct"/>
                  <w:tcBorders>
                    <w:tl2br w:val="nil"/>
                    <w:tr2bl w:val="nil"/>
                  </w:tcBorders>
                  <w:shd w:val="clear" w:color="auto" w:fill="auto"/>
                  <w:vAlign w:val="center"/>
                </w:tcPr>
                <w:p w14:paraId="7AFC6205">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镀膜车间</w:t>
                  </w:r>
                </w:p>
              </w:tc>
            </w:tr>
            <w:tr w14:paraId="4DB49E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10" w:type="pct"/>
                  <w:tcBorders>
                    <w:tl2br w:val="nil"/>
                    <w:tr2bl w:val="nil"/>
                  </w:tcBorders>
                  <w:shd w:val="clear" w:color="auto" w:fill="auto"/>
                  <w:vAlign w:val="center"/>
                </w:tcPr>
                <w:p w14:paraId="2670FA5B">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cs="Times New Roman"/>
                      <w:color w:val="auto"/>
                      <w:lang w:val="en-US" w:eastAsia="zh-CN"/>
                    </w:rPr>
                    <w:t>8</w:t>
                  </w:r>
                </w:p>
              </w:tc>
              <w:tc>
                <w:tcPr>
                  <w:tcW w:w="1725" w:type="dxa"/>
                  <w:tcBorders>
                    <w:tl2br w:val="nil"/>
                    <w:tr2bl w:val="nil"/>
                  </w:tcBorders>
                  <w:shd w:val="clear" w:color="auto" w:fill="auto"/>
                  <w:vAlign w:val="center"/>
                </w:tcPr>
                <w:p w14:paraId="49D12F66">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喷砂机</w:t>
                  </w:r>
                </w:p>
              </w:tc>
              <w:tc>
                <w:tcPr>
                  <w:tcW w:w="1778" w:type="dxa"/>
                  <w:tcBorders>
                    <w:tl2br w:val="nil"/>
                    <w:tr2bl w:val="nil"/>
                  </w:tcBorders>
                  <w:shd w:val="clear" w:color="auto" w:fill="auto"/>
                  <w:vAlign w:val="center"/>
                </w:tcPr>
                <w:p w14:paraId="56A935D6">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w:t>
                  </w:r>
                </w:p>
              </w:tc>
              <w:tc>
                <w:tcPr>
                  <w:tcW w:w="885" w:type="dxa"/>
                  <w:tcBorders>
                    <w:tl2br w:val="nil"/>
                    <w:tr2bl w:val="nil"/>
                  </w:tcBorders>
                  <w:shd w:val="clear" w:color="auto" w:fill="auto"/>
                  <w:vAlign w:val="center"/>
                </w:tcPr>
                <w:p w14:paraId="4AA11853">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w:t>
                  </w:r>
                </w:p>
              </w:tc>
              <w:tc>
                <w:tcPr>
                  <w:tcW w:w="1071" w:type="dxa"/>
                  <w:tcBorders>
                    <w:tl2br w:val="nil"/>
                    <w:tr2bl w:val="nil"/>
                  </w:tcBorders>
                  <w:shd w:val="clear" w:color="auto" w:fill="auto"/>
                  <w:vAlign w:val="center"/>
                </w:tcPr>
                <w:p w14:paraId="663B5947">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台</w:t>
                  </w:r>
                </w:p>
              </w:tc>
              <w:tc>
                <w:tcPr>
                  <w:tcW w:w="1208" w:type="pct"/>
                  <w:tcBorders>
                    <w:tl2br w:val="nil"/>
                    <w:tr2bl w:val="nil"/>
                  </w:tcBorders>
                  <w:shd w:val="clear" w:color="auto" w:fill="auto"/>
                  <w:vAlign w:val="center"/>
                </w:tcPr>
                <w:p w14:paraId="2516A837">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ascii="Times New Roman" w:hAnsi="Times New Roman" w:eastAsia="宋体" w:cs="Times New Roman"/>
                      <w:color w:val="auto"/>
                    </w:rPr>
                    <w:t>镀膜车间</w:t>
                  </w:r>
                </w:p>
              </w:tc>
            </w:tr>
          </w:tbl>
          <w:p w14:paraId="75DABEE8">
            <w:pPr>
              <w:pStyle w:val="3"/>
              <w:numPr>
                <w:ilvl w:val="0"/>
                <w:numId w:val="0"/>
              </w:numPr>
              <w:suppressLineNumbers w:val="0"/>
              <w:bidi w:val="0"/>
              <w:spacing w:before="0" w:beforeAutospacing="0" w:after="0" w:afterAutospacing="0"/>
              <w:ind w:left="0" w:leftChars="0" w:right="0" w:rightChars="0"/>
              <w:rPr>
                <w:rFonts w:hint="eastAsia"/>
                <w:color w:val="auto"/>
                <w:lang w:val="en-US" w:eastAsia="zh-CN"/>
              </w:rPr>
            </w:pPr>
            <w:r>
              <w:rPr>
                <w:rFonts w:hint="eastAsia"/>
                <w:color w:val="auto"/>
                <w:lang w:val="en-US" w:eastAsia="zh-CN"/>
              </w:rPr>
              <w:t>5、平面布置</w:t>
            </w:r>
          </w:p>
          <w:p w14:paraId="7ACC1452">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项目区位于新疆光耀玻璃科技有限公司北侧，生产线位于最北侧镀膜生产车间内，紧邻镀膜车间南侧为成品库房，检测室位于成品库房右侧与镀膜生产车间紧邻，原料玻璃不储存，从新疆光耀玻璃科技有限公司库房直接拉运</w:t>
            </w:r>
            <w:r>
              <w:rPr>
                <w:rFonts w:hint="default"/>
                <w:color w:val="auto"/>
              </w:rPr>
              <w:t>。</w:t>
            </w:r>
            <w:r>
              <w:rPr>
                <w:rFonts w:hint="eastAsia"/>
                <w:color w:val="auto"/>
                <w:lang w:eastAsia="zh-CN"/>
              </w:rPr>
              <w:t>厂区</w:t>
            </w:r>
            <w:r>
              <w:rPr>
                <w:rFonts w:hint="default"/>
                <w:color w:val="auto"/>
              </w:rPr>
              <w:t>平面布置图见附</w:t>
            </w:r>
            <w:r>
              <w:rPr>
                <w:rFonts w:hint="eastAsia"/>
                <w:color w:val="auto"/>
                <w:lang w:eastAsia="zh-CN"/>
              </w:rPr>
              <w:t>图</w:t>
            </w:r>
            <w:r>
              <w:rPr>
                <w:rFonts w:hint="eastAsia"/>
                <w:color w:val="auto"/>
                <w:lang w:val="en-US" w:eastAsia="zh-CN"/>
              </w:rPr>
              <w:t>2-3</w:t>
            </w:r>
            <w:r>
              <w:rPr>
                <w:rFonts w:hint="eastAsia"/>
                <w:color w:val="auto"/>
                <w:lang w:eastAsia="zh-CN"/>
              </w:rPr>
              <w:t>。</w:t>
            </w:r>
          </w:p>
          <w:p w14:paraId="2AD611CD">
            <w:pPr>
              <w:pStyle w:val="3"/>
              <w:numPr>
                <w:ilvl w:val="0"/>
                <w:numId w:val="0"/>
              </w:numPr>
              <w:suppressLineNumbers w:val="0"/>
              <w:bidi w:val="0"/>
              <w:spacing w:before="0" w:beforeAutospacing="0" w:after="0" w:afterAutospacing="0"/>
              <w:ind w:left="0" w:leftChars="0" w:right="0" w:rightChars="0"/>
              <w:rPr>
                <w:rFonts w:hint="eastAsia"/>
                <w:color w:val="auto"/>
                <w:lang w:val="en-US" w:eastAsia="zh-CN"/>
              </w:rPr>
            </w:pPr>
            <w:r>
              <w:rPr>
                <w:rFonts w:hint="eastAsia"/>
                <w:color w:val="auto"/>
                <w:lang w:val="en-US" w:eastAsia="zh-CN"/>
              </w:rPr>
              <w:t>6、劳动定员及工作制度</w:t>
            </w:r>
          </w:p>
          <w:p w14:paraId="15FF5D45">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rPr>
              <w:t>劳动定员：</w:t>
            </w:r>
            <w:r>
              <w:rPr>
                <w:rFonts w:hint="eastAsia"/>
                <w:color w:val="auto"/>
                <w:lang w:eastAsia="zh-CN"/>
              </w:rPr>
              <w:t>劳动人员</w:t>
            </w:r>
            <w:r>
              <w:rPr>
                <w:rFonts w:hint="eastAsia"/>
                <w:color w:val="auto"/>
                <w:lang w:val="en-US" w:eastAsia="zh-CN"/>
              </w:rPr>
              <w:t>40人，不在项目区内食宿，食宿依托新疆光耀玻璃科技有限公司现有生活区。</w:t>
            </w:r>
          </w:p>
          <w:p w14:paraId="6AFC812F">
            <w:pPr>
              <w:keepNext w:val="0"/>
              <w:keepLines w:val="0"/>
              <w:suppressLineNumbers w:val="0"/>
              <w:bidi w:val="0"/>
              <w:spacing w:before="0" w:beforeAutospacing="0" w:after="0" w:afterAutospacing="0"/>
              <w:ind w:left="0" w:right="0"/>
              <w:rPr>
                <w:rFonts w:hint="eastAsia"/>
                <w:color w:val="auto"/>
                <w:lang w:eastAsia="zh-CN"/>
              </w:rPr>
            </w:pPr>
            <w:r>
              <w:rPr>
                <w:rFonts w:hint="default"/>
                <w:color w:val="auto"/>
              </w:rPr>
              <w:t>工作制度：全年生产</w:t>
            </w:r>
            <w:r>
              <w:rPr>
                <w:rFonts w:hint="eastAsia"/>
                <w:color w:val="auto"/>
                <w:lang w:eastAsia="zh-CN"/>
              </w:rPr>
              <w:t>周期</w:t>
            </w:r>
            <w:r>
              <w:rPr>
                <w:rFonts w:hint="default"/>
                <w:color w:val="auto"/>
              </w:rPr>
              <w:t>约</w:t>
            </w:r>
            <w:r>
              <w:rPr>
                <w:rFonts w:hint="eastAsia"/>
                <w:color w:val="auto"/>
                <w:lang w:val="en-US" w:eastAsia="zh-CN"/>
              </w:rPr>
              <w:t>300</w:t>
            </w:r>
            <w:r>
              <w:rPr>
                <w:rFonts w:hint="default"/>
                <w:color w:val="auto"/>
              </w:rPr>
              <w:t>天</w:t>
            </w:r>
            <w:r>
              <w:rPr>
                <w:rFonts w:hint="eastAsia"/>
                <w:color w:val="auto"/>
                <w:lang w:val="en-US" w:eastAsia="zh-CN"/>
              </w:rPr>
              <w:t>，</w:t>
            </w:r>
            <w:r>
              <w:rPr>
                <w:rFonts w:hint="default"/>
                <w:color w:val="auto"/>
                <w:lang w:val="zh-CN"/>
              </w:rPr>
              <w:t>生产工人</w:t>
            </w:r>
            <w:r>
              <w:rPr>
                <w:rFonts w:hint="eastAsia"/>
                <w:color w:val="auto"/>
                <w:lang w:val="zh-CN"/>
              </w:rPr>
              <w:t>三</w:t>
            </w:r>
            <w:r>
              <w:rPr>
                <w:rFonts w:hint="default"/>
                <w:color w:val="auto"/>
                <w:lang w:val="zh-CN"/>
              </w:rPr>
              <w:t>班制</w:t>
            </w:r>
            <w:r>
              <w:rPr>
                <w:rFonts w:hint="eastAsia"/>
                <w:color w:val="auto"/>
                <w:lang w:val="zh-CN"/>
              </w:rPr>
              <w:t>，</w:t>
            </w:r>
            <w:r>
              <w:rPr>
                <w:rFonts w:hint="default"/>
                <w:color w:val="auto"/>
              </w:rPr>
              <w:t>每班</w:t>
            </w:r>
            <w:r>
              <w:rPr>
                <w:rFonts w:hint="eastAsia"/>
                <w:color w:val="auto"/>
                <w:lang w:val="en-US" w:eastAsia="zh-CN"/>
              </w:rPr>
              <w:t>8</w:t>
            </w:r>
            <w:r>
              <w:rPr>
                <w:rFonts w:hint="default"/>
                <w:color w:val="auto"/>
              </w:rPr>
              <w:t>h。</w:t>
            </w:r>
          </w:p>
          <w:p w14:paraId="3BDB2A1B">
            <w:pPr>
              <w:pStyle w:val="3"/>
              <w:numPr>
                <w:ilvl w:val="0"/>
                <w:numId w:val="0"/>
              </w:numPr>
              <w:suppressLineNumbers w:val="0"/>
              <w:bidi w:val="0"/>
              <w:spacing w:before="0" w:beforeAutospacing="0" w:after="0" w:afterAutospacing="0"/>
              <w:ind w:left="0" w:leftChars="0" w:right="0" w:rightChars="0"/>
              <w:rPr>
                <w:rFonts w:hint="default"/>
                <w:color w:val="auto"/>
              </w:rPr>
            </w:pPr>
            <w:r>
              <w:rPr>
                <w:rFonts w:hint="eastAsia"/>
                <w:color w:val="auto"/>
                <w:lang w:val="en-US" w:eastAsia="zh-CN"/>
              </w:rPr>
              <w:t>7、</w:t>
            </w:r>
            <w:r>
              <w:rPr>
                <w:rFonts w:hint="eastAsia"/>
                <w:color w:val="auto"/>
                <w:lang w:eastAsia="zh-CN"/>
              </w:rPr>
              <w:t>公用工程</w:t>
            </w:r>
          </w:p>
          <w:p w14:paraId="0733F064">
            <w:pPr>
              <w:pStyle w:val="3"/>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7.1用水</w:t>
            </w:r>
          </w:p>
          <w:p w14:paraId="7C516CAC">
            <w:pPr>
              <w:keepNext w:val="0"/>
              <w:keepLines w:val="0"/>
              <w:suppressLineNumbers w:val="0"/>
              <w:spacing w:before="0" w:beforeAutospacing="0" w:after="0" w:afterAutospacing="0"/>
              <w:ind w:left="0" w:right="0"/>
              <w:rPr>
                <w:rFonts w:hint="eastAsia"/>
                <w:color w:val="auto"/>
                <w:lang w:eastAsia="zh-CN"/>
              </w:rPr>
            </w:pPr>
            <w:r>
              <w:rPr>
                <w:rFonts w:hint="eastAsia"/>
                <w:color w:val="auto"/>
                <w:lang w:eastAsia="zh-CN"/>
              </w:rPr>
              <w:t>项目的用水主要包括生活用水、镀膜清洗水和镀膜冷却用水。</w:t>
            </w:r>
          </w:p>
          <w:p w14:paraId="284BEA09">
            <w:pPr>
              <w:keepNext w:val="0"/>
              <w:keepLines w:val="0"/>
              <w:suppressLineNumbers w:val="0"/>
              <w:spacing w:before="0" w:beforeAutospacing="0" w:after="0" w:afterAutospacing="0"/>
              <w:ind w:left="0" w:right="0"/>
              <w:rPr>
                <w:rFonts w:hint="eastAsia"/>
                <w:color w:val="auto"/>
                <w:lang w:eastAsia="zh-CN"/>
              </w:rPr>
            </w:pPr>
            <w:r>
              <w:rPr>
                <w:rFonts w:hint="eastAsia"/>
                <w:color w:val="auto"/>
                <w:lang w:eastAsia="zh-CN"/>
              </w:rPr>
              <w:t>（1）生活用水：本项目劳动定员为40人，参考《新疆维吾尔自治区生活用水定额》用水定额为60-80L/人·d，年生300d，则生活用水量为2.8m</w:t>
            </w:r>
            <w:r>
              <w:rPr>
                <w:rFonts w:hint="eastAsia"/>
                <w:color w:val="auto"/>
                <w:vertAlign w:val="superscript"/>
                <w:lang w:eastAsia="zh-CN"/>
              </w:rPr>
              <w:t>3</w:t>
            </w:r>
            <w:r>
              <w:rPr>
                <w:rFonts w:hint="eastAsia"/>
                <w:color w:val="auto"/>
                <w:lang w:eastAsia="zh-CN"/>
              </w:rPr>
              <w:t>/d，84</w:t>
            </w:r>
            <w:r>
              <w:rPr>
                <w:rFonts w:hint="eastAsia"/>
                <w:color w:val="auto"/>
                <w:lang w:val="en-US" w:eastAsia="zh-CN"/>
              </w:rPr>
              <w:t>0</w:t>
            </w:r>
            <w:r>
              <w:rPr>
                <w:rFonts w:hint="eastAsia"/>
                <w:color w:val="auto"/>
                <w:lang w:eastAsia="zh-CN"/>
              </w:rPr>
              <w:t>m</w:t>
            </w:r>
            <w:r>
              <w:rPr>
                <w:rFonts w:hint="eastAsia"/>
                <w:color w:val="auto"/>
                <w:vertAlign w:val="superscript"/>
                <w:lang w:eastAsia="zh-CN"/>
              </w:rPr>
              <w:t>3</w:t>
            </w:r>
            <w:r>
              <w:rPr>
                <w:rFonts w:hint="eastAsia"/>
                <w:color w:val="auto"/>
                <w:lang w:eastAsia="zh-CN"/>
              </w:rPr>
              <w:t>/a。</w:t>
            </w:r>
          </w:p>
          <w:p w14:paraId="4657E829">
            <w:pPr>
              <w:keepNext w:val="0"/>
              <w:keepLines w:val="0"/>
              <w:suppressLineNumbers w:val="0"/>
              <w:spacing w:before="0" w:beforeAutospacing="0" w:after="0" w:afterAutospacing="0"/>
              <w:ind w:left="0" w:right="0"/>
              <w:rPr>
                <w:rFonts w:hint="default"/>
                <w:color w:val="auto"/>
                <w:lang w:val="en-US" w:eastAsia="zh-CN"/>
              </w:rPr>
            </w:pPr>
            <w:r>
              <w:rPr>
                <w:rFonts w:hint="eastAsia"/>
                <w:color w:val="auto"/>
                <w:lang w:eastAsia="zh-CN"/>
              </w:rPr>
              <w:t>（2）</w:t>
            </w:r>
            <w:r>
              <w:rPr>
                <w:rFonts w:hint="eastAsia"/>
                <w:color w:val="auto"/>
                <w:lang w:val="en-US" w:eastAsia="zh-CN"/>
              </w:rPr>
              <w:t>软化水制备系统</w:t>
            </w:r>
          </w:p>
          <w:p w14:paraId="74D3EDEB">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①</w:t>
            </w:r>
            <w:r>
              <w:rPr>
                <w:rFonts w:hint="eastAsia"/>
                <w:color w:val="auto"/>
                <w:lang w:eastAsia="zh-CN"/>
              </w:rPr>
              <w:t>镀膜清洗水：清洗用水来自项目纯水制备系统，用于清洗平板玻璃表面杂质，废水主要污染物为悬浮物SS。清洗废水经处理后回用，同时补充纯水弥补</w:t>
            </w:r>
            <w:r>
              <w:rPr>
                <w:rFonts w:hint="eastAsia"/>
                <w:color w:val="auto"/>
                <w:lang w:val="en-US" w:eastAsia="zh-CN"/>
              </w:rPr>
              <w:t>玻璃清洗</w:t>
            </w:r>
            <w:r>
              <w:rPr>
                <w:rFonts w:hint="default"/>
                <w:color w:val="auto"/>
              </w:rPr>
              <w:t>系统蒸发、工件携带等损耗</w:t>
            </w:r>
            <w:r>
              <w:rPr>
                <w:rFonts w:hint="eastAsia"/>
                <w:color w:val="auto"/>
                <w:lang w:eastAsia="zh-CN"/>
              </w:rPr>
              <w:t>。根据设计资料，镀膜清洗纯水水量为</w:t>
            </w:r>
            <w:r>
              <w:rPr>
                <w:rFonts w:hint="eastAsia"/>
                <w:color w:val="auto"/>
                <w:lang w:val="en-US" w:eastAsia="zh-CN"/>
              </w:rPr>
              <w:t>7</w:t>
            </w:r>
            <w:r>
              <w:rPr>
                <w:rFonts w:hint="eastAsia"/>
                <w:color w:val="auto"/>
                <w:lang w:eastAsia="zh-CN"/>
              </w:rPr>
              <w:t>m</w:t>
            </w:r>
            <w:r>
              <w:rPr>
                <w:rFonts w:hint="eastAsia"/>
                <w:color w:val="auto"/>
                <w:vertAlign w:val="superscript"/>
                <w:lang w:eastAsia="zh-CN"/>
              </w:rPr>
              <w:t>3</w:t>
            </w:r>
            <w:r>
              <w:rPr>
                <w:rFonts w:hint="eastAsia"/>
                <w:color w:val="auto"/>
                <w:lang w:eastAsia="zh-CN"/>
              </w:rPr>
              <w:t>/d，</w:t>
            </w:r>
            <w:r>
              <w:rPr>
                <w:rFonts w:hint="eastAsia"/>
                <w:color w:val="auto"/>
                <w:lang w:val="en-US" w:eastAsia="zh-CN"/>
              </w:rPr>
              <w:t>2100</w:t>
            </w:r>
            <w:r>
              <w:rPr>
                <w:rFonts w:hint="eastAsia"/>
                <w:color w:val="auto"/>
                <w:lang w:eastAsia="zh-CN"/>
              </w:rPr>
              <w:t>m</w:t>
            </w:r>
            <w:r>
              <w:rPr>
                <w:rFonts w:hint="eastAsia"/>
                <w:color w:val="auto"/>
                <w:vertAlign w:val="superscript"/>
                <w:lang w:eastAsia="zh-CN"/>
              </w:rPr>
              <w:t>3</w:t>
            </w:r>
            <w:r>
              <w:rPr>
                <w:rFonts w:hint="eastAsia"/>
                <w:color w:val="auto"/>
                <w:lang w:eastAsia="zh-CN"/>
              </w:rPr>
              <w:t>/a，</w:t>
            </w:r>
            <w:r>
              <w:rPr>
                <w:rFonts w:hint="eastAsia"/>
                <w:color w:val="auto"/>
                <w:lang w:val="en-US" w:eastAsia="zh-CN"/>
              </w:rPr>
              <w:t>清洗水经污水处理系统处理后回用至纯水制备系统。</w:t>
            </w:r>
          </w:p>
          <w:p w14:paraId="0D8A0C02">
            <w:pPr>
              <w:keepNext w:val="0"/>
              <w:keepLines w:val="0"/>
              <w:numPr>
                <w:ilvl w:val="0"/>
                <w:numId w:val="0"/>
              </w:numPr>
              <w:suppressLineNumbers w:val="0"/>
              <w:spacing w:before="0" w:beforeAutospacing="0" w:after="0" w:afterAutospacing="0"/>
              <w:ind w:left="0" w:leftChars="0" w:right="0" w:rightChars="0" w:firstLine="480" w:firstLineChars="200"/>
              <w:rPr>
                <w:rFonts w:hint="eastAsia"/>
                <w:color w:val="auto"/>
                <w:lang w:eastAsia="zh-CN"/>
              </w:rPr>
            </w:pPr>
            <w:r>
              <w:rPr>
                <w:rFonts w:hint="eastAsia" w:cs="Times New Roman"/>
                <w:color w:val="auto"/>
                <w:kern w:val="2"/>
                <w:sz w:val="24"/>
                <w:szCs w:val="24"/>
                <w:lang w:val="en-US" w:eastAsia="zh-CN" w:bidi="ar-SA"/>
              </w:rPr>
              <w:t>②</w:t>
            </w:r>
            <w:r>
              <w:rPr>
                <w:rFonts w:hint="eastAsia"/>
                <w:color w:val="auto"/>
                <w:lang w:eastAsia="zh-CN"/>
              </w:rPr>
              <w:t>镀膜冷却水：镀膜冷却水来自项目纯水制备系统，镀膜设备真空泵、靶材的冷却循环补水，镀膜为真空磁控溅射工艺，镀膜工序本身不消耗工艺用水，冷却水系统内部循环，仅补充蒸发损耗水量，</w:t>
            </w:r>
            <w:r>
              <w:rPr>
                <w:rFonts w:hint="eastAsia"/>
                <w:color w:val="auto"/>
                <w:lang w:val="en-US" w:eastAsia="zh-CN"/>
              </w:rPr>
              <w:t>补水为纯水，</w:t>
            </w:r>
            <w:r>
              <w:rPr>
                <w:rFonts w:hint="eastAsia"/>
                <w:color w:val="auto"/>
                <w:lang w:eastAsia="zh-CN"/>
              </w:rPr>
              <w:t>补水量为6m</w:t>
            </w:r>
            <w:r>
              <w:rPr>
                <w:rFonts w:hint="eastAsia"/>
                <w:color w:val="auto"/>
                <w:vertAlign w:val="superscript"/>
                <w:lang w:eastAsia="zh-CN"/>
              </w:rPr>
              <w:t>3</w:t>
            </w:r>
            <w:r>
              <w:rPr>
                <w:rFonts w:hint="eastAsia"/>
                <w:color w:val="auto"/>
                <w:lang w:eastAsia="zh-CN"/>
              </w:rPr>
              <w:t>/d，1800m</w:t>
            </w:r>
            <w:r>
              <w:rPr>
                <w:rFonts w:hint="eastAsia"/>
                <w:color w:val="auto"/>
                <w:vertAlign w:val="superscript"/>
                <w:lang w:eastAsia="zh-CN"/>
              </w:rPr>
              <w:t>3</w:t>
            </w:r>
            <w:r>
              <w:rPr>
                <w:rFonts w:hint="eastAsia"/>
                <w:color w:val="auto"/>
                <w:lang w:eastAsia="zh-CN"/>
              </w:rPr>
              <w:t>/a。</w:t>
            </w:r>
          </w:p>
          <w:p w14:paraId="1E87789C">
            <w:pPr>
              <w:keepNext w:val="0"/>
              <w:keepLines w:val="0"/>
              <w:numPr>
                <w:ilvl w:val="0"/>
                <w:numId w:val="0"/>
              </w:numPr>
              <w:suppressLineNumbers w:val="0"/>
              <w:spacing w:before="0" w:beforeAutospacing="0" w:after="0" w:afterAutospacing="0"/>
              <w:ind w:left="0" w:leftChars="0" w:right="0" w:rightChars="0" w:firstLine="480" w:firstLineChars="200"/>
              <w:rPr>
                <w:rFonts w:hint="eastAsia"/>
                <w:color w:val="auto"/>
                <w:lang w:eastAsia="zh-CN"/>
              </w:rPr>
            </w:pPr>
            <w:r>
              <w:rPr>
                <w:rFonts w:hint="eastAsia"/>
                <w:color w:val="auto"/>
                <w:lang w:eastAsia="zh-CN"/>
              </w:rPr>
              <w:t>纯水制备系统的得水率为70%，则</w:t>
            </w:r>
            <w:r>
              <w:rPr>
                <w:rFonts w:hint="eastAsia"/>
                <w:color w:val="auto"/>
                <w:lang w:val="en-US" w:eastAsia="zh-CN"/>
              </w:rPr>
              <w:t>软化水制备系统</w:t>
            </w:r>
            <w:r>
              <w:rPr>
                <w:rFonts w:hint="eastAsia"/>
                <w:color w:val="auto"/>
                <w:lang w:eastAsia="zh-CN"/>
              </w:rPr>
              <w:t>用水为</w:t>
            </w:r>
            <w:r>
              <w:rPr>
                <w:rFonts w:hint="eastAsia"/>
                <w:color w:val="auto"/>
                <w:lang w:val="en-US" w:eastAsia="zh-CN"/>
              </w:rPr>
              <w:t>18.57</w:t>
            </w:r>
            <w:r>
              <w:rPr>
                <w:rFonts w:hint="eastAsia"/>
                <w:color w:val="auto"/>
                <w:lang w:eastAsia="zh-CN"/>
              </w:rPr>
              <w:t>m</w:t>
            </w:r>
            <w:r>
              <w:rPr>
                <w:rFonts w:hint="eastAsia"/>
                <w:color w:val="auto"/>
                <w:vertAlign w:val="superscript"/>
                <w:lang w:eastAsia="zh-CN"/>
              </w:rPr>
              <w:t>3</w:t>
            </w:r>
            <w:r>
              <w:rPr>
                <w:rFonts w:hint="eastAsia"/>
                <w:color w:val="auto"/>
                <w:lang w:eastAsia="zh-CN"/>
              </w:rPr>
              <w:t>/d，，</w:t>
            </w:r>
            <w:r>
              <w:rPr>
                <w:rFonts w:hint="eastAsia"/>
                <w:color w:val="auto"/>
                <w:lang w:val="en-US" w:eastAsia="zh-CN"/>
              </w:rPr>
              <w:t>其中循环水为6.3m</w:t>
            </w:r>
            <w:r>
              <w:rPr>
                <w:rFonts w:hint="eastAsia"/>
                <w:color w:val="auto"/>
                <w:vertAlign w:val="superscript"/>
                <w:lang w:val="en-US" w:eastAsia="zh-CN"/>
              </w:rPr>
              <w:t>3</w:t>
            </w:r>
            <w:r>
              <w:rPr>
                <w:rFonts w:hint="eastAsia"/>
                <w:color w:val="auto"/>
                <w:lang w:val="en-US" w:eastAsia="zh-CN"/>
              </w:rPr>
              <w:t>/d，新鲜水为12.27m</w:t>
            </w:r>
            <w:r>
              <w:rPr>
                <w:rFonts w:hint="eastAsia"/>
                <w:color w:val="auto"/>
                <w:vertAlign w:val="superscript"/>
                <w:lang w:val="en-US" w:eastAsia="zh-CN"/>
              </w:rPr>
              <w:t>3</w:t>
            </w:r>
            <w:r>
              <w:rPr>
                <w:rFonts w:hint="eastAsia"/>
                <w:color w:val="auto"/>
                <w:lang w:val="en-US" w:eastAsia="zh-CN"/>
              </w:rPr>
              <w:t>/d</w:t>
            </w:r>
            <w:r>
              <w:rPr>
                <w:rFonts w:hint="eastAsia"/>
                <w:color w:val="auto"/>
                <w:lang w:eastAsia="zh-CN"/>
              </w:rPr>
              <w:t>；软化浓水为</w:t>
            </w:r>
            <w:r>
              <w:rPr>
                <w:rFonts w:hint="eastAsia"/>
                <w:color w:val="auto"/>
                <w:lang w:val="en-US" w:eastAsia="zh-CN"/>
              </w:rPr>
              <w:t>5.571</w:t>
            </w:r>
            <w:r>
              <w:rPr>
                <w:rFonts w:hint="eastAsia"/>
                <w:color w:val="auto"/>
                <w:lang w:eastAsia="zh-CN"/>
              </w:rPr>
              <w:t>m</w:t>
            </w:r>
            <w:r>
              <w:rPr>
                <w:rFonts w:hint="eastAsia"/>
                <w:color w:val="auto"/>
                <w:vertAlign w:val="superscript"/>
                <w:lang w:eastAsia="zh-CN"/>
              </w:rPr>
              <w:t>3</w:t>
            </w:r>
            <w:r>
              <w:rPr>
                <w:rFonts w:hint="eastAsia"/>
                <w:color w:val="auto"/>
                <w:lang w:eastAsia="zh-CN"/>
              </w:rPr>
              <w:t>/d，</w:t>
            </w:r>
            <w:r>
              <w:rPr>
                <w:rFonts w:hint="eastAsia"/>
                <w:color w:val="auto"/>
                <w:lang w:val="en-US" w:eastAsia="zh-CN"/>
              </w:rPr>
              <w:t>1671</w:t>
            </w:r>
            <w:r>
              <w:rPr>
                <w:rFonts w:hint="eastAsia"/>
                <w:color w:val="auto"/>
                <w:lang w:eastAsia="zh-CN"/>
              </w:rPr>
              <w:t>m</w:t>
            </w:r>
            <w:r>
              <w:rPr>
                <w:rFonts w:hint="eastAsia"/>
                <w:color w:val="auto"/>
                <w:vertAlign w:val="superscript"/>
                <w:lang w:eastAsia="zh-CN"/>
              </w:rPr>
              <w:t>3</w:t>
            </w:r>
            <w:r>
              <w:rPr>
                <w:rFonts w:hint="eastAsia"/>
                <w:color w:val="auto"/>
                <w:lang w:eastAsia="zh-CN"/>
              </w:rPr>
              <w:t>/a。</w:t>
            </w:r>
          </w:p>
          <w:p w14:paraId="11E60F4B">
            <w:pPr>
              <w:pStyle w:val="3"/>
              <w:suppressLineNumbers w:val="0"/>
              <w:bidi w:val="0"/>
              <w:spacing w:before="0" w:beforeAutospacing="0" w:after="0" w:afterAutospacing="0"/>
              <w:ind w:left="0" w:right="0"/>
              <w:rPr>
                <w:rFonts w:hint="eastAsia"/>
                <w:color w:val="auto"/>
                <w:lang w:eastAsia="zh-CN"/>
              </w:rPr>
            </w:pPr>
            <w:r>
              <w:rPr>
                <w:rFonts w:hint="eastAsia"/>
                <w:color w:val="auto"/>
                <w:lang w:eastAsia="zh-CN"/>
              </w:rPr>
              <w:t>7.2排水</w:t>
            </w:r>
          </w:p>
          <w:p w14:paraId="6D2DCDBE">
            <w:pPr>
              <w:keepNext w:val="0"/>
              <w:keepLines w:val="0"/>
              <w:suppressLineNumbers w:val="0"/>
              <w:spacing w:before="0" w:beforeAutospacing="0" w:after="0" w:afterAutospacing="0"/>
              <w:ind w:left="0" w:right="0"/>
              <w:rPr>
                <w:rFonts w:hint="eastAsia"/>
                <w:color w:val="auto"/>
                <w:lang w:eastAsia="zh-CN"/>
              </w:rPr>
            </w:pPr>
            <w:r>
              <w:rPr>
                <w:rFonts w:hint="eastAsia"/>
                <w:color w:val="auto"/>
                <w:lang w:eastAsia="zh-CN"/>
              </w:rPr>
              <w:t>生活污水：本项目生活用水量为2.8m</w:t>
            </w:r>
            <w:r>
              <w:rPr>
                <w:rFonts w:hint="eastAsia"/>
                <w:color w:val="auto"/>
                <w:vertAlign w:val="superscript"/>
                <w:lang w:eastAsia="zh-CN"/>
              </w:rPr>
              <w:t>3</w:t>
            </w:r>
            <w:r>
              <w:rPr>
                <w:rFonts w:hint="eastAsia"/>
                <w:color w:val="auto"/>
                <w:lang w:eastAsia="zh-CN"/>
              </w:rPr>
              <w:t>/d，84</w:t>
            </w:r>
            <w:r>
              <w:rPr>
                <w:rFonts w:hint="eastAsia"/>
                <w:color w:val="auto"/>
                <w:lang w:val="en-US" w:eastAsia="zh-CN"/>
              </w:rPr>
              <w:t>0</w:t>
            </w:r>
            <w:r>
              <w:rPr>
                <w:rFonts w:hint="eastAsia"/>
                <w:color w:val="auto"/>
                <w:lang w:eastAsia="zh-CN"/>
              </w:rPr>
              <w:t>m</w:t>
            </w:r>
            <w:r>
              <w:rPr>
                <w:rFonts w:hint="eastAsia"/>
                <w:color w:val="auto"/>
                <w:vertAlign w:val="superscript"/>
                <w:lang w:eastAsia="zh-CN"/>
              </w:rPr>
              <w:t>3</w:t>
            </w:r>
            <w:r>
              <w:rPr>
                <w:rFonts w:hint="eastAsia"/>
                <w:color w:val="auto"/>
                <w:lang w:eastAsia="zh-CN"/>
              </w:rPr>
              <w:t>/a。排水量按用水量80%计，则排水量为2.24m</w:t>
            </w:r>
            <w:r>
              <w:rPr>
                <w:rFonts w:hint="eastAsia"/>
                <w:color w:val="auto"/>
                <w:vertAlign w:val="superscript"/>
                <w:lang w:eastAsia="zh-CN"/>
              </w:rPr>
              <w:t>3</w:t>
            </w:r>
            <w:r>
              <w:rPr>
                <w:rFonts w:hint="eastAsia"/>
                <w:color w:val="auto"/>
                <w:lang w:eastAsia="zh-CN"/>
              </w:rPr>
              <w:t>/d，</w:t>
            </w:r>
            <w:r>
              <w:rPr>
                <w:rFonts w:hint="eastAsia"/>
                <w:color w:val="auto"/>
                <w:lang w:val="en-US" w:eastAsia="zh-CN"/>
              </w:rPr>
              <w:t>672</w:t>
            </w:r>
            <w:r>
              <w:rPr>
                <w:rFonts w:hint="eastAsia"/>
                <w:color w:val="auto"/>
                <w:lang w:eastAsia="zh-CN"/>
              </w:rPr>
              <w:t>m</w:t>
            </w:r>
            <w:r>
              <w:rPr>
                <w:rFonts w:hint="eastAsia"/>
                <w:color w:val="auto"/>
                <w:vertAlign w:val="superscript"/>
                <w:lang w:eastAsia="zh-CN"/>
              </w:rPr>
              <w:t>3</w:t>
            </w:r>
            <w:r>
              <w:rPr>
                <w:rFonts w:hint="eastAsia"/>
                <w:color w:val="auto"/>
                <w:lang w:eastAsia="zh-CN"/>
              </w:rPr>
              <w:t>/a。生活污水排入园区下水管网，最终进入拉依苏化工区污水处理厂。</w:t>
            </w:r>
          </w:p>
          <w:p w14:paraId="16EF48B4">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eastAsia="zh-CN"/>
              </w:rPr>
              <w:t>工业废水：镀膜清洗水和镀膜冷却水纯水制备系统会产生浓水，产生量约</w:t>
            </w:r>
            <w:r>
              <w:rPr>
                <w:rFonts w:hint="eastAsia"/>
                <w:color w:val="auto"/>
                <w:lang w:val="en-US" w:eastAsia="zh-CN"/>
              </w:rPr>
              <w:t>1671</w:t>
            </w:r>
            <w:r>
              <w:rPr>
                <w:rFonts w:hint="eastAsia"/>
                <w:color w:val="auto"/>
                <w:lang w:eastAsia="zh-CN"/>
              </w:rPr>
              <w:t>m</w:t>
            </w:r>
            <w:r>
              <w:rPr>
                <w:rFonts w:hint="eastAsia"/>
                <w:color w:val="auto"/>
                <w:vertAlign w:val="superscript"/>
                <w:lang w:eastAsia="zh-CN"/>
              </w:rPr>
              <w:t>3</w:t>
            </w:r>
            <w:r>
              <w:rPr>
                <w:rFonts w:hint="eastAsia"/>
                <w:color w:val="auto"/>
                <w:lang w:eastAsia="zh-CN"/>
              </w:rPr>
              <w:t>/a。生产废水统一收集后排入园区下水管网，最终进入拉依苏化工区污水处理厂。</w:t>
            </w:r>
          </w:p>
          <w:p w14:paraId="6563425A">
            <w:pPr>
              <w:keepNext w:val="0"/>
              <w:keepLines w:val="0"/>
              <w:suppressLineNumbers w:val="0"/>
              <w:spacing w:before="0" w:beforeAutospacing="0" w:after="0" w:afterAutospacing="0"/>
              <w:ind w:left="0" w:leftChars="0" w:right="0" w:firstLine="0" w:firstLineChars="0"/>
              <w:rPr>
                <w:rFonts w:hint="eastAsia"/>
                <w:color w:val="auto"/>
                <w:lang w:val="en-US" w:eastAsia="zh-CN"/>
              </w:rPr>
            </w:pPr>
            <w:r>
              <w:rPr>
                <w:rFonts w:hint="eastAsia"/>
                <w:color w:val="auto"/>
                <w:lang w:val="en-US" w:eastAsia="zh-CN"/>
              </w:rPr>
              <w:drawing>
                <wp:inline distT="0" distB="0" distL="114300" distR="114300">
                  <wp:extent cx="5110480" cy="3023235"/>
                  <wp:effectExtent l="0" t="0" r="13970" b="5715"/>
                  <wp:docPr id="10" name="图片 10" descr="光耀水平衡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光耀水平衡1"/>
                          <pic:cNvPicPr>
                            <a:picLocks noChangeAspect="1"/>
                          </pic:cNvPicPr>
                        </pic:nvPicPr>
                        <pic:blipFill>
                          <a:blip r:embed="rId11"/>
                          <a:stretch>
                            <a:fillRect/>
                          </a:stretch>
                        </pic:blipFill>
                        <pic:spPr>
                          <a:xfrm>
                            <a:off x="0" y="0"/>
                            <a:ext cx="5110480" cy="3023235"/>
                          </a:xfrm>
                          <a:prstGeom prst="rect">
                            <a:avLst/>
                          </a:prstGeom>
                        </pic:spPr>
                      </pic:pic>
                    </a:graphicData>
                  </a:graphic>
                </wp:inline>
              </w:drawing>
            </w:r>
          </w:p>
          <w:p w14:paraId="56CC5D94">
            <w:pPr>
              <w:pStyle w:val="5"/>
              <w:keepNext w:val="0"/>
              <w:keepLines w:val="0"/>
              <w:suppressLineNumbers w:val="0"/>
              <w:bidi w:val="0"/>
              <w:spacing w:before="0" w:beforeAutospacing="0" w:after="0" w:afterAutospacing="0"/>
              <w:ind w:left="0" w:right="0"/>
              <w:jc w:val="center"/>
              <w:rPr>
                <w:rFonts w:hint="eastAsia"/>
                <w:color w:val="auto"/>
                <w:lang w:val="en-US" w:eastAsia="zh-CN"/>
              </w:rPr>
            </w:pPr>
            <w:r>
              <w:rPr>
                <w:rFonts w:hint="eastAsia"/>
                <w:color w:val="auto"/>
                <w:lang w:val="en-US" w:eastAsia="zh-CN"/>
              </w:rPr>
              <w:t>图2-1 项目水平衡图（m</w:t>
            </w:r>
            <w:r>
              <w:rPr>
                <w:rFonts w:hint="eastAsia"/>
                <w:color w:val="auto"/>
                <w:vertAlign w:val="superscript"/>
                <w:lang w:val="en-US" w:eastAsia="zh-CN"/>
              </w:rPr>
              <w:t>3</w:t>
            </w:r>
            <w:r>
              <w:rPr>
                <w:rFonts w:hint="eastAsia"/>
                <w:color w:val="auto"/>
                <w:lang w:val="en-US" w:eastAsia="zh-CN"/>
              </w:rPr>
              <w:t>/d）</w:t>
            </w:r>
          </w:p>
          <w:p w14:paraId="1EB6C044">
            <w:pPr>
              <w:pStyle w:val="3"/>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7.3供电</w:t>
            </w:r>
          </w:p>
          <w:p w14:paraId="5B853BD6">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来自国家电网，用电有保障。</w:t>
            </w:r>
          </w:p>
          <w:p w14:paraId="58698ABA">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7.4供热</w:t>
            </w:r>
          </w:p>
          <w:p w14:paraId="6622F3E5">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生产车间无需供热，办公生活区依托新疆光耀玻璃科技有限公司办公室生活区，供热来自锅炉。</w:t>
            </w:r>
          </w:p>
        </w:tc>
      </w:tr>
      <w:tr w14:paraId="5503D0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7" w:type="pct"/>
            <w:tcBorders>
              <w:tl2br w:val="nil"/>
              <w:tr2bl w:val="nil"/>
            </w:tcBorders>
            <w:vAlign w:val="center"/>
          </w:tcPr>
          <w:p w14:paraId="50B9B3FD">
            <w:pPr>
              <w:pStyle w:val="10"/>
              <w:keepNext w:val="0"/>
              <w:keepLines w:val="0"/>
              <w:suppressLineNumbers w:val="0"/>
              <w:bidi w:val="0"/>
              <w:spacing w:before="0" w:beforeAutospacing="0" w:after="0" w:afterAutospacing="0"/>
              <w:ind w:left="0" w:right="0"/>
              <w:rPr>
                <w:rFonts w:hint="default" w:cs="宋体"/>
                <w:color w:val="auto"/>
                <w:szCs w:val="21"/>
              </w:rPr>
            </w:pPr>
            <w:r>
              <w:rPr>
                <w:rFonts w:hint="eastAsia"/>
                <w:color w:val="auto"/>
                <w:lang w:val="en-US" w:eastAsia="zh-CN"/>
              </w:rPr>
              <w:t>工艺流程和产排污环节</w:t>
            </w:r>
          </w:p>
        </w:tc>
        <w:tc>
          <w:tcPr>
            <w:tcW w:w="4512" w:type="pct"/>
            <w:tcBorders>
              <w:tl2br w:val="nil"/>
              <w:tr2bl w:val="nil"/>
            </w:tcBorders>
            <w:vAlign w:val="top"/>
          </w:tcPr>
          <w:p w14:paraId="0266BE49">
            <w:pPr>
              <w:pStyle w:val="3"/>
              <w:numPr>
                <w:ilvl w:val="0"/>
                <w:numId w:val="10"/>
              </w:numPr>
              <w:suppressLineNumbers w:val="0"/>
              <w:bidi w:val="0"/>
              <w:spacing w:before="0" w:beforeAutospacing="0" w:after="0" w:afterAutospacing="0"/>
              <w:ind w:left="0" w:leftChars="0" w:right="0" w:rightChars="0"/>
              <w:rPr>
                <w:rFonts w:hint="eastAsia"/>
                <w:color w:val="auto"/>
                <w:lang w:eastAsia="zh-CN"/>
              </w:rPr>
            </w:pPr>
            <w:r>
              <w:rPr>
                <w:rFonts w:hint="eastAsia"/>
                <w:color w:val="auto"/>
                <w:lang w:val="en-US" w:eastAsia="zh-CN"/>
              </w:rPr>
              <w:t>施工期</w:t>
            </w:r>
            <w:r>
              <w:rPr>
                <w:rFonts w:hint="eastAsia"/>
                <w:color w:val="auto"/>
                <w:lang w:eastAsia="zh-CN"/>
              </w:rPr>
              <w:t>工艺流程和产排污环节</w:t>
            </w:r>
          </w:p>
          <w:p w14:paraId="5425057F">
            <w:pPr>
              <w:keepNext w:val="0"/>
              <w:keepLines w:val="0"/>
              <w:numPr>
                <w:ilvl w:val="0"/>
                <w:numId w:val="0"/>
              </w:numPr>
              <w:suppressLineNumbers w:val="0"/>
              <w:spacing w:before="0" w:beforeAutospacing="0" w:after="0" w:afterAutospacing="0"/>
              <w:ind w:left="0" w:right="0" w:rightChars="0"/>
              <w:jc w:val="center"/>
              <w:rPr>
                <w:rFonts w:hint="eastAsia"/>
                <w:color w:val="auto"/>
                <w:lang w:val="en-US" w:eastAsia="zh-CN"/>
              </w:rPr>
            </w:pPr>
            <w:r>
              <w:rPr>
                <w:rFonts w:hint="eastAsia"/>
                <w:color w:val="auto"/>
                <w:lang w:val="en-US" w:eastAsia="zh-CN"/>
              </w:rPr>
              <w:drawing>
                <wp:inline distT="0" distB="0" distL="114300" distR="114300">
                  <wp:extent cx="3009900" cy="2771775"/>
                  <wp:effectExtent l="0" t="0" r="0" b="9525"/>
                  <wp:docPr id="6" name="图片 6" descr="e06251e164e091418a2de25679d2ce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06251e164e091418a2de25679d2ce0a"/>
                          <pic:cNvPicPr>
                            <a:picLocks noChangeAspect="1"/>
                          </pic:cNvPicPr>
                        </pic:nvPicPr>
                        <pic:blipFill>
                          <a:blip r:embed="rId12"/>
                          <a:stretch>
                            <a:fillRect/>
                          </a:stretch>
                        </pic:blipFill>
                        <pic:spPr>
                          <a:xfrm>
                            <a:off x="0" y="0"/>
                            <a:ext cx="3009900" cy="2771775"/>
                          </a:xfrm>
                          <a:prstGeom prst="rect">
                            <a:avLst/>
                          </a:prstGeom>
                        </pic:spPr>
                      </pic:pic>
                    </a:graphicData>
                  </a:graphic>
                </wp:inline>
              </w:drawing>
            </w:r>
          </w:p>
          <w:p w14:paraId="152AC0FB">
            <w:pPr>
              <w:pStyle w:val="5"/>
              <w:keepNext w:val="0"/>
              <w:keepLines w:val="0"/>
              <w:suppressLineNumbers w:val="0"/>
              <w:bidi w:val="0"/>
              <w:spacing w:before="0" w:beforeAutospacing="0" w:after="0" w:afterAutospacing="0"/>
              <w:ind w:left="0" w:leftChars="0" w:right="0" w:firstLine="0" w:firstLineChars="0"/>
              <w:jc w:val="center"/>
              <w:rPr>
                <w:rFonts w:hint="eastAsia"/>
                <w:color w:val="auto"/>
                <w:lang w:val="en-US" w:eastAsia="zh-CN"/>
              </w:rPr>
            </w:pPr>
            <w:r>
              <w:rPr>
                <w:rFonts w:hint="eastAsia"/>
                <w:color w:val="auto"/>
                <w:lang w:val="en-US" w:eastAsia="zh-CN"/>
              </w:rPr>
              <w:t>图2-2 施工工艺流程及产污环节图</w:t>
            </w:r>
          </w:p>
          <w:p w14:paraId="2C9FFDF0">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工艺流程简述：</w:t>
            </w:r>
          </w:p>
          <w:p w14:paraId="28F3622E">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（1）设备安装阶段：租用新疆光耀玻璃科技有限公司生产车间，进行生产设备、配套设施的安装、调试作业。</w:t>
            </w:r>
          </w:p>
          <w:p w14:paraId="5DD5810F">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（2）竣工阶段：完成施工收尾、场地清理、验收等工作，施工期结束。</w:t>
            </w:r>
          </w:p>
          <w:p w14:paraId="498F72A3">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噪声：运输车辆设备安装等产生噪声；</w:t>
            </w:r>
          </w:p>
          <w:p w14:paraId="4136B8A3">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废气：设备安装存在焊接产生少量焊接烟尘；</w:t>
            </w:r>
          </w:p>
          <w:p w14:paraId="09D884AE">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eastAsia="zh-CN"/>
              </w:rPr>
              <w:t>固废：设备到场的基本包装物，安装产生的金属边角料等</w:t>
            </w:r>
            <w:r>
              <w:rPr>
                <w:rFonts w:hint="eastAsia"/>
                <w:color w:val="auto"/>
                <w:lang w:val="en-US" w:eastAsia="zh-CN"/>
              </w:rPr>
              <w:t>。</w:t>
            </w:r>
          </w:p>
          <w:p w14:paraId="6C273A12">
            <w:pPr>
              <w:pStyle w:val="3"/>
              <w:numPr>
                <w:ilvl w:val="0"/>
                <w:numId w:val="10"/>
              </w:numPr>
              <w:suppressLineNumbers w:val="0"/>
              <w:bidi w:val="0"/>
              <w:spacing w:before="0" w:beforeAutospacing="0" w:after="0" w:afterAutospacing="0"/>
              <w:ind w:left="0" w:leftChars="0" w:right="0" w:rightChars="0" w:firstLine="0" w:firstLineChars="0"/>
              <w:rPr>
                <w:rFonts w:hint="eastAsia"/>
                <w:color w:val="auto"/>
                <w:lang w:eastAsia="zh-CN"/>
              </w:rPr>
            </w:pPr>
            <w:r>
              <w:rPr>
                <w:rFonts w:hint="eastAsia"/>
                <w:color w:val="auto"/>
                <w:lang w:val="en-US" w:eastAsia="zh-CN"/>
              </w:rPr>
              <w:t>运营期</w:t>
            </w:r>
            <w:r>
              <w:rPr>
                <w:rFonts w:hint="eastAsia"/>
                <w:color w:val="auto"/>
                <w:lang w:eastAsia="zh-CN"/>
              </w:rPr>
              <w:t>工艺流程和产排污环节</w:t>
            </w:r>
          </w:p>
          <w:p w14:paraId="43D75C60">
            <w:pPr>
              <w:pStyle w:val="5"/>
              <w:keepNext w:val="0"/>
              <w:keepLines w:val="0"/>
              <w:suppressLineNumbers w:val="0"/>
              <w:bidi w:val="0"/>
              <w:spacing w:before="0" w:beforeAutospacing="0" w:after="0" w:afterAutospacing="0"/>
              <w:ind w:left="0" w:leftChars="0" w:right="0" w:firstLine="0" w:firstLineChars="0"/>
              <w:jc w:val="center"/>
              <w:rPr>
                <w:rFonts w:hint="eastAsia"/>
                <w:color w:val="auto"/>
                <w:lang w:val="en-US" w:eastAsia="zh-CN"/>
              </w:rPr>
            </w:pPr>
            <w:r>
              <w:rPr>
                <w:rFonts w:hint="eastAsia"/>
                <w:color w:val="auto"/>
                <w:lang w:val="en-US" w:eastAsia="zh-CN"/>
              </w:rPr>
              <w:drawing>
                <wp:inline distT="0" distB="0" distL="114300" distR="114300">
                  <wp:extent cx="5123815" cy="4872355"/>
                  <wp:effectExtent l="0" t="0" r="0" b="0"/>
                  <wp:docPr id="9"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CB019B1-382A-4266-B25C-5B523AA43C14-1" descr="wps"/>
                          <pic:cNvPicPr>
                            <a:picLocks noChangeAspect="1"/>
                          </pic:cNvPicPr>
                        </pic:nvPicPr>
                        <pic:blipFill>
                          <a:blip r:embed="rId13"/>
                          <a:stretch>
                            <a:fillRect/>
                          </a:stretch>
                        </pic:blipFill>
                        <pic:spPr>
                          <a:xfrm>
                            <a:off x="0" y="0"/>
                            <a:ext cx="5123815" cy="4872355"/>
                          </a:xfrm>
                          <a:prstGeom prst="rect">
                            <a:avLst/>
                          </a:prstGeom>
                        </pic:spPr>
                      </pic:pic>
                    </a:graphicData>
                  </a:graphic>
                </wp:inline>
              </w:drawing>
            </w:r>
          </w:p>
          <w:p w14:paraId="3B11B7BA">
            <w:pPr>
              <w:pStyle w:val="5"/>
              <w:keepNext w:val="0"/>
              <w:keepLines w:val="0"/>
              <w:suppressLineNumbers w:val="0"/>
              <w:bidi w:val="0"/>
              <w:spacing w:before="0" w:beforeAutospacing="0" w:after="0" w:afterAutospacing="0"/>
              <w:ind w:left="0" w:leftChars="0" w:right="0" w:firstLine="0" w:firstLineChars="0"/>
              <w:jc w:val="center"/>
              <w:rPr>
                <w:rFonts w:hint="default"/>
                <w:color w:val="auto"/>
                <w:lang w:val="en-US" w:eastAsia="zh-CN"/>
              </w:rPr>
            </w:pPr>
            <w:r>
              <w:rPr>
                <w:rFonts w:hint="eastAsia"/>
                <w:color w:val="auto"/>
                <w:lang w:val="en-US" w:eastAsia="zh-CN"/>
              </w:rPr>
              <w:t>图2-3 镀膜生产线工艺流程及产污环节图</w:t>
            </w:r>
          </w:p>
          <w:p w14:paraId="0703D1B6">
            <w:pPr>
              <w:pStyle w:val="3"/>
              <w:suppressLineNumbers w:val="0"/>
              <w:bidi w:val="0"/>
              <w:spacing w:before="0" w:beforeAutospacing="0" w:after="0" w:afterAutospacing="0"/>
              <w:ind w:left="0" w:right="0"/>
              <w:rPr>
                <w:rFonts w:hint="eastAsia"/>
                <w:color w:val="auto"/>
                <w:lang w:eastAsia="zh-CN"/>
              </w:rPr>
            </w:pPr>
            <w:r>
              <w:rPr>
                <w:rFonts w:hint="eastAsia"/>
                <w:color w:val="auto"/>
                <w:lang w:val="en-US" w:eastAsia="zh-CN"/>
              </w:rPr>
              <w:t>工艺流程简述：</w:t>
            </w:r>
          </w:p>
          <w:p w14:paraId="78F558B7">
            <w:pPr>
              <w:keepNext w:val="0"/>
              <w:keepLines w:val="0"/>
              <w:suppressLineNumbers w:val="0"/>
              <w:bidi w:val="0"/>
              <w:spacing w:before="0" w:beforeAutospacing="0" w:after="0" w:afterAutospacing="0"/>
              <w:ind w:left="0" w:right="0"/>
              <w:rPr>
                <w:rFonts w:hint="eastAsia"/>
                <w:color w:val="auto"/>
                <w:lang w:val="en-US" w:eastAsia="zh-CN"/>
              </w:rPr>
            </w:pPr>
            <w:bookmarkStart w:id="1" w:name="_Hlk69063382"/>
            <w:r>
              <w:rPr>
                <w:rFonts w:hint="eastAsia"/>
                <w:color w:val="auto"/>
                <w:lang w:val="en-US" w:eastAsia="zh-CN"/>
              </w:rPr>
              <w:t>（1）玻璃预处理</w:t>
            </w:r>
          </w:p>
          <w:p w14:paraId="7C1AD3A1">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玻璃原片经过上片操作后将原片玻璃取下并放置于输送辊道上，传送至清洗机清洗，玻璃在进入镀膜室镀膜前原片玻璃经清洗机彻底清洗干净，除去玻璃表面的玻璃粉等杂质，使玻璃基面上表面有一个洁净度非常高的表面，清洗水为纯水；清洗后的玻璃进入风干工序，采用洁净风将玻璃表面水分吹干，为后续镀膜做准备；剔除表面缺陷玻璃，保证镀膜基底洁净。</w:t>
            </w:r>
          </w:p>
          <w:p w14:paraId="236C6649">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（2）镀膜</w:t>
            </w:r>
          </w:p>
          <w:p w14:paraId="34462812">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处理后的玻璃</w:t>
            </w:r>
            <w:r>
              <w:rPr>
                <w:rFonts w:hint="default"/>
                <w:color w:val="auto"/>
              </w:rPr>
              <w:t>进入真空锁气过渡腔，完成预抽真空后送入高真空镀膜主腔。镀膜主腔通入高纯氩气、氮气、氧气作为工艺气体，玻璃匀速依次经过硅铝靶、TZO靶、AZO靶、银靶、镍铬靶等多个溅射靶位；</w:t>
            </w:r>
            <w:r>
              <w:rPr>
                <w:rFonts w:hint="eastAsia"/>
                <w:color w:val="auto"/>
                <w:lang w:val="en-US" w:eastAsia="zh-CN"/>
              </w:rPr>
              <w:t>采用双阴极真空磁控溅射镀膜技术，</w:t>
            </w:r>
            <w:r>
              <w:rPr>
                <w:rFonts w:hint="default"/>
                <w:color w:val="auto"/>
              </w:rPr>
              <w:t>依靠磁控等离子体，靶材原子被氩离子轰击溅射出，在玻璃表面逐层沉积纳米级多层膜系：介质层、种子层、银低辐射功能层、镍铬阻挡保护层、顶层保护介质层，完成单银或双银Low</w:t>
            </w:r>
            <w:r>
              <w:rPr>
                <w:rFonts w:hint="default"/>
                <w:color w:val="auto"/>
              </w:rPr>
              <w:noBreakHyphen/>
            </w:r>
            <w:r>
              <w:rPr>
                <w:rFonts w:hint="default"/>
                <w:color w:val="auto"/>
              </w:rPr>
              <w:t>E膜层制备。镀膜后的玻璃经出口锁气室回到常压，进入检测工位开展光学、外观检验</w:t>
            </w:r>
            <w:r>
              <w:rPr>
                <w:rFonts w:hint="eastAsia"/>
                <w:color w:val="auto"/>
                <w:lang w:eastAsia="zh-CN"/>
              </w:rPr>
              <w:t>。</w:t>
            </w:r>
          </w:p>
          <w:p w14:paraId="119568C6">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磁控溅射原理：电子在加速飞向基片的过程中受到磁场洛伦磁力的影响，被束缚在靠近靶面的等离子体区域内，并在磁场的作用下围绕靶面作圆周运动，该电子的运动路径很长，在运动过程中不断的与氩原子发生碰撞电离出大量的氩离子轰击靶材，经过多次碰撞后电子的能量逐渐降低，摆脱磁力线的束缚，远离靶材，最终沉积在基片上。</w:t>
            </w:r>
          </w:p>
          <w:p w14:paraId="7E67FF0C">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喷砂清洁：该工序为设备维护，不在生产线内，本项目冷却屏蔽装置为铝合金材质，安装于镀膜室溅射单元内，冷却装置贴于屏蔽罩外侧安装，用于将屏蔽罩上的热量迅速带走，避免镀膜环境温度过高，并保护室体和其他内部组件不被沉积溅射，每月定期从腔室内取出，对其表面进行喷砂清洁工作。</w:t>
            </w:r>
          </w:p>
          <w:p w14:paraId="5562B6FC">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（3）检测</w:t>
            </w:r>
          </w:p>
          <w:p w14:paraId="1B51AB46">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镀膜完成后的玻璃进入检测工位，在线光学检测，检测可见光透过、反射、颜色参数，实时监控镀膜品质。人工肉眼检查针孔、划痕、膜层缺损；取样做离线测试、钢化实验，检验钢化稳定性、辐射率、耐候性能，均为物理实验；甄别合格与不合格产品。</w:t>
            </w:r>
          </w:p>
          <w:p w14:paraId="1B6AE4DF">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（4）覆膜、喷粉</w:t>
            </w:r>
          </w:p>
          <w:p w14:paraId="3D35D311">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检验合格的玻璃进入覆膜、喷粉工序，在玻璃表面贴保护膜、喷隔离粉，防止玻璃堆垛转运过程出现划伤。喷粉单元为设备“自带贯通式封闭喷粉腔，腔体内维持微负压”，玻璃由辊道连续穿过腔体前后进出口狭缝完成喷粉作业，产生少量无组织粉尘，</w:t>
            </w:r>
            <w:r>
              <w:rPr>
                <w:rFonts w:hint="default" w:ascii="宋体" w:hAnsi="宋体" w:eastAsia="宋体" w:cs="宋体"/>
                <w:color w:val="auto"/>
                <w:sz w:val="24"/>
                <w:szCs w:val="24"/>
              </w:rPr>
              <w:t>喷粉反弹未附着的防霉隔离粉由设备配套内置滤芯回收，粉料循环回用</w:t>
            </w:r>
            <w:r>
              <w:rPr>
                <w:rFonts w:hint="eastAsia"/>
                <w:color w:val="auto"/>
                <w:lang w:val="en-US" w:eastAsia="zh-CN"/>
              </w:rPr>
              <w:t>。覆膜工序采用外购成品PE压敏保护膜，物理切割覆膜。</w:t>
            </w:r>
          </w:p>
          <w:p w14:paraId="23A38338">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（5）入库</w:t>
            </w:r>
          </w:p>
          <w:p w14:paraId="5398C57C">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覆膜喷粉后的玻璃进行对正整理，将玻璃规整对齐，便于码放入库。</w:t>
            </w:r>
          </w:p>
          <w:p w14:paraId="5586FCBD">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玻璃清洗污水处置工艺流程：</w:t>
            </w:r>
          </w:p>
          <w:p w14:paraId="384B0A98">
            <w:pPr>
              <w:keepNext w:val="0"/>
              <w:keepLines w:val="0"/>
              <w:suppressLineNumbers w:val="0"/>
              <w:spacing w:before="0" w:beforeAutospacing="0" w:after="0" w:afterAutospacing="0"/>
              <w:ind w:left="0" w:leftChars="0" w:right="0" w:firstLine="0" w:firstLineChars="0"/>
              <w:rPr>
                <w:rFonts w:hint="eastAsia"/>
                <w:color w:val="auto"/>
                <w:lang w:val="en-US" w:eastAsia="zh-CN"/>
              </w:rPr>
            </w:pPr>
            <w:r>
              <w:rPr>
                <w:rFonts w:hint="eastAsia"/>
                <w:color w:val="auto"/>
                <w:lang w:val="en-US" w:eastAsia="zh-CN"/>
              </w:rPr>
              <w:drawing>
                <wp:inline distT="0" distB="0" distL="114300" distR="114300">
                  <wp:extent cx="5128260" cy="2708275"/>
                  <wp:effectExtent l="0" t="0" r="0" b="0"/>
                  <wp:docPr id="12" name="ECB019B1-382A-4266-B25C-5B523AA43C14-2" descr="C:/Users/Administrator/AppData/Local/Temp/wps.eDWMvH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CB019B1-382A-4266-B25C-5B523AA43C14-2" descr="C:/Users/Administrator/AppData/Local/Temp/wps.eDWMvHwps"/>
                          <pic:cNvPicPr>
                            <a:picLocks noChangeAspect="1"/>
                          </pic:cNvPicPr>
                        </pic:nvPicPr>
                        <pic:blipFill>
                          <a:blip r:embed="rId14"/>
                          <a:stretch>
                            <a:fillRect/>
                          </a:stretch>
                        </pic:blipFill>
                        <pic:spPr>
                          <a:xfrm>
                            <a:off x="0" y="0"/>
                            <a:ext cx="5128260" cy="2708275"/>
                          </a:xfrm>
                          <a:prstGeom prst="rect">
                            <a:avLst/>
                          </a:prstGeom>
                        </pic:spPr>
                      </pic:pic>
                    </a:graphicData>
                  </a:graphic>
                </wp:inline>
              </w:drawing>
            </w:r>
          </w:p>
          <w:p w14:paraId="01D26A29">
            <w:pPr>
              <w:pStyle w:val="8"/>
              <w:keepLines w:val="0"/>
              <w:suppressLineNumbers w:val="0"/>
              <w:bidi w:val="0"/>
              <w:spacing w:before="0" w:beforeAutospacing="0" w:after="0" w:afterAutospacing="0"/>
              <w:ind w:left="0" w:leftChars="0" w:right="0" w:firstLine="0" w:firstLineChars="0"/>
              <w:jc w:val="center"/>
              <w:rPr>
                <w:rFonts w:hint="eastAsia"/>
                <w:color w:val="auto"/>
                <w:lang w:val="en-US" w:eastAsia="zh-CN"/>
              </w:rPr>
            </w:pPr>
            <w:r>
              <w:rPr>
                <w:rFonts w:hint="eastAsia"/>
                <w:color w:val="auto"/>
                <w:lang w:val="en-US" w:eastAsia="zh-CN"/>
              </w:rPr>
              <w:t>图2-3 玻璃清洗污水处理工艺流程及产污环节图</w:t>
            </w:r>
          </w:p>
          <w:p w14:paraId="2027C688">
            <w:pPr>
              <w:keepNext w:val="0"/>
              <w:keepLines w:val="0"/>
              <w:suppressLineNumbers w:val="0"/>
              <w:bidi w:val="0"/>
              <w:spacing w:before="0" w:beforeAutospacing="0" w:after="0" w:afterAutospacing="0"/>
              <w:ind w:left="0" w:right="0"/>
              <w:rPr>
                <w:rFonts w:hint="default"/>
                <w:color w:val="auto"/>
              </w:rPr>
            </w:pPr>
            <w:r>
              <w:rPr>
                <w:rFonts w:hint="default"/>
                <w:color w:val="auto"/>
              </w:rPr>
              <w:t>本项目玻璃清洗工序采用软化水制备系统产出的软化水作为清洗用水。原水罐来水进入软化水制备系统制备软化水，产出的软化水供给玻璃清洗使用；软化水制备系统产生的浓水作为废水，排入园区污水管网。</w:t>
            </w:r>
          </w:p>
          <w:p w14:paraId="1FA66744">
            <w:pPr>
              <w:keepNext w:val="0"/>
              <w:keepLines w:val="0"/>
              <w:suppressLineNumbers w:val="0"/>
              <w:bidi w:val="0"/>
              <w:spacing w:before="0" w:beforeAutospacing="0" w:after="0" w:afterAutospacing="0"/>
              <w:ind w:left="0" w:right="0"/>
              <w:rPr>
                <w:rFonts w:hint="default"/>
                <w:color w:val="auto"/>
              </w:rPr>
            </w:pPr>
            <w:r>
              <w:rPr>
                <w:rFonts w:hint="default"/>
                <w:color w:val="auto"/>
              </w:rPr>
              <w:t>玻璃清洗产生的清洗废水主要污染物为悬浮物，废水排入调节池进行均质均量调节，均衡水质水量后进入反应沉淀池，通过投加絮凝药剂，使废水中大部分悬浮玻璃碎屑、胶体杂质形成絮体沉淀去除，反应沉淀池产生的污泥作为一般工业固废处置。</w:t>
            </w:r>
          </w:p>
          <w:p w14:paraId="6E41E290">
            <w:pPr>
              <w:keepNext w:val="0"/>
              <w:keepLines w:val="0"/>
              <w:suppressLineNumbers w:val="0"/>
              <w:bidi w:val="0"/>
              <w:spacing w:before="0" w:beforeAutospacing="0" w:after="0" w:afterAutospacing="0"/>
              <w:ind w:left="0" w:right="0"/>
              <w:rPr>
                <w:rFonts w:hint="default"/>
                <w:color w:val="auto"/>
              </w:rPr>
            </w:pPr>
            <w:r>
              <w:rPr>
                <w:rFonts w:hint="default"/>
                <w:color w:val="auto"/>
              </w:rPr>
              <w:t>反应沉淀池出水进入气浮池，进一步去除废水中细小悬浮絮体与浮渣；气浮池出水进入二沉池，对水体中残余絮体进一步沉淀分离；气浮池、二沉池产生的污泥作为一般工业固废处置。二沉池出水经石英砂过滤，深度截留水中残留细小颗粒物，石英砂过滤产生滤渣污泥</w:t>
            </w:r>
            <w:r>
              <w:rPr>
                <w:rFonts w:hint="eastAsia"/>
                <w:color w:val="auto"/>
                <w:lang w:val="en-US" w:eastAsia="zh-CN"/>
              </w:rPr>
              <w:t>和石英砂定期更换</w:t>
            </w:r>
            <w:r>
              <w:rPr>
                <w:rFonts w:hint="default"/>
                <w:color w:val="auto"/>
              </w:rPr>
              <w:t>作为一般工业固废处置。</w:t>
            </w:r>
          </w:p>
          <w:p w14:paraId="4A198C05">
            <w:pPr>
              <w:keepNext w:val="0"/>
              <w:keepLines w:val="0"/>
              <w:suppressLineNumbers w:val="0"/>
              <w:bidi w:val="0"/>
              <w:spacing w:before="0" w:beforeAutospacing="0" w:after="0" w:afterAutospacing="0"/>
              <w:ind w:left="0" w:right="0"/>
              <w:rPr>
                <w:rFonts w:hint="default"/>
                <w:color w:val="auto"/>
              </w:rPr>
            </w:pPr>
            <w:r>
              <w:rPr>
                <w:rFonts w:hint="default"/>
                <w:color w:val="auto"/>
              </w:rPr>
              <w:t>石英砂过滤出水进入清水池，清水池出水回流至软化水制备系统作为进水回用。</w:t>
            </w:r>
          </w:p>
          <w:p w14:paraId="17AB218F">
            <w:pPr>
              <w:pStyle w:val="8"/>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表2-6                 本项目排污节点一览表</w:t>
            </w:r>
          </w:p>
          <w:tbl>
            <w:tblPr>
              <w:tblStyle w:val="3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81"/>
              <w:gridCol w:w="1619"/>
              <w:gridCol w:w="2685"/>
              <w:gridCol w:w="2791"/>
            </w:tblGrid>
            <w:tr w14:paraId="5B869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607" w:type="pct"/>
                  <w:tcBorders>
                    <w:tl2br w:val="nil"/>
                    <w:tr2bl w:val="nil"/>
                  </w:tcBorders>
                  <w:shd w:val="clear" w:color="auto" w:fill="auto"/>
                  <w:tcMar>
                    <w:top w:w="120" w:type="dxa"/>
                    <w:left w:w="120" w:type="dxa"/>
                    <w:bottom w:w="120" w:type="dxa"/>
                    <w:right w:w="120" w:type="dxa"/>
                  </w:tcMar>
                  <w:vAlign w:val="center"/>
                </w:tcPr>
                <w:p w14:paraId="14956D56">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类型</w:t>
                  </w:r>
                </w:p>
              </w:tc>
              <w:tc>
                <w:tcPr>
                  <w:tcW w:w="1002" w:type="pct"/>
                  <w:tcBorders>
                    <w:tl2br w:val="nil"/>
                    <w:tr2bl w:val="nil"/>
                  </w:tcBorders>
                  <w:shd w:val="clear" w:color="auto" w:fill="auto"/>
                  <w:tcMar>
                    <w:top w:w="120" w:type="dxa"/>
                    <w:left w:w="120" w:type="dxa"/>
                    <w:bottom w:w="120" w:type="dxa"/>
                    <w:right w:w="120" w:type="dxa"/>
                  </w:tcMar>
                  <w:vAlign w:val="center"/>
                </w:tcPr>
                <w:p w14:paraId="2402FA8C">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主要生产单元</w:t>
                  </w:r>
                </w:p>
              </w:tc>
              <w:tc>
                <w:tcPr>
                  <w:tcW w:w="1662" w:type="pct"/>
                  <w:tcBorders>
                    <w:tl2br w:val="nil"/>
                    <w:tr2bl w:val="nil"/>
                  </w:tcBorders>
                  <w:shd w:val="clear" w:color="auto" w:fill="auto"/>
                  <w:tcMar>
                    <w:top w:w="120" w:type="dxa"/>
                    <w:left w:w="120" w:type="dxa"/>
                    <w:bottom w:w="120" w:type="dxa"/>
                    <w:right w:w="120" w:type="dxa"/>
                  </w:tcMar>
                  <w:vAlign w:val="center"/>
                </w:tcPr>
                <w:p w14:paraId="317E8B65">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产排污环节</w:t>
                  </w:r>
                </w:p>
              </w:tc>
              <w:tc>
                <w:tcPr>
                  <w:tcW w:w="1727" w:type="pct"/>
                  <w:tcBorders>
                    <w:tl2br w:val="nil"/>
                    <w:tr2bl w:val="nil"/>
                  </w:tcBorders>
                  <w:shd w:val="clear" w:color="auto" w:fill="auto"/>
                  <w:tcMar>
                    <w:top w:w="120" w:type="dxa"/>
                    <w:left w:w="120" w:type="dxa"/>
                    <w:bottom w:w="120" w:type="dxa"/>
                    <w:right w:w="120" w:type="dxa"/>
                  </w:tcMar>
                  <w:vAlign w:val="center"/>
                </w:tcPr>
                <w:p w14:paraId="2D937295">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污染物种类</w:t>
                  </w:r>
                </w:p>
              </w:tc>
            </w:tr>
            <w:tr w14:paraId="4DF5D3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vMerge w:val="restart"/>
                  <w:tcBorders>
                    <w:tl2br w:val="nil"/>
                    <w:tr2bl w:val="nil"/>
                  </w:tcBorders>
                  <w:shd w:val="clear" w:color="auto" w:fill="auto"/>
                  <w:tcMar>
                    <w:top w:w="120" w:type="dxa"/>
                    <w:left w:w="120" w:type="dxa"/>
                    <w:bottom w:w="120" w:type="dxa"/>
                    <w:right w:w="120" w:type="dxa"/>
                  </w:tcMar>
                  <w:vAlign w:val="center"/>
                </w:tcPr>
                <w:p w14:paraId="4135C8CF">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废气</w:t>
                  </w:r>
                </w:p>
              </w:tc>
              <w:tc>
                <w:tcPr>
                  <w:tcW w:w="1002" w:type="pct"/>
                  <w:tcBorders>
                    <w:tl2br w:val="nil"/>
                    <w:tr2bl w:val="nil"/>
                  </w:tcBorders>
                  <w:shd w:val="clear" w:color="auto" w:fill="auto"/>
                  <w:tcMar>
                    <w:top w:w="120" w:type="dxa"/>
                    <w:left w:w="120" w:type="dxa"/>
                    <w:bottom w:w="120" w:type="dxa"/>
                    <w:right w:w="120" w:type="dxa"/>
                  </w:tcMar>
                  <w:vAlign w:val="center"/>
                </w:tcPr>
                <w:p w14:paraId="3591F739">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设备维护</w:t>
                  </w:r>
                </w:p>
              </w:tc>
              <w:tc>
                <w:tcPr>
                  <w:tcW w:w="1662" w:type="pct"/>
                  <w:tcBorders>
                    <w:tl2br w:val="nil"/>
                    <w:tr2bl w:val="nil"/>
                  </w:tcBorders>
                  <w:shd w:val="clear" w:color="auto" w:fill="auto"/>
                  <w:tcMar>
                    <w:top w:w="120" w:type="dxa"/>
                    <w:left w:w="120" w:type="dxa"/>
                    <w:bottom w:w="120" w:type="dxa"/>
                    <w:right w:w="120" w:type="dxa"/>
                  </w:tcMar>
                  <w:vAlign w:val="center"/>
                </w:tcPr>
                <w:p w14:paraId="12C0778E">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喷砂工序</w:t>
                  </w:r>
                </w:p>
              </w:tc>
              <w:tc>
                <w:tcPr>
                  <w:tcW w:w="1727" w:type="pct"/>
                  <w:tcBorders>
                    <w:tl2br w:val="nil"/>
                    <w:tr2bl w:val="nil"/>
                  </w:tcBorders>
                  <w:shd w:val="clear" w:color="auto" w:fill="auto"/>
                  <w:tcMar>
                    <w:top w:w="120" w:type="dxa"/>
                    <w:left w:w="120" w:type="dxa"/>
                    <w:bottom w:w="120" w:type="dxa"/>
                    <w:right w:w="120" w:type="dxa"/>
                  </w:tcMar>
                  <w:vAlign w:val="center"/>
                </w:tcPr>
                <w:p w14:paraId="6662FFE2">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颗粒物</w:t>
                  </w:r>
                </w:p>
              </w:tc>
            </w:tr>
            <w:tr w14:paraId="09B806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c>
                <w:tcPr>
                  <w:tcW w:w="607" w:type="pct"/>
                  <w:vMerge w:val="continue"/>
                  <w:tcBorders>
                    <w:tl2br w:val="nil"/>
                    <w:tr2bl w:val="nil"/>
                  </w:tcBorders>
                  <w:shd w:val="clear" w:color="auto" w:fill="auto"/>
                  <w:tcMar>
                    <w:top w:w="120" w:type="dxa"/>
                    <w:left w:w="120" w:type="dxa"/>
                    <w:bottom w:w="120" w:type="dxa"/>
                    <w:right w:w="120" w:type="dxa"/>
                  </w:tcMar>
                  <w:vAlign w:val="center"/>
                </w:tcPr>
                <w:p w14:paraId="300B8C52">
                  <w:pPr>
                    <w:pStyle w:val="7"/>
                    <w:keepNext w:val="0"/>
                    <w:keepLines w:val="0"/>
                    <w:suppressLineNumbers w:val="0"/>
                    <w:bidi w:val="0"/>
                    <w:spacing w:before="0" w:beforeAutospacing="0" w:after="0" w:afterAutospacing="0"/>
                    <w:ind w:left="0" w:right="0"/>
                    <w:rPr>
                      <w:rFonts w:hint="default"/>
                      <w:color w:val="auto"/>
                      <w:lang w:val="en-US" w:eastAsia="zh-CN"/>
                    </w:rPr>
                  </w:pPr>
                </w:p>
              </w:tc>
              <w:tc>
                <w:tcPr>
                  <w:tcW w:w="1002" w:type="pct"/>
                  <w:tcBorders>
                    <w:tl2br w:val="nil"/>
                    <w:tr2bl w:val="nil"/>
                  </w:tcBorders>
                  <w:shd w:val="clear" w:color="auto" w:fill="auto"/>
                  <w:tcMar>
                    <w:top w:w="120" w:type="dxa"/>
                    <w:left w:w="120" w:type="dxa"/>
                    <w:bottom w:w="120" w:type="dxa"/>
                    <w:right w:w="120" w:type="dxa"/>
                  </w:tcMar>
                  <w:vAlign w:val="center"/>
                </w:tcPr>
                <w:p w14:paraId="48C3FB31">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镀膜生产线</w:t>
                  </w:r>
                </w:p>
              </w:tc>
              <w:tc>
                <w:tcPr>
                  <w:tcW w:w="1662" w:type="pct"/>
                  <w:tcBorders>
                    <w:tl2br w:val="nil"/>
                    <w:tr2bl w:val="nil"/>
                  </w:tcBorders>
                  <w:shd w:val="clear" w:color="auto" w:fill="auto"/>
                  <w:tcMar>
                    <w:top w:w="120" w:type="dxa"/>
                    <w:left w:w="120" w:type="dxa"/>
                    <w:bottom w:w="120" w:type="dxa"/>
                    <w:right w:w="120" w:type="dxa"/>
                  </w:tcMar>
                  <w:vAlign w:val="center"/>
                </w:tcPr>
                <w:p w14:paraId="44F00AE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喷粉</w:t>
                  </w:r>
                  <w:r>
                    <w:rPr>
                      <w:rFonts w:hint="default"/>
                      <w:color w:val="auto"/>
                      <w:lang w:val="en-US" w:eastAsia="zh-CN"/>
                    </w:rPr>
                    <w:t>工序</w:t>
                  </w:r>
                </w:p>
              </w:tc>
              <w:tc>
                <w:tcPr>
                  <w:tcW w:w="1727" w:type="pct"/>
                  <w:tcBorders>
                    <w:tl2br w:val="nil"/>
                    <w:tr2bl w:val="nil"/>
                  </w:tcBorders>
                  <w:shd w:val="clear" w:color="auto" w:fill="auto"/>
                  <w:tcMar>
                    <w:top w:w="120" w:type="dxa"/>
                    <w:left w:w="120" w:type="dxa"/>
                    <w:bottom w:w="120" w:type="dxa"/>
                    <w:right w:w="120" w:type="dxa"/>
                  </w:tcMar>
                  <w:vAlign w:val="center"/>
                </w:tcPr>
                <w:p w14:paraId="776BF1BC">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颗粒物</w:t>
                  </w:r>
                </w:p>
              </w:tc>
            </w:tr>
            <w:tr w14:paraId="105E41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vMerge w:val="restart"/>
                  <w:tcBorders>
                    <w:tl2br w:val="nil"/>
                    <w:tr2bl w:val="nil"/>
                  </w:tcBorders>
                  <w:shd w:val="clear" w:color="auto" w:fill="auto"/>
                  <w:tcMar>
                    <w:top w:w="120" w:type="dxa"/>
                    <w:left w:w="120" w:type="dxa"/>
                    <w:bottom w:w="120" w:type="dxa"/>
                    <w:right w:w="120" w:type="dxa"/>
                  </w:tcMar>
                  <w:vAlign w:val="center"/>
                </w:tcPr>
                <w:p w14:paraId="116872B7">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废水</w:t>
                  </w:r>
                </w:p>
              </w:tc>
              <w:tc>
                <w:tcPr>
                  <w:tcW w:w="1002" w:type="pct"/>
                  <w:tcBorders>
                    <w:tl2br w:val="nil"/>
                    <w:tr2bl w:val="nil"/>
                  </w:tcBorders>
                  <w:shd w:val="clear" w:color="auto" w:fill="auto"/>
                  <w:tcMar>
                    <w:top w:w="120" w:type="dxa"/>
                    <w:left w:w="120" w:type="dxa"/>
                    <w:bottom w:w="120" w:type="dxa"/>
                    <w:right w:w="120" w:type="dxa"/>
                  </w:tcMar>
                  <w:vAlign w:val="center"/>
                </w:tcPr>
                <w:p w14:paraId="4DF14D51">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镀膜生产线</w:t>
                  </w:r>
                </w:p>
              </w:tc>
              <w:tc>
                <w:tcPr>
                  <w:tcW w:w="1662" w:type="pct"/>
                  <w:tcBorders>
                    <w:tl2br w:val="nil"/>
                    <w:tr2bl w:val="nil"/>
                  </w:tcBorders>
                  <w:shd w:val="clear" w:color="auto" w:fill="auto"/>
                  <w:tcMar>
                    <w:top w:w="120" w:type="dxa"/>
                    <w:left w:w="120" w:type="dxa"/>
                    <w:bottom w:w="120" w:type="dxa"/>
                    <w:right w:w="120" w:type="dxa"/>
                  </w:tcMar>
                  <w:vAlign w:val="center"/>
                </w:tcPr>
                <w:p w14:paraId="038A3C98">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清洗废水</w:t>
                  </w:r>
                </w:p>
              </w:tc>
              <w:tc>
                <w:tcPr>
                  <w:tcW w:w="1727" w:type="pct"/>
                  <w:tcBorders>
                    <w:tl2br w:val="nil"/>
                    <w:tr2bl w:val="nil"/>
                  </w:tcBorders>
                  <w:shd w:val="clear" w:color="auto" w:fill="auto"/>
                  <w:tcMar>
                    <w:top w:w="120" w:type="dxa"/>
                    <w:left w:w="120" w:type="dxa"/>
                    <w:bottom w:w="120" w:type="dxa"/>
                    <w:right w:w="120" w:type="dxa"/>
                  </w:tcMar>
                  <w:vAlign w:val="center"/>
                </w:tcPr>
                <w:p w14:paraId="3DD3B0FF">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SS</w:t>
                  </w:r>
                </w:p>
              </w:tc>
            </w:tr>
            <w:tr w14:paraId="58B2A2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vMerge w:val="continue"/>
                  <w:tcBorders>
                    <w:tl2br w:val="nil"/>
                    <w:tr2bl w:val="nil"/>
                  </w:tcBorders>
                  <w:shd w:val="clear" w:color="auto" w:fill="auto"/>
                  <w:tcMar>
                    <w:top w:w="120" w:type="dxa"/>
                    <w:left w:w="120" w:type="dxa"/>
                    <w:bottom w:w="120" w:type="dxa"/>
                    <w:right w:w="120" w:type="dxa"/>
                  </w:tcMar>
                  <w:vAlign w:val="center"/>
                </w:tcPr>
                <w:p w14:paraId="06812790">
                  <w:pPr>
                    <w:pStyle w:val="7"/>
                    <w:keepNext w:val="0"/>
                    <w:keepLines w:val="0"/>
                    <w:suppressLineNumbers w:val="0"/>
                    <w:bidi w:val="0"/>
                    <w:spacing w:before="0" w:beforeAutospacing="0" w:after="0" w:afterAutospacing="0"/>
                    <w:ind w:left="0" w:right="0"/>
                    <w:rPr>
                      <w:rFonts w:hint="eastAsia"/>
                      <w:color w:val="auto"/>
                    </w:rPr>
                  </w:pPr>
                </w:p>
              </w:tc>
              <w:tc>
                <w:tcPr>
                  <w:tcW w:w="1002" w:type="pct"/>
                  <w:tcBorders>
                    <w:tl2br w:val="nil"/>
                    <w:tr2bl w:val="nil"/>
                  </w:tcBorders>
                  <w:shd w:val="clear" w:color="auto" w:fill="auto"/>
                  <w:tcMar>
                    <w:top w:w="120" w:type="dxa"/>
                    <w:left w:w="120" w:type="dxa"/>
                    <w:bottom w:w="120" w:type="dxa"/>
                    <w:right w:w="120" w:type="dxa"/>
                  </w:tcMar>
                  <w:vAlign w:val="center"/>
                </w:tcPr>
                <w:p w14:paraId="70413B7C">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软化水制备系统</w:t>
                  </w:r>
                </w:p>
              </w:tc>
              <w:tc>
                <w:tcPr>
                  <w:tcW w:w="1662" w:type="pct"/>
                  <w:tcBorders>
                    <w:tl2br w:val="nil"/>
                    <w:tr2bl w:val="nil"/>
                  </w:tcBorders>
                  <w:shd w:val="clear" w:color="auto" w:fill="auto"/>
                  <w:tcMar>
                    <w:top w:w="120" w:type="dxa"/>
                    <w:left w:w="120" w:type="dxa"/>
                    <w:bottom w:w="120" w:type="dxa"/>
                    <w:right w:w="120" w:type="dxa"/>
                  </w:tcMar>
                  <w:vAlign w:val="center"/>
                </w:tcPr>
                <w:p w14:paraId="46328F8F">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软化浓水</w:t>
                  </w:r>
                </w:p>
              </w:tc>
              <w:tc>
                <w:tcPr>
                  <w:tcW w:w="1727" w:type="pct"/>
                  <w:tcBorders>
                    <w:tl2br w:val="nil"/>
                    <w:tr2bl w:val="nil"/>
                  </w:tcBorders>
                  <w:shd w:val="clear" w:color="auto" w:fill="auto"/>
                  <w:tcMar>
                    <w:top w:w="120" w:type="dxa"/>
                    <w:left w:w="120" w:type="dxa"/>
                    <w:bottom w:w="120" w:type="dxa"/>
                    <w:right w:w="120" w:type="dxa"/>
                  </w:tcMar>
                  <w:vAlign w:val="center"/>
                </w:tcPr>
                <w:p w14:paraId="1E0D87F0">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pH、COD、溶解性总固体（全盐量）</w:t>
                  </w:r>
                </w:p>
              </w:tc>
            </w:tr>
            <w:tr w14:paraId="5EBB87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tcBorders>
                    <w:tl2br w:val="nil"/>
                    <w:tr2bl w:val="nil"/>
                  </w:tcBorders>
                  <w:shd w:val="clear" w:color="auto" w:fill="auto"/>
                  <w:tcMar>
                    <w:top w:w="120" w:type="dxa"/>
                    <w:left w:w="120" w:type="dxa"/>
                    <w:bottom w:w="120" w:type="dxa"/>
                    <w:right w:w="120" w:type="dxa"/>
                  </w:tcMar>
                  <w:vAlign w:val="center"/>
                </w:tcPr>
                <w:p w14:paraId="366A2E1A">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噪声</w:t>
                  </w:r>
                </w:p>
              </w:tc>
              <w:tc>
                <w:tcPr>
                  <w:tcW w:w="1002" w:type="pct"/>
                  <w:tcBorders>
                    <w:tl2br w:val="nil"/>
                    <w:tr2bl w:val="nil"/>
                  </w:tcBorders>
                  <w:shd w:val="clear" w:color="auto" w:fill="auto"/>
                  <w:tcMar>
                    <w:top w:w="120" w:type="dxa"/>
                    <w:left w:w="120" w:type="dxa"/>
                    <w:bottom w:w="120" w:type="dxa"/>
                    <w:right w:w="120" w:type="dxa"/>
                  </w:tcMar>
                  <w:vAlign w:val="center"/>
                </w:tcPr>
                <w:p w14:paraId="4AA669A0">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镀膜生产线</w:t>
                  </w:r>
                </w:p>
              </w:tc>
              <w:tc>
                <w:tcPr>
                  <w:tcW w:w="1662" w:type="pct"/>
                  <w:tcBorders>
                    <w:tl2br w:val="nil"/>
                    <w:tr2bl w:val="nil"/>
                  </w:tcBorders>
                  <w:shd w:val="clear" w:color="auto" w:fill="auto"/>
                  <w:tcMar>
                    <w:top w:w="120" w:type="dxa"/>
                    <w:left w:w="120" w:type="dxa"/>
                    <w:bottom w:w="120" w:type="dxa"/>
                    <w:right w:w="120" w:type="dxa"/>
                  </w:tcMar>
                  <w:vAlign w:val="center"/>
                </w:tcPr>
                <w:p w14:paraId="636B7B90">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设备噪声</w:t>
                  </w:r>
                </w:p>
              </w:tc>
              <w:tc>
                <w:tcPr>
                  <w:tcW w:w="1727" w:type="pct"/>
                  <w:tcBorders>
                    <w:tl2br w:val="nil"/>
                    <w:tr2bl w:val="nil"/>
                  </w:tcBorders>
                  <w:shd w:val="clear" w:color="auto" w:fill="auto"/>
                  <w:tcMar>
                    <w:top w:w="120" w:type="dxa"/>
                    <w:left w:w="120" w:type="dxa"/>
                    <w:bottom w:w="120" w:type="dxa"/>
                    <w:right w:w="120" w:type="dxa"/>
                  </w:tcMar>
                  <w:vAlign w:val="center"/>
                </w:tcPr>
                <w:p w14:paraId="4D083F4A">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Leq</w:t>
                  </w:r>
                </w:p>
              </w:tc>
            </w:tr>
            <w:tr w14:paraId="178E2E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vMerge w:val="restart"/>
                  <w:tcBorders>
                    <w:tl2br w:val="nil"/>
                    <w:tr2bl w:val="nil"/>
                  </w:tcBorders>
                  <w:shd w:val="clear" w:color="auto" w:fill="auto"/>
                  <w:tcMar>
                    <w:top w:w="120" w:type="dxa"/>
                    <w:left w:w="120" w:type="dxa"/>
                    <w:bottom w:w="120" w:type="dxa"/>
                    <w:right w:w="120" w:type="dxa"/>
                  </w:tcMar>
                  <w:vAlign w:val="center"/>
                </w:tcPr>
                <w:p w14:paraId="5E70AA04">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固体废物</w:t>
                  </w:r>
                </w:p>
              </w:tc>
              <w:tc>
                <w:tcPr>
                  <w:tcW w:w="1002" w:type="pct"/>
                  <w:vMerge w:val="restart"/>
                  <w:tcBorders>
                    <w:tl2br w:val="nil"/>
                    <w:tr2bl w:val="nil"/>
                  </w:tcBorders>
                  <w:shd w:val="clear" w:color="auto" w:fill="auto"/>
                  <w:tcMar>
                    <w:top w:w="120" w:type="dxa"/>
                    <w:left w:w="120" w:type="dxa"/>
                    <w:bottom w:w="120" w:type="dxa"/>
                    <w:right w:w="120" w:type="dxa"/>
                  </w:tcMar>
                  <w:vAlign w:val="center"/>
                </w:tcPr>
                <w:p w14:paraId="7451FD6E">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镀膜生产线</w:t>
                  </w:r>
                </w:p>
              </w:tc>
              <w:tc>
                <w:tcPr>
                  <w:tcW w:w="1662" w:type="pct"/>
                  <w:tcBorders>
                    <w:tl2br w:val="nil"/>
                    <w:tr2bl w:val="nil"/>
                  </w:tcBorders>
                  <w:shd w:val="clear" w:color="auto" w:fill="auto"/>
                  <w:tcMar>
                    <w:top w:w="120" w:type="dxa"/>
                    <w:left w:w="120" w:type="dxa"/>
                    <w:bottom w:w="120" w:type="dxa"/>
                    <w:right w:w="120" w:type="dxa"/>
                  </w:tcMar>
                  <w:vAlign w:val="center"/>
                </w:tcPr>
                <w:p w14:paraId="7697018E">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镀膜中喷砂</w:t>
                  </w:r>
                </w:p>
              </w:tc>
              <w:tc>
                <w:tcPr>
                  <w:tcW w:w="1727" w:type="pct"/>
                  <w:tcBorders>
                    <w:tl2br w:val="nil"/>
                    <w:tr2bl w:val="nil"/>
                  </w:tcBorders>
                  <w:shd w:val="clear" w:color="auto" w:fill="auto"/>
                  <w:tcMar>
                    <w:top w:w="120" w:type="dxa"/>
                    <w:left w:w="120" w:type="dxa"/>
                    <w:bottom w:w="120" w:type="dxa"/>
                    <w:right w:w="120" w:type="dxa"/>
                  </w:tcMar>
                  <w:vAlign w:val="center"/>
                </w:tcPr>
                <w:p w14:paraId="4DA5F63B">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收集粉尘</w:t>
                  </w:r>
                </w:p>
              </w:tc>
            </w:tr>
            <w:tr w14:paraId="591443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vMerge w:val="continue"/>
                  <w:tcBorders>
                    <w:tl2br w:val="nil"/>
                    <w:tr2bl w:val="nil"/>
                  </w:tcBorders>
                  <w:shd w:val="clear" w:color="auto" w:fill="auto"/>
                  <w:tcMar>
                    <w:top w:w="120" w:type="dxa"/>
                    <w:left w:w="120" w:type="dxa"/>
                    <w:bottom w:w="120" w:type="dxa"/>
                    <w:right w:w="120" w:type="dxa"/>
                  </w:tcMar>
                  <w:vAlign w:val="center"/>
                </w:tcPr>
                <w:p w14:paraId="0D80B100">
                  <w:pPr>
                    <w:pStyle w:val="7"/>
                    <w:keepNext w:val="0"/>
                    <w:keepLines w:val="0"/>
                    <w:suppressLineNumbers w:val="0"/>
                    <w:bidi w:val="0"/>
                    <w:spacing w:before="0" w:beforeAutospacing="0" w:after="0" w:afterAutospacing="0"/>
                    <w:ind w:left="0" w:right="0"/>
                    <w:rPr>
                      <w:rFonts w:hint="default"/>
                      <w:color w:val="auto"/>
                      <w:lang w:val="en-US" w:eastAsia="zh-CN"/>
                    </w:rPr>
                  </w:pPr>
                </w:p>
              </w:tc>
              <w:tc>
                <w:tcPr>
                  <w:tcW w:w="1002" w:type="pct"/>
                  <w:vMerge w:val="continue"/>
                  <w:tcBorders>
                    <w:tl2br w:val="nil"/>
                    <w:tr2bl w:val="nil"/>
                  </w:tcBorders>
                  <w:shd w:val="clear" w:color="auto" w:fill="auto"/>
                  <w:tcMar>
                    <w:top w:w="120" w:type="dxa"/>
                    <w:left w:w="120" w:type="dxa"/>
                    <w:bottom w:w="120" w:type="dxa"/>
                    <w:right w:w="120" w:type="dxa"/>
                  </w:tcMar>
                  <w:vAlign w:val="center"/>
                </w:tcPr>
                <w:p w14:paraId="250ABCFC">
                  <w:pPr>
                    <w:pStyle w:val="7"/>
                    <w:keepNext w:val="0"/>
                    <w:keepLines w:val="0"/>
                    <w:suppressLineNumbers w:val="0"/>
                    <w:bidi w:val="0"/>
                    <w:spacing w:before="0" w:beforeAutospacing="0" w:after="0" w:afterAutospacing="0"/>
                    <w:ind w:left="0" w:right="0"/>
                    <w:rPr>
                      <w:rFonts w:hint="default"/>
                      <w:color w:val="auto"/>
                      <w:lang w:val="en-US" w:eastAsia="zh-CN"/>
                    </w:rPr>
                  </w:pPr>
                </w:p>
              </w:tc>
              <w:tc>
                <w:tcPr>
                  <w:tcW w:w="1662" w:type="pct"/>
                  <w:tcBorders>
                    <w:tl2br w:val="nil"/>
                    <w:tr2bl w:val="nil"/>
                  </w:tcBorders>
                  <w:shd w:val="clear" w:color="auto" w:fill="auto"/>
                  <w:tcMar>
                    <w:top w:w="120" w:type="dxa"/>
                    <w:left w:w="120" w:type="dxa"/>
                    <w:bottom w:w="120" w:type="dxa"/>
                    <w:right w:w="120" w:type="dxa"/>
                  </w:tcMar>
                  <w:vAlign w:val="center"/>
                </w:tcPr>
                <w:p w14:paraId="4B76E817">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镀膜</w:t>
                  </w:r>
                </w:p>
              </w:tc>
              <w:tc>
                <w:tcPr>
                  <w:tcW w:w="1727" w:type="pct"/>
                  <w:tcBorders>
                    <w:tl2br w:val="nil"/>
                    <w:tr2bl w:val="nil"/>
                  </w:tcBorders>
                  <w:shd w:val="clear" w:color="auto" w:fill="auto"/>
                  <w:tcMar>
                    <w:top w:w="120" w:type="dxa"/>
                    <w:left w:w="120" w:type="dxa"/>
                    <w:bottom w:w="120" w:type="dxa"/>
                    <w:right w:w="120" w:type="dxa"/>
                  </w:tcMar>
                  <w:vAlign w:val="center"/>
                </w:tcPr>
                <w:p w14:paraId="7072A1B4">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废靶材</w:t>
                  </w:r>
                </w:p>
              </w:tc>
            </w:tr>
            <w:tr w14:paraId="723C76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vMerge w:val="continue"/>
                  <w:tcBorders>
                    <w:tl2br w:val="nil"/>
                    <w:tr2bl w:val="nil"/>
                  </w:tcBorders>
                  <w:shd w:val="clear" w:color="auto" w:fill="auto"/>
                  <w:tcMar>
                    <w:top w:w="120" w:type="dxa"/>
                    <w:left w:w="120" w:type="dxa"/>
                    <w:bottom w:w="120" w:type="dxa"/>
                    <w:right w:w="120" w:type="dxa"/>
                  </w:tcMar>
                  <w:vAlign w:val="center"/>
                </w:tcPr>
                <w:p w14:paraId="472D8D33">
                  <w:pPr>
                    <w:pStyle w:val="7"/>
                    <w:keepNext w:val="0"/>
                    <w:keepLines w:val="0"/>
                    <w:suppressLineNumbers w:val="0"/>
                    <w:bidi w:val="0"/>
                    <w:spacing w:before="0" w:beforeAutospacing="0" w:after="0" w:afterAutospacing="0"/>
                    <w:ind w:left="0" w:right="0"/>
                    <w:rPr>
                      <w:rFonts w:hint="eastAsia"/>
                      <w:color w:val="auto"/>
                    </w:rPr>
                  </w:pPr>
                </w:p>
              </w:tc>
              <w:tc>
                <w:tcPr>
                  <w:tcW w:w="1002" w:type="pct"/>
                  <w:vMerge w:val="continue"/>
                  <w:tcBorders>
                    <w:tl2br w:val="nil"/>
                    <w:tr2bl w:val="nil"/>
                  </w:tcBorders>
                  <w:shd w:val="clear" w:color="auto" w:fill="auto"/>
                  <w:tcMar>
                    <w:top w:w="120" w:type="dxa"/>
                    <w:left w:w="120" w:type="dxa"/>
                    <w:bottom w:w="120" w:type="dxa"/>
                    <w:right w:w="120" w:type="dxa"/>
                  </w:tcMar>
                  <w:vAlign w:val="center"/>
                </w:tcPr>
                <w:p w14:paraId="55A11D96">
                  <w:pPr>
                    <w:pStyle w:val="7"/>
                    <w:keepNext w:val="0"/>
                    <w:keepLines w:val="0"/>
                    <w:suppressLineNumbers w:val="0"/>
                    <w:bidi w:val="0"/>
                    <w:spacing w:before="0" w:beforeAutospacing="0" w:after="0" w:afterAutospacing="0"/>
                    <w:ind w:left="0" w:right="0"/>
                    <w:rPr>
                      <w:rFonts w:hint="eastAsia"/>
                      <w:color w:val="auto"/>
                    </w:rPr>
                  </w:pPr>
                </w:p>
              </w:tc>
              <w:tc>
                <w:tcPr>
                  <w:tcW w:w="1662" w:type="pct"/>
                  <w:tcBorders>
                    <w:tl2br w:val="nil"/>
                    <w:tr2bl w:val="nil"/>
                  </w:tcBorders>
                  <w:shd w:val="clear" w:color="auto" w:fill="auto"/>
                  <w:tcMar>
                    <w:top w:w="120" w:type="dxa"/>
                    <w:left w:w="120" w:type="dxa"/>
                    <w:bottom w:w="120" w:type="dxa"/>
                    <w:right w:w="120" w:type="dxa"/>
                  </w:tcMar>
                  <w:vAlign w:val="center"/>
                </w:tcPr>
                <w:p w14:paraId="4C9FCA53">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玻璃预处理</w:t>
                  </w:r>
                </w:p>
              </w:tc>
              <w:tc>
                <w:tcPr>
                  <w:tcW w:w="1727" w:type="pct"/>
                  <w:tcBorders>
                    <w:tl2br w:val="nil"/>
                    <w:tr2bl w:val="nil"/>
                  </w:tcBorders>
                  <w:shd w:val="clear" w:color="auto" w:fill="auto"/>
                  <w:tcMar>
                    <w:top w:w="120" w:type="dxa"/>
                    <w:left w:w="120" w:type="dxa"/>
                    <w:bottom w:w="120" w:type="dxa"/>
                    <w:right w:w="120" w:type="dxa"/>
                  </w:tcMar>
                  <w:vAlign w:val="center"/>
                </w:tcPr>
                <w:p w14:paraId="71727E1A">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废玻璃</w:t>
                  </w:r>
                </w:p>
              </w:tc>
            </w:tr>
            <w:tr w14:paraId="729945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vMerge w:val="continue"/>
                  <w:tcBorders>
                    <w:tl2br w:val="nil"/>
                    <w:tr2bl w:val="nil"/>
                  </w:tcBorders>
                  <w:shd w:val="clear" w:color="auto" w:fill="auto"/>
                  <w:tcMar>
                    <w:top w:w="120" w:type="dxa"/>
                    <w:left w:w="120" w:type="dxa"/>
                    <w:bottom w:w="120" w:type="dxa"/>
                    <w:right w:w="120" w:type="dxa"/>
                  </w:tcMar>
                  <w:vAlign w:val="center"/>
                </w:tcPr>
                <w:p w14:paraId="52A0B983">
                  <w:pPr>
                    <w:pStyle w:val="7"/>
                    <w:keepNext w:val="0"/>
                    <w:keepLines w:val="0"/>
                    <w:suppressLineNumbers w:val="0"/>
                    <w:bidi w:val="0"/>
                    <w:spacing w:before="0" w:beforeAutospacing="0" w:after="0" w:afterAutospacing="0"/>
                    <w:ind w:left="0" w:right="0"/>
                    <w:rPr>
                      <w:rFonts w:hint="eastAsia"/>
                      <w:color w:val="auto"/>
                    </w:rPr>
                  </w:pPr>
                </w:p>
              </w:tc>
              <w:tc>
                <w:tcPr>
                  <w:tcW w:w="1002" w:type="pct"/>
                  <w:vMerge w:val="continue"/>
                  <w:tcBorders>
                    <w:tl2br w:val="nil"/>
                    <w:tr2bl w:val="nil"/>
                  </w:tcBorders>
                  <w:shd w:val="clear" w:color="auto" w:fill="auto"/>
                  <w:tcMar>
                    <w:top w:w="120" w:type="dxa"/>
                    <w:left w:w="120" w:type="dxa"/>
                    <w:bottom w:w="120" w:type="dxa"/>
                    <w:right w:w="120" w:type="dxa"/>
                  </w:tcMar>
                  <w:vAlign w:val="center"/>
                </w:tcPr>
                <w:p w14:paraId="0C48A031">
                  <w:pPr>
                    <w:pStyle w:val="7"/>
                    <w:keepNext w:val="0"/>
                    <w:keepLines w:val="0"/>
                    <w:suppressLineNumbers w:val="0"/>
                    <w:bidi w:val="0"/>
                    <w:spacing w:before="0" w:beforeAutospacing="0" w:after="0" w:afterAutospacing="0"/>
                    <w:ind w:left="0" w:right="0"/>
                    <w:rPr>
                      <w:rFonts w:hint="eastAsia"/>
                      <w:color w:val="auto"/>
                    </w:rPr>
                  </w:pPr>
                </w:p>
              </w:tc>
              <w:tc>
                <w:tcPr>
                  <w:tcW w:w="1662" w:type="pct"/>
                  <w:tcBorders>
                    <w:tl2br w:val="nil"/>
                    <w:tr2bl w:val="nil"/>
                  </w:tcBorders>
                  <w:shd w:val="clear" w:color="auto" w:fill="auto"/>
                  <w:tcMar>
                    <w:top w:w="120" w:type="dxa"/>
                    <w:left w:w="120" w:type="dxa"/>
                    <w:bottom w:w="120" w:type="dxa"/>
                    <w:right w:w="120" w:type="dxa"/>
                  </w:tcMar>
                  <w:vAlign w:val="center"/>
                </w:tcPr>
                <w:p w14:paraId="7D54A48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检测</w:t>
                  </w:r>
                </w:p>
              </w:tc>
              <w:tc>
                <w:tcPr>
                  <w:tcW w:w="1727" w:type="pct"/>
                  <w:tcBorders>
                    <w:tl2br w:val="nil"/>
                    <w:tr2bl w:val="nil"/>
                  </w:tcBorders>
                  <w:shd w:val="clear" w:color="auto" w:fill="auto"/>
                  <w:tcMar>
                    <w:top w:w="120" w:type="dxa"/>
                    <w:left w:w="120" w:type="dxa"/>
                    <w:bottom w:w="120" w:type="dxa"/>
                    <w:right w:w="120" w:type="dxa"/>
                  </w:tcMar>
                  <w:vAlign w:val="center"/>
                </w:tcPr>
                <w:p w14:paraId="3ED84262">
                  <w:pPr>
                    <w:pStyle w:val="7"/>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废玻璃</w:t>
                  </w:r>
                  <w:r>
                    <w:rPr>
                      <w:rFonts w:hint="default"/>
                      <w:color w:val="auto"/>
                      <w:lang w:val="en-US" w:eastAsia="zh-CN"/>
                    </w:rPr>
                    <w:t>、实验废弃玻璃样品</w:t>
                  </w:r>
                </w:p>
              </w:tc>
            </w:tr>
            <w:tr w14:paraId="2B523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c>
                <w:tcPr>
                  <w:tcW w:w="607" w:type="pct"/>
                  <w:vMerge w:val="continue"/>
                  <w:tcBorders>
                    <w:tl2br w:val="nil"/>
                    <w:tr2bl w:val="nil"/>
                  </w:tcBorders>
                  <w:shd w:val="clear" w:color="auto" w:fill="auto"/>
                  <w:tcMar>
                    <w:top w:w="120" w:type="dxa"/>
                    <w:left w:w="120" w:type="dxa"/>
                    <w:bottom w:w="120" w:type="dxa"/>
                    <w:right w:w="120" w:type="dxa"/>
                  </w:tcMar>
                  <w:vAlign w:val="center"/>
                </w:tcPr>
                <w:p w14:paraId="44162C89">
                  <w:pPr>
                    <w:pStyle w:val="7"/>
                    <w:keepNext w:val="0"/>
                    <w:keepLines w:val="0"/>
                    <w:suppressLineNumbers w:val="0"/>
                    <w:bidi w:val="0"/>
                    <w:spacing w:before="0" w:beforeAutospacing="0" w:after="0" w:afterAutospacing="0"/>
                    <w:ind w:left="0" w:right="0"/>
                    <w:rPr>
                      <w:rFonts w:hint="eastAsia"/>
                      <w:color w:val="auto"/>
                    </w:rPr>
                  </w:pPr>
                </w:p>
              </w:tc>
              <w:tc>
                <w:tcPr>
                  <w:tcW w:w="1002" w:type="pct"/>
                  <w:vMerge w:val="restart"/>
                  <w:tcBorders>
                    <w:tl2br w:val="nil"/>
                    <w:tr2bl w:val="nil"/>
                  </w:tcBorders>
                  <w:shd w:val="clear" w:color="auto" w:fill="auto"/>
                  <w:tcMar>
                    <w:top w:w="120" w:type="dxa"/>
                    <w:left w:w="120" w:type="dxa"/>
                    <w:bottom w:w="120" w:type="dxa"/>
                    <w:right w:w="120" w:type="dxa"/>
                  </w:tcMar>
                  <w:vAlign w:val="center"/>
                </w:tcPr>
                <w:p w14:paraId="0031C3C3">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玻璃清洗污水处理工艺</w:t>
                  </w:r>
                </w:p>
              </w:tc>
              <w:tc>
                <w:tcPr>
                  <w:tcW w:w="1662" w:type="pct"/>
                  <w:tcBorders>
                    <w:tl2br w:val="nil"/>
                    <w:tr2bl w:val="nil"/>
                  </w:tcBorders>
                  <w:shd w:val="clear" w:color="auto" w:fill="auto"/>
                  <w:tcMar>
                    <w:top w:w="120" w:type="dxa"/>
                    <w:left w:w="120" w:type="dxa"/>
                    <w:bottom w:w="120" w:type="dxa"/>
                    <w:right w:w="120" w:type="dxa"/>
                  </w:tcMar>
                  <w:vAlign w:val="center"/>
                </w:tcPr>
                <w:p w14:paraId="45A05271">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反应沉淀、气浮、二沉池</w:t>
                  </w:r>
                </w:p>
              </w:tc>
              <w:tc>
                <w:tcPr>
                  <w:tcW w:w="1727" w:type="pct"/>
                  <w:tcBorders>
                    <w:tl2br w:val="nil"/>
                    <w:tr2bl w:val="nil"/>
                  </w:tcBorders>
                  <w:shd w:val="clear" w:color="auto" w:fill="auto"/>
                  <w:tcMar>
                    <w:top w:w="120" w:type="dxa"/>
                    <w:left w:w="120" w:type="dxa"/>
                    <w:bottom w:w="120" w:type="dxa"/>
                    <w:right w:w="120" w:type="dxa"/>
                  </w:tcMar>
                  <w:vAlign w:val="center"/>
                </w:tcPr>
                <w:p w14:paraId="331D5E19">
                  <w:pPr>
                    <w:pStyle w:val="7"/>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沉淀污泥</w:t>
                  </w:r>
                </w:p>
              </w:tc>
            </w:tr>
            <w:tr w14:paraId="1A28C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c>
                <w:tcPr>
                  <w:tcW w:w="607" w:type="pct"/>
                  <w:vMerge w:val="continue"/>
                  <w:tcBorders>
                    <w:tl2br w:val="nil"/>
                    <w:tr2bl w:val="nil"/>
                  </w:tcBorders>
                  <w:shd w:val="clear" w:color="auto" w:fill="auto"/>
                  <w:tcMar>
                    <w:top w:w="120" w:type="dxa"/>
                    <w:left w:w="120" w:type="dxa"/>
                    <w:bottom w:w="120" w:type="dxa"/>
                    <w:right w:w="120" w:type="dxa"/>
                  </w:tcMar>
                  <w:vAlign w:val="center"/>
                </w:tcPr>
                <w:p w14:paraId="1B95DF7B">
                  <w:pPr>
                    <w:pStyle w:val="7"/>
                    <w:keepNext w:val="0"/>
                    <w:keepLines w:val="0"/>
                    <w:suppressLineNumbers w:val="0"/>
                    <w:bidi w:val="0"/>
                    <w:spacing w:before="0" w:beforeAutospacing="0" w:after="0" w:afterAutospacing="0"/>
                    <w:ind w:left="0" w:right="0"/>
                    <w:rPr>
                      <w:rFonts w:hint="eastAsia"/>
                      <w:color w:val="auto"/>
                    </w:rPr>
                  </w:pPr>
                </w:p>
              </w:tc>
              <w:tc>
                <w:tcPr>
                  <w:tcW w:w="1002" w:type="pct"/>
                  <w:vMerge w:val="continue"/>
                  <w:tcBorders>
                    <w:tl2br w:val="nil"/>
                    <w:tr2bl w:val="nil"/>
                  </w:tcBorders>
                  <w:shd w:val="clear" w:color="auto" w:fill="auto"/>
                  <w:tcMar>
                    <w:top w:w="120" w:type="dxa"/>
                    <w:left w:w="120" w:type="dxa"/>
                    <w:bottom w:w="120" w:type="dxa"/>
                    <w:right w:w="120" w:type="dxa"/>
                  </w:tcMar>
                  <w:vAlign w:val="center"/>
                </w:tcPr>
                <w:p w14:paraId="730A1856">
                  <w:pPr>
                    <w:pStyle w:val="7"/>
                    <w:keepNext w:val="0"/>
                    <w:keepLines w:val="0"/>
                    <w:suppressLineNumbers w:val="0"/>
                    <w:bidi w:val="0"/>
                    <w:spacing w:before="0" w:beforeAutospacing="0" w:after="0" w:afterAutospacing="0"/>
                    <w:ind w:left="0" w:right="0"/>
                    <w:rPr>
                      <w:rFonts w:hint="eastAsia"/>
                      <w:color w:val="auto"/>
                    </w:rPr>
                  </w:pPr>
                </w:p>
              </w:tc>
              <w:tc>
                <w:tcPr>
                  <w:tcW w:w="1662" w:type="pct"/>
                  <w:tcBorders>
                    <w:tl2br w:val="nil"/>
                    <w:tr2bl w:val="nil"/>
                  </w:tcBorders>
                  <w:shd w:val="clear" w:color="auto" w:fill="auto"/>
                  <w:tcMar>
                    <w:top w:w="120" w:type="dxa"/>
                    <w:left w:w="120" w:type="dxa"/>
                    <w:bottom w:w="120" w:type="dxa"/>
                    <w:right w:w="120" w:type="dxa"/>
                  </w:tcMar>
                  <w:vAlign w:val="center"/>
                </w:tcPr>
                <w:p w14:paraId="21E2F8B0">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石英砂过滤</w:t>
                  </w:r>
                </w:p>
              </w:tc>
              <w:tc>
                <w:tcPr>
                  <w:tcW w:w="1727" w:type="pct"/>
                  <w:tcBorders>
                    <w:tl2br w:val="nil"/>
                    <w:tr2bl w:val="nil"/>
                  </w:tcBorders>
                  <w:shd w:val="clear" w:color="auto" w:fill="auto"/>
                  <w:tcMar>
                    <w:top w:w="120" w:type="dxa"/>
                    <w:left w:w="120" w:type="dxa"/>
                    <w:bottom w:w="120" w:type="dxa"/>
                    <w:right w:w="120" w:type="dxa"/>
                  </w:tcMar>
                  <w:vAlign w:val="center"/>
                </w:tcPr>
                <w:p w14:paraId="6AC4E852">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废石英砂、沉淀泥砂</w:t>
                  </w:r>
                </w:p>
              </w:tc>
            </w:tr>
            <w:tr w14:paraId="223518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607" w:type="pct"/>
                  <w:vMerge w:val="continue"/>
                  <w:tcBorders>
                    <w:tl2br w:val="nil"/>
                    <w:tr2bl w:val="nil"/>
                  </w:tcBorders>
                  <w:shd w:val="clear" w:color="auto" w:fill="auto"/>
                  <w:tcMar>
                    <w:top w:w="120" w:type="dxa"/>
                    <w:left w:w="120" w:type="dxa"/>
                    <w:bottom w:w="120" w:type="dxa"/>
                    <w:right w:w="120" w:type="dxa"/>
                  </w:tcMar>
                  <w:vAlign w:val="center"/>
                </w:tcPr>
                <w:p w14:paraId="274AE6BB">
                  <w:pPr>
                    <w:pStyle w:val="7"/>
                    <w:keepNext w:val="0"/>
                    <w:keepLines w:val="0"/>
                    <w:suppressLineNumbers w:val="0"/>
                    <w:bidi w:val="0"/>
                    <w:spacing w:before="0" w:beforeAutospacing="0" w:after="0" w:afterAutospacing="0"/>
                    <w:ind w:left="0" w:right="0"/>
                    <w:rPr>
                      <w:rFonts w:hint="eastAsia"/>
                      <w:color w:val="auto"/>
                    </w:rPr>
                  </w:pPr>
                </w:p>
              </w:tc>
              <w:tc>
                <w:tcPr>
                  <w:tcW w:w="1002" w:type="pct"/>
                  <w:tcBorders>
                    <w:tl2br w:val="nil"/>
                    <w:tr2bl w:val="nil"/>
                  </w:tcBorders>
                  <w:shd w:val="clear" w:color="auto" w:fill="auto"/>
                  <w:tcMar>
                    <w:top w:w="120" w:type="dxa"/>
                    <w:left w:w="120" w:type="dxa"/>
                    <w:bottom w:w="120" w:type="dxa"/>
                    <w:right w:w="120" w:type="dxa"/>
                  </w:tcMar>
                  <w:vAlign w:val="center"/>
                </w:tcPr>
                <w:p w14:paraId="62FC758B">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办公生活区</w:t>
                  </w:r>
                </w:p>
              </w:tc>
              <w:tc>
                <w:tcPr>
                  <w:tcW w:w="1662" w:type="pct"/>
                  <w:tcBorders>
                    <w:tl2br w:val="nil"/>
                    <w:tr2bl w:val="nil"/>
                  </w:tcBorders>
                  <w:shd w:val="clear" w:color="auto" w:fill="auto"/>
                  <w:tcMar>
                    <w:top w:w="120" w:type="dxa"/>
                    <w:left w:w="120" w:type="dxa"/>
                    <w:bottom w:w="120" w:type="dxa"/>
                    <w:right w:w="120" w:type="dxa"/>
                  </w:tcMar>
                  <w:vAlign w:val="center"/>
                </w:tcPr>
                <w:p w14:paraId="51BDC484">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办公生活</w:t>
                  </w:r>
                </w:p>
              </w:tc>
              <w:tc>
                <w:tcPr>
                  <w:tcW w:w="1727" w:type="pct"/>
                  <w:tcBorders>
                    <w:tl2br w:val="nil"/>
                    <w:tr2bl w:val="nil"/>
                  </w:tcBorders>
                  <w:shd w:val="clear" w:color="auto" w:fill="auto"/>
                  <w:tcMar>
                    <w:top w:w="120" w:type="dxa"/>
                    <w:left w:w="120" w:type="dxa"/>
                    <w:bottom w:w="120" w:type="dxa"/>
                    <w:right w:w="120" w:type="dxa"/>
                  </w:tcMar>
                  <w:vAlign w:val="center"/>
                </w:tcPr>
                <w:p w14:paraId="5D283637">
                  <w:pPr>
                    <w:pStyle w:val="7"/>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生活垃圾</w:t>
                  </w:r>
                </w:p>
              </w:tc>
            </w:tr>
            <w:bookmarkEnd w:id="1"/>
          </w:tbl>
          <w:p w14:paraId="2259A9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b/>
                <w:bCs/>
                <w:color w:val="auto"/>
                <w:lang w:val="en-US" w:eastAsia="zh-CN"/>
              </w:rPr>
            </w:pPr>
          </w:p>
          <w:p w14:paraId="0C6132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b/>
                <w:bCs/>
                <w:color w:val="auto"/>
                <w:lang w:val="en-US" w:eastAsia="zh-CN"/>
              </w:rPr>
            </w:pPr>
          </w:p>
        </w:tc>
      </w:tr>
      <w:tr w14:paraId="06CD5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7" w:type="pct"/>
            <w:tcBorders>
              <w:tl2br w:val="nil"/>
              <w:tr2bl w:val="nil"/>
            </w:tcBorders>
            <w:vAlign w:val="center"/>
          </w:tcPr>
          <w:p w14:paraId="2D47C0A3">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color w:val="auto"/>
              </w:rPr>
            </w:pPr>
            <w:r>
              <w:rPr>
                <w:rFonts w:hint="eastAsia"/>
                <w:color w:val="auto"/>
              </w:rPr>
              <w:t>与项目有关的原有环境污染问题</w:t>
            </w:r>
          </w:p>
        </w:tc>
        <w:tc>
          <w:tcPr>
            <w:tcW w:w="4512" w:type="pct"/>
            <w:tcBorders>
              <w:tl2br w:val="nil"/>
              <w:tr2bl w:val="nil"/>
            </w:tcBorders>
            <w:vAlign w:val="top"/>
          </w:tcPr>
          <w:p w14:paraId="63277C72">
            <w:pPr>
              <w:pStyle w:val="29"/>
              <w:keepNext w:val="0"/>
              <w:keepLines w:val="0"/>
              <w:suppressLineNumbers w:val="0"/>
              <w:spacing w:before="0" w:beforeAutospacing="0" w:afterAutospacing="0"/>
              <w:ind w:right="0"/>
              <w:rPr>
                <w:rFonts w:hint="eastAsia"/>
                <w:color w:val="auto"/>
                <w:lang w:val="en-US" w:eastAsia="zh-CN"/>
              </w:rPr>
            </w:pPr>
            <w:r>
              <w:rPr>
                <w:rFonts w:hint="eastAsia"/>
                <w:color w:val="auto"/>
                <w:lang w:val="en-US" w:eastAsia="zh-CN"/>
              </w:rPr>
              <w:t>无</w:t>
            </w:r>
          </w:p>
          <w:p w14:paraId="7A3BC0EF">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227B8C9A">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33CF1F42">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6103E8F3">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24C7CEDF">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0696DDBA">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44F22536">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539F85A2">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0032F17C">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5DED8F2A">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261CCC5E">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2EF88A62">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p w14:paraId="39B2E36A">
            <w:pPr>
              <w:pStyle w:val="53"/>
              <w:keepNext w:val="0"/>
              <w:keepLines w:val="0"/>
              <w:suppressLineNumbers w:val="0"/>
              <w:spacing w:before="0" w:beforeAutospacing="0" w:afterAutospacing="0"/>
              <w:ind w:left="0" w:leftChars="0" w:right="0" w:firstLine="0" w:firstLineChars="0"/>
              <w:jc w:val="both"/>
              <w:rPr>
                <w:rFonts w:hint="default"/>
                <w:color w:val="auto"/>
                <w:lang w:val="en-US" w:eastAsia="zh-CN"/>
              </w:rPr>
            </w:pPr>
          </w:p>
        </w:tc>
      </w:tr>
    </w:tbl>
    <w:p w14:paraId="0CA0AF0E">
      <w:pPr>
        <w:pStyle w:val="25"/>
        <w:jc w:val="center"/>
        <w:rPr>
          <w:rFonts w:ascii="黑体" w:hAnsi="黑体" w:eastAsia="黑体"/>
          <w:snapToGrid w:val="0"/>
          <w:color w:val="auto"/>
          <w:sz w:val="36"/>
          <w:szCs w:val="36"/>
        </w:rPr>
        <w:sectPr>
          <w:footerReference r:id="rId8" w:type="default"/>
          <w:pgSz w:w="11906" w:h="16838"/>
          <w:pgMar w:top="1304" w:right="1531" w:bottom="1304" w:left="1531" w:header="851" w:footer="851" w:gutter="0"/>
          <w:pgBorders>
            <w:top w:val="none" w:sz="0" w:space="0"/>
            <w:left w:val="none" w:sz="0" w:space="0"/>
            <w:bottom w:val="none" w:sz="0" w:space="0"/>
            <w:right w:val="none" w:sz="0" w:space="0"/>
          </w:pgBorders>
          <w:cols w:space="720" w:num="1"/>
          <w:docGrid w:linePitch="312" w:charSpace="0"/>
        </w:sectPr>
      </w:pPr>
    </w:p>
    <w:p w14:paraId="64F0F0C8">
      <w:pPr>
        <w:pStyle w:val="2"/>
        <w:bidi w:val="0"/>
        <w:rPr>
          <w:color w:val="auto"/>
        </w:rPr>
      </w:pPr>
      <w:r>
        <w:rPr>
          <w:rFonts w:hint="eastAsia"/>
          <w:color w:val="auto"/>
        </w:rPr>
        <w:t>三、区域环境质量现状、环境保护目标及评价标准</w:t>
      </w:r>
    </w:p>
    <w:tbl>
      <w:tblPr>
        <w:tblStyle w:val="3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8406"/>
      </w:tblGrid>
      <w:tr w14:paraId="057DB9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4" w:type="dxa"/>
            <w:vAlign w:val="center"/>
          </w:tcPr>
          <w:p w14:paraId="047B269A">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区域</w:t>
            </w:r>
          </w:p>
          <w:p w14:paraId="42383A3A">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环境</w:t>
            </w:r>
          </w:p>
          <w:p w14:paraId="02412FF2">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质量</w:t>
            </w:r>
          </w:p>
          <w:p w14:paraId="17E8820E">
            <w:pPr>
              <w:pStyle w:val="10"/>
              <w:keepNext w:val="0"/>
              <w:keepLines w:val="0"/>
              <w:suppressLineNumbers w:val="0"/>
              <w:bidi w:val="0"/>
              <w:spacing w:before="0" w:beforeAutospacing="0" w:after="0" w:afterAutospacing="0"/>
              <w:ind w:left="0" w:right="0"/>
              <w:rPr>
                <w:rFonts w:hint="default" w:ascii="宋体" w:hAnsi="宋体" w:cs="宋体"/>
                <w:color w:val="auto"/>
                <w:kern w:val="0"/>
                <w:szCs w:val="21"/>
              </w:rPr>
            </w:pPr>
            <w:r>
              <w:rPr>
                <w:rFonts w:hint="eastAsia"/>
                <w:color w:val="auto"/>
              </w:rPr>
              <w:t>现状</w:t>
            </w:r>
          </w:p>
        </w:tc>
        <w:tc>
          <w:tcPr>
            <w:tcW w:w="8406" w:type="dxa"/>
            <w:vAlign w:val="center"/>
          </w:tcPr>
          <w:p w14:paraId="7709C4B4">
            <w:pPr>
              <w:pStyle w:val="3"/>
              <w:suppressLineNumbers w:val="0"/>
              <w:bidi w:val="0"/>
              <w:spacing w:before="0" w:beforeAutospacing="0" w:after="0" w:afterAutospacing="0"/>
              <w:ind w:left="0" w:right="0"/>
              <w:rPr>
                <w:rFonts w:hint="default"/>
                <w:color w:val="auto"/>
                <w:lang w:val="en-US" w:eastAsia="zh-CN"/>
              </w:rPr>
            </w:pPr>
            <w:bookmarkStart w:id="2" w:name="_Toc19765120"/>
            <w:r>
              <w:rPr>
                <w:rFonts w:hint="default"/>
                <w:color w:val="auto"/>
                <w:lang w:val="en-US" w:eastAsia="zh-CN"/>
              </w:rPr>
              <w:t>1、大气环境质量现状</w:t>
            </w:r>
          </w:p>
          <w:bookmarkEnd w:id="2"/>
          <w:p w14:paraId="7629FB28">
            <w:pPr>
              <w:pStyle w:val="3"/>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1.1基本污染物达标区判定</w:t>
            </w:r>
          </w:p>
          <w:p w14:paraId="3E1D1A66">
            <w:pPr>
              <w:keepNext w:val="0"/>
              <w:keepLines w:val="0"/>
              <w:suppressLineNumbers w:val="0"/>
              <w:bidi w:val="0"/>
              <w:spacing w:before="0" w:beforeAutospacing="0" w:after="0" w:afterAutospacing="0"/>
              <w:ind w:left="0" w:right="0"/>
              <w:rPr>
                <w:rFonts w:hint="default" w:ascii="Times New Roman" w:hAnsi="Times New Roman" w:cs="Times New Roman"/>
                <w:color w:val="auto"/>
                <w:sz w:val="24"/>
                <w:lang w:val="en-US" w:eastAsia="zh-CN"/>
              </w:rPr>
            </w:pPr>
            <w:r>
              <w:rPr>
                <w:rFonts w:hint="default"/>
                <w:color w:val="auto"/>
              </w:rPr>
              <w:t>本次环境空气质量现</w:t>
            </w:r>
            <w:r>
              <w:rPr>
                <w:rFonts w:hint="default" w:eastAsia="宋体"/>
                <w:color w:val="auto"/>
              </w:rPr>
              <w:t>状采用</w:t>
            </w:r>
            <w:r>
              <w:rPr>
                <w:rFonts w:hint="eastAsia"/>
                <w:color w:val="auto"/>
                <w:lang w:val="en-US" w:eastAsia="zh-CN"/>
              </w:rPr>
              <w:t>轮台县</w:t>
            </w:r>
            <w:r>
              <w:rPr>
                <w:rFonts w:hint="eastAsia" w:eastAsia="宋体"/>
                <w:color w:val="auto"/>
                <w:lang w:eastAsia="zh-CN"/>
              </w:rPr>
              <w:t>自动监测站</w:t>
            </w:r>
            <w:r>
              <w:rPr>
                <w:rFonts w:hint="default" w:eastAsia="宋体"/>
                <w:color w:val="auto"/>
              </w:rPr>
              <w:t>2</w:t>
            </w:r>
            <w:r>
              <w:rPr>
                <w:rFonts w:hint="default"/>
                <w:color w:val="auto"/>
              </w:rPr>
              <w:t>0</w:t>
            </w:r>
            <w:r>
              <w:rPr>
                <w:rFonts w:hint="eastAsia"/>
                <w:color w:val="auto"/>
                <w:lang w:val="en-US" w:eastAsia="zh-CN"/>
              </w:rPr>
              <w:t>24</w:t>
            </w:r>
            <w:r>
              <w:rPr>
                <w:rFonts w:hint="default"/>
                <w:color w:val="auto"/>
              </w:rPr>
              <w:t>年SO</w:t>
            </w:r>
            <w:r>
              <w:rPr>
                <w:rFonts w:hint="default"/>
                <w:color w:val="auto"/>
                <w:vertAlign w:val="subscript"/>
              </w:rPr>
              <w:t>2</w:t>
            </w:r>
            <w:r>
              <w:rPr>
                <w:rFonts w:hint="default"/>
                <w:color w:val="auto"/>
              </w:rPr>
              <w:t>、NO</w:t>
            </w:r>
            <w:r>
              <w:rPr>
                <w:rFonts w:hint="default"/>
                <w:color w:val="auto"/>
                <w:vertAlign w:val="subscript"/>
              </w:rPr>
              <w:t>2</w:t>
            </w:r>
            <w:r>
              <w:rPr>
                <w:rFonts w:hint="default"/>
                <w:color w:val="auto"/>
              </w:rPr>
              <w:t>、CO、O</w:t>
            </w:r>
            <w:r>
              <w:rPr>
                <w:rFonts w:hint="default"/>
                <w:color w:val="auto"/>
                <w:vertAlign w:val="subscript"/>
              </w:rPr>
              <w:t>3</w:t>
            </w:r>
            <w:r>
              <w:rPr>
                <w:rFonts w:hint="default"/>
                <w:color w:val="auto"/>
              </w:rPr>
              <w:t>、PM</w:t>
            </w:r>
            <w:r>
              <w:rPr>
                <w:rFonts w:hint="default"/>
                <w:color w:val="auto"/>
                <w:vertAlign w:val="subscript"/>
              </w:rPr>
              <w:t>10</w:t>
            </w:r>
            <w:r>
              <w:rPr>
                <w:rFonts w:hint="default"/>
                <w:color w:val="auto"/>
              </w:rPr>
              <w:t>、PM</w:t>
            </w:r>
            <w:r>
              <w:rPr>
                <w:rFonts w:hint="eastAsia"/>
                <w:color w:val="auto"/>
                <w:vertAlign w:val="subscript"/>
              </w:rPr>
              <w:t>2.5</w:t>
            </w:r>
            <w:r>
              <w:rPr>
                <w:rFonts w:hint="eastAsia"/>
                <w:color w:val="auto"/>
              </w:rPr>
              <w:t>等</w:t>
            </w:r>
            <w:r>
              <w:rPr>
                <w:rFonts w:hint="default"/>
                <w:color w:val="auto"/>
              </w:rPr>
              <w:t>六项基本污染物环境空气质量现状数据</w:t>
            </w:r>
            <w:r>
              <w:rPr>
                <w:rFonts w:hint="eastAsia" w:ascii="Times New Roman" w:hAnsi="Times New Roman" w:cs="Times New Roman"/>
                <w:color w:val="auto"/>
                <w:sz w:val="24"/>
                <w:lang w:val="en-US" w:eastAsia="zh-CN"/>
              </w:rPr>
              <w:t>，详见下表</w:t>
            </w:r>
            <w:r>
              <w:rPr>
                <w:rFonts w:hint="default" w:ascii="Times New Roman" w:hAnsi="Times New Roman" w:cs="Times New Roman"/>
                <w:color w:val="auto"/>
                <w:sz w:val="24"/>
                <w:lang w:val="en-US" w:eastAsia="zh-CN"/>
              </w:rPr>
              <w:t>。</w:t>
            </w:r>
          </w:p>
          <w:p w14:paraId="31B16AFA">
            <w:pPr>
              <w:pStyle w:val="5"/>
              <w:keepNext w:val="0"/>
              <w:keepLines w:val="0"/>
              <w:suppressLineNumbers w:val="0"/>
              <w:bidi w:val="0"/>
              <w:spacing w:before="0" w:beforeAutospacing="0" w:after="0" w:afterAutospacing="0"/>
              <w:ind w:left="0" w:right="0"/>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 xml:space="preserve">3-1 </w:t>
            </w:r>
            <w:r>
              <w:rPr>
                <w:rFonts w:hint="eastAsia"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轮台</w:t>
            </w:r>
            <w:r>
              <w:rPr>
                <w:rFonts w:hint="eastAsia" w:ascii="Times New Roman" w:hAnsi="Times New Roman" w:eastAsia="宋体" w:cs="Times New Roman"/>
                <w:b/>
                <w:bCs/>
                <w:color w:val="auto"/>
                <w:sz w:val="21"/>
                <w:szCs w:val="21"/>
                <w:highlight w:val="none"/>
                <w:lang w:val="en-US" w:eastAsia="zh-CN"/>
              </w:rPr>
              <w:t>县202</w:t>
            </w:r>
            <w:r>
              <w:rPr>
                <w:rFonts w:hint="eastAsia" w:cs="Times New Roman"/>
                <w:b/>
                <w:bCs/>
                <w:color w:val="auto"/>
                <w:sz w:val="21"/>
                <w:szCs w:val="21"/>
                <w:highlight w:val="none"/>
                <w:lang w:val="en-US" w:eastAsia="zh-CN"/>
              </w:rPr>
              <w:t>4</w:t>
            </w:r>
            <w:r>
              <w:rPr>
                <w:rFonts w:hint="eastAsia" w:ascii="Times New Roman" w:hAnsi="Times New Roman" w:eastAsia="宋体" w:cs="Times New Roman"/>
                <w:b/>
                <w:bCs/>
                <w:color w:val="auto"/>
                <w:sz w:val="21"/>
                <w:szCs w:val="21"/>
                <w:highlight w:val="none"/>
                <w:lang w:val="en-US" w:eastAsia="zh-CN"/>
              </w:rPr>
              <w:t>年环境空气质量数据</w:t>
            </w:r>
          </w:p>
          <w:tbl>
            <w:tblPr>
              <w:tblStyle w:val="31"/>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51"/>
              <w:gridCol w:w="1493"/>
              <w:gridCol w:w="1356"/>
              <w:gridCol w:w="1356"/>
              <w:gridCol w:w="1313"/>
              <w:gridCol w:w="1316"/>
            </w:tblGrid>
            <w:tr w14:paraId="429B8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5" w:type="pct"/>
                  <w:tcBorders>
                    <w:tl2br w:val="nil"/>
                    <w:tr2bl w:val="nil"/>
                  </w:tcBorders>
                  <w:noWrap w:val="0"/>
                  <w:vAlign w:val="center"/>
                </w:tcPr>
                <w:p w14:paraId="4488F99D">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污染物</w:t>
                  </w:r>
                </w:p>
              </w:tc>
              <w:tc>
                <w:tcPr>
                  <w:tcW w:w="912" w:type="pct"/>
                  <w:tcBorders>
                    <w:tl2br w:val="nil"/>
                    <w:tr2bl w:val="nil"/>
                  </w:tcBorders>
                  <w:noWrap w:val="0"/>
                  <w:vAlign w:val="center"/>
                </w:tcPr>
                <w:p w14:paraId="77B1E199">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评价项目</w:t>
                  </w:r>
                </w:p>
              </w:tc>
              <w:tc>
                <w:tcPr>
                  <w:tcW w:w="1411" w:type="dxa"/>
                  <w:tcBorders>
                    <w:tl2br w:val="nil"/>
                    <w:tr2bl w:val="nil"/>
                  </w:tcBorders>
                  <w:noWrap w:val="0"/>
                  <w:vAlign w:val="center"/>
                </w:tcPr>
                <w:p w14:paraId="141E02C9">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default"/>
                      <w:b w:val="0"/>
                      <w:bCs w:val="0"/>
                      <w:color w:val="auto"/>
                    </w:rPr>
                    <w:t>浓度（μ</w:t>
                  </w:r>
                  <w:r>
                    <w:rPr>
                      <w:rFonts w:hint="eastAsia"/>
                      <w:b w:val="0"/>
                      <w:bCs w:val="0"/>
                      <w:color w:val="auto"/>
                      <w:lang w:val="en-US" w:eastAsia="zh-CN"/>
                    </w:rPr>
                    <w:t>g</w:t>
                  </w:r>
                  <w:r>
                    <w:rPr>
                      <w:rFonts w:hint="default"/>
                      <w:b w:val="0"/>
                      <w:bCs w:val="0"/>
                      <w:color w:val="auto"/>
                    </w:rPr>
                    <w:t>/m</w:t>
                  </w:r>
                  <w:r>
                    <w:rPr>
                      <w:rFonts w:hint="default"/>
                      <w:b w:val="0"/>
                      <w:bCs w:val="0"/>
                      <w:color w:val="auto"/>
                      <w:vertAlign w:val="superscript"/>
                    </w:rPr>
                    <w:t>3</w:t>
                  </w:r>
                  <w:r>
                    <w:rPr>
                      <w:rFonts w:hint="default"/>
                      <w:b w:val="0"/>
                      <w:bCs w:val="0"/>
                      <w:color w:val="auto"/>
                    </w:rPr>
                    <w:t>）</w:t>
                  </w:r>
                </w:p>
              </w:tc>
              <w:tc>
                <w:tcPr>
                  <w:tcW w:w="1411" w:type="dxa"/>
                  <w:tcBorders>
                    <w:tl2br w:val="nil"/>
                    <w:tr2bl w:val="nil"/>
                  </w:tcBorders>
                  <w:noWrap w:val="0"/>
                  <w:vAlign w:val="center"/>
                </w:tcPr>
                <w:p w14:paraId="01C3D202">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标准（二级）</w:t>
                  </w:r>
                  <w:r>
                    <w:rPr>
                      <w:rFonts w:hint="default"/>
                      <w:b w:val="0"/>
                      <w:bCs w:val="0"/>
                      <w:color w:val="auto"/>
                    </w:rPr>
                    <w:t>（μ</w:t>
                  </w:r>
                  <w:r>
                    <w:rPr>
                      <w:rFonts w:hint="eastAsia"/>
                      <w:b w:val="0"/>
                      <w:bCs w:val="0"/>
                      <w:color w:val="auto"/>
                      <w:lang w:val="en-US" w:eastAsia="zh-CN"/>
                    </w:rPr>
                    <w:t>g</w:t>
                  </w:r>
                  <w:r>
                    <w:rPr>
                      <w:rFonts w:hint="default"/>
                      <w:b w:val="0"/>
                      <w:bCs w:val="0"/>
                      <w:color w:val="auto"/>
                    </w:rPr>
                    <w:t>/m</w:t>
                  </w:r>
                  <w:r>
                    <w:rPr>
                      <w:rFonts w:hint="default"/>
                      <w:b w:val="0"/>
                      <w:bCs w:val="0"/>
                      <w:color w:val="auto"/>
                      <w:vertAlign w:val="superscript"/>
                    </w:rPr>
                    <w:t>3</w:t>
                  </w:r>
                  <w:r>
                    <w:rPr>
                      <w:rFonts w:hint="default"/>
                      <w:b w:val="0"/>
                      <w:bCs w:val="0"/>
                      <w:color w:val="auto"/>
                    </w:rPr>
                    <w:t>）</w:t>
                  </w:r>
                </w:p>
              </w:tc>
              <w:tc>
                <w:tcPr>
                  <w:tcW w:w="802" w:type="pct"/>
                  <w:tcBorders>
                    <w:tl2br w:val="nil"/>
                    <w:tr2bl w:val="nil"/>
                  </w:tcBorders>
                  <w:noWrap w:val="0"/>
                  <w:vAlign w:val="center"/>
                </w:tcPr>
                <w:p w14:paraId="75B52BCB">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eastAsia="zh-CN"/>
                    </w:rPr>
                    <w:t>占标率</w:t>
                  </w:r>
                  <w:r>
                    <w:rPr>
                      <w:rFonts w:hint="eastAsia"/>
                      <w:b w:val="0"/>
                      <w:bCs w:val="0"/>
                      <w:color w:val="auto"/>
                      <w:lang w:val="en-US" w:eastAsia="zh-CN"/>
                    </w:rPr>
                    <w:t>%</w:t>
                  </w:r>
                </w:p>
              </w:tc>
              <w:tc>
                <w:tcPr>
                  <w:tcW w:w="803" w:type="pct"/>
                  <w:tcBorders>
                    <w:tl2br w:val="nil"/>
                    <w:tr2bl w:val="nil"/>
                  </w:tcBorders>
                  <w:noWrap w:val="0"/>
                  <w:vAlign w:val="center"/>
                </w:tcPr>
                <w:p w14:paraId="1B94879C">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lang w:eastAsia="zh-CN"/>
                    </w:rPr>
                  </w:pPr>
                  <w:r>
                    <w:rPr>
                      <w:rFonts w:hint="eastAsia"/>
                      <w:b w:val="0"/>
                      <w:bCs w:val="0"/>
                      <w:color w:val="auto"/>
                      <w:lang w:eastAsia="zh-CN"/>
                    </w:rPr>
                    <w:t>达标情况</w:t>
                  </w:r>
                </w:p>
              </w:tc>
            </w:tr>
            <w:tr w14:paraId="7AB9B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6" w:type="dxa"/>
                  <w:vMerge w:val="restart"/>
                  <w:tcBorders>
                    <w:tl2br w:val="nil"/>
                    <w:tr2bl w:val="nil"/>
                  </w:tcBorders>
                  <w:noWrap w:val="0"/>
                  <w:vAlign w:val="center"/>
                </w:tcPr>
                <w:p w14:paraId="1F4EDD06">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SO</w:t>
                  </w:r>
                  <w:r>
                    <w:rPr>
                      <w:rFonts w:hint="eastAsia"/>
                      <w:b w:val="0"/>
                      <w:bCs w:val="0"/>
                      <w:color w:val="auto"/>
                      <w:vertAlign w:val="subscript"/>
                    </w:rPr>
                    <w:t>2</w:t>
                  </w:r>
                </w:p>
              </w:tc>
              <w:tc>
                <w:tcPr>
                  <w:tcW w:w="912" w:type="pct"/>
                  <w:tcBorders>
                    <w:tl2br w:val="nil"/>
                    <w:tr2bl w:val="nil"/>
                  </w:tcBorders>
                  <w:noWrap w:val="0"/>
                  <w:vAlign w:val="center"/>
                </w:tcPr>
                <w:p w14:paraId="06BC531D">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年平均</w:t>
                  </w:r>
                </w:p>
              </w:tc>
              <w:tc>
                <w:tcPr>
                  <w:tcW w:w="828" w:type="pct"/>
                  <w:tcBorders>
                    <w:tl2br w:val="nil"/>
                    <w:tr2bl w:val="nil"/>
                  </w:tcBorders>
                  <w:noWrap w:val="0"/>
                  <w:vAlign w:val="center"/>
                </w:tcPr>
                <w:p w14:paraId="0D08A026">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5</w:t>
                  </w:r>
                </w:p>
              </w:tc>
              <w:tc>
                <w:tcPr>
                  <w:tcW w:w="828" w:type="pct"/>
                  <w:tcBorders>
                    <w:tl2br w:val="nil"/>
                    <w:tr2bl w:val="nil"/>
                  </w:tcBorders>
                  <w:noWrap w:val="0"/>
                  <w:vAlign w:val="center"/>
                </w:tcPr>
                <w:p w14:paraId="70DF4873">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60</w:t>
                  </w:r>
                </w:p>
              </w:tc>
              <w:tc>
                <w:tcPr>
                  <w:tcW w:w="1367" w:type="dxa"/>
                  <w:tcBorders>
                    <w:tl2br w:val="nil"/>
                    <w:tr2bl w:val="nil"/>
                  </w:tcBorders>
                  <w:noWrap w:val="0"/>
                  <w:vAlign w:val="center"/>
                </w:tcPr>
                <w:p w14:paraId="500121DB">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8</w:t>
                  </w:r>
                </w:p>
              </w:tc>
              <w:tc>
                <w:tcPr>
                  <w:tcW w:w="1368" w:type="dxa"/>
                  <w:tcBorders>
                    <w:tl2br w:val="nil"/>
                    <w:tr2bl w:val="nil"/>
                  </w:tcBorders>
                  <w:noWrap w:val="0"/>
                  <w:vAlign w:val="center"/>
                </w:tcPr>
                <w:p w14:paraId="2CA0CEFA">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lang w:eastAsia="zh-CN"/>
                    </w:rPr>
                  </w:pPr>
                  <w:r>
                    <w:rPr>
                      <w:rFonts w:hint="default"/>
                      <w:b w:val="0"/>
                      <w:bCs w:val="0"/>
                      <w:color w:val="auto"/>
                      <w:lang w:eastAsia="zh-CN"/>
                    </w:rPr>
                    <w:t>达标</w:t>
                  </w:r>
                </w:p>
              </w:tc>
            </w:tr>
            <w:tr w14:paraId="74C42E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5" w:type="pct"/>
                  <w:vMerge w:val="continue"/>
                  <w:tcBorders>
                    <w:tl2br w:val="nil"/>
                    <w:tr2bl w:val="nil"/>
                  </w:tcBorders>
                  <w:noWrap w:val="0"/>
                  <w:vAlign w:val="center"/>
                </w:tcPr>
                <w:p w14:paraId="75E7DF7E">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p>
              </w:tc>
              <w:tc>
                <w:tcPr>
                  <w:tcW w:w="912" w:type="pct"/>
                  <w:tcBorders>
                    <w:tl2br w:val="nil"/>
                    <w:tr2bl w:val="nil"/>
                  </w:tcBorders>
                  <w:noWrap w:val="0"/>
                  <w:vAlign w:val="center"/>
                </w:tcPr>
                <w:p w14:paraId="445D3E16">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24h平均第98百分位数</w:t>
                  </w:r>
                </w:p>
              </w:tc>
              <w:tc>
                <w:tcPr>
                  <w:tcW w:w="828" w:type="pct"/>
                  <w:tcBorders>
                    <w:tl2br w:val="nil"/>
                    <w:tr2bl w:val="nil"/>
                  </w:tcBorders>
                  <w:noWrap w:val="0"/>
                  <w:vAlign w:val="center"/>
                </w:tcPr>
                <w:p w14:paraId="2D7C00F4">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10</w:t>
                  </w:r>
                </w:p>
              </w:tc>
              <w:tc>
                <w:tcPr>
                  <w:tcW w:w="828" w:type="pct"/>
                  <w:tcBorders>
                    <w:tl2br w:val="nil"/>
                    <w:tr2bl w:val="nil"/>
                  </w:tcBorders>
                  <w:noWrap w:val="0"/>
                  <w:vAlign w:val="center"/>
                </w:tcPr>
                <w:p w14:paraId="247F21A2">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150</w:t>
                  </w:r>
                </w:p>
              </w:tc>
              <w:tc>
                <w:tcPr>
                  <w:tcW w:w="1367" w:type="dxa"/>
                  <w:tcBorders>
                    <w:tl2br w:val="nil"/>
                    <w:tr2bl w:val="nil"/>
                  </w:tcBorders>
                  <w:noWrap w:val="0"/>
                  <w:vAlign w:val="center"/>
                </w:tcPr>
                <w:p w14:paraId="3BC3365A">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7</w:t>
                  </w:r>
                </w:p>
              </w:tc>
              <w:tc>
                <w:tcPr>
                  <w:tcW w:w="1368" w:type="dxa"/>
                  <w:tcBorders>
                    <w:tl2br w:val="nil"/>
                    <w:tr2bl w:val="nil"/>
                  </w:tcBorders>
                  <w:noWrap w:val="0"/>
                  <w:vAlign w:val="center"/>
                </w:tcPr>
                <w:p w14:paraId="070CF735">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default"/>
                      <w:b w:val="0"/>
                      <w:bCs w:val="0"/>
                      <w:color w:val="auto"/>
                      <w:lang w:eastAsia="zh-CN"/>
                    </w:rPr>
                    <w:t>达标</w:t>
                  </w:r>
                </w:p>
              </w:tc>
            </w:tr>
            <w:tr w14:paraId="252A7A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6" w:type="dxa"/>
                  <w:vMerge w:val="restart"/>
                  <w:tcBorders>
                    <w:tl2br w:val="nil"/>
                    <w:tr2bl w:val="nil"/>
                  </w:tcBorders>
                  <w:noWrap w:val="0"/>
                  <w:vAlign w:val="center"/>
                </w:tcPr>
                <w:p w14:paraId="119D2DF5">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NO</w:t>
                  </w:r>
                  <w:r>
                    <w:rPr>
                      <w:rFonts w:hint="eastAsia"/>
                      <w:b w:val="0"/>
                      <w:bCs w:val="0"/>
                      <w:color w:val="auto"/>
                      <w:vertAlign w:val="subscript"/>
                    </w:rPr>
                    <w:t>2</w:t>
                  </w:r>
                </w:p>
              </w:tc>
              <w:tc>
                <w:tcPr>
                  <w:tcW w:w="912" w:type="pct"/>
                  <w:tcBorders>
                    <w:tl2br w:val="nil"/>
                    <w:tr2bl w:val="nil"/>
                  </w:tcBorders>
                  <w:noWrap w:val="0"/>
                  <w:vAlign w:val="center"/>
                </w:tcPr>
                <w:p w14:paraId="21389E94">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年平均</w:t>
                  </w:r>
                </w:p>
              </w:tc>
              <w:tc>
                <w:tcPr>
                  <w:tcW w:w="828" w:type="pct"/>
                  <w:tcBorders>
                    <w:tl2br w:val="nil"/>
                    <w:tr2bl w:val="nil"/>
                  </w:tcBorders>
                  <w:noWrap w:val="0"/>
                  <w:vAlign w:val="center"/>
                </w:tcPr>
                <w:p w14:paraId="5BA47F80">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19</w:t>
                  </w:r>
                </w:p>
              </w:tc>
              <w:tc>
                <w:tcPr>
                  <w:tcW w:w="828" w:type="pct"/>
                  <w:tcBorders>
                    <w:tl2br w:val="nil"/>
                    <w:tr2bl w:val="nil"/>
                  </w:tcBorders>
                  <w:noWrap w:val="0"/>
                  <w:vAlign w:val="center"/>
                </w:tcPr>
                <w:p w14:paraId="09A1C415">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40</w:t>
                  </w:r>
                </w:p>
              </w:tc>
              <w:tc>
                <w:tcPr>
                  <w:tcW w:w="1367" w:type="dxa"/>
                  <w:tcBorders>
                    <w:tl2br w:val="nil"/>
                    <w:tr2bl w:val="nil"/>
                  </w:tcBorders>
                  <w:noWrap w:val="0"/>
                  <w:vAlign w:val="center"/>
                </w:tcPr>
                <w:p w14:paraId="2B6ABF17">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48</w:t>
                  </w:r>
                </w:p>
              </w:tc>
              <w:tc>
                <w:tcPr>
                  <w:tcW w:w="1368" w:type="dxa"/>
                  <w:tcBorders>
                    <w:tl2br w:val="nil"/>
                    <w:tr2bl w:val="nil"/>
                  </w:tcBorders>
                  <w:noWrap w:val="0"/>
                  <w:vAlign w:val="center"/>
                </w:tcPr>
                <w:p w14:paraId="1945D1B3">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default"/>
                      <w:b w:val="0"/>
                      <w:bCs w:val="0"/>
                      <w:color w:val="auto"/>
                      <w:lang w:eastAsia="zh-CN"/>
                    </w:rPr>
                    <w:t>达标</w:t>
                  </w:r>
                </w:p>
              </w:tc>
            </w:tr>
            <w:tr w14:paraId="33C1F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5" w:type="pct"/>
                  <w:vMerge w:val="continue"/>
                  <w:tcBorders>
                    <w:tl2br w:val="nil"/>
                    <w:tr2bl w:val="nil"/>
                  </w:tcBorders>
                  <w:noWrap w:val="0"/>
                  <w:vAlign w:val="center"/>
                </w:tcPr>
                <w:p w14:paraId="7F187520">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p>
              </w:tc>
              <w:tc>
                <w:tcPr>
                  <w:tcW w:w="912" w:type="pct"/>
                  <w:tcBorders>
                    <w:tl2br w:val="nil"/>
                    <w:tr2bl w:val="nil"/>
                  </w:tcBorders>
                  <w:noWrap w:val="0"/>
                  <w:vAlign w:val="center"/>
                </w:tcPr>
                <w:p w14:paraId="187D181B">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24h平均第98百分位数</w:t>
                  </w:r>
                </w:p>
              </w:tc>
              <w:tc>
                <w:tcPr>
                  <w:tcW w:w="828" w:type="pct"/>
                  <w:tcBorders>
                    <w:tl2br w:val="nil"/>
                    <w:tr2bl w:val="nil"/>
                  </w:tcBorders>
                  <w:noWrap w:val="0"/>
                  <w:vAlign w:val="center"/>
                </w:tcPr>
                <w:p w14:paraId="6814038B">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43</w:t>
                  </w:r>
                </w:p>
              </w:tc>
              <w:tc>
                <w:tcPr>
                  <w:tcW w:w="828" w:type="pct"/>
                  <w:tcBorders>
                    <w:tl2br w:val="nil"/>
                    <w:tr2bl w:val="nil"/>
                  </w:tcBorders>
                  <w:noWrap w:val="0"/>
                  <w:vAlign w:val="center"/>
                </w:tcPr>
                <w:p w14:paraId="1C8F7F3F">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80</w:t>
                  </w:r>
                </w:p>
              </w:tc>
              <w:tc>
                <w:tcPr>
                  <w:tcW w:w="1367" w:type="dxa"/>
                  <w:tcBorders>
                    <w:tl2br w:val="nil"/>
                    <w:tr2bl w:val="nil"/>
                  </w:tcBorders>
                  <w:noWrap w:val="0"/>
                  <w:vAlign w:val="center"/>
                </w:tcPr>
                <w:p w14:paraId="4C85FC2A">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54</w:t>
                  </w:r>
                </w:p>
              </w:tc>
              <w:tc>
                <w:tcPr>
                  <w:tcW w:w="1368" w:type="dxa"/>
                  <w:tcBorders>
                    <w:tl2br w:val="nil"/>
                    <w:tr2bl w:val="nil"/>
                  </w:tcBorders>
                  <w:noWrap w:val="0"/>
                  <w:vAlign w:val="center"/>
                </w:tcPr>
                <w:p w14:paraId="0DA5327B">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default"/>
                      <w:b w:val="0"/>
                      <w:bCs w:val="0"/>
                      <w:color w:val="auto"/>
                      <w:lang w:eastAsia="zh-CN"/>
                    </w:rPr>
                    <w:t>达标</w:t>
                  </w:r>
                </w:p>
              </w:tc>
            </w:tr>
            <w:tr w14:paraId="642C60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6" w:type="dxa"/>
                  <w:tcBorders>
                    <w:tl2br w:val="nil"/>
                    <w:tr2bl w:val="nil"/>
                  </w:tcBorders>
                  <w:noWrap w:val="0"/>
                  <w:vAlign w:val="center"/>
                </w:tcPr>
                <w:p w14:paraId="5BE31AD6">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CO（mg/m</w:t>
                  </w:r>
                  <w:r>
                    <w:rPr>
                      <w:rFonts w:hint="eastAsia"/>
                      <w:b w:val="0"/>
                      <w:bCs w:val="0"/>
                      <w:color w:val="auto"/>
                      <w:vertAlign w:val="superscript"/>
                    </w:rPr>
                    <w:t>3</w:t>
                  </w:r>
                  <w:r>
                    <w:rPr>
                      <w:rFonts w:hint="eastAsia"/>
                      <w:b w:val="0"/>
                      <w:bCs w:val="0"/>
                      <w:color w:val="auto"/>
                    </w:rPr>
                    <w:t>）</w:t>
                  </w:r>
                </w:p>
              </w:tc>
              <w:tc>
                <w:tcPr>
                  <w:tcW w:w="912" w:type="pct"/>
                  <w:tcBorders>
                    <w:tl2br w:val="nil"/>
                    <w:tr2bl w:val="nil"/>
                  </w:tcBorders>
                  <w:noWrap w:val="0"/>
                  <w:vAlign w:val="center"/>
                </w:tcPr>
                <w:p w14:paraId="35AC60D8">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24h平均第95百分位数</w:t>
                  </w:r>
                </w:p>
              </w:tc>
              <w:tc>
                <w:tcPr>
                  <w:tcW w:w="828" w:type="pct"/>
                  <w:tcBorders>
                    <w:tl2br w:val="nil"/>
                    <w:tr2bl w:val="nil"/>
                  </w:tcBorders>
                  <w:noWrap w:val="0"/>
                  <w:vAlign w:val="center"/>
                </w:tcPr>
                <w:p w14:paraId="417B03EA">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1.8</w:t>
                  </w:r>
                </w:p>
              </w:tc>
              <w:tc>
                <w:tcPr>
                  <w:tcW w:w="828" w:type="pct"/>
                  <w:tcBorders>
                    <w:tl2br w:val="nil"/>
                    <w:tr2bl w:val="nil"/>
                  </w:tcBorders>
                  <w:noWrap w:val="0"/>
                  <w:vAlign w:val="center"/>
                </w:tcPr>
                <w:p w14:paraId="005A3E03">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4</w:t>
                  </w:r>
                </w:p>
              </w:tc>
              <w:tc>
                <w:tcPr>
                  <w:tcW w:w="1367" w:type="dxa"/>
                  <w:tcBorders>
                    <w:tl2br w:val="nil"/>
                    <w:tr2bl w:val="nil"/>
                  </w:tcBorders>
                  <w:noWrap w:val="0"/>
                  <w:vAlign w:val="center"/>
                </w:tcPr>
                <w:p w14:paraId="5F8845EE">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45</w:t>
                  </w:r>
                </w:p>
              </w:tc>
              <w:tc>
                <w:tcPr>
                  <w:tcW w:w="1368" w:type="dxa"/>
                  <w:tcBorders>
                    <w:tl2br w:val="nil"/>
                    <w:tr2bl w:val="nil"/>
                  </w:tcBorders>
                  <w:noWrap w:val="0"/>
                  <w:vAlign w:val="center"/>
                </w:tcPr>
                <w:p w14:paraId="3D8E0670">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default"/>
                      <w:b w:val="0"/>
                      <w:bCs w:val="0"/>
                      <w:color w:val="auto"/>
                      <w:lang w:eastAsia="zh-CN"/>
                    </w:rPr>
                    <w:t>达标</w:t>
                  </w:r>
                </w:p>
              </w:tc>
            </w:tr>
            <w:tr w14:paraId="20639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6" w:type="dxa"/>
                  <w:tcBorders>
                    <w:tl2br w:val="nil"/>
                    <w:tr2bl w:val="nil"/>
                  </w:tcBorders>
                  <w:noWrap w:val="0"/>
                  <w:vAlign w:val="center"/>
                </w:tcPr>
                <w:p w14:paraId="0627E2A8">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O</w:t>
                  </w:r>
                  <w:r>
                    <w:rPr>
                      <w:rFonts w:hint="eastAsia"/>
                      <w:b w:val="0"/>
                      <w:bCs w:val="0"/>
                      <w:color w:val="auto"/>
                      <w:vertAlign w:val="subscript"/>
                    </w:rPr>
                    <w:t>3</w:t>
                  </w:r>
                </w:p>
              </w:tc>
              <w:tc>
                <w:tcPr>
                  <w:tcW w:w="912" w:type="pct"/>
                  <w:tcBorders>
                    <w:tl2br w:val="nil"/>
                    <w:tr2bl w:val="nil"/>
                  </w:tcBorders>
                  <w:noWrap w:val="0"/>
                  <w:vAlign w:val="center"/>
                </w:tcPr>
                <w:p w14:paraId="3AF68399">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default"/>
                      <w:b w:val="0"/>
                      <w:bCs w:val="0"/>
                      <w:color w:val="auto"/>
                      <w:lang w:val="en-US" w:eastAsia="zh-CN"/>
                    </w:rPr>
                    <w:t>最大8小时滑动平均值的第90百分位数</w:t>
                  </w:r>
                </w:p>
              </w:tc>
              <w:tc>
                <w:tcPr>
                  <w:tcW w:w="828" w:type="pct"/>
                  <w:tcBorders>
                    <w:tl2br w:val="nil"/>
                    <w:tr2bl w:val="nil"/>
                  </w:tcBorders>
                  <w:noWrap w:val="0"/>
                  <w:vAlign w:val="center"/>
                </w:tcPr>
                <w:p w14:paraId="44D41CBA">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118</w:t>
                  </w:r>
                </w:p>
              </w:tc>
              <w:tc>
                <w:tcPr>
                  <w:tcW w:w="828" w:type="pct"/>
                  <w:tcBorders>
                    <w:tl2br w:val="nil"/>
                    <w:tr2bl w:val="nil"/>
                  </w:tcBorders>
                  <w:noWrap w:val="0"/>
                  <w:vAlign w:val="center"/>
                </w:tcPr>
                <w:p w14:paraId="66584336">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160</w:t>
                  </w:r>
                </w:p>
              </w:tc>
              <w:tc>
                <w:tcPr>
                  <w:tcW w:w="1367" w:type="dxa"/>
                  <w:tcBorders>
                    <w:tl2br w:val="nil"/>
                    <w:tr2bl w:val="nil"/>
                  </w:tcBorders>
                  <w:noWrap w:val="0"/>
                  <w:vAlign w:val="center"/>
                </w:tcPr>
                <w:p w14:paraId="43FCF1CE">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74</w:t>
                  </w:r>
                </w:p>
              </w:tc>
              <w:tc>
                <w:tcPr>
                  <w:tcW w:w="1368" w:type="dxa"/>
                  <w:tcBorders>
                    <w:tl2br w:val="nil"/>
                    <w:tr2bl w:val="nil"/>
                  </w:tcBorders>
                  <w:noWrap w:val="0"/>
                  <w:vAlign w:val="center"/>
                </w:tcPr>
                <w:p w14:paraId="5F2736E0">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default"/>
                      <w:b w:val="0"/>
                      <w:bCs w:val="0"/>
                      <w:color w:val="auto"/>
                      <w:lang w:eastAsia="zh-CN"/>
                    </w:rPr>
                    <w:t>达标</w:t>
                  </w:r>
                </w:p>
              </w:tc>
            </w:tr>
            <w:tr w14:paraId="1B0EB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1406" w:type="dxa"/>
                  <w:vMerge w:val="restart"/>
                  <w:tcBorders>
                    <w:tl2br w:val="nil"/>
                    <w:tr2bl w:val="nil"/>
                  </w:tcBorders>
                  <w:noWrap w:val="0"/>
                  <w:vAlign w:val="center"/>
                </w:tcPr>
                <w:p w14:paraId="44C15D0A">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PM</w:t>
                  </w:r>
                  <w:r>
                    <w:rPr>
                      <w:rFonts w:hint="eastAsia"/>
                      <w:b w:val="0"/>
                      <w:bCs w:val="0"/>
                      <w:color w:val="auto"/>
                      <w:vertAlign w:val="subscript"/>
                    </w:rPr>
                    <w:t>10</w:t>
                  </w:r>
                </w:p>
              </w:tc>
              <w:tc>
                <w:tcPr>
                  <w:tcW w:w="912" w:type="pct"/>
                  <w:tcBorders>
                    <w:tl2br w:val="nil"/>
                    <w:tr2bl w:val="nil"/>
                  </w:tcBorders>
                  <w:noWrap w:val="0"/>
                  <w:vAlign w:val="center"/>
                </w:tcPr>
                <w:p w14:paraId="2C412E3E">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年平均</w:t>
                  </w:r>
                </w:p>
              </w:tc>
              <w:tc>
                <w:tcPr>
                  <w:tcW w:w="828" w:type="pct"/>
                  <w:tcBorders>
                    <w:tl2br w:val="nil"/>
                    <w:tr2bl w:val="nil"/>
                  </w:tcBorders>
                  <w:noWrap w:val="0"/>
                  <w:vAlign w:val="center"/>
                </w:tcPr>
                <w:p w14:paraId="665C7936">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171</w:t>
                  </w:r>
                </w:p>
              </w:tc>
              <w:tc>
                <w:tcPr>
                  <w:tcW w:w="1411" w:type="dxa"/>
                  <w:tcBorders>
                    <w:tl2br w:val="nil"/>
                    <w:tr2bl w:val="nil"/>
                  </w:tcBorders>
                  <w:noWrap w:val="0"/>
                  <w:vAlign w:val="center"/>
                </w:tcPr>
                <w:p w14:paraId="4BF174EA">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lang w:val="en-US" w:eastAsia="zh-CN"/>
                    </w:rPr>
                    <w:t>60</w:t>
                  </w:r>
                </w:p>
              </w:tc>
              <w:tc>
                <w:tcPr>
                  <w:tcW w:w="1367" w:type="dxa"/>
                  <w:tcBorders>
                    <w:tl2br w:val="nil"/>
                    <w:tr2bl w:val="nil"/>
                  </w:tcBorders>
                  <w:noWrap w:val="0"/>
                  <w:vAlign w:val="center"/>
                </w:tcPr>
                <w:p w14:paraId="4A515DDF">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285</w:t>
                  </w:r>
                </w:p>
              </w:tc>
              <w:tc>
                <w:tcPr>
                  <w:tcW w:w="1368" w:type="dxa"/>
                  <w:tcBorders>
                    <w:tl2br w:val="nil"/>
                    <w:tr2bl w:val="nil"/>
                  </w:tcBorders>
                  <w:noWrap w:val="0"/>
                  <w:vAlign w:val="center"/>
                </w:tcPr>
                <w:p w14:paraId="122E3CAE">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eastAsia"/>
                      <w:b w:val="0"/>
                      <w:bCs w:val="0"/>
                      <w:color w:val="auto"/>
                      <w:lang w:val="en-US" w:eastAsia="zh-CN"/>
                    </w:rPr>
                    <w:t>超标</w:t>
                  </w:r>
                </w:p>
              </w:tc>
            </w:tr>
            <w:tr w14:paraId="722D1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5" w:type="pct"/>
                  <w:vMerge w:val="continue"/>
                  <w:tcBorders>
                    <w:tl2br w:val="nil"/>
                    <w:tr2bl w:val="nil"/>
                  </w:tcBorders>
                  <w:noWrap w:val="0"/>
                  <w:vAlign w:val="center"/>
                </w:tcPr>
                <w:p w14:paraId="1F0533B1">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p>
              </w:tc>
              <w:tc>
                <w:tcPr>
                  <w:tcW w:w="912" w:type="pct"/>
                  <w:tcBorders>
                    <w:tl2br w:val="nil"/>
                    <w:tr2bl w:val="nil"/>
                  </w:tcBorders>
                  <w:noWrap w:val="0"/>
                  <w:vAlign w:val="center"/>
                </w:tcPr>
                <w:p w14:paraId="6EADB583">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24h平均第95百分位数</w:t>
                  </w:r>
                </w:p>
              </w:tc>
              <w:tc>
                <w:tcPr>
                  <w:tcW w:w="828" w:type="pct"/>
                  <w:tcBorders>
                    <w:tl2br w:val="nil"/>
                    <w:tr2bl w:val="nil"/>
                  </w:tcBorders>
                  <w:noWrap w:val="0"/>
                  <w:vAlign w:val="center"/>
                </w:tcPr>
                <w:p w14:paraId="7F9F6C21">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481</w:t>
                  </w:r>
                </w:p>
              </w:tc>
              <w:tc>
                <w:tcPr>
                  <w:tcW w:w="1411" w:type="dxa"/>
                  <w:tcBorders>
                    <w:tl2br w:val="nil"/>
                    <w:tr2bl w:val="nil"/>
                  </w:tcBorders>
                  <w:noWrap w:val="0"/>
                  <w:vAlign w:val="center"/>
                </w:tcPr>
                <w:p w14:paraId="04893837">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1</w:t>
                  </w:r>
                  <w:r>
                    <w:rPr>
                      <w:rFonts w:hint="eastAsia"/>
                      <w:b w:val="0"/>
                      <w:bCs w:val="0"/>
                      <w:color w:val="auto"/>
                      <w:lang w:val="en-US" w:eastAsia="zh-CN"/>
                    </w:rPr>
                    <w:t>2</w:t>
                  </w:r>
                  <w:r>
                    <w:rPr>
                      <w:rFonts w:hint="eastAsia"/>
                      <w:b w:val="0"/>
                      <w:bCs w:val="0"/>
                      <w:color w:val="auto"/>
                    </w:rPr>
                    <w:t>0</w:t>
                  </w:r>
                </w:p>
              </w:tc>
              <w:tc>
                <w:tcPr>
                  <w:tcW w:w="1367" w:type="dxa"/>
                  <w:tcBorders>
                    <w:tl2br w:val="nil"/>
                    <w:tr2bl w:val="nil"/>
                  </w:tcBorders>
                  <w:noWrap w:val="0"/>
                  <w:vAlign w:val="center"/>
                </w:tcPr>
                <w:p w14:paraId="15F10752">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401</w:t>
                  </w:r>
                </w:p>
              </w:tc>
              <w:tc>
                <w:tcPr>
                  <w:tcW w:w="1368" w:type="dxa"/>
                  <w:tcBorders>
                    <w:tl2br w:val="nil"/>
                    <w:tr2bl w:val="nil"/>
                  </w:tcBorders>
                  <w:noWrap w:val="0"/>
                  <w:vAlign w:val="center"/>
                </w:tcPr>
                <w:p w14:paraId="08EA310B">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eastAsia"/>
                      <w:b w:val="0"/>
                      <w:bCs w:val="0"/>
                      <w:color w:val="auto"/>
                      <w:lang w:val="en-US" w:eastAsia="zh-CN"/>
                    </w:rPr>
                    <w:t>超标</w:t>
                  </w:r>
                </w:p>
              </w:tc>
            </w:tr>
            <w:tr w14:paraId="1B92AC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6" w:type="dxa"/>
                  <w:vMerge w:val="restart"/>
                  <w:tcBorders>
                    <w:tl2br w:val="nil"/>
                    <w:tr2bl w:val="nil"/>
                  </w:tcBorders>
                  <w:noWrap w:val="0"/>
                  <w:vAlign w:val="center"/>
                </w:tcPr>
                <w:p w14:paraId="4D272AD9">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PM</w:t>
                  </w:r>
                  <w:r>
                    <w:rPr>
                      <w:rFonts w:hint="eastAsia"/>
                      <w:b w:val="0"/>
                      <w:bCs w:val="0"/>
                      <w:color w:val="auto"/>
                      <w:vertAlign w:val="subscript"/>
                    </w:rPr>
                    <w:t>2.5</w:t>
                  </w:r>
                </w:p>
              </w:tc>
              <w:tc>
                <w:tcPr>
                  <w:tcW w:w="912" w:type="pct"/>
                  <w:tcBorders>
                    <w:tl2br w:val="nil"/>
                    <w:tr2bl w:val="nil"/>
                  </w:tcBorders>
                  <w:noWrap w:val="0"/>
                  <w:vAlign w:val="center"/>
                </w:tcPr>
                <w:p w14:paraId="484E7E9F">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年平均</w:t>
                  </w:r>
                </w:p>
              </w:tc>
              <w:tc>
                <w:tcPr>
                  <w:tcW w:w="828" w:type="pct"/>
                  <w:tcBorders>
                    <w:tl2br w:val="nil"/>
                    <w:tr2bl w:val="nil"/>
                  </w:tcBorders>
                  <w:noWrap w:val="0"/>
                  <w:vAlign w:val="center"/>
                </w:tcPr>
                <w:p w14:paraId="4DD495F2">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52</w:t>
                  </w:r>
                </w:p>
              </w:tc>
              <w:tc>
                <w:tcPr>
                  <w:tcW w:w="1411" w:type="dxa"/>
                  <w:tcBorders>
                    <w:tl2br w:val="nil"/>
                    <w:tr2bl w:val="nil"/>
                  </w:tcBorders>
                  <w:noWrap w:val="0"/>
                  <w:vAlign w:val="center"/>
                </w:tcPr>
                <w:p w14:paraId="21605ED8">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rPr>
                    <w:t>3</w:t>
                  </w:r>
                  <w:r>
                    <w:rPr>
                      <w:rFonts w:hint="eastAsia"/>
                      <w:b w:val="0"/>
                      <w:bCs w:val="0"/>
                      <w:color w:val="auto"/>
                      <w:lang w:val="en-US" w:eastAsia="zh-CN"/>
                    </w:rPr>
                    <w:t>0</w:t>
                  </w:r>
                </w:p>
              </w:tc>
              <w:tc>
                <w:tcPr>
                  <w:tcW w:w="1367" w:type="dxa"/>
                  <w:tcBorders>
                    <w:tl2br w:val="nil"/>
                    <w:tr2bl w:val="nil"/>
                  </w:tcBorders>
                  <w:noWrap w:val="0"/>
                  <w:vAlign w:val="center"/>
                </w:tcPr>
                <w:p w14:paraId="418B73E5">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173</w:t>
                  </w:r>
                </w:p>
              </w:tc>
              <w:tc>
                <w:tcPr>
                  <w:tcW w:w="1368" w:type="dxa"/>
                  <w:tcBorders>
                    <w:tl2br w:val="nil"/>
                    <w:tr2bl w:val="nil"/>
                  </w:tcBorders>
                  <w:noWrap w:val="0"/>
                  <w:vAlign w:val="center"/>
                </w:tcPr>
                <w:p w14:paraId="3A26C6F9">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eastAsia"/>
                      <w:b w:val="0"/>
                      <w:bCs w:val="0"/>
                      <w:color w:val="auto"/>
                      <w:lang w:val="en-US" w:eastAsia="zh-CN"/>
                    </w:rPr>
                    <w:t>超标</w:t>
                  </w:r>
                </w:p>
              </w:tc>
            </w:tr>
            <w:tr w14:paraId="25F78B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5" w:type="pct"/>
                  <w:vMerge w:val="continue"/>
                  <w:tcBorders>
                    <w:tl2br w:val="nil"/>
                    <w:tr2bl w:val="nil"/>
                  </w:tcBorders>
                  <w:noWrap w:val="0"/>
                  <w:vAlign w:val="center"/>
                </w:tcPr>
                <w:p w14:paraId="05458889">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p>
              </w:tc>
              <w:tc>
                <w:tcPr>
                  <w:tcW w:w="912" w:type="pct"/>
                  <w:tcBorders>
                    <w:tl2br w:val="nil"/>
                    <w:tr2bl w:val="nil"/>
                  </w:tcBorders>
                  <w:noWrap w:val="0"/>
                  <w:vAlign w:val="center"/>
                </w:tcPr>
                <w:p w14:paraId="78D9F4BE">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24h平均第95百分位数</w:t>
                  </w:r>
                </w:p>
              </w:tc>
              <w:tc>
                <w:tcPr>
                  <w:tcW w:w="828" w:type="pct"/>
                  <w:tcBorders>
                    <w:tl2br w:val="nil"/>
                    <w:tr2bl w:val="nil"/>
                  </w:tcBorders>
                  <w:noWrap w:val="0"/>
                  <w:vAlign w:val="center"/>
                </w:tcPr>
                <w:p w14:paraId="72B6CEC7">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123</w:t>
                  </w:r>
                </w:p>
              </w:tc>
              <w:tc>
                <w:tcPr>
                  <w:tcW w:w="1411" w:type="dxa"/>
                  <w:tcBorders>
                    <w:tl2br w:val="nil"/>
                    <w:tr2bl w:val="nil"/>
                  </w:tcBorders>
                  <w:noWrap w:val="0"/>
                  <w:vAlign w:val="center"/>
                </w:tcPr>
                <w:p w14:paraId="1C8339BA">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rPr>
                  </w:pPr>
                  <w:r>
                    <w:rPr>
                      <w:rFonts w:hint="eastAsia"/>
                      <w:b w:val="0"/>
                      <w:bCs w:val="0"/>
                      <w:color w:val="auto"/>
                      <w:lang w:val="en-US" w:eastAsia="zh-CN"/>
                    </w:rPr>
                    <w:t>60</w:t>
                  </w:r>
                </w:p>
              </w:tc>
              <w:tc>
                <w:tcPr>
                  <w:tcW w:w="1367" w:type="dxa"/>
                  <w:tcBorders>
                    <w:tl2br w:val="nil"/>
                    <w:tr2bl w:val="nil"/>
                  </w:tcBorders>
                  <w:noWrap w:val="0"/>
                  <w:vAlign w:val="center"/>
                </w:tcPr>
                <w:p w14:paraId="1470DBCC">
                  <w:pPr>
                    <w:pStyle w:val="5"/>
                    <w:keepNext w:val="0"/>
                    <w:keepLines w:val="0"/>
                    <w:suppressLineNumbers w:val="0"/>
                    <w:bidi w:val="0"/>
                    <w:spacing w:before="0" w:beforeAutospacing="0" w:after="0" w:afterAutospacing="0"/>
                    <w:ind w:left="0" w:leftChars="0" w:right="0" w:rightChars="0" w:firstLine="0" w:firstLineChars="0"/>
                    <w:jc w:val="center"/>
                    <w:rPr>
                      <w:rFonts w:hint="default"/>
                      <w:b w:val="0"/>
                      <w:bCs w:val="0"/>
                      <w:color w:val="auto"/>
                      <w:lang w:val="en-US" w:eastAsia="zh-CN"/>
                    </w:rPr>
                  </w:pPr>
                  <w:r>
                    <w:rPr>
                      <w:rFonts w:hint="eastAsia"/>
                      <w:b w:val="0"/>
                      <w:bCs w:val="0"/>
                      <w:color w:val="auto"/>
                      <w:lang w:val="en-US" w:eastAsia="zh-CN"/>
                    </w:rPr>
                    <w:t>205</w:t>
                  </w:r>
                </w:p>
              </w:tc>
              <w:tc>
                <w:tcPr>
                  <w:tcW w:w="1368" w:type="dxa"/>
                  <w:tcBorders>
                    <w:tl2br w:val="nil"/>
                    <w:tr2bl w:val="nil"/>
                  </w:tcBorders>
                  <w:noWrap w:val="0"/>
                  <w:vAlign w:val="center"/>
                </w:tcPr>
                <w:p w14:paraId="747A62A8">
                  <w:pPr>
                    <w:pStyle w:val="5"/>
                    <w:keepNext w:val="0"/>
                    <w:keepLines w:val="0"/>
                    <w:suppressLineNumbers w:val="0"/>
                    <w:bidi w:val="0"/>
                    <w:spacing w:before="0" w:beforeAutospacing="0" w:after="0" w:afterAutospacing="0"/>
                    <w:ind w:left="0" w:leftChars="0" w:right="0" w:rightChars="0" w:firstLine="0" w:firstLineChars="0"/>
                    <w:jc w:val="center"/>
                    <w:rPr>
                      <w:rFonts w:hint="eastAsia"/>
                      <w:b w:val="0"/>
                      <w:bCs w:val="0"/>
                      <w:color w:val="auto"/>
                    </w:rPr>
                  </w:pPr>
                  <w:r>
                    <w:rPr>
                      <w:rFonts w:hint="eastAsia"/>
                      <w:b w:val="0"/>
                      <w:bCs w:val="0"/>
                      <w:color w:val="auto"/>
                      <w:lang w:val="en-US" w:eastAsia="zh-CN"/>
                    </w:rPr>
                    <w:t>超标</w:t>
                  </w:r>
                </w:p>
              </w:tc>
            </w:tr>
          </w:tbl>
          <w:p w14:paraId="16474C05">
            <w:pPr>
              <w:keepNext w:val="0"/>
              <w:keepLines w:val="0"/>
              <w:suppressLineNumbers w:val="0"/>
              <w:bidi w:val="0"/>
              <w:spacing w:before="0" w:beforeAutospacing="0" w:after="0" w:afterAutospacing="0"/>
              <w:ind w:left="0" w:right="0"/>
              <w:rPr>
                <w:rFonts w:hint="default"/>
                <w:color w:val="auto"/>
              </w:rPr>
            </w:pPr>
            <w:r>
              <w:rPr>
                <w:rFonts w:hint="default"/>
                <w:color w:val="auto"/>
              </w:rPr>
              <w:t>202</w:t>
            </w:r>
            <w:r>
              <w:rPr>
                <w:rFonts w:hint="eastAsia"/>
                <w:color w:val="auto"/>
                <w:lang w:val="en-US" w:eastAsia="zh-CN"/>
              </w:rPr>
              <w:t>4</w:t>
            </w:r>
            <w:r>
              <w:rPr>
                <w:rFonts w:hint="default"/>
                <w:color w:val="auto"/>
              </w:rPr>
              <w:t>年，</w:t>
            </w:r>
            <w:r>
              <w:rPr>
                <w:rFonts w:hint="eastAsia"/>
                <w:color w:val="auto"/>
                <w:lang w:val="en-US" w:eastAsia="zh-CN"/>
              </w:rPr>
              <w:t>轮台县</w:t>
            </w:r>
            <w:r>
              <w:rPr>
                <w:rFonts w:hint="default"/>
                <w:color w:val="auto"/>
              </w:rPr>
              <w:t>空气质量监测总天数为36</w:t>
            </w:r>
            <w:r>
              <w:rPr>
                <w:rFonts w:hint="eastAsia"/>
                <w:color w:val="auto"/>
              </w:rPr>
              <w:t>5</w:t>
            </w:r>
            <w:r>
              <w:rPr>
                <w:rFonts w:hint="default"/>
                <w:color w:val="auto"/>
              </w:rPr>
              <w:t>天，</w:t>
            </w:r>
            <w:r>
              <w:rPr>
                <w:rFonts w:hint="eastAsia"/>
                <w:color w:val="auto"/>
              </w:rPr>
              <w:t>原因</w:t>
            </w:r>
            <w:r>
              <w:rPr>
                <w:rFonts w:hint="default"/>
                <w:color w:val="auto"/>
              </w:rPr>
              <w:t>受沙尘天气影响</w:t>
            </w:r>
            <w:r>
              <w:rPr>
                <w:rFonts w:hint="eastAsia"/>
                <w:color w:val="auto"/>
                <w:lang w:eastAsia="zh-CN"/>
              </w:rPr>
              <w:t>，</w:t>
            </w:r>
            <w:r>
              <w:rPr>
                <w:rFonts w:hint="default"/>
                <w:color w:val="auto"/>
              </w:rPr>
              <w:t>PM</w:t>
            </w:r>
            <w:r>
              <w:rPr>
                <w:rFonts w:hint="default"/>
                <w:color w:val="auto"/>
                <w:vertAlign w:val="subscript"/>
              </w:rPr>
              <w:t>10</w:t>
            </w:r>
            <w:r>
              <w:rPr>
                <w:rFonts w:hint="eastAsia"/>
                <w:color w:val="auto"/>
                <w:vertAlign w:val="baseline"/>
                <w:lang w:eastAsia="zh-CN"/>
              </w:rPr>
              <w:t>、</w:t>
            </w:r>
            <w:r>
              <w:rPr>
                <w:rFonts w:hint="default"/>
                <w:color w:val="auto"/>
              </w:rPr>
              <w:t>PM</w:t>
            </w:r>
            <w:r>
              <w:rPr>
                <w:rFonts w:hint="eastAsia"/>
                <w:color w:val="auto"/>
                <w:vertAlign w:val="subscript"/>
              </w:rPr>
              <w:t>2.5</w:t>
            </w:r>
            <w:r>
              <w:rPr>
                <w:rFonts w:hint="eastAsia"/>
                <w:color w:val="auto"/>
                <w:lang w:val="en-US" w:eastAsia="zh-CN"/>
              </w:rPr>
              <w:t>年平均、24h平均第95百分位数空气质量浓度</w:t>
            </w:r>
            <w:r>
              <w:rPr>
                <w:rFonts w:hint="default"/>
                <w:color w:val="auto"/>
              </w:rPr>
              <w:t>超过《环境空气质量标准》</w:t>
            </w:r>
            <w:r>
              <w:rPr>
                <w:rFonts w:hint="eastAsia"/>
                <w:color w:val="auto"/>
                <w:lang w:eastAsia="zh-CN"/>
              </w:rPr>
              <w:t>（</w:t>
            </w:r>
            <w:r>
              <w:rPr>
                <w:rFonts w:hint="default"/>
                <w:color w:val="auto"/>
              </w:rPr>
              <w:t>GB</w:t>
            </w:r>
            <w:r>
              <w:rPr>
                <w:rFonts w:hint="eastAsia"/>
                <w:color w:val="auto"/>
                <w:lang w:eastAsia="zh-CN"/>
              </w:rPr>
              <w:t>3095-2026</w:t>
            </w:r>
            <w:r>
              <w:rPr>
                <w:rFonts w:hint="default"/>
                <w:color w:val="auto"/>
              </w:rPr>
              <w:t>）</w:t>
            </w:r>
            <w:r>
              <w:rPr>
                <w:rFonts w:hint="default" w:ascii="Times New Roman" w:hAnsi="Times New Roman" w:cs="Times New Roman"/>
                <w:color w:val="auto"/>
                <w:sz w:val="24"/>
              </w:rPr>
              <w:t>二级</w:t>
            </w:r>
            <w:r>
              <w:rPr>
                <w:rFonts w:hint="eastAsia" w:cs="Times New Roman"/>
                <w:color w:val="auto"/>
                <w:sz w:val="24"/>
                <w:lang w:val="en-US" w:eastAsia="zh-CN"/>
              </w:rPr>
              <w:t>过渡阶段浓度限值</w:t>
            </w:r>
            <w:r>
              <w:rPr>
                <w:rFonts w:hint="eastAsia"/>
                <w:color w:val="auto"/>
                <w:lang w:eastAsia="zh-CN"/>
              </w:rPr>
              <w:t>；</w:t>
            </w:r>
            <w:r>
              <w:rPr>
                <w:rFonts w:hint="default"/>
                <w:color w:val="auto"/>
              </w:rPr>
              <w:t>SO</w:t>
            </w:r>
            <w:r>
              <w:rPr>
                <w:rFonts w:hint="default"/>
                <w:color w:val="auto"/>
                <w:vertAlign w:val="subscript"/>
              </w:rPr>
              <w:t>2</w:t>
            </w:r>
            <w:r>
              <w:rPr>
                <w:rFonts w:hint="default"/>
                <w:color w:val="auto"/>
              </w:rPr>
              <w:t>、NO</w:t>
            </w:r>
            <w:r>
              <w:rPr>
                <w:rFonts w:hint="default"/>
                <w:color w:val="auto"/>
                <w:vertAlign w:val="subscript"/>
              </w:rPr>
              <w:t>2</w:t>
            </w:r>
            <w:r>
              <w:rPr>
                <w:rFonts w:hint="default"/>
                <w:color w:val="auto"/>
              </w:rPr>
              <w:t>、CO、O</w:t>
            </w:r>
            <w:r>
              <w:rPr>
                <w:rFonts w:hint="default"/>
                <w:color w:val="auto"/>
                <w:vertAlign w:val="subscript"/>
              </w:rPr>
              <w:t>3</w:t>
            </w:r>
            <w:r>
              <w:rPr>
                <w:rFonts w:hint="default"/>
                <w:color w:val="auto"/>
              </w:rPr>
              <w:t>等其他监测指标均满足</w:t>
            </w:r>
            <w:r>
              <w:rPr>
                <w:rFonts w:hint="default" w:ascii="Times New Roman" w:hAnsi="Times New Roman" w:cs="Times New Roman"/>
                <w:color w:val="auto"/>
                <w:sz w:val="24"/>
              </w:rPr>
              <w:t>二级</w:t>
            </w:r>
            <w:r>
              <w:rPr>
                <w:rFonts w:hint="eastAsia" w:cs="Times New Roman"/>
                <w:color w:val="auto"/>
                <w:sz w:val="24"/>
                <w:lang w:val="en-US" w:eastAsia="zh-CN"/>
              </w:rPr>
              <w:t>过渡阶段浓度限值</w:t>
            </w:r>
            <w:r>
              <w:rPr>
                <w:rFonts w:hint="default"/>
                <w:color w:val="auto"/>
              </w:rPr>
              <w:t>，</w:t>
            </w:r>
            <w:r>
              <w:rPr>
                <w:rFonts w:hint="eastAsia"/>
                <w:color w:val="auto"/>
              </w:rPr>
              <w:t>因此判断</w:t>
            </w:r>
            <w:r>
              <w:rPr>
                <w:rFonts w:hint="default"/>
                <w:color w:val="auto"/>
              </w:rPr>
              <w:t>本项目所在区域为</w:t>
            </w:r>
            <w:r>
              <w:rPr>
                <w:rFonts w:hint="eastAsia"/>
                <w:color w:val="auto"/>
                <w:lang w:val="en-US" w:eastAsia="zh-CN"/>
              </w:rPr>
              <w:t>不</w:t>
            </w:r>
            <w:r>
              <w:rPr>
                <w:rFonts w:hint="default"/>
                <w:color w:val="auto"/>
              </w:rPr>
              <w:t>达标区域</w:t>
            </w:r>
            <w:r>
              <w:rPr>
                <w:rFonts w:hint="eastAsia"/>
                <w:color w:val="auto"/>
                <w:sz w:val="24"/>
              </w:rPr>
              <w:t>。</w:t>
            </w:r>
          </w:p>
          <w:p w14:paraId="7CC6B0CA">
            <w:pPr>
              <w:pStyle w:val="3"/>
              <w:suppressLineNumbers w:val="0"/>
              <w:bidi w:val="0"/>
              <w:spacing w:before="0" w:beforeAutospacing="0" w:after="0" w:afterAutospacing="0"/>
              <w:ind w:left="0" w:right="0"/>
              <w:rPr>
                <w:rFonts w:hint="default" w:ascii="Times New Roman" w:hAnsi="Times New Roman" w:eastAsia="宋体" w:cs="Times New Roman"/>
                <w:b/>
                <w:bCs/>
                <w:color w:val="auto"/>
                <w:kern w:val="44"/>
                <w:sz w:val="24"/>
                <w:szCs w:val="24"/>
                <w:highlight w:val="none"/>
                <w:lang w:val="en-US" w:eastAsia="zh-CN" w:bidi="ar-SA"/>
              </w:rPr>
            </w:pPr>
            <w:r>
              <w:rPr>
                <w:rFonts w:hint="eastAsia"/>
                <w:color w:val="auto"/>
                <w:lang w:val="en-US" w:eastAsia="zh-CN"/>
              </w:rPr>
              <w:t>1.2其他污染物质量现状</w:t>
            </w:r>
          </w:p>
          <w:p w14:paraId="7EC30F9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本次大气环境质量现状评价监测数据引用</w:t>
            </w:r>
            <w:r>
              <w:rPr>
                <w:rFonts w:hint="eastAsia" w:cs="Times New Roman"/>
                <w:b w:val="0"/>
                <w:bCs w:val="0"/>
                <w:color w:val="auto"/>
                <w:sz w:val="24"/>
                <w:highlight w:val="none"/>
                <w:lang w:val="en-US" w:eastAsia="zh-CN"/>
              </w:rPr>
              <w:t>新疆中测测试有限责任公司</w:t>
            </w:r>
            <w:r>
              <w:rPr>
                <w:rFonts w:hint="default" w:ascii="Times New Roman" w:hAnsi="Times New Roman" w:eastAsia="宋体" w:cs="Times New Roman"/>
                <w:b w:val="0"/>
                <w:bCs w:val="0"/>
                <w:color w:val="auto"/>
                <w:sz w:val="24"/>
                <w:highlight w:val="none"/>
                <w:lang w:val="en-US" w:eastAsia="zh-CN"/>
              </w:rPr>
              <w:t>202</w:t>
            </w:r>
            <w:r>
              <w:rPr>
                <w:rFonts w:hint="eastAsia" w:cs="Times New Roman"/>
                <w:b w:val="0"/>
                <w:bCs w:val="0"/>
                <w:color w:val="auto"/>
                <w:sz w:val="24"/>
                <w:highlight w:val="none"/>
                <w:lang w:val="en-US" w:eastAsia="zh-CN"/>
              </w:rPr>
              <w:t>5</w:t>
            </w:r>
            <w:r>
              <w:rPr>
                <w:rFonts w:hint="default" w:ascii="Times New Roman" w:hAnsi="Times New Roman" w:eastAsia="宋体" w:cs="Times New Roman"/>
                <w:b w:val="0"/>
                <w:bCs w:val="0"/>
                <w:color w:val="auto"/>
                <w:sz w:val="24"/>
                <w:highlight w:val="none"/>
                <w:lang w:val="en-US" w:eastAsia="zh-CN"/>
              </w:rPr>
              <w:t>年</w:t>
            </w:r>
            <w:r>
              <w:rPr>
                <w:rFonts w:hint="eastAsia" w:cs="Times New Roman"/>
                <w:b w:val="0"/>
                <w:bCs w:val="0"/>
                <w:color w:val="auto"/>
                <w:sz w:val="24"/>
                <w:highlight w:val="none"/>
                <w:lang w:val="en-US" w:eastAsia="zh-CN"/>
              </w:rPr>
              <w:t>9</w:t>
            </w:r>
            <w:r>
              <w:rPr>
                <w:rFonts w:hint="default" w:ascii="Times New Roman" w:hAnsi="Times New Roman" w:eastAsia="宋体" w:cs="Times New Roman"/>
                <w:b w:val="0"/>
                <w:bCs w:val="0"/>
                <w:color w:val="auto"/>
                <w:sz w:val="24"/>
                <w:highlight w:val="none"/>
                <w:lang w:val="en-US" w:eastAsia="zh-CN"/>
              </w:rPr>
              <w:t>月</w:t>
            </w:r>
            <w:r>
              <w:rPr>
                <w:rFonts w:hint="eastAsia" w:cs="Times New Roman"/>
                <w:b w:val="0"/>
                <w:bCs w:val="0"/>
                <w:color w:val="auto"/>
                <w:sz w:val="24"/>
                <w:highlight w:val="none"/>
                <w:lang w:val="en-US" w:eastAsia="zh-CN"/>
              </w:rPr>
              <w:t>17</w:t>
            </w:r>
            <w:r>
              <w:rPr>
                <w:rFonts w:hint="default" w:ascii="Times New Roman" w:hAnsi="Times New Roman" w:eastAsia="宋体" w:cs="Times New Roman"/>
                <w:b w:val="0"/>
                <w:bCs w:val="0"/>
                <w:color w:val="auto"/>
                <w:sz w:val="24"/>
                <w:highlight w:val="none"/>
                <w:lang w:val="en-US" w:eastAsia="zh-CN"/>
              </w:rPr>
              <w:t>日</w:t>
            </w:r>
            <w:r>
              <w:rPr>
                <w:rFonts w:hint="eastAsia"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lang w:val="en-US" w:eastAsia="zh-CN"/>
              </w:rPr>
              <w:t>202</w:t>
            </w:r>
            <w:r>
              <w:rPr>
                <w:rFonts w:hint="eastAsia" w:cs="Times New Roman"/>
                <w:b w:val="0"/>
                <w:bCs w:val="0"/>
                <w:color w:val="auto"/>
                <w:sz w:val="24"/>
                <w:highlight w:val="none"/>
                <w:lang w:val="en-US" w:eastAsia="zh-CN"/>
              </w:rPr>
              <w:t>5</w:t>
            </w:r>
            <w:r>
              <w:rPr>
                <w:rFonts w:hint="default" w:ascii="Times New Roman" w:hAnsi="Times New Roman" w:eastAsia="宋体" w:cs="Times New Roman"/>
                <w:b w:val="0"/>
                <w:bCs w:val="0"/>
                <w:color w:val="auto"/>
                <w:sz w:val="24"/>
                <w:highlight w:val="none"/>
                <w:lang w:val="en-US" w:eastAsia="zh-CN"/>
              </w:rPr>
              <w:t>年</w:t>
            </w:r>
            <w:r>
              <w:rPr>
                <w:rFonts w:hint="eastAsia" w:cs="Times New Roman"/>
                <w:b w:val="0"/>
                <w:bCs w:val="0"/>
                <w:color w:val="auto"/>
                <w:sz w:val="24"/>
                <w:highlight w:val="none"/>
                <w:lang w:val="en-US" w:eastAsia="zh-CN"/>
              </w:rPr>
              <w:t>9</w:t>
            </w:r>
            <w:r>
              <w:rPr>
                <w:rFonts w:hint="default" w:ascii="Times New Roman" w:hAnsi="Times New Roman" w:eastAsia="宋体" w:cs="Times New Roman"/>
                <w:b w:val="0"/>
                <w:bCs w:val="0"/>
                <w:color w:val="auto"/>
                <w:sz w:val="24"/>
                <w:highlight w:val="none"/>
                <w:lang w:val="en-US" w:eastAsia="zh-CN"/>
              </w:rPr>
              <w:t>月</w:t>
            </w:r>
            <w:r>
              <w:rPr>
                <w:rFonts w:hint="eastAsia" w:cs="Times New Roman"/>
                <w:b w:val="0"/>
                <w:bCs w:val="0"/>
                <w:color w:val="auto"/>
                <w:sz w:val="24"/>
                <w:highlight w:val="none"/>
                <w:lang w:val="en-US" w:eastAsia="zh-CN"/>
              </w:rPr>
              <w:t>24</w:t>
            </w:r>
            <w:r>
              <w:rPr>
                <w:rFonts w:hint="default" w:ascii="Times New Roman" w:hAnsi="Times New Roman" w:eastAsia="宋体" w:cs="Times New Roman"/>
                <w:b w:val="0"/>
                <w:bCs w:val="0"/>
                <w:color w:val="auto"/>
                <w:sz w:val="24"/>
                <w:highlight w:val="none"/>
                <w:lang w:val="en-US" w:eastAsia="zh-CN"/>
              </w:rPr>
              <w:t>日对新疆天烁沥青有限公司改性沥青加工建设项目的环境空气质量现状监测数据。</w:t>
            </w:r>
          </w:p>
          <w:p w14:paraId="5DFFC8A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val="en-US" w:eastAsia="zh-CN"/>
              </w:rPr>
              <w:t>（1）</w:t>
            </w:r>
            <w:r>
              <w:rPr>
                <w:rFonts w:hint="default" w:ascii="Times New Roman" w:hAnsi="Times New Roman" w:eastAsia="宋体" w:cs="Times New Roman"/>
                <w:b w:val="0"/>
                <w:bCs w:val="0"/>
                <w:color w:val="auto"/>
                <w:sz w:val="24"/>
                <w:highlight w:val="none"/>
              </w:rPr>
              <w:t>监测地点、监测因子</w:t>
            </w:r>
          </w:p>
          <w:p w14:paraId="188633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b w:val="0"/>
                <w:bCs w:val="0"/>
                <w:color w:val="auto"/>
                <w:kern w:val="0"/>
                <w:sz w:val="24"/>
                <w:szCs w:val="24"/>
                <w:highlight w:val="none"/>
                <w:u w:val="none" w:color="000000"/>
                <w:lang w:val="en-US" w:eastAsia="zh-CN" w:bidi="ar-SA"/>
              </w:rPr>
            </w:pPr>
            <w:r>
              <w:rPr>
                <w:rFonts w:hint="eastAsia" w:cs="Times New Roman"/>
                <w:b w:val="0"/>
                <w:bCs w:val="0"/>
                <w:color w:val="auto"/>
                <w:kern w:val="0"/>
                <w:sz w:val="24"/>
                <w:szCs w:val="24"/>
                <w:highlight w:val="none"/>
                <w:u w:val="none" w:color="000000"/>
                <w:lang w:val="en-US" w:eastAsia="zh-CN" w:bidi="ar-SA"/>
              </w:rPr>
              <w:t>监测点</w:t>
            </w:r>
            <w:r>
              <w:rPr>
                <w:rFonts w:hint="default" w:ascii="Times New Roman" w:hAnsi="Times New Roman" w:eastAsia="宋体" w:cs="Times New Roman"/>
                <w:b w:val="0"/>
                <w:bCs w:val="0"/>
                <w:color w:val="auto"/>
                <w:kern w:val="0"/>
                <w:sz w:val="24"/>
                <w:szCs w:val="24"/>
                <w:highlight w:val="none"/>
                <w:u w:val="none" w:color="000000"/>
                <w:lang w:val="en-US" w:eastAsia="zh-CN" w:bidi="ar-SA"/>
              </w:rPr>
              <w:t>位于本项目</w:t>
            </w:r>
            <w:r>
              <w:rPr>
                <w:rFonts w:hint="eastAsia" w:cs="Times New Roman"/>
                <w:b w:val="0"/>
                <w:bCs w:val="0"/>
                <w:color w:val="auto"/>
                <w:kern w:val="0"/>
                <w:sz w:val="24"/>
                <w:szCs w:val="24"/>
                <w:highlight w:val="none"/>
                <w:u w:val="none" w:color="000000"/>
                <w:lang w:val="en-US" w:eastAsia="zh-CN" w:bidi="ar-SA"/>
              </w:rPr>
              <w:t>东北</w:t>
            </w:r>
            <w:r>
              <w:rPr>
                <w:rFonts w:hint="eastAsia" w:ascii="Times New Roman" w:hAnsi="Times New Roman" w:eastAsia="宋体" w:cs="Times New Roman"/>
                <w:b w:val="0"/>
                <w:bCs w:val="0"/>
                <w:color w:val="auto"/>
                <w:kern w:val="0"/>
                <w:sz w:val="24"/>
                <w:szCs w:val="24"/>
                <w:highlight w:val="none"/>
                <w:u w:val="none" w:color="000000"/>
                <w:lang w:val="en-US" w:eastAsia="zh-CN" w:bidi="ar-SA"/>
              </w:rPr>
              <w:t>侧</w:t>
            </w:r>
            <w:r>
              <w:rPr>
                <w:rFonts w:hint="default" w:ascii="Times New Roman" w:hAnsi="Times New Roman" w:eastAsia="宋体" w:cs="Times New Roman"/>
                <w:b w:val="0"/>
                <w:bCs w:val="0"/>
                <w:color w:val="auto"/>
                <w:kern w:val="0"/>
                <w:sz w:val="24"/>
                <w:szCs w:val="24"/>
                <w:highlight w:val="none"/>
                <w:u w:val="none" w:color="000000"/>
                <w:lang w:val="en-US" w:eastAsia="zh-CN" w:bidi="ar-SA"/>
              </w:rPr>
              <w:t>约</w:t>
            </w:r>
            <w:r>
              <w:rPr>
                <w:rFonts w:hint="eastAsia" w:ascii="Times New Roman" w:hAnsi="Times New Roman" w:eastAsia="宋体" w:cs="Times New Roman"/>
                <w:b w:val="0"/>
                <w:bCs w:val="0"/>
                <w:color w:val="auto"/>
                <w:kern w:val="0"/>
                <w:sz w:val="24"/>
                <w:szCs w:val="24"/>
                <w:highlight w:val="none"/>
                <w:u w:val="none" w:color="000000"/>
                <w:lang w:val="en-US" w:eastAsia="zh-CN" w:bidi="ar-SA"/>
              </w:rPr>
              <w:t>2.</w:t>
            </w:r>
            <w:r>
              <w:rPr>
                <w:rFonts w:hint="eastAsia" w:cs="Times New Roman"/>
                <w:b w:val="0"/>
                <w:bCs w:val="0"/>
                <w:color w:val="auto"/>
                <w:kern w:val="0"/>
                <w:sz w:val="24"/>
                <w:szCs w:val="24"/>
                <w:highlight w:val="none"/>
                <w:u w:val="none" w:color="000000"/>
                <w:lang w:val="en-US" w:eastAsia="zh-CN" w:bidi="ar-SA"/>
              </w:rPr>
              <w:t>35</w:t>
            </w:r>
            <w:r>
              <w:rPr>
                <w:rFonts w:hint="eastAsia" w:ascii="Times New Roman" w:hAnsi="Times New Roman" w:eastAsia="宋体" w:cs="Times New Roman"/>
                <w:b w:val="0"/>
                <w:bCs w:val="0"/>
                <w:color w:val="auto"/>
                <w:kern w:val="0"/>
                <w:sz w:val="24"/>
                <w:szCs w:val="24"/>
                <w:highlight w:val="none"/>
                <w:u w:val="none" w:color="000000"/>
                <w:lang w:val="en-US" w:eastAsia="zh-CN" w:bidi="ar-SA"/>
              </w:rPr>
              <w:t>km</w:t>
            </w:r>
            <w:r>
              <w:rPr>
                <w:rFonts w:hint="eastAsia" w:cs="Times New Roman"/>
                <w:b w:val="0"/>
                <w:bCs w:val="0"/>
                <w:color w:val="auto"/>
                <w:kern w:val="0"/>
                <w:sz w:val="24"/>
                <w:szCs w:val="24"/>
                <w:highlight w:val="none"/>
                <w:u w:val="none" w:color="000000"/>
                <w:lang w:val="en-US" w:eastAsia="zh-CN" w:bidi="ar-SA"/>
              </w:rPr>
              <w:t>，</w:t>
            </w:r>
            <w:r>
              <w:rPr>
                <w:rFonts w:hint="default" w:ascii="Times New Roman" w:hAnsi="Times New Roman" w:eastAsia="宋体" w:cs="Times New Roman"/>
                <w:b w:val="0"/>
                <w:bCs w:val="0"/>
                <w:color w:val="auto"/>
                <w:kern w:val="0"/>
                <w:sz w:val="24"/>
                <w:szCs w:val="24"/>
                <w:highlight w:val="none"/>
                <w:u w:val="none" w:color="000000"/>
                <w:lang w:val="en-US" w:eastAsia="zh-CN" w:bidi="ar-SA"/>
              </w:rPr>
              <w:t>坐标</w:t>
            </w:r>
            <w:r>
              <w:rPr>
                <w:rFonts w:hint="eastAsia" w:cs="Times New Roman"/>
                <w:b w:val="0"/>
                <w:bCs w:val="0"/>
                <w:color w:val="auto"/>
                <w:kern w:val="0"/>
                <w:sz w:val="24"/>
                <w:szCs w:val="24"/>
                <w:highlight w:val="none"/>
                <w:u w:val="none" w:color="000000"/>
                <w:lang w:val="en-US" w:eastAsia="zh-CN" w:bidi="ar-SA"/>
              </w:rPr>
              <w:t>E</w:t>
            </w:r>
            <w:r>
              <w:rPr>
                <w:rFonts w:hint="default" w:ascii="Times New Roman" w:hAnsi="Times New Roman" w:eastAsia="宋体" w:cs="Times New Roman"/>
                <w:b w:val="0"/>
                <w:bCs w:val="0"/>
                <w:color w:val="auto"/>
                <w:kern w:val="0"/>
                <w:sz w:val="24"/>
                <w:szCs w:val="24"/>
                <w:highlight w:val="none"/>
                <w:u w:val="none" w:color="000000"/>
                <w:lang w:val="en-US" w:eastAsia="zh-CN" w:bidi="ar-SA"/>
              </w:rPr>
              <w:t>：</w:t>
            </w:r>
            <w:r>
              <w:rPr>
                <w:rFonts w:hint="eastAsia" w:cs="Times New Roman"/>
                <w:b w:val="0"/>
                <w:bCs w:val="0"/>
                <w:color w:val="auto"/>
                <w:kern w:val="0"/>
                <w:sz w:val="24"/>
                <w:szCs w:val="24"/>
                <w:highlight w:val="none"/>
                <w:u w:val="none" w:color="000000"/>
                <w:lang w:val="en-US" w:eastAsia="zh-CN" w:bidi="ar-SA"/>
              </w:rPr>
              <w:t>84.066854</w:t>
            </w:r>
            <w:r>
              <w:rPr>
                <w:rFonts w:hint="default" w:ascii="Times New Roman" w:hAnsi="Times New Roman" w:eastAsia="宋体" w:cs="Times New Roman"/>
                <w:b w:val="0"/>
                <w:bCs w:val="0"/>
                <w:color w:val="auto"/>
                <w:kern w:val="0"/>
                <w:sz w:val="24"/>
                <w:szCs w:val="24"/>
                <w:highlight w:val="none"/>
                <w:u w:val="none" w:color="000000"/>
                <w:lang w:val="en-US" w:eastAsia="zh-CN" w:bidi="ar-SA"/>
              </w:rPr>
              <w:t>°</w:t>
            </w:r>
            <w:r>
              <w:rPr>
                <w:rFonts w:hint="eastAsia" w:cs="Times New Roman"/>
                <w:b w:val="0"/>
                <w:bCs w:val="0"/>
                <w:color w:val="auto"/>
                <w:kern w:val="0"/>
                <w:sz w:val="24"/>
                <w:szCs w:val="24"/>
                <w:highlight w:val="none"/>
                <w:u w:val="none" w:color="000000"/>
                <w:lang w:val="en-US" w:eastAsia="zh-CN" w:bidi="ar-SA"/>
              </w:rPr>
              <w:t>N</w:t>
            </w:r>
            <w:r>
              <w:rPr>
                <w:rFonts w:hint="default" w:ascii="Times New Roman" w:hAnsi="Times New Roman" w:eastAsia="宋体" w:cs="Times New Roman"/>
                <w:b w:val="0"/>
                <w:bCs w:val="0"/>
                <w:color w:val="auto"/>
                <w:kern w:val="0"/>
                <w:sz w:val="24"/>
                <w:szCs w:val="24"/>
                <w:highlight w:val="none"/>
                <w:u w:val="none" w:color="000000"/>
                <w:lang w:val="en-US" w:eastAsia="zh-CN" w:bidi="ar-SA"/>
              </w:rPr>
              <w:t>：</w:t>
            </w:r>
            <w:r>
              <w:rPr>
                <w:rFonts w:hint="eastAsia" w:cs="Times New Roman"/>
                <w:b w:val="0"/>
                <w:bCs w:val="0"/>
                <w:color w:val="auto"/>
                <w:kern w:val="0"/>
                <w:sz w:val="24"/>
                <w:szCs w:val="24"/>
                <w:highlight w:val="none"/>
                <w:u w:val="none" w:color="000000"/>
                <w:lang w:val="en-US" w:eastAsia="zh-CN" w:bidi="ar-SA"/>
              </w:rPr>
              <w:t>41.824735</w:t>
            </w:r>
            <w:r>
              <w:rPr>
                <w:rFonts w:hint="default" w:ascii="Times New Roman" w:hAnsi="Times New Roman" w:eastAsia="宋体" w:cs="Times New Roman"/>
                <w:b w:val="0"/>
                <w:bCs w:val="0"/>
                <w:color w:val="auto"/>
                <w:kern w:val="0"/>
                <w:sz w:val="24"/>
                <w:szCs w:val="24"/>
                <w:highlight w:val="none"/>
                <w:u w:val="none" w:color="000000"/>
                <w:lang w:val="en-US" w:eastAsia="zh-CN" w:bidi="ar-SA"/>
              </w:rPr>
              <w:t>°。监测点位详见附图</w:t>
            </w:r>
            <w:r>
              <w:rPr>
                <w:rFonts w:hint="eastAsia" w:cs="Times New Roman"/>
                <w:b w:val="0"/>
                <w:bCs w:val="0"/>
                <w:color w:val="auto"/>
                <w:kern w:val="0"/>
                <w:sz w:val="24"/>
                <w:szCs w:val="24"/>
                <w:highlight w:val="none"/>
                <w:u w:val="none" w:color="000000"/>
                <w:lang w:val="en-US" w:eastAsia="zh-CN" w:bidi="ar-SA"/>
              </w:rPr>
              <w:t>3-1</w:t>
            </w:r>
            <w:r>
              <w:rPr>
                <w:rFonts w:hint="default" w:ascii="Times New Roman" w:hAnsi="Times New Roman" w:eastAsia="宋体" w:cs="Times New Roman"/>
                <w:b w:val="0"/>
                <w:bCs w:val="0"/>
                <w:color w:val="auto"/>
                <w:kern w:val="0"/>
                <w:sz w:val="24"/>
                <w:szCs w:val="24"/>
                <w:highlight w:val="none"/>
                <w:u w:val="none" w:color="000000"/>
                <w:lang w:val="en-US" w:eastAsia="zh-CN" w:bidi="ar-SA"/>
              </w:rPr>
              <w:t>。</w:t>
            </w:r>
          </w:p>
          <w:p w14:paraId="6DCE82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b w:val="0"/>
                <w:bCs w:val="0"/>
                <w:color w:val="auto"/>
                <w:kern w:val="0"/>
                <w:sz w:val="24"/>
                <w:szCs w:val="24"/>
                <w:highlight w:val="none"/>
                <w:u w:val="none" w:color="000000"/>
                <w:lang w:val="en-US" w:eastAsia="zh-CN" w:bidi="ar-SA"/>
              </w:rPr>
            </w:pPr>
            <w:r>
              <w:rPr>
                <w:rFonts w:hint="default" w:ascii="Times New Roman" w:hAnsi="Times New Roman" w:eastAsia="宋体" w:cs="Times New Roman"/>
                <w:b w:val="0"/>
                <w:bCs w:val="0"/>
                <w:color w:val="auto"/>
                <w:kern w:val="0"/>
                <w:sz w:val="24"/>
                <w:szCs w:val="24"/>
                <w:highlight w:val="none"/>
                <w:u w:val="none" w:color="000000"/>
                <w:lang w:val="en-US" w:eastAsia="zh-CN" w:bidi="ar-SA"/>
              </w:rPr>
              <w:t>其他污染因子：</w:t>
            </w:r>
            <w:r>
              <w:rPr>
                <w:rFonts w:hint="eastAsia" w:ascii="Times New Roman" w:hAnsi="Times New Roman" w:eastAsia="宋体" w:cs="Times New Roman"/>
                <w:b w:val="0"/>
                <w:bCs w:val="0"/>
                <w:color w:val="auto"/>
                <w:kern w:val="0"/>
                <w:sz w:val="24"/>
                <w:szCs w:val="24"/>
                <w:highlight w:val="none"/>
                <w:u w:val="none" w:color="000000"/>
                <w:lang w:val="en-US" w:eastAsia="zh-CN" w:bidi="ar-SA"/>
              </w:rPr>
              <w:t>TSP</w:t>
            </w:r>
          </w:p>
          <w:p w14:paraId="68849E2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lang w:val="en-US" w:eastAsia="zh-CN"/>
              </w:rPr>
              <w:t>2</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采样及分析方法</w:t>
            </w:r>
          </w:p>
          <w:p w14:paraId="4563DA6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highlight w:val="none"/>
                <w:lang w:val="en-US" w:eastAsia="zh-CN"/>
              </w:rPr>
              <w:t>TSP</w:t>
            </w:r>
            <w:r>
              <w:rPr>
                <w:rFonts w:hint="default" w:ascii="Times New Roman" w:hAnsi="Times New Roman" w:eastAsia="宋体" w:cs="Times New Roman"/>
                <w:b w:val="0"/>
                <w:bCs w:val="0"/>
                <w:color w:val="auto"/>
                <w:sz w:val="24"/>
                <w:highlight w:val="none"/>
              </w:rPr>
              <w:t>采样方法和分析方法</w:t>
            </w:r>
            <w:r>
              <w:rPr>
                <w:rFonts w:hint="default" w:ascii="Times New Roman" w:hAnsi="Times New Roman" w:eastAsia="宋体" w:cs="Times New Roman"/>
                <w:color w:val="auto"/>
                <w:sz w:val="24"/>
                <w:szCs w:val="24"/>
                <w:lang w:val="en-US" w:eastAsia="zh-CN"/>
              </w:rPr>
              <w:t>《环境空气</w:t>
            </w:r>
            <w:r>
              <w:rPr>
                <w:rFonts w:hint="eastAsia" w:ascii="Times New Roman" w:hAnsi="Times New Roman" w:eastAsia="宋体" w:cs="Times New Roman"/>
                <w:color w:val="auto"/>
                <w:sz w:val="24"/>
                <w:szCs w:val="24"/>
                <w:lang w:val="en-US" w:eastAsia="zh-CN"/>
              </w:rPr>
              <w:t xml:space="preserve"> 总悬浮颗粒物</w:t>
            </w:r>
            <w:r>
              <w:rPr>
                <w:rFonts w:hint="default" w:ascii="Times New Roman" w:hAnsi="Times New Roman" w:eastAsia="宋体" w:cs="Times New Roman"/>
                <w:b w:val="0"/>
                <w:bCs w:val="0"/>
                <w:color w:val="auto"/>
                <w:sz w:val="24"/>
                <w:szCs w:val="24"/>
                <w:highlight w:val="none"/>
                <w:lang w:val="en-US" w:eastAsia="zh-CN"/>
              </w:rPr>
              <w:t>的测定</w:t>
            </w:r>
            <w:r>
              <w:rPr>
                <w:rFonts w:hint="eastAsia" w:ascii="Times New Roman" w:hAnsi="Times New Roman" w:eastAsia="宋体" w:cs="Times New Roman"/>
                <w:color w:val="auto"/>
                <w:sz w:val="24"/>
                <w:szCs w:val="24"/>
                <w:lang w:val="en-US" w:eastAsia="zh-CN"/>
              </w:rPr>
              <w:t xml:space="preserve"> 重量法</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（HJ 1263-2022）</w:t>
            </w:r>
            <w:r>
              <w:rPr>
                <w:rFonts w:hint="default" w:ascii="Times New Roman" w:hAnsi="Times New Roman" w:eastAsia="宋体" w:cs="Times New Roman"/>
                <w:b w:val="0"/>
                <w:bCs w:val="0"/>
                <w:color w:val="auto"/>
                <w:sz w:val="24"/>
                <w:szCs w:val="24"/>
                <w:highlight w:val="none"/>
              </w:rPr>
              <w:t>。</w:t>
            </w:r>
          </w:p>
          <w:p w14:paraId="679D806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lang w:val="en-US" w:eastAsia="zh-CN"/>
              </w:rPr>
              <w:t>3</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监测时间及频率</w:t>
            </w:r>
          </w:p>
          <w:p w14:paraId="521B84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b w:val="0"/>
                <w:bCs w:val="0"/>
                <w:color w:val="auto"/>
                <w:kern w:val="0"/>
                <w:sz w:val="24"/>
                <w:szCs w:val="24"/>
                <w:highlight w:val="none"/>
                <w:u w:val="none" w:color="000000"/>
                <w:lang w:val="en-US" w:eastAsia="zh-CN" w:bidi="ar-SA"/>
              </w:rPr>
            </w:pPr>
            <w:r>
              <w:rPr>
                <w:rFonts w:hint="default" w:ascii="Times New Roman" w:hAnsi="Times New Roman" w:eastAsia="宋体" w:cs="Times New Roman"/>
                <w:color w:val="auto"/>
                <w:kern w:val="0"/>
                <w:sz w:val="24"/>
                <w:szCs w:val="24"/>
                <w:u w:val="none" w:color="000000"/>
                <w:lang w:val="en-US" w:eastAsia="zh-CN" w:bidi="ar-SA"/>
              </w:rPr>
              <w:t>202</w:t>
            </w:r>
            <w:r>
              <w:rPr>
                <w:rFonts w:hint="eastAsia" w:cs="Times New Roman"/>
                <w:color w:val="auto"/>
                <w:kern w:val="0"/>
                <w:sz w:val="24"/>
                <w:szCs w:val="24"/>
                <w:u w:val="none" w:color="000000"/>
                <w:lang w:val="en-US" w:eastAsia="zh-CN" w:bidi="ar-SA"/>
              </w:rPr>
              <w:t>5</w:t>
            </w:r>
            <w:r>
              <w:rPr>
                <w:rFonts w:hint="default" w:ascii="Times New Roman" w:hAnsi="Times New Roman" w:eastAsia="宋体" w:cs="Times New Roman"/>
                <w:color w:val="auto"/>
                <w:kern w:val="0"/>
                <w:sz w:val="24"/>
                <w:szCs w:val="24"/>
                <w:u w:val="none" w:color="000000"/>
                <w:lang w:val="en-US" w:eastAsia="zh-CN" w:bidi="ar-SA"/>
              </w:rPr>
              <w:t>年</w:t>
            </w:r>
            <w:r>
              <w:rPr>
                <w:rFonts w:hint="eastAsia" w:cs="Times New Roman"/>
                <w:color w:val="auto"/>
                <w:kern w:val="0"/>
                <w:sz w:val="24"/>
                <w:szCs w:val="24"/>
                <w:u w:val="none" w:color="000000"/>
                <w:lang w:val="en-US" w:eastAsia="zh-CN" w:bidi="ar-SA"/>
              </w:rPr>
              <w:t>9</w:t>
            </w:r>
            <w:r>
              <w:rPr>
                <w:rFonts w:hint="default" w:ascii="Times New Roman" w:hAnsi="Times New Roman" w:eastAsia="宋体" w:cs="Times New Roman"/>
                <w:color w:val="auto"/>
                <w:kern w:val="0"/>
                <w:sz w:val="24"/>
                <w:szCs w:val="24"/>
                <w:u w:val="none" w:color="000000"/>
                <w:lang w:val="en-US" w:eastAsia="zh-CN" w:bidi="ar-SA"/>
              </w:rPr>
              <w:t>月</w:t>
            </w:r>
            <w:r>
              <w:rPr>
                <w:rFonts w:hint="eastAsia" w:cs="Times New Roman"/>
                <w:color w:val="auto"/>
                <w:kern w:val="0"/>
                <w:sz w:val="24"/>
                <w:szCs w:val="24"/>
                <w:u w:val="none" w:color="000000"/>
                <w:lang w:val="en-US" w:eastAsia="zh-CN" w:bidi="ar-SA"/>
              </w:rPr>
              <w:t>17</w:t>
            </w:r>
            <w:r>
              <w:rPr>
                <w:rFonts w:hint="default" w:ascii="Times New Roman" w:hAnsi="Times New Roman" w:eastAsia="宋体" w:cs="Times New Roman"/>
                <w:color w:val="auto"/>
                <w:kern w:val="0"/>
                <w:sz w:val="24"/>
                <w:szCs w:val="24"/>
                <w:u w:val="none" w:color="000000"/>
                <w:lang w:val="en-US" w:eastAsia="zh-CN" w:bidi="ar-SA"/>
              </w:rPr>
              <w:t>日</w:t>
            </w:r>
            <w:r>
              <w:rPr>
                <w:rFonts w:hint="eastAsia" w:cs="Times New Roman"/>
                <w:color w:val="auto"/>
                <w:kern w:val="0"/>
                <w:sz w:val="24"/>
                <w:szCs w:val="24"/>
                <w:u w:val="none" w:color="000000"/>
                <w:lang w:val="en-US" w:eastAsia="zh-CN" w:bidi="ar-SA"/>
              </w:rPr>
              <w:t>—</w:t>
            </w:r>
            <w:r>
              <w:rPr>
                <w:rFonts w:hint="default" w:ascii="Times New Roman" w:hAnsi="Times New Roman" w:eastAsia="宋体" w:cs="Times New Roman"/>
                <w:color w:val="auto"/>
                <w:kern w:val="0"/>
                <w:sz w:val="24"/>
                <w:szCs w:val="24"/>
                <w:u w:val="none" w:color="000000"/>
                <w:lang w:val="en-US" w:eastAsia="zh-CN" w:bidi="ar-SA"/>
              </w:rPr>
              <w:t>202</w:t>
            </w:r>
            <w:r>
              <w:rPr>
                <w:rFonts w:hint="eastAsia" w:cs="Times New Roman"/>
                <w:color w:val="auto"/>
                <w:kern w:val="0"/>
                <w:sz w:val="24"/>
                <w:szCs w:val="24"/>
                <w:u w:val="none" w:color="000000"/>
                <w:lang w:val="en-US" w:eastAsia="zh-CN" w:bidi="ar-SA"/>
              </w:rPr>
              <w:t>5</w:t>
            </w:r>
            <w:r>
              <w:rPr>
                <w:rFonts w:hint="default" w:ascii="Times New Roman" w:hAnsi="Times New Roman" w:eastAsia="宋体" w:cs="Times New Roman"/>
                <w:color w:val="auto"/>
                <w:kern w:val="0"/>
                <w:sz w:val="24"/>
                <w:szCs w:val="24"/>
                <w:u w:val="none" w:color="000000"/>
                <w:lang w:val="en-US" w:eastAsia="zh-CN" w:bidi="ar-SA"/>
              </w:rPr>
              <w:t>年</w:t>
            </w:r>
            <w:r>
              <w:rPr>
                <w:rFonts w:hint="eastAsia" w:cs="Times New Roman"/>
                <w:color w:val="auto"/>
                <w:kern w:val="0"/>
                <w:sz w:val="24"/>
                <w:szCs w:val="24"/>
                <w:u w:val="none" w:color="000000"/>
                <w:lang w:val="en-US" w:eastAsia="zh-CN" w:bidi="ar-SA"/>
              </w:rPr>
              <w:t>9</w:t>
            </w:r>
            <w:r>
              <w:rPr>
                <w:rFonts w:hint="default" w:ascii="Times New Roman" w:hAnsi="Times New Roman" w:eastAsia="宋体" w:cs="Times New Roman"/>
                <w:color w:val="auto"/>
                <w:kern w:val="0"/>
                <w:sz w:val="24"/>
                <w:szCs w:val="24"/>
                <w:u w:val="none" w:color="000000"/>
                <w:lang w:val="en-US" w:eastAsia="zh-CN" w:bidi="ar-SA"/>
              </w:rPr>
              <w:t>月</w:t>
            </w:r>
            <w:r>
              <w:rPr>
                <w:rFonts w:hint="eastAsia" w:cs="Times New Roman"/>
                <w:color w:val="auto"/>
                <w:kern w:val="0"/>
                <w:sz w:val="24"/>
                <w:szCs w:val="24"/>
                <w:u w:val="none" w:color="000000"/>
                <w:lang w:val="en-US" w:eastAsia="zh-CN" w:bidi="ar-SA"/>
              </w:rPr>
              <w:t>24</w:t>
            </w:r>
            <w:r>
              <w:rPr>
                <w:rFonts w:hint="default" w:ascii="Times New Roman" w:hAnsi="Times New Roman" w:eastAsia="宋体" w:cs="Times New Roman"/>
                <w:color w:val="auto"/>
                <w:kern w:val="0"/>
                <w:sz w:val="24"/>
                <w:szCs w:val="24"/>
                <w:u w:val="none" w:color="000000"/>
                <w:lang w:val="en-US" w:eastAsia="zh-CN" w:bidi="ar-SA"/>
              </w:rPr>
              <w:t>日</w:t>
            </w:r>
            <w:r>
              <w:rPr>
                <w:rFonts w:hint="eastAsia" w:ascii="Times New Roman" w:hAnsi="Times New Roman" w:eastAsia="宋体" w:cs="Times New Roman"/>
                <w:b w:val="0"/>
                <w:bCs w:val="0"/>
                <w:color w:val="auto"/>
                <w:kern w:val="0"/>
                <w:sz w:val="24"/>
                <w:szCs w:val="24"/>
                <w:highlight w:val="none"/>
                <w:u w:val="none" w:color="000000"/>
                <w:lang w:val="en-US" w:eastAsia="zh-CN" w:bidi="ar-SA"/>
              </w:rPr>
              <w:t>，</w:t>
            </w:r>
            <w:r>
              <w:rPr>
                <w:rFonts w:hint="default" w:ascii="Times New Roman" w:hAnsi="Times New Roman" w:eastAsia="宋体" w:cs="Times New Roman"/>
                <w:b w:val="0"/>
                <w:bCs w:val="0"/>
                <w:color w:val="auto"/>
                <w:kern w:val="0"/>
                <w:sz w:val="24"/>
                <w:szCs w:val="20"/>
                <w:highlight w:val="none"/>
                <w:u w:val="none" w:color="000000"/>
                <w:lang w:val="en-US" w:eastAsia="zh-CN" w:bidi="ar-SA"/>
              </w:rPr>
              <w:t>连续检测</w:t>
            </w:r>
            <w:r>
              <w:rPr>
                <w:rFonts w:hint="eastAsia" w:cs="Times New Roman"/>
                <w:b w:val="0"/>
                <w:bCs w:val="0"/>
                <w:color w:val="auto"/>
                <w:kern w:val="0"/>
                <w:sz w:val="24"/>
                <w:szCs w:val="20"/>
                <w:highlight w:val="none"/>
                <w:u w:val="none" w:color="000000"/>
                <w:lang w:val="en-US" w:eastAsia="zh-CN" w:bidi="ar-SA"/>
              </w:rPr>
              <w:t>7</w:t>
            </w:r>
            <w:r>
              <w:rPr>
                <w:rFonts w:hint="default" w:ascii="Times New Roman" w:hAnsi="Times New Roman" w:eastAsia="宋体" w:cs="Times New Roman"/>
                <w:b w:val="0"/>
                <w:bCs w:val="0"/>
                <w:color w:val="auto"/>
                <w:kern w:val="0"/>
                <w:sz w:val="24"/>
                <w:szCs w:val="20"/>
                <w:highlight w:val="none"/>
                <w:u w:val="none" w:color="000000"/>
                <w:lang w:val="en-US" w:eastAsia="zh-CN" w:bidi="ar-SA"/>
              </w:rPr>
              <w:t>天</w:t>
            </w:r>
            <w:r>
              <w:rPr>
                <w:rFonts w:hint="eastAsia" w:ascii="Times New Roman" w:hAnsi="Times New Roman" w:eastAsia="宋体" w:cs="Times New Roman"/>
                <w:b w:val="0"/>
                <w:bCs w:val="0"/>
                <w:color w:val="auto"/>
                <w:kern w:val="0"/>
                <w:sz w:val="24"/>
                <w:szCs w:val="20"/>
                <w:highlight w:val="none"/>
                <w:u w:val="none" w:color="000000"/>
                <w:lang w:val="en-US" w:eastAsia="zh-CN" w:bidi="ar-SA"/>
              </w:rPr>
              <w:t>，每天</w:t>
            </w:r>
            <w:r>
              <w:rPr>
                <w:rFonts w:hint="eastAsia" w:cs="Times New Roman"/>
                <w:b w:val="0"/>
                <w:bCs w:val="0"/>
                <w:color w:val="auto"/>
                <w:kern w:val="0"/>
                <w:sz w:val="24"/>
                <w:szCs w:val="20"/>
                <w:highlight w:val="none"/>
                <w:u w:val="none" w:color="000000"/>
                <w:lang w:val="en-US" w:eastAsia="zh-CN" w:bidi="ar-SA"/>
              </w:rPr>
              <w:t>监测日均值</w:t>
            </w:r>
            <w:r>
              <w:rPr>
                <w:rFonts w:hint="eastAsia" w:ascii="Times New Roman" w:hAnsi="Times New Roman" w:eastAsia="宋体" w:cs="Times New Roman"/>
                <w:b w:val="0"/>
                <w:bCs w:val="0"/>
                <w:color w:val="auto"/>
                <w:kern w:val="0"/>
                <w:sz w:val="24"/>
                <w:szCs w:val="20"/>
                <w:highlight w:val="none"/>
                <w:u w:val="none" w:color="000000"/>
                <w:lang w:val="en-US" w:eastAsia="zh-CN" w:bidi="ar-SA"/>
              </w:rPr>
              <w:t>。</w:t>
            </w:r>
          </w:p>
          <w:p w14:paraId="15B36BF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lang w:val="en-US" w:eastAsia="zh-CN"/>
              </w:rPr>
              <w:t>4</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评价标准</w:t>
            </w:r>
          </w:p>
          <w:p w14:paraId="335C8D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TSP</w:t>
            </w:r>
            <w:r>
              <w:rPr>
                <w:rFonts w:hint="eastAsia" w:cs="Times New Roman"/>
                <w:color w:val="auto"/>
                <w:kern w:val="0"/>
                <w:sz w:val="24"/>
                <w:szCs w:val="24"/>
                <w:lang w:val="en-US" w:eastAsia="zh-CN" w:bidi="ar"/>
              </w:rPr>
              <w:t>执行</w:t>
            </w:r>
            <w:r>
              <w:rPr>
                <w:rFonts w:hint="default"/>
                <w:color w:val="auto"/>
              </w:rPr>
              <w:t>《环境空气质量标准》</w:t>
            </w:r>
            <w:r>
              <w:rPr>
                <w:rFonts w:hint="eastAsia"/>
                <w:color w:val="auto"/>
                <w:lang w:eastAsia="zh-CN"/>
              </w:rPr>
              <w:t>（</w:t>
            </w:r>
            <w:r>
              <w:rPr>
                <w:rFonts w:hint="default"/>
                <w:color w:val="auto"/>
              </w:rPr>
              <w:t>GB</w:t>
            </w:r>
            <w:r>
              <w:rPr>
                <w:rFonts w:hint="eastAsia"/>
                <w:color w:val="auto"/>
                <w:lang w:eastAsia="zh-CN"/>
              </w:rPr>
              <w:t>3095-2026</w:t>
            </w:r>
            <w:r>
              <w:rPr>
                <w:rFonts w:hint="default"/>
                <w:color w:val="auto"/>
              </w:rPr>
              <w:t>）</w:t>
            </w:r>
            <w:r>
              <w:rPr>
                <w:rFonts w:hint="default" w:ascii="Times New Roman" w:hAnsi="Times New Roman" w:cs="Times New Roman"/>
                <w:color w:val="auto"/>
                <w:sz w:val="24"/>
              </w:rPr>
              <w:t>二级</w:t>
            </w:r>
            <w:r>
              <w:rPr>
                <w:rFonts w:hint="eastAsia" w:cs="Times New Roman"/>
                <w:color w:val="auto"/>
                <w:sz w:val="24"/>
                <w:lang w:val="en-US" w:eastAsia="zh-CN"/>
              </w:rPr>
              <w:t>过渡阶段浓度限值</w:t>
            </w:r>
            <w:r>
              <w:rPr>
                <w:rFonts w:hint="eastAsia" w:ascii="Times New Roman" w:hAnsi="Times New Roman" w:eastAsia="宋体" w:cs="Times New Roman"/>
                <w:color w:val="auto"/>
                <w:kern w:val="0"/>
                <w:sz w:val="24"/>
                <w:szCs w:val="24"/>
                <w:lang w:val="en-US" w:eastAsia="zh-CN" w:bidi="ar"/>
              </w:rPr>
              <w:t>。</w:t>
            </w:r>
          </w:p>
          <w:p w14:paraId="76680E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highlight w:val="none"/>
              </w:rPr>
            </w:pPr>
            <w:r>
              <w:rPr>
                <w:rFonts w:hint="eastAsia" w:ascii="Times New Roman" w:hAnsi="Times New Roman" w:eastAsia="宋体" w:cs="Times New Roman"/>
                <w:b w:val="0"/>
                <w:bCs w:val="0"/>
                <w:color w:val="auto"/>
                <w:sz w:val="24"/>
                <w:highlight w:val="none"/>
                <w:lang w:val="en-US" w:eastAsia="zh-CN"/>
              </w:rPr>
              <w:t>（</w:t>
            </w:r>
            <w:r>
              <w:rPr>
                <w:rFonts w:hint="eastAsia" w:cs="Times New Roman"/>
                <w:b w:val="0"/>
                <w:bCs w:val="0"/>
                <w:color w:val="auto"/>
                <w:sz w:val="24"/>
                <w:highlight w:val="none"/>
                <w:lang w:val="en-US" w:eastAsia="zh-CN"/>
              </w:rPr>
              <w:t>5</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rPr>
              <w:t>评价结果及结论</w:t>
            </w:r>
          </w:p>
          <w:p w14:paraId="5B294993">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kern w:val="0"/>
                <w:position w:val="0"/>
                <w:sz w:val="24"/>
                <w:szCs w:val="24"/>
                <w:highlight w:val="none"/>
                <w:lang w:val="en-US" w:eastAsia="zh-CN" w:bidi="ar-SA"/>
              </w:rPr>
              <w:t>环境空气质量现状监测统计结果见表3-</w:t>
            </w:r>
            <w:r>
              <w:rPr>
                <w:rFonts w:hint="eastAsia" w:ascii="Times New Roman" w:hAnsi="Times New Roman" w:eastAsia="宋体" w:cs="Times New Roman"/>
                <w:b w:val="0"/>
                <w:bCs w:val="0"/>
                <w:color w:val="auto"/>
                <w:spacing w:val="0"/>
                <w:kern w:val="0"/>
                <w:position w:val="0"/>
                <w:sz w:val="24"/>
                <w:szCs w:val="24"/>
                <w:highlight w:val="none"/>
                <w:lang w:val="en-US" w:eastAsia="zh-CN" w:bidi="ar-SA"/>
              </w:rPr>
              <w:t>2</w:t>
            </w:r>
            <w:r>
              <w:rPr>
                <w:rFonts w:hint="default" w:ascii="Times New Roman" w:hAnsi="Times New Roman" w:eastAsia="宋体" w:cs="Times New Roman"/>
                <w:color w:val="auto"/>
                <w:spacing w:val="0"/>
                <w:kern w:val="0"/>
                <w:position w:val="0"/>
                <w:sz w:val="24"/>
                <w:szCs w:val="24"/>
                <w:highlight w:val="none"/>
                <w:lang w:val="en-US" w:eastAsia="zh-CN" w:bidi="ar-SA"/>
              </w:rPr>
              <w:t>。</w:t>
            </w:r>
          </w:p>
          <w:p w14:paraId="31834B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both"/>
              <w:textAlignment w:val="auto"/>
              <w:rPr>
                <w:rFonts w:hint="default" w:ascii="Times New Roman" w:hAnsi="Times New Roman" w:eastAsia="宋体" w:cs="Times New Roman"/>
                <w:b/>
                <w:bCs/>
                <w:color w:val="auto"/>
                <w:spacing w:val="0"/>
                <w:kern w:val="0"/>
                <w:position w:val="0"/>
                <w:sz w:val="21"/>
                <w:szCs w:val="21"/>
                <w:highlight w:val="none"/>
                <w:lang w:val="en-US" w:eastAsia="zh-CN" w:bidi="ar"/>
              </w:rPr>
            </w:pPr>
            <w:r>
              <w:rPr>
                <w:rFonts w:hint="default" w:ascii="Times New Roman" w:hAnsi="Times New Roman" w:eastAsia="宋体" w:cs="Times New Roman"/>
                <w:b/>
                <w:bCs/>
                <w:color w:val="auto"/>
                <w:spacing w:val="0"/>
                <w:kern w:val="0"/>
                <w:position w:val="0"/>
                <w:sz w:val="21"/>
                <w:szCs w:val="21"/>
                <w:highlight w:val="none"/>
                <w:lang w:val="en-US" w:eastAsia="zh-CN" w:bidi="ar"/>
              </w:rPr>
              <w:t>表3-</w:t>
            </w:r>
            <w:r>
              <w:rPr>
                <w:rFonts w:hint="eastAsia" w:ascii="Times New Roman" w:hAnsi="Times New Roman" w:eastAsia="宋体" w:cs="Times New Roman"/>
                <w:b/>
                <w:bCs/>
                <w:color w:val="auto"/>
                <w:spacing w:val="0"/>
                <w:kern w:val="0"/>
                <w:position w:val="0"/>
                <w:sz w:val="21"/>
                <w:szCs w:val="21"/>
                <w:highlight w:val="none"/>
                <w:lang w:val="en-US" w:eastAsia="zh-CN" w:bidi="ar"/>
              </w:rPr>
              <w:t>2</w:t>
            </w:r>
            <w:r>
              <w:rPr>
                <w:rFonts w:hint="default" w:ascii="Times New Roman" w:hAnsi="Times New Roman" w:eastAsia="宋体" w:cs="Times New Roman"/>
                <w:b/>
                <w:bCs/>
                <w:color w:val="auto"/>
                <w:spacing w:val="0"/>
                <w:kern w:val="0"/>
                <w:position w:val="0"/>
                <w:sz w:val="21"/>
                <w:szCs w:val="21"/>
                <w:highlight w:val="none"/>
                <w:lang w:val="en-US" w:eastAsia="zh-CN" w:bidi="ar"/>
              </w:rPr>
              <w:t xml:space="preserve"> </w:t>
            </w:r>
            <w:r>
              <w:rPr>
                <w:rFonts w:hint="eastAsia" w:ascii="Times New Roman" w:hAnsi="Times New Roman" w:eastAsia="宋体" w:cs="Times New Roman"/>
                <w:b/>
                <w:bCs/>
                <w:color w:val="auto"/>
                <w:spacing w:val="0"/>
                <w:kern w:val="0"/>
                <w:position w:val="0"/>
                <w:sz w:val="21"/>
                <w:szCs w:val="21"/>
                <w:highlight w:val="none"/>
                <w:lang w:val="en-US" w:eastAsia="zh-CN" w:bidi="ar"/>
              </w:rPr>
              <w:t xml:space="preserve">           </w:t>
            </w:r>
            <w:r>
              <w:rPr>
                <w:rFonts w:hint="default" w:ascii="Times New Roman" w:hAnsi="Times New Roman" w:eastAsia="宋体" w:cs="Times New Roman"/>
                <w:b/>
                <w:bCs/>
                <w:color w:val="auto"/>
                <w:spacing w:val="0"/>
                <w:kern w:val="0"/>
                <w:position w:val="0"/>
                <w:sz w:val="21"/>
                <w:szCs w:val="21"/>
                <w:highlight w:val="none"/>
                <w:lang w:val="en-US" w:eastAsia="zh-CN" w:bidi="ar"/>
              </w:rPr>
              <w:t xml:space="preserve"> 项目其他污染物评价统计一览表</w:t>
            </w:r>
          </w:p>
          <w:tbl>
            <w:tblPr>
              <w:tblStyle w:val="30"/>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1185"/>
              <w:gridCol w:w="1285"/>
              <w:gridCol w:w="1109"/>
              <w:gridCol w:w="1543"/>
              <w:gridCol w:w="1302"/>
              <w:gridCol w:w="883"/>
              <w:gridCol w:w="875"/>
            </w:tblGrid>
            <w:tr w14:paraId="47BBB3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283" w:hRule="atLeast"/>
                <w:tblHeader/>
                <w:jc w:val="center"/>
              </w:trPr>
              <w:tc>
                <w:tcPr>
                  <w:tcW w:w="724" w:type="pct"/>
                  <w:tcBorders>
                    <w:tl2br w:val="nil"/>
                    <w:tr2bl w:val="nil"/>
                  </w:tcBorders>
                  <w:noWrap w:val="0"/>
                  <w:vAlign w:val="center"/>
                </w:tcPr>
                <w:p w14:paraId="1CEE2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监测点</w:t>
                  </w:r>
                </w:p>
              </w:tc>
              <w:tc>
                <w:tcPr>
                  <w:tcW w:w="785" w:type="pct"/>
                  <w:tcBorders>
                    <w:tl2br w:val="nil"/>
                    <w:tr2bl w:val="nil"/>
                  </w:tcBorders>
                  <w:noWrap w:val="0"/>
                  <w:vAlign w:val="center"/>
                </w:tcPr>
                <w:p w14:paraId="38DFDB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污染物</w:t>
                  </w:r>
                </w:p>
              </w:tc>
              <w:tc>
                <w:tcPr>
                  <w:tcW w:w="677" w:type="pct"/>
                  <w:tcBorders>
                    <w:tl2br w:val="nil"/>
                    <w:tr2bl w:val="nil"/>
                  </w:tcBorders>
                  <w:noWrap w:val="0"/>
                  <w:vAlign w:val="center"/>
                </w:tcPr>
                <w:p w14:paraId="0ED53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评价标准</w:t>
                  </w:r>
                </w:p>
                <w:p w14:paraId="18F01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eastAsia" w:ascii="Times New Roman" w:hAnsi="Times New Roman" w:eastAsia="宋体" w:cs="Times New Roman"/>
                      <w:color w:val="auto"/>
                      <w:spacing w:val="0"/>
                      <w:kern w:val="0"/>
                      <w:position w:val="0"/>
                      <w:sz w:val="21"/>
                      <w:szCs w:val="21"/>
                      <w:highlight w:val="none"/>
                      <w:lang w:val="en-US" w:eastAsia="zh-CN" w:bidi="ar-SA"/>
                    </w:rPr>
                    <w:t>(</w:t>
                  </w:r>
                  <w:r>
                    <w:rPr>
                      <w:rFonts w:hint="default" w:ascii="Times New Roman" w:hAnsi="Times New Roman" w:eastAsia="仿宋_GB2312" w:cs="Times New Roman"/>
                      <w:color w:val="auto"/>
                      <w:spacing w:val="0"/>
                      <w:kern w:val="0"/>
                      <w:position w:val="0"/>
                      <w:sz w:val="21"/>
                      <w:szCs w:val="21"/>
                      <w:highlight w:val="none"/>
                      <w:lang w:val="en-US" w:eastAsia="zh-CN" w:bidi="ar-SA"/>
                    </w:rPr>
                    <w:t>m</w:t>
                  </w:r>
                  <w:r>
                    <w:rPr>
                      <w:rFonts w:hint="default" w:ascii="Times New Roman" w:hAnsi="Times New Roman" w:eastAsia="宋体" w:cs="Times New Roman"/>
                      <w:color w:val="auto"/>
                      <w:spacing w:val="0"/>
                      <w:kern w:val="0"/>
                      <w:position w:val="0"/>
                      <w:sz w:val="21"/>
                      <w:szCs w:val="21"/>
                      <w:highlight w:val="none"/>
                      <w:lang w:val="en-US" w:eastAsia="zh-CN" w:bidi="ar-SA"/>
                    </w:rPr>
                    <w:t>g/m</w:t>
                  </w:r>
                  <w:r>
                    <w:rPr>
                      <w:rFonts w:hint="default" w:ascii="Times New Roman" w:hAnsi="Times New Roman" w:eastAsia="宋体" w:cs="Times New Roman"/>
                      <w:color w:val="auto"/>
                      <w:spacing w:val="0"/>
                      <w:kern w:val="0"/>
                      <w:position w:val="0"/>
                      <w:sz w:val="21"/>
                      <w:szCs w:val="21"/>
                      <w:highlight w:val="none"/>
                      <w:vertAlign w:val="superscript"/>
                      <w:lang w:val="en-US" w:eastAsia="zh-CN" w:bidi="ar-SA"/>
                    </w:rPr>
                    <w:t>3</w:t>
                  </w:r>
                  <w:r>
                    <w:rPr>
                      <w:rFonts w:hint="eastAsia" w:ascii="Times New Roman" w:hAnsi="Times New Roman" w:eastAsia="宋体" w:cs="Times New Roman"/>
                      <w:color w:val="auto"/>
                      <w:spacing w:val="0"/>
                      <w:kern w:val="0"/>
                      <w:position w:val="0"/>
                      <w:sz w:val="21"/>
                      <w:szCs w:val="21"/>
                      <w:highlight w:val="none"/>
                      <w:vertAlign w:val="superscript"/>
                      <w:lang w:val="en-US" w:eastAsia="zh-CN" w:bidi="ar-SA"/>
                    </w:rPr>
                    <w:t>)</w:t>
                  </w:r>
                </w:p>
              </w:tc>
              <w:tc>
                <w:tcPr>
                  <w:tcW w:w="942" w:type="pct"/>
                  <w:tcBorders>
                    <w:tl2br w:val="nil"/>
                    <w:tr2bl w:val="nil"/>
                  </w:tcBorders>
                  <w:noWrap w:val="0"/>
                  <w:vAlign w:val="center"/>
                </w:tcPr>
                <w:p w14:paraId="3C782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监测浓度范围</w:t>
                  </w:r>
                </w:p>
                <w:p w14:paraId="2AE0E7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eastAsia" w:ascii="Times New Roman" w:hAnsi="Times New Roman" w:eastAsia="宋体" w:cs="Times New Roman"/>
                      <w:color w:val="auto"/>
                      <w:spacing w:val="0"/>
                      <w:kern w:val="0"/>
                      <w:position w:val="0"/>
                      <w:sz w:val="21"/>
                      <w:szCs w:val="21"/>
                      <w:highlight w:val="none"/>
                      <w:lang w:val="en-US" w:eastAsia="zh-CN" w:bidi="ar-SA"/>
                    </w:rPr>
                    <w:t>(</w:t>
                  </w:r>
                  <w:r>
                    <w:rPr>
                      <w:rFonts w:hint="default" w:ascii="Times New Roman" w:hAnsi="Times New Roman" w:eastAsia="仿宋_GB2312" w:cs="Times New Roman"/>
                      <w:color w:val="auto"/>
                      <w:spacing w:val="0"/>
                      <w:kern w:val="0"/>
                      <w:position w:val="0"/>
                      <w:sz w:val="21"/>
                      <w:szCs w:val="21"/>
                      <w:highlight w:val="none"/>
                      <w:lang w:val="en-US" w:eastAsia="zh-CN" w:bidi="ar-SA"/>
                    </w:rPr>
                    <w:t>m</w:t>
                  </w:r>
                  <w:r>
                    <w:rPr>
                      <w:rFonts w:hint="default" w:ascii="Times New Roman" w:hAnsi="Times New Roman" w:eastAsia="宋体" w:cs="Times New Roman"/>
                      <w:color w:val="auto"/>
                      <w:spacing w:val="0"/>
                      <w:kern w:val="0"/>
                      <w:position w:val="0"/>
                      <w:sz w:val="21"/>
                      <w:szCs w:val="21"/>
                      <w:highlight w:val="none"/>
                      <w:lang w:val="en-US" w:eastAsia="zh-CN" w:bidi="ar-SA"/>
                    </w:rPr>
                    <w:t>g/m</w:t>
                  </w:r>
                  <w:r>
                    <w:rPr>
                      <w:rFonts w:hint="default" w:ascii="Times New Roman" w:hAnsi="Times New Roman" w:eastAsia="宋体" w:cs="Times New Roman"/>
                      <w:color w:val="auto"/>
                      <w:spacing w:val="0"/>
                      <w:kern w:val="0"/>
                      <w:position w:val="0"/>
                      <w:sz w:val="21"/>
                      <w:szCs w:val="21"/>
                      <w:highlight w:val="none"/>
                      <w:vertAlign w:val="superscript"/>
                      <w:lang w:val="en-US" w:eastAsia="zh-CN" w:bidi="ar-SA"/>
                    </w:rPr>
                    <w:t>3</w:t>
                  </w:r>
                  <w:r>
                    <w:rPr>
                      <w:rFonts w:hint="eastAsia" w:ascii="Times New Roman" w:hAnsi="Times New Roman" w:eastAsia="宋体" w:cs="Times New Roman"/>
                      <w:color w:val="auto"/>
                      <w:spacing w:val="0"/>
                      <w:kern w:val="0"/>
                      <w:position w:val="0"/>
                      <w:sz w:val="21"/>
                      <w:szCs w:val="21"/>
                      <w:highlight w:val="none"/>
                      <w:vertAlign w:val="superscript"/>
                      <w:lang w:val="en-US" w:eastAsia="zh-CN" w:bidi="ar-SA"/>
                    </w:rPr>
                    <w:t>)</w:t>
                  </w:r>
                </w:p>
              </w:tc>
              <w:tc>
                <w:tcPr>
                  <w:tcW w:w="795" w:type="pct"/>
                  <w:tcBorders>
                    <w:tl2br w:val="nil"/>
                    <w:tr2bl w:val="nil"/>
                  </w:tcBorders>
                  <w:noWrap w:val="0"/>
                  <w:vAlign w:val="center"/>
                </w:tcPr>
                <w:p w14:paraId="59996D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最大浓度占标率/%</w:t>
                  </w:r>
                </w:p>
              </w:tc>
              <w:tc>
                <w:tcPr>
                  <w:tcW w:w="539" w:type="pct"/>
                  <w:tcBorders>
                    <w:tl2br w:val="nil"/>
                    <w:tr2bl w:val="nil"/>
                  </w:tcBorders>
                  <w:noWrap w:val="0"/>
                  <w:vAlign w:val="center"/>
                </w:tcPr>
                <w:p w14:paraId="305DFB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超标率/%</w:t>
                  </w:r>
                </w:p>
              </w:tc>
              <w:tc>
                <w:tcPr>
                  <w:tcW w:w="534" w:type="pct"/>
                  <w:tcBorders>
                    <w:tl2br w:val="nil"/>
                    <w:tr2bl w:val="nil"/>
                  </w:tcBorders>
                  <w:noWrap w:val="0"/>
                  <w:vAlign w:val="center"/>
                </w:tcPr>
                <w:p w14:paraId="0A668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达标</w:t>
                  </w:r>
                </w:p>
                <w:p w14:paraId="6D905D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情况</w:t>
                  </w:r>
                </w:p>
              </w:tc>
            </w:tr>
            <w:tr w14:paraId="04495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283" w:hRule="atLeast"/>
                <w:jc w:val="center"/>
              </w:trPr>
              <w:tc>
                <w:tcPr>
                  <w:tcW w:w="724" w:type="pct"/>
                  <w:tcBorders>
                    <w:tl2br w:val="nil"/>
                    <w:tr2bl w:val="nil"/>
                  </w:tcBorders>
                  <w:noWrap w:val="0"/>
                  <w:vAlign w:val="center"/>
                </w:tcPr>
                <w:p w14:paraId="0D31DB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0"/>
                      <w:position w:val="0"/>
                      <w:sz w:val="24"/>
                      <w:szCs w:val="24"/>
                      <w:highlight w:val="none"/>
                      <w:lang w:val="en-US" w:eastAsia="zh-CN" w:bidi="zh-CN"/>
                    </w:rPr>
                  </w:pPr>
                  <w:r>
                    <w:rPr>
                      <w:rFonts w:hint="default" w:ascii="Times New Roman" w:hAnsi="Times New Roman" w:eastAsia="宋体" w:cs="Times New Roman"/>
                      <w:color w:val="auto"/>
                      <w:spacing w:val="0"/>
                      <w:kern w:val="0"/>
                      <w:position w:val="0"/>
                      <w:sz w:val="21"/>
                      <w:szCs w:val="21"/>
                      <w:highlight w:val="none"/>
                      <w:lang w:val="zh-CN" w:eastAsia="zh-CN" w:bidi="zh-CN"/>
                    </w:rPr>
                    <w:t>厂址</w:t>
                  </w:r>
                  <w:r>
                    <w:rPr>
                      <w:rFonts w:hint="eastAsia" w:ascii="Times New Roman" w:hAnsi="Times New Roman" w:eastAsia="宋体" w:cs="Times New Roman"/>
                      <w:color w:val="auto"/>
                      <w:spacing w:val="0"/>
                      <w:kern w:val="0"/>
                      <w:position w:val="0"/>
                      <w:sz w:val="21"/>
                      <w:szCs w:val="21"/>
                      <w:highlight w:val="none"/>
                      <w:lang w:val="en-US" w:eastAsia="zh-CN" w:bidi="zh-CN"/>
                    </w:rPr>
                    <w:t>东北侧</w:t>
                  </w:r>
                </w:p>
              </w:tc>
              <w:tc>
                <w:tcPr>
                  <w:tcW w:w="785" w:type="pct"/>
                  <w:tcBorders>
                    <w:tl2br w:val="nil"/>
                    <w:tr2bl w:val="nil"/>
                  </w:tcBorders>
                  <w:noWrap w:val="0"/>
                  <w:vAlign w:val="center"/>
                </w:tcPr>
                <w:p w14:paraId="4933EB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TSP</w:t>
                  </w:r>
                </w:p>
              </w:tc>
              <w:tc>
                <w:tcPr>
                  <w:tcW w:w="677" w:type="pct"/>
                  <w:tcBorders>
                    <w:tl2br w:val="nil"/>
                    <w:tr2bl w:val="nil"/>
                  </w:tcBorders>
                  <w:noWrap w:val="0"/>
                  <w:vAlign w:val="center"/>
                </w:tcPr>
                <w:p w14:paraId="58DE29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lang w:val="en-US" w:eastAsia="zh-CN" w:bidi="ar-SA"/>
                    </w:rPr>
                    <w:t>0.3</w:t>
                  </w:r>
                </w:p>
              </w:tc>
              <w:tc>
                <w:tcPr>
                  <w:tcW w:w="942" w:type="pct"/>
                  <w:tcBorders>
                    <w:tl2br w:val="nil"/>
                    <w:tr2bl w:val="nil"/>
                  </w:tcBorders>
                  <w:noWrap w:val="0"/>
                  <w:vAlign w:val="center"/>
                </w:tcPr>
                <w:p w14:paraId="0E1268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eastAsia" w:ascii="Times New Roman" w:hAnsi="Times New Roman" w:eastAsia="宋体" w:cs="Times New Roman"/>
                      <w:color w:val="auto"/>
                      <w:spacing w:val="0"/>
                      <w:kern w:val="0"/>
                      <w:position w:val="0"/>
                      <w:sz w:val="21"/>
                      <w:szCs w:val="21"/>
                      <w:highlight w:val="none"/>
                      <w:lang w:val="en-US" w:eastAsia="zh-CN" w:bidi="ar-SA"/>
                    </w:rPr>
                    <w:t>0.210-0.234</w:t>
                  </w:r>
                </w:p>
              </w:tc>
              <w:tc>
                <w:tcPr>
                  <w:tcW w:w="795" w:type="pct"/>
                  <w:tcBorders>
                    <w:tl2br w:val="nil"/>
                    <w:tr2bl w:val="nil"/>
                  </w:tcBorders>
                  <w:noWrap w:val="0"/>
                  <w:vAlign w:val="center"/>
                </w:tcPr>
                <w:p w14:paraId="162D9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pacing w:val="0"/>
                      <w:kern w:val="0"/>
                      <w:position w:val="0"/>
                      <w:sz w:val="21"/>
                      <w:szCs w:val="21"/>
                      <w:highlight w:val="none"/>
                      <w:lang w:val="en-US" w:eastAsia="zh-CN" w:bidi="ar-SA"/>
                    </w:rPr>
                  </w:pPr>
                  <w:r>
                    <w:rPr>
                      <w:rFonts w:hint="eastAsia" w:ascii="Times New Roman" w:hAnsi="Times New Roman" w:eastAsia="宋体" w:cs="Times New Roman"/>
                      <w:bCs/>
                      <w:color w:val="auto"/>
                      <w:spacing w:val="0"/>
                      <w:kern w:val="0"/>
                      <w:position w:val="0"/>
                      <w:sz w:val="21"/>
                      <w:szCs w:val="21"/>
                      <w:highlight w:val="none"/>
                      <w:lang w:val="en-US" w:eastAsia="zh-CN" w:bidi="ar-SA"/>
                    </w:rPr>
                    <w:t>78</w:t>
                  </w:r>
                </w:p>
              </w:tc>
              <w:tc>
                <w:tcPr>
                  <w:tcW w:w="539" w:type="pct"/>
                  <w:tcBorders>
                    <w:tl2br w:val="nil"/>
                    <w:tr2bl w:val="nil"/>
                  </w:tcBorders>
                  <w:noWrap w:val="0"/>
                  <w:vAlign w:val="center"/>
                </w:tcPr>
                <w:p w14:paraId="7CFA6C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pacing w:val="0"/>
                      <w:kern w:val="0"/>
                      <w:position w:val="0"/>
                      <w:sz w:val="21"/>
                      <w:szCs w:val="21"/>
                      <w:highlight w:val="none"/>
                      <w:lang w:val="en-US" w:eastAsia="zh-CN" w:bidi="ar-SA"/>
                    </w:rPr>
                  </w:pPr>
                  <w:r>
                    <w:rPr>
                      <w:rFonts w:hint="eastAsia" w:ascii="Times New Roman" w:hAnsi="Times New Roman" w:eastAsia="宋体" w:cs="Times New Roman"/>
                      <w:bCs/>
                      <w:color w:val="auto"/>
                      <w:spacing w:val="0"/>
                      <w:kern w:val="0"/>
                      <w:position w:val="0"/>
                      <w:sz w:val="21"/>
                      <w:szCs w:val="21"/>
                      <w:highlight w:val="none"/>
                      <w:lang w:val="en-US" w:eastAsia="zh-CN" w:bidi="ar-SA"/>
                    </w:rPr>
                    <w:t>/</w:t>
                  </w:r>
                </w:p>
              </w:tc>
              <w:tc>
                <w:tcPr>
                  <w:tcW w:w="534" w:type="pct"/>
                  <w:tcBorders>
                    <w:tl2br w:val="nil"/>
                    <w:tr2bl w:val="nil"/>
                  </w:tcBorders>
                  <w:noWrap w:val="0"/>
                  <w:vAlign w:val="center"/>
                </w:tcPr>
                <w:p w14:paraId="1423A0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pacing w:val="0"/>
                      <w:kern w:val="0"/>
                      <w:position w:val="0"/>
                      <w:sz w:val="21"/>
                      <w:szCs w:val="21"/>
                      <w:highlight w:val="none"/>
                      <w:lang w:val="en-US" w:eastAsia="zh-CN" w:bidi="ar-SA"/>
                    </w:rPr>
                  </w:pPr>
                  <w:r>
                    <w:rPr>
                      <w:rFonts w:hint="eastAsia" w:ascii="Times New Roman" w:hAnsi="Times New Roman" w:eastAsia="宋体" w:cs="Times New Roman"/>
                      <w:bCs/>
                      <w:color w:val="auto"/>
                      <w:spacing w:val="0"/>
                      <w:kern w:val="0"/>
                      <w:position w:val="0"/>
                      <w:sz w:val="21"/>
                      <w:szCs w:val="21"/>
                      <w:highlight w:val="none"/>
                      <w:lang w:val="en-US" w:eastAsia="zh-CN" w:bidi="ar-SA"/>
                    </w:rPr>
                    <w:t>达标</w:t>
                  </w:r>
                </w:p>
              </w:tc>
            </w:tr>
          </w:tbl>
          <w:p w14:paraId="1F821085">
            <w:pPr>
              <w:keepNext w:val="0"/>
              <w:keepLines w:val="0"/>
              <w:suppressLineNumbers w:val="0"/>
              <w:bidi w:val="0"/>
              <w:spacing w:before="0" w:beforeAutospacing="0" w:after="0" w:afterAutospacing="0"/>
              <w:ind w:left="0" w:right="0"/>
              <w:rPr>
                <w:rFonts w:hint="eastAsia"/>
                <w:color w:val="auto"/>
              </w:rPr>
            </w:pPr>
            <w:r>
              <w:rPr>
                <w:rFonts w:hint="default"/>
                <w:color w:val="auto"/>
              </w:rPr>
              <w:t>从</w:t>
            </w:r>
            <w:r>
              <w:rPr>
                <w:rFonts w:hint="eastAsia"/>
                <w:color w:val="auto"/>
              </w:rPr>
              <w:t>上</w:t>
            </w:r>
            <w:r>
              <w:rPr>
                <w:rFonts w:hint="default"/>
                <w:color w:val="auto"/>
              </w:rPr>
              <w:t>表分析结果可知，本项目所在区域</w:t>
            </w:r>
            <w:r>
              <w:rPr>
                <w:rFonts w:hint="eastAsia"/>
                <w:color w:val="auto"/>
              </w:rPr>
              <w:t>颗粒物可满足《环境空气质量标准》（GB3095-20</w:t>
            </w:r>
            <w:r>
              <w:rPr>
                <w:rFonts w:hint="eastAsia"/>
                <w:color w:val="auto"/>
                <w:lang w:val="en-US" w:eastAsia="zh-CN"/>
              </w:rPr>
              <w:t>26</w:t>
            </w:r>
            <w:r>
              <w:rPr>
                <w:rFonts w:hint="eastAsia"/>
                <w:color w:val="auto"/>
              </w:rPr>
              <w:t>）</w:t>
            </w:r>
            <w:r>
              <w:rPr>
                <w:rFonts w:hint="eastAsia"/>
                <w:color w:val="auto"/>
                <w:lang w:val="en-US" w:eastAsia="zh-CN"/>
              </w:rPr>
              <w:t>中</w:t>
            </w:r>
            <w:r>
              <w:rPr>
                <w:rFonts w:hint="eastAsia"/>
                <w:color w:val="auto"/>
              </w:rPr>
              <w:t>二级标准限值</w:t>
            </w:r>
            <w:r>
              <w:rPr>
                <w:rFonts w:hint="default"/>
                <w:color w:val="auto"/>
              </w:rPr>
              <w:t>。</w:t>
            </w:r>
          </w:p>
          <w:p w14:paraId="023A57EB">
            <w:pPr>
              <w:pStyle w:val="3"/>
              <w:numPr>
                <w:ilvl w:val="0"/>
                <w:numId w:val="0"/>
              </w:numPr>
              <w:suppressLineNumbers w:val="0"/>
              <w:bidi w:val="0"/>
              <w:spacing w:before="0" w:beforeAutospacing="0" w:after="0" w:afterAutospacing="0"/>
              <w:ind w:left="0" w:leftChars="0" w:right="0" w:rightChars="0"/>
              <w:rPr>
                <w:rFonts w:hint="eastAsia"/>
                <w:color w:val="auto"/>
                <w:lang w:val="en-US" w:eastAsia="zh-CN"/>
              </w:rPr>
            </w:pPr>
            <w:r>
              <w:rPr>
                <w:rFonts w:hint="eastAsia"/>
                <w:color w:val="auto"/>
                <w:lang w:val="en-US" w:eastAsia="zh-CN"/>
              </w:rPr>
              <w:t>2、地表</w:t>
            </w:r>
            <w:r>
              <w:rPr>
                <w:rFonts w:hint="default"/>
                <w:color w:val="auto"/>
                <w:lang w:val="en-US" w:eastAsia="zh-CN"/>
              </w:rPr>
              <w:t>水环境</w:t>
            </w:r>
            <w:r>
              <w:rPr>
                <w:rFonts w:hint="eastAsia"/>
                <w:color w:val="auto"/>
                <w:lang w:val="en-US" w:eastAsia="zh-CN"/>
              </w:rPr>
              <w:t>质量现状</w:t>
            </w:r>
          </w:p>
          <w:p w14:paraId="7416EE25">
            <w:pPr>
              <w:keepNext w:val="0"/>
              <w:keepLines w:val="0"/>
              <w:suppressLineNumbers w:val="0"/>
              <w:spacing w:before="0" w:beforeAutospacing="0" w:after="0" w:afterAutospacing="0"/>
              <w:ind w:left="0" w:right="0" w:firstLine="480"/>
              <w:rPr>
                <w:rFonts w:hint="default"/>
                <w:color w:val="auto"/>
              </w:rPr>
            </w:pPr>
            <w:r>
              <w:rPr>
                <w:rFonts w:hint="eastAsia"/>
                <w:color w:val="auto"/>
              </w:rPr>
              <w:t>根据《巴音郭楞蒙古自治州2025年生态环境状况公报》可知：2025年，全州地表水监测的31个考核断面（点位）中，Ⅰ~Ⅲ类优良水质断面（点位）占比96.8%。6条主要河流19个监测断面中Ⅰ~Ⅲ类优良水质断面占100%，3个重要湖泊（水库）12个监测点位中Ⅰ~Ⅲ类优良水质断面占91.7%，无劣Ⅴ类水体。</w:t>
            </w:r>
          </w:p>
          <w:p w14:paraId="667CE81F">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距离项目区最近的地表水体为迪那河，位于本项目东北侧13km处，迪那河水质可满足《地表水环境质量标准》（GB3838-2002）中Ⅱ类水质标准。</w:t>
            </w:r>
          </w:p>
          <w:p w14:paraId="3DF91A1F">
            <w:pPr>
              <w:pStyle w:val="3"/>
              <w:numPr>
                <w:ilvl w:val="0"/>
                <w:numId w:val="10"/>
              </w:numPr>
              <w:suppressLineNumbers w:val="0"/>
              <w:bidi w:val="0"/>
              <w:spacing w:before="0" w:beforeAutospacing="0" w:after="0" w:afterAutospacing="0"/>
              <w:ind w:left="0" w:right="0"/>
              <w:rPr>
                <w:rFonts w:hint="eastAsia"/>
                <w:color w:val="auto"/>
                <w:lang w:val="en-US" w:eastAsia="zh-CN"/>
              </w:rPr>
            </w:pPr>
            <w:bookmarkStart w:id="3" w:name="_Toc422212916"/>
            <w:r>
              <w:rPr>
                <w:rFonts w:hint="default"/>
                <w:color w:val="auto"/>
                <w:lang w:val="en-US" w:eastAsia="zh-CN"/>
              </w:rPr>
              <w:t>声环境</w:t>
            </w:r>
            <w:bookmarkEnd w:id="3"/>
            <w:r>
              <w:rPr>
                <w:rFonts w:hint="eastAsia"/>
                <w:color w:val="auto"/>
                <w:lang w:val="en-US" w:eastAsia="zh-CN"/>
              </w:rPr>
              <w:t>质量现状</w:t>
            </w:r>
          </w:p>
          <w:p w14:paraId="2BA15D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color w:val="auto"/>
              </w:rPr>
            </w:pPr>
            <w:r>
              <w:rPr>
                <w:rFonts w:hint="eastAsia"/>
                <w:color w:val="auto"/>
                <w:lang w:val="en-US" w:eastAsia="zh-CN"/>
              </w:rPr>
              <w:t>本项目周边</w:t>
            </w:r>
            <w:r>
              <w:rPr>
                <w:rFonts w:hint="default"/>
                <w:color w:val="auto"/>
                <w:lang w:val="en-US" w:eastAsia="zh-CN"/>
              </w:rPr>
              <w:t>50m</w:t>
            </w:r>
            <w:r>
              <w:rPr>
                <w:rFonts w:hint="eastAsia"/>
                <w:color w:val="auto"/>
                <w:lang w:val="en-US" w:eastAsia="zh-CN"/>
              </w:rPr>
              <w:t>范围内无声环境保护目标，故不进行声环境质量现状监测</w:t>
            </w:r>
            <w:r>
              <w:rPr>
                <w:rFonts w:hint="default"/>
                <w:color w:val="auto"/>
              </w:rPr>
              <w:t>。</w:t>
            </w:r>
          </w:p>
          <w:p w14:paraId="3F4A4756">
            <w:pPr>
              <w:pStyle w:val="3"/>
              <w:suppressLineNumbers w:val="0"/>
              <w:bidi w:val="0"/>
              <w:spacing w:before="0" w:beforeAutospacing="0" w:after="0" w:afterAutospacing="0"/>
              <w:ind w:left="0" w:right="0"/>
              <w:rPr>
                <w:rFonts w:hint="default"/>
                <w:b/>
                <w:bCs/>
                <w:color w:val="auto"/>
                <w:kern w:val="0"/>
                <w:sz w:val="24"/>
              </w:rPr>
            </w:pPr>
            <w:r>
              <w:rPr>
                <w:rFonts w:hint="eastAsia"/>
                <w:color w:val="auto"/>
                <w:lang w:val="en-US" w:eastAsia="zh-CN"/>
              </w:rPr>
              <w:t>4、</w:t>
            </w:r>
            <w:r>
              <w:rPr>
                <w:rFonts w:hint="default"/>
                <w:b/>
                <w:bCs/>
                <w:color w:val="auto"/>
                <w:kern w:val="0"/>
                <w:sz w:val="24"/>
              </w:rPr>
              <w:t>生态环境现状</w:t>
            </w:r>
          </w:p>
          <w:p w14:paraId="4610FCA4">
            <w:pPr>
              <w:keepNext w:val="0"/>
              <w:keepLines w:val="0"/>
              <w:suppressLineNumbers w:val="0"/>
              <w:bidi w:val="0"/>
              <w:spacing w:before="0" w:beforeAutospacing="0" w:after="0" w:afterAutospacing="0"/>
              <w:ind w:left="0" w:right="0"/>
              <w:rPr>
                <w:rFonts w:hint="default"/>
                <w:color w:val="auto"/>
              </w:rPr>
            </w:pPr>
            <w:r>
              <w:rPr>
                <w:rFonts w:hint="default"/>
                <w:color w:val="auto"/>
              </w:rPr>
              <w:t>本项目</w:t>
            </w:r>
            <w:r>
              <w:rPr>
                <w:rFonts w:hint="eastAsia"/>
                <w:color w:val="auto"/>
                <w:lang w:eastAsia="zh-CN"/>
              </w:rPr>
              <w:t>位于产业园区内，</w:t>
            </w:r>
            <w:r>
              <w:rPr>
                <w:rFonts w:hint="default"/>
                <w:color w:val="auto"/>
              </w:rPr>
              <w:t>故不进行生态现状调查。</w:t>
            </w:r>
          </w:p>
          <w:p w14:paraId="769DBEBB">
            <w:pPr>
              <w:pStyle w:val="3"/>
              <w:suppressLineNumbers w:val="0"/>
              <w:bidi w:val="0"/>
              <w:spacing w:before="0" w:beforeAutospacing="0" w:after="0" w:afterAutospacing="0"/>
              <w:ind w:left="0" w:right="0"/>
              <w:rPr>
                <w:rFonts w:hint="default"/>
                <w:color w:val="auto"/>
                <w:lang w:val="en-US"/>
              </w:rPr>
            </w:pPr>
            <w:r>
              <w:rPr>
                <w:rFonts w:hint="eastAsia"/>
                <w:color w:val="auto"/>
                <w:lang w:val="en-US" w:eastAsia="zh-CN"/>
              </w:rPr>
              <w:t>5、地下水、土壤现状</w:t>
            </w:r>
          </w:p>
          <w:p w14:paraId="49D0FF82">
            <w:pPr>
              <w:keepNext w:val="0"/>
              <w:keepLines w:val="0"/>
              <w:suppressLineNumbers w:val="0"/>
              <w:bidi w:val="0"/>
              <w:spacing w:before="0" w:beforeAutospacing="0" w:after="0" w:afterAutospacing="0"/>
              <w:ind w:left="0" w:right="0"/>
              <w:rPr>
                <w:rFonts w:hint="eastAsia"/>
                <w:color w:val="auto"/>
                <w:lang w:val="en-US" w:eastAsia="zh-CN"/>
              </w:rPr>
            </w:pPr>
            <w:r>
              <w:rPr>
                <w:rFonts w:hint="default"/>
                <w:color w:val="auto"/>
                <w:kern w:val="0"/>
                <w:sz w:val="24"/>
              </w:rPr>
              <w:t xml:space="preserve">根据《环境影响评价技术导则  </w:t>
            </w:r>
            <w:r>
              <w:rPr>
                <w:rFonts w:hint="eastAsia"/>
                <w:color w:val="auto"/>
                <w:kern w:val="0"/>
                <w:sz w:val="24"/>
              </w:rPr>
              <w:t>地下水环境</w:t>
            </w:r>
            <w:r>
              <w:rPr>
                <w:rFonts w:hint="default"/>
                <w:color w:val="auto"/>
                <w:kern w:val="0"/>
                <w:sz w:val="24"/>
              </w:rPr>
              <w:t>》（HJ</w:t>
            </w:r>
            <w:r>
              <w:rPr>
                <w:rFonts w:hint="eastAsia"/>
                <w:color w:val="auto"/>
                <w:kern w:val="0"/>
                <w:sz w:val="24"/>
              </w:rPr>
              <w:t>610</w:t>
            </w:r>
            <w:r>
              <w:rPr>
                <w:rFonts w:hint="default"/>
                <w:color w:val="auto"/>
                <w:kern w:val="0"/>
                <w:sz w:val="24"/>
              </w:rPr>
              <w:t>-201</w:t>
            </w:r>
            <w:r>
              <w:rPr>
                <w:rFonts w:hint="eastAsia"/>
                <w:color w:val="auto"/>
                <w:kern w:val="0"/>
                <w:sz w:val="24"/>
              </w:rPr>
              <w:t>6</w:t>
            </w:r>
            <w:r>
              <w:rPr>
                <w:rFonts w:hint="default"/>
                <w:color w:val="auto"/>
                <w:kern w:val="0"/>
                <w:sz w:val="24"/>
              </w:rPr>
              <w:t>）中附录A中确定本项目为Ⅳ类项目，不进行</w:t>
            </w:r>
            <w:r>
              <w:rPr>
                <w:rFonts w:hint="eastAsia"/>
                <w:color w:val="auto"/>
                <w:kern w:val="0"/>
                <w:sz w:val="24"/>
              </w:rPr>
              <w:t>地下水</w:t>
            </w:r>
            <w:r>
              <w:rPr>
                <w:rFonts w:hint="default"/>
                <w:color w:val="auto"/>
                <w:kern w:val="0"/>
                <w:sz w:val="24"/>
              </w:rPr>
              <w:t>评价</w:t>
            </w:r>
            <w:r>
              <w:rPr>
                <w:rFonts w:hint="eastAsia" w:ascii="宋体" w:hAnsi="宋体" w:cs="宋体"/>
                <w:color w:val="auto"/>
                <w:kern w:val="0"/>
                <w:sz w:val="24"/>
              </w:rPr>
              <w:t>。</w:t>
            </w:r>
            <w:r>
              <w:rPr>
                <w:rFonts w:hint="default"/>
                <w:color w:val="auto"/>
                <w:kern w:val="0"/>
                <w:sz w:val="24"/>
              </w:rPr>
              <w:t xml:space="preserve">根据《环境影响评价技术导则  </w:t>
            </w:r>
            <w:r>
              <w:rPr>
                <w:rFonts w:hint="eastAsia"/>
                <w:color w:val="auto"/>
                <w:kern w:val="0"/>
                <w:sz w:val="24"/>
              </w:rPr>
              <w:t>土壤环境（试行）</w:t>
            </w:r>
            <w:r>
              <w:rPr>
                <w:rFonts w:hint="default"/>
                <w:color w:val="auto"/>
                <w:kern w:val="0"/>
                <w:sz w:val="24"/>
              </w:rPr>
              <w:t>》（HJ</w:t>
            </w:r>
            <w:r>
              <w:rPr>
                <w:rFonts w:hint="eastAsia"/>
                <w:color w:val="auto"/>
                <w:kern w:val="0"/>
                <w:sz w:val="24"/>
              </w:rPr>
              <w:t>964</w:t>
            </w:r>
            <w:r>
              <w:rPr>
                <w:rFonts w:hint="default"/>
                <w:color w:val="auto"/>
                <w:kern w:val="0"/>
                <w:sz w:val="24"/>
              </w:rPr>
              <w:t>-201</w:t>
            </w:r>
            <w:r>
              <w:rPr>
                <w:rFonts w:hint="eastAsia"/>
                <w:color w:val="auto"/>
                <w:kern w:val="0"/>
                <w:sz w:val="24"/>
              </w:rPr>
              <w:t>8</w:t>
            </w:r>
            <w:r>
              <w:rPr>
                <w:rFonts w:hint="default"/>
                <w:color w:val="auto"/>
                <w:kern w:val="0"/>
                <w:sz w:val="24"/>
              </w:rPr>
              <w:t>）</w:t>
            </w:r>
            <w:r>
              <w:rPr>
                <w:rFonts w:hint="eastAsia"/>
                <w:color w:val="auto"/>
                <w:kern w:val="0"/>
                <w:sz w:val="24"/>
              </w:rPr>
              <w:t>确定</w:t>
            </w:r>
            <w:r>
              <w:rPr>
                <w:rFonts w:hint="eastAsia" w:ascii="宋体" w:hAnsi="宋体" w:cs="宋体"/>
                <w:color w:val="auto"/>
                <w:kern w:val="0"/>
                <w:sz w:val="24"/>
              </w:rPr>
              <w:t>本项目不进行土壤评价。</w:t>
            </w:r>
            <w:r>
              <w:rPr>
                <w:rFonts w:hint="eastAsia" w:cs="Times New Roman"/>
                <w:color w:val="auto"/>
                <w:lang w:val="en-US" w:eastAsia="zh-CN"/>
              </w:rPr>
              <w:t>本项目正常工况下不存在土壤、地下水污染途径，本项目可不开展土壤、地下水环境质量现状调查。</w:t>
            </w:r>
          </w:p>
          <w:p w14:paraId="579C9FDF">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6、土地沙化</w:t>
            </w:r>
          </w:p>
          <w:p w14:paraId="3A2D8693">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lang w:val="en-US" w:eastAsia="zh-CN"/>
              </w:rPr>
              <w:t>根据《新疆第六次沙化监测报告》，本项目位于非沙化区</w:t>
            </w:r>
            <w:r>
              <w:rPr>
                <w:rFonts w:hint="eastAsia"/>
                <w:color w:val="auto"/>
                <w:lang w:eastAsia="zh-CN"/>
              </w:rPr>
              <w:t>。</w:t>
            </w:r>
          </w:p>
          <w:p w14:paraId="063A7122">
            <w:pPr>
              <w:pStyle w:val="8"/>
              <w:keepLines w:val="0"/>
              <w:suppressLineNumbers w:val="0"/>
              <w:bidi w:val="0"/>
              <w:spacing w:before="0" w:beforeAutospacing="0" w:after="0" w:afterAutospacing="0"/>
              <w:ind w:left="0" w:leftChars="0" w:right="0" w:firstLine="0" w:firstLineChars="0"/>
              <w:jc w:val="both"/>
              <w:rPr>
                <w:rFonts w:hint="default" w:ascii="Times New Roman" w:hAnsi="Times New Roman" w:cs="Times New Roman"/>
                <w:color w:val="auto"/>
                <w:szCs w:val="28"/>
                <w:highlight w:val="none"/>
              </w:rPr>
            </w:pPr>
            <w:r>
              <w:rPr>
                <w:rFonts w:hint="default"/>
                <w:color w:val="auto"/>
                <w:sz w:val="21"/>
              </w:rPr>
              <mc:AlternateContent>
                <mc:Choice Requires="wps">
                  <w:drawing>
                    <wp:anchor distT="0" distB="0" distL="114300" distR="114300" simplePos="0" relativeHeight="251660288" behindDoc="0" locked="0" layoutInCell="1" allowOverlap="1">
                      <wp:simplePos x="0" y="0"/>
                      <wp:positionH relativeFrom="column">
                        <wp:posOffset>1692275</wp:posOffset>
                      </wp:positionH>
                      <wp:positionV relativeFrom="paragraph">
                        <wp:posOffset>462915</wp:posOffset>
                      </wp:positionV>
                      <wp:extent cx="695960" cy="291465"/>
                      <wp:effectExtent l="12700" t="12700" r="243840" b="95885"/>
                      <wp:wrapNone/>
                      <wp:docPr id="3" name="矩形标注 3"/>
                      <wp:cNvGraphicFramePr/>
                      <a:graphic xmlns:a="http://schemas.openxmlformats.org/drawingml/2006/main">
                        <a:graphicData uri="http://schemas.microsoft.com/office/word/2010/wordprocessingShape">
                          <wps:wsp>
                            <wps:cNvSpPr/>
                            <wps:spPr>
                              <a:xfrm>
                                <a:off x="4573905" y="1409700"/>
                                <a:ext cx="695960" cy="291465"/>
                              </a:xfrm>
                              <a:prstGeom prst="wedgeRectCallout">
                                <a:avLst>
                                  <a:gd name="adj1" fmla="val 83029"/>
                                  <a:gd name="adj2" fmla="val 76361"/>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4449729">
                                  <w:pPr>
                                    <w:ind w:left="0" w:leftChars="0" w:firstLine="0" w:firstLineChars="0"/>
                                    <w:jc w:val="both"/>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3.25pt;margin-top:36.45pt;height:22.95pt;width:54.8pt;z-index:251660288;v-text-anchor:middle;mso-width-relative:page;mso-height-relative:page;" filled="f" stroked="t" coordsize="21600,21600" o:gfxdata="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4FcVKdgAAAAKAQAADwAAAAAAAAABACAAAAAiAAAAZHJzL2Rvd25yZXYu&#10;eG1sUEsBAhQAFAAAAAgAh07iQHFau6imAgAALQUAAA4AAAAAAAAAAQAgAAAAJwEAAGRycy9lMm9E&#10;b2MueG1sUEsFBgAAAAAGAAYAWQEAAD8GAAAAAA==&#10;" adj="28734,27294">
                      <v:fill on="f" focussize="0,0"/>
                      <v:stroke weight="2pt" color="#FF0000 [2404]" joinstyle="round"/>
                      <v:imagedata o:title=""/>
                      <o:lock v:ext="edit" aspectratio="f"/>
                      <v:textbox>
                        <w:txbxContent>
                          <w:p w14:paraId="74449729">
                            <w:pPr>
                              <w:ind w:left="0" w:leftChars="0" w:firstLine="0" w:firstLineChars="0"/>
                              <w:jc w:val="both"/>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rFonts w:hint="default" w:ascii="Times New Roman" w:hAnsi="Times New Roman" w:cs="Times New Roman"/>
                <w:color w:val="auto"/>
                <w:szCs w:val="28"/>
                <w:highlight w:val="none"/>
              </w:rPr>
              <w:drawing>
                <wp:inline distT="0" distB="0" distL="114300" distR="114300">
                  <wp:extent cx="4759325" cy="3484880"/>
                  <wp:effectExtent l="0" t="0" r="3175" b="1270"/>
                  <wp:docPr id="5" name="图片 2" descr="C:/Users/lenovo/AppData/Local/Temp/picturecompress_2021101300574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C:/Users/lenovo/AppData/Local/Temp/picturecompress_20211013005746/output_1.jpgoutput_1"/>
                          <pic:cNvPicPr>
                            <a:picLocks noChangeAspect="1"/>
                          </pic:cNvPicPr>
                        </pic:nvPicPr>
                        <pic:blipFill>
                          <a:blip r:embed="rId15"/>
                          <a:srcRect l="2438"/>
                          <a:stretch>
                            <a:fillRect/>
                          </a:stretch>
                        </pic:blipFill>
                        <pic:spPr>
                          <a:xfrm>
                            <a:off x="0" y="0"/>
                            <a:ext cx="4759325" cy="3484880"/>
                          </a:xfrm>
                          <a:prstGeom prst="rect">
                            <a:avLst/>
                          </a:prstGeom>
                          <a:noFill/>
                          <a:ln>
                            <a:noFill/>
                          </a:ln>
                        </pic:spPr>
                      </pic:pic>
                    </a:graphicData>
                  </a:graphic>
                </wp:inline>
              </w:drawing>
            </w:r>
          </w:p>
          <w:p w14:paraId="14F733E5">
            <w:pPr>
              <w:pStyle w:val="8"/>
              <w:keepLines w:val="0"/>
              <w:suppressLineNumbers w:val="0"/>
              <w:bidi w:val="0"/>
              <w:spacing w:before="0" w:beforeAutospacing="0" w:after="0" w:afterAutospacing="0"/>
              <w:ind w:left="0" w:leftChars="0" w:right="0" w:firstLine="0" w:firstLineChars="0"/>
              <w:jc w:val="center"/>
              <w:rPr>
                <w:rFonts w:hint="default"/>
                <w:color w:val="auto"/>
              </w:rPr>
            </w:pPr>
            <w:r>
              <w:rPr>
                <w:rFonts w:hint="eastAsia"/>
                <w:color w:val="auto"/>
                <w:lang w:val="en-US" w:eastAsia="zh-CN"/>
              </w:rPr>
              <w:t>图3-2 土地沙化现状示意图</w:t>
            </w:r>
          </w:p>
        </w:tc>
      </w:tr>
      <w:tr w14:paraId="0DE24C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3" w:hRule="atLeast"/>
          <w:jc w:val="center"/>
        </w:trPr>
        <w:tc>
          <w:tcPr>
            <w:tcW w:w="584" w:type="dxa"/>
            <w:vAlign w:val="center"/>
          </w:tcPr>
          <w:p w14:paraId="4885E218">
            <w:pPr>
              <w:pStyle w:val="10"/>
              <w:keepNext w:val="0"/>
              <w:keepLines w:val="0"/>
              <w:suppressLineNumbers w:val="0"/>
              <w:bidi w:val="0"/>
              <w:spacing w:before="0" w:beforeAutospacing="0" w:after="0" w:afterAutospacing="0"/>
              <w:ind w:left="0" w:right="0"/>
              <w:rPr>
                <w:rFonts w:hint="default"/>
                <w:color w:val="auto"/>
              </w:rPr>
            </w:pPr>
            <w:r>
              <w:rPr>
                <w:rFonts w:hint="eastAsia" w:ascii="宋体" w:hAnsi="宋体" w:cs="宋体"/>
                <w:b/>
                <w:bCs/>
                <w:color w:val="auto"/>
                <w:kern w:val="0"/>
                <w:szCs w:val="28"/>
              </w:rPr>
              <w:t>环</w:t>
            </w:r>
            <w:r>
              <w:rPr>
                <w:rFonts w:hint="eastAsia"/>
                <w:color w:val="auto"/>
              </w:rPr>
              <w:t>境</w:t>
            </w:r>
          </w:p>
          <w:p w14:paraId="0CE31703">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保护</w:t>
            </w:r>
          </w:p>
          <w:p w14:paraId="5844B300">
            <w:pPr>
              <w:pStyle w:val="10"/>
              <w:keepNext w:val="0"/>
              <w:keepLines w:val="0"/>
              <w:suppressLineNumbers w:val="0"/>
              <w:bidi w:val="0"/>
              <w:spacing w:before="0" w:beforeAutospacing="0" w:after="0" w:afterAutospacing="0"/>
              <w:ind w:left="0" w:right="0"/>
              <w:rPr>
                <w:rFonts w:hint="default" w:ascii="宋体" w:hAnsi="宋体" w:cs="宋体"/>
                <w:color w:val="auto"/>
                <w:kern w:val="0"/>
                <w:szCs w:val="21"/>
              </w:rPr>
            </w:pPr>
            <w:r>
              <w:rPr>
                <w:rFonts w:hint="eastAsia"/>
                <w:color w:val="auto"/>
              </w:rPr>
              <w:t>目标</w:t>
            </w:r>
          </w:p>
        </w:tc>
        <w:tc>
          <w:tcPr>
            <w:tcW w:w="8406" w:type="dxa"/>
            <w:vAlign w:val="center"/>
          </w:tcPr>
          <w:p w14:paraId="387C6598">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（1）大气环境</w:t>
            </w:r>
          </w:p>
          <w:p w14:paraId="141F6F45">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根据现场踏勘和资料搜集，项目评价范围内无风景名胜、文物古迹、自然保护区、人口集中居住区等环境敏感目标分布，厂界外500m范围内无大气环境敏感保护目标。</w:t>
            </w:r>
          </w:p>
          <w:p w14:paraId="6895F442">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（2）声环境</w:t>
            </w:r>
          </w:p>
          <w:p w14:paraId="643A15D1">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本项目厂界外50m范围内无声环境保护目标。</w:t>
            </w:r>
          </w:p>
          <w:p w14:paraId="4B905793">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（3）地下水环境</w:t>
            </w:r>
          </w:p>
          <w:p w14:paraId="43457FCD">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本项目厂界外500m范围内无地下水集中式饮用水水源和热水、矿泉水、温泉等特殊地下水资源。</w:t>
            </w:r>
          </w:p>
          <w:p w14:paraId="65FEF243">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（4）生态环境</w:t>
            </w:r>
          </w:p>
          <w:p w14:paraId="28CD20BE">
            <w:pPr>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本项目用地性质为工业用地，无生态环境保护目标</w:t>
            </w:r>
          </w:p>
        </w:tc>
      </w:tr>
      <w:tr w14:paraId="628CF1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584" w:type="dxa"/>
            <w:tcMar>
              <w:left w:w="28" w:type="dxa"/>
              <w:right w:w="28" w:type="dxa"/>
            </w:tcMar>
            <w:vAlign w:val="center"/>
          </w:tcPr>
          <w:p w14:paraId="50E3FCD1">
            <w:pPr>
              <w:pStyle w:val="10"/>
              <w:keepNext w:val="0"/>
              <w:keepLines w:val="0"/>
              <w:suppressLineNumbers w:val="0"/>
              <w:bidi w:val="0"/>
              <w:spacing w:before="0" w:beforeAutospacing="0" w:after="0" w:afterAutospacing="0"/>
              <w:ind w:left="0" w:right="0"/>
              <w:rPr>
                <w:rFonts w:hint="default"/>
                <w:color w:val="auto"/>
              </w:rPr>
            </w:pPr>
            <w:r>
              <w:rPr>
                <w:rFonts w:hint="eastAsia" w:ascii="宋体" w:hAnsi="宋体" w:cs="宋体"/>
                <w:b/>
                <w:bCs/>
                <w:color w:val="auto"/>
                <w:kern w:val="0"/>
                <w:szCs w:val="28"/>
              </w:rPr>
              <w:t>污</w:t>
            </w:r>
            <w:r>
              <w:rPr>
                <w:rFonts w:hint="eastAsia"/>
                <w:color w:val="auto"/>
              </w:rPr>
              <w:t>染</w:t>
            </w:r>
          </w:p>
          <w:p w14:paraId="0C72881C">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物排</w:t>
            </w:r>
          </w:p>
          <w:p w14:paraId="1FC9E591">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放控</w:t>
            </w:r>
          </w:p>
          <w:p w14:paraId="27EFB522">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制标</w:t>
            </w:r>
          </w:p>
          <w:p w14:paraId="3952640F">
            <w:pPr>
              <w:keepNext w:val="0"/>
              <w:keepLines w:val="0"/>
              <w:suppressLineNumbers w:val="0"/>
              <w:adjustRightInd w:val="0"/>
              <w:snapToGrid w:val="0"/>
              <w:spacing w:before="0" w:beforeAutospacing="0" w:after="0" w:afterAutospacing="0"/>
              <w:ind w:left="0" w:leftChars="0" w:right="0" w:firstLine="0" w:firstLineChars="0"/>
              <w:jc w:val="both"/>
              <w:rPr>
                <w:rFonts w:hint="default" w:ascii="宋体" w:hAnsi="宋体" w:cs="宋体"/>
                <w:color w:val="auto"/>
                <w:kern w:val="0"/>
                <w:szCs w:val="21"/>
              </w:rPr>
            </w:pPr>
            <w:r>
              <w:rPr>
                <w:rFonts w:hint="eastAsia" w:ascii="宋体" w:hAnsi="宋体" w:cs="宋体"/>
                <w:b/>
                <w:bCs/>
                <w:color w:val="auto"/>
                <w:kern w:val="0"/>
                <w:sz w:val="28"/>
                <w:szCs w:val="28"/>
              </w:rPr>
              <w:t>准</w:t>
            </w:r>
          </w:p>
        </w:tc>
        <w:tc>
          <w:tcPr>
            <w:tcW w:w="8406" w:type="dxa"/>
          </w:tcPr>
          <w:p w14:paraId="14178F20">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1、施工期</w:t>
            </w:r>
          </w:p>
          <w:p w14:paraId="4793BF49">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1.1噪声</w:t>
            </w:r>
          </w:p>
          <w:p w14:paraId="5F879E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eastAsia" w:cs="Times New Roman"/>
                <w:color w:val="auto"/>
                <w:lang w:val="en-US" w:eastAsia="zh-CN"/>
              </w:rPr>
            </w:pPr>
            <w:r>
              <w:rPr>
                <w:rFonts w:hint="eastAsia" w:cs="Times New Roman"/>
                <w:color w:val="auto"/>
                <w:lang w:val="en-US" w:eastAsia="zh-CN"/>
              </w:rPr>
              <w:t>施工期噪声执行《建筑施工噪声排放标准》（GB12523-2025）表1中的排放限值，即昼间≤70dB(A)，夜间≤55dB(A)。</w:t>
            </w:r>
          </w:p>
          <w:p w14:paraId="245B7C5D">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1.2大气</w:t>
            </w:r>
          </w:p>
          <w:p w14:paraId="2D6559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eastAsia" w:cs="Times New Roman"/>
                <w:color w:val="auto"/>
                <w:lang w:val="en-US" w:eastAsia="zh-CN"/>
              </w:rPr>
            </w:pPr>
            <w:r>
              <w:rPr>
                <w:rFonts w:hint="eastAsia" w:cs="Times New Roman"/>
                <w:color w:val="auto"/>
                <w:lang w:val="en-US" w:eastAsia="zh-CN"/>
              </w:rPr>
              <w:t>施工废气执行《大气污染物综合排放标准》（GB16297- 1996）表2中限值要求。</w:t>
            </w:r>
          </w:p>
          <w:p w14:paraId="346AE16F">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2、运营期</w:t>
            </w:r>
          </w:p>
          <w:p w14:paraId="1E042CB0">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2.1大气</w:t>
            </w:r>
          </w:p>
          <w:p w14:paraId="72D14ED6">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颗粒物有组织执行《玻璃工业大气污染物排放标准》（GB26453-2022）表1、表B.1中的排放限值。</w:t>
            </w:r>
          </w:p>
          <w:p w14:paraId="02738746">
            <w:pPr>
              <w:pStyle w:val="5"/>
              <w:keepNext w:val="0"/>
              <w:keepLines w:val="0"/>
              <w:suppressLineNumbers w:val="0"/>
              <w:bidi w:val="0"/>
              <w:spacing w:before="0" w:beforeAutospacing="0" w:after="0" w:afterAutospacing="0"/>
              <w:ind w:left="0" w:right="0"/>
              <w:rPr>
                <w:rFonts w:hint="default"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表</w:t>
            </w:r>
            <w:r>
              <w:rPr>
                <w:rFonts w:hint="eastAsia" w:cs="Times New Roman"/>
                <w:b/>
                <w:bCs/>
                <w:color w:val="auto"/>
                <w:kern w:val="2"/>
                <w:sz w:val="21"/>
                <w:szCs w:val="21"/>
                <w:lang w:val="en-US" w:eastAsia="zh-CN" w:bidi="ar-SA"/>
              </w:rPr>
              <w:t>3-3</w:t>
            </w:r>
            <w:r>
              <w:rPr>
                <w:rFonts w:hint="eastAsia" w:ascii="Times New Roman" w:hAnsi="Times New Roman" w:eastAsia="宋体" w:cs="Times New Roman"/>
                <w:b/>
                <w:bCs/>
                <w:color w:val="auto"/>
                <w:kern w:val="2"/>
                <w:sz w:val="21"/>
                <w:szCs w:val="21"/>
                <w:lang w:val="en-US" w:eastAsia="zh-CN" w:bidi="ar-SA"/>
              </w:rPr>
              <w:t xml:space="preserve">     </w:t>
            </w:r>
            <w:r>
              <w:rPr>
                <w:rFonts w:hint="eastAsia" w:cs="Times New Roman"/>
                <w:b/>
                <w:bCs/>
                <w:color w:val="auto"/>
                <w:kern w:val="2"/>
                <w:sz w:val="21"/>
                <w:szCs w:val="21"/>
                <w:lang w:val="en-US" w:eastAsia="zh-CN" w:bidi="ar-SA"/>
              </w:rPr>
              <w:t xml:space="preserve">          </w:t>
            </w:r>
            <w:r>
              <w:rPr>
                <w:rFonts w:hint="eastAsia"/>
                <w:color w:val="auto"/>
                <w:lang w:val="en-US" w:eastAsia="zh-CN"/>
              </w:rPr>
              <w:t>《玻璃工业大气污染物排放标准》（节选）</w:t>
            </w:r>
            <w:r>
              <w:rPr>
                <w:rFonts w:hint="eastAsia" w:ascii="Times New Roman" w:hAnsi="Times New Roman" w:eastAsia="宋体" w:cs="Times New Roman"/>
                <w:b/>
                <w:bCs/>
                <w:color w:val="auto"/>
                <w:kern w:val="2"/>
                <w:sz w:val="21"/>
                <w:szCs w:val="21"/>
                <w:lang w:val="en-US" w:eastAsia="zh-CN" w:bidi="ar-SA"/>
              </w:rPr>
              <w:t xml:space="preserve">   </w:t>
            </w:r>
            <w:r>
              <w:rPr>
                <w:rFonts w:hint="eastAsia" w:cs="Times New Roman"/>
                <w:b/>
                <w:bCs/>
                <w:color w:val="auto"/>
                <w:kern w:val="2"/>
                <w:sz w:val="21"/>
                <w:szCs w:val="21"/>
                <w:lang w:val="en-US" w:eastAsia="zh-CN" w:bidi="ar-SA"/>
              </w:rPr>
              <w:t xml:space="preserve">    </w:t>
            </w:r>
            <w:r>
              <w:rPr>
                <w:rFonts w:hint="eastAsia" w:ascii="Times New Roman" w:hAnsi="Times New Roman" w:eastAsia="宋体" w:cs="Times New Roman"/>
                <w:b/>
                <w:bCs/>
                <w:color w:val="auto"/>
                <w:kern w:val="2"/>
                <w:sz w:val="21"/>
                <w:szCs w:val="21"/>
                <w:lang w:val="en-US" w:eastAsia="zh-CN" w:bidi="ar-SA"/>
              </w:rPr>
              <w:t>单位mg/m</w:t>
            </w:r>
            <w:r>
              <w:rPr>
                <w:rFonts w:hint="eastAsia" w:ascii="Times New Roman" w:hAnsi="Times New Roman" w:eastAsia="宋体" w:cs="Times New Roman"/>
                <w:b/>
                <w:bCs/>
                <w:color w:val="auto"/>
                <w:kern w:val="2"/>
                <w:sz w:val="21"/>
                <w:szCs w:val="21"/>
                <w:vertAlign w:val="superscript"/>
                <w:lang w:val="en-US" w:eastAsia="zh-CN" w:bidi="ar-SA"/>
              </w:rPr>
              <w:t>3</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2354"/>
              <w:gridCol w:w="2616"/>
              <w:gridCol w:w="2611"/>
            </w:tblGrid>
            <w:tr w14:paraId="7A3671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70" w:type="pct"/>
                  <w:tcBorders>
                    <w:tl2br w:val="nil"/>
                    <w:tr2bl w:val="nil"/>
                  </w:tcBorders>
                  <w:noWrap w:val="0"/>
                  <w:vAlign w:val="center"/>
                </w:tcPr>
                <w:p w14:paraId="43A84DB8">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污染物</w:t>
                  </w:r>
                </w:p>
              </w:tc>
              <w:tc>
                <w:tcPr>
                  <w:tcW w:w="1437" w:type="pct"/>
                  <w:tcBorders>
                    <w:tl2br w:val="nil"/>
                    <w:tr2bl w:val="nil"/>
                  </w:tcBorders>
                  <w:noWrap w:val="0"/>
                  <w:vAlign w:val="center"/>
                </w:tcPr>
                <w:p w14:paraId="42D5FC6E">
                  <w:pPr>
                    <w:pStyle w:val="91"/>
                    <w:keepNext w:val="0"/>
                    <w:keepLines w:val="0"/>
                    <w:widowControl/>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原料称量、配料、</w:t>
                  </w:r>
                </w:p>
                <w:p w14:paraId="53CDCBA6">
                  <w:pPr>
                    <w:pStyle w:val="91"/>
                    <w:keepNext w:val="0"/>
                    <w:keepLines w:val="0"/>
                    <w:widowControl/>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碎玻璃及其他通</w:t>
                  </w:r>
                </w:p>
                <w:p w14:paraId="3340949C">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风生产设施</w:t>
                  </w:r>
                </w:p>
              </w:tc>
              <w:tc>
                <w:tcPr>
                  <w:tcW w:w="1597" w:type="pct"/>
                  <w:tcBorders>
                    <w:tl2br w:val="nil"/>
                    <w:tr2bl w:val="nil"/>
                  </w:tcBorders>
                  <w:noWrap w:val="0"/>
                  <w:vAlign w:val="center"/>
                </w:tcPr>
                <w:p w14:paraId="273BF388">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污染物排放监测点位置</w:t>
                  </w:r>
                </w:p>
              </w:tc>
              <w:tc>
                <w:tcPr>
                  <w:tcW w:w="1594" w:type="pct"/>
                  <w:tcBorders>
                    <w:tl2br w:val="nil"/>
                    <w:tr2bl w:val="nil"/>
                  </w:tcBorders>
                  <w:noWrap w:val="0"/>
                  <w:vAlign w:val="center"/>
                </w:tcPr>
                <w:p w14:paraId="38F6A8D4">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标准来源</w:t>
                  </w:r>
                </w:p>
              </w:tc>
            </w:tr>
            <w:tr w14:paraId="442502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70" w:type="pct"/>
                  <w:vMerge w:val="restart"/>
                  <w:tcBorders>
                    <w:tl2br w:val="nil"/>
                    <w:tr2bl w:val="nil"/>
                  </w:tcBorders>
                  <w:noWrap w:val="0"/>
                  <w:vAlign w:val="center"/>
                </w:tcPr>
                <w:p w14:paraId="29C294ED">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颗粒物</w:t>
                  </w:r>
                </w:p>
              </w:tc>
              <w:tc>
                <w:tcPr>
                  <w:tcW w:w="1437" w:type="pct"/>
                  <w:tcBorders>
                    <w:tl2br w:val="nil"/>
                    <w:tr2bl w:val="nil"/>
                  </w:tcBorders>
                  <w:noWrap w:val="0"/>
                  <w:vAlign w:val="center"/>
                </w:tcPr>
                <w:p w14:paraId="1F58B281">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1597" w:type="pct"/>
                  <w:tcBorders>
                    <w:tl2br w:val="nil"/>
                    <w:tr2bl w:val="nil"/>
                  </w:tcBorders>
                  <w:noWrap w:val="0"/>
                  <w:vAlign w:val="center"/>
                </w:tcPr>
                <w:p w14:paraId="47DACD9D">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车间或生产设施排气筒</w:t>
                  </w:r>
                </w:p>
              </w:tc>
              <w:tc>
                <w:tcPr>
                  <w:tcW w:w="1594" w:type="pct"/>
                  <w:tcBorders>
                    <w:tl2br w:val="nil"/>
                    <w:tr2bl w:val="nil"/>
                  </w:tcBorders>
                  <w:noWrap w:val="0"/>
                  <w:vAlign w:val="center"/>
                </w:tcPr>
                <w:p w14:paraId="077D5677">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《玻璃工业大气污染物排放标准》（GB26453-2022）表1中</w:t>
                  </w:r>
                </w:p>
              </w:tc>
            </w:tr>
            <w:tr w14:paraId="380800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70" w:type="pct"/>
                  <w:vMerge w:val="continue"/>
                  <w:tcBorders>
                    <w:tl2br w:val="nil"/>
                    <w:tr2bl w:val="nil"/>
                  </w:tcBorders>
                  <w:noWrap w:val="0"/>
                  <w:vAlign w:val="center"/>
                </w:tcPr>
                <w:p w14:paraId="6FAE2619">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37" w:type="pct"/>
                  <w:tcBorders>
                    <w:tl2br w:val="nil"/>
                    <w:tr2bl w:val="nil"/>
                  </w:tcBorders>
                  <w:noWrap w:val="0"/>
                  <w:vAlign w:val="center"/>
                </w:tcPr>
                <w:p w14:paraId="4066E6EB">
                  <w:pPr>
                    <w:pStyle w:val="91"/>
                    <w:keepNext w:val="0"/>
                    <w:keepLines w:val="0"/>
                    <w:widowControl/>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p w14:paraId="7738A4E2">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（监测点</w:t>
                  </w:r>
                  <w:r>
                    <w:rPr>
                      <w:rFonts w:hint="eastAsia" w:cs="Times New Roman"/>
                      <w:color w:val="auto"/>
                      <w:sz w:val="21"/>
                      <w:szCs w:val="21"/>
                      <w:lang w:val="en-US" w:eastAsia="zh-CN"/>
                    </w:rPr>
                    <w:t>处</w:t>
                  </w:r>
                  <w:r>
                    <w:rPr>
                      <w:rFonts w:hint="eastAsia" w:ascii="Times New Roman" w:hAnsi="Times New Roman" w:eastAsia="宋体" w:cs="Times New Roman"/>
                      <w:color w:val="auto"/>
                      <w:sz w:val="21"/>
                      <w:szCs w:val="21"/>
                      <w:lang w:val="en-US" w:eastAsia="zh-CN"/>
                    </w:rPr>
                    <w:t>1h平均浓度值）</w:t>
                  </w:r>
                </w:p>
              </w:tc>
              <w:tc>
                <w:tcPr>
                  <w:tcW w:w="1597" w:type="pct"/>
                  <w:tcBorders>
                    <w:tl2br w:val="nil"/>
                    <w:tr2bl w:val="nil"/>
                  </w:tcBorders>
                  <w:noWrap w:val="0"/>
                  <w:vAlign w:val="center"/>
                </w:tcPr>
                <w:p w14:paraId="5DECBF6B">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在厂房外设置监控点</w:t>
                  </w:r>
                </w:p>
              </w:tc>
              <w:tc>
                <w:tcPr>
                  <w:tcW w:w="1594" w:type="pct"/>
                  <w:tcBorders>
                    <w:tl2br w:val="nil"/>
                    <w:tr2bl w:val="nil"/>
                  </w:tcBorders>
                  <w:noWrap w:val="0"/>
                  <w:vAlign w:val="center"/>
                </w:tcPr>
                <w:p w14:paraId="4D0FC2F8">
                  <w:pPr>
                    <w:pStyle w:val="91"/>
                    <w:keepNext w:val="0"/>
                    <w:keepLines w:val="0"/>
                    <w:widowControl/>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《玻璃工业大气污染物排放标准》（GB26453-2022）表B.1中</w:t>
                  </w:r>
                </w:p>
              </w:tc>
            </w:tr>
          </w:tbl>
          <w:p w14:paraId="305FEA19">
            <w:pPr>
              <w:pStyle w:val="3"/>
              <w:suppressLineNumbers w:val="0"/>
              <w:bidi w:val="0"/>
              <w:spacing w:before="0" w:beforeAutospacing="0" w:after="0" w:afterAutospacing="0"/>
              <w:ind w:left="0" w:right="0"/>
              <w:rPr>
                <w:rFonts w:hint="default"/>
                <w:color w:val="auto"/>
              </w:rPr>
            </w:pPr>
            <w:r>
              <w:rPr>
                <w:rFonts w:hint="eastAsia" w:ascii="Times New Roman" w:hAnsi="Times New Roman" w:eastAsia="宋体" w:cs="Times New Roman"/>
                <w:b/>
                <w:bCs/>
                <w:color w:val="auto"/>
                <w:sz w:val="21"/>
                <w:szCs w:val="21"/>
                <w:highlight w:val="none"/>
                <w:lang w:val="en-US" w:eastAsia="zh-CN"/>
              </w:rPr>
              <w:t xml:space="preserve"> </w:t>
            </w:r>
            <w:r>
              <w:rPr>
                <w:rFonts w:hint="eastAsia"/>
                <w:color w:val="auto"/>
                <w:lang w:val="en-US" w:eastAsia="zh-CN"/>
              </w:rPr>
              <w:t>2.2</w:t>
            </w:r>
            <w:r>
              <w:rPr>
                <w:rFonts w:hint="default"/>
                <w:color w:val="auto"/>
              </w:rPr>
              <w:t>噪声</w:t>
            </w:r>
          </w:p>
          <w:p w14:paraId="3AB5F4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cs="Times New Roman"/>
                <w:b/>
                <w:bCs/>
                <w:color w:val="auto"/>
                <w:kern w:val="2"/>
                <w:sz w:val="24"/>
                <w:szCs w:val="24"/>
                <w:lang w:val="en-US" w:eastAsia="zh-CN" w:bidi="ar-SA"/>
              </w:rPr>
            </w:pPr>
            <w:r>
              <w:rPr>
                <w:rFonts w:hint="default" w:ascii="Times New Roman" w:hAnsi="Times New Roman" w:eastAsia="宋体" w:cs="Times New Roman"/>
                <w:bCs/>
                <w:color w:val="auto"/>
                <w:kern w:val="0"/>
                <w:sz w:val="24"/>
                <w:szCs w:val="24"/>
                <w:lang w:eastAsia="zh-CN"/>
              </w:rPr>
              <w:t>运营期噪声执行《工业企业厂界环境噪声排放标准》（GB 12348-2008）中</w:t>
            </w:r>
            <w:r>
              <w:rPr>
                <w:rFonts w:hint="eastAsia" w:ascii="Times New Roman" w:hAnsi="Times New Roman" w:eastAsia="宋体" w:cs="Times New Roman"/>
                <w:bCs/>
                <w:color w:val="auto"/>
                <w:kern w:val="0"/>
                <w:sz w:val="24"/>
                <w:szCs w:val="24"/>
                <w:lang w:val="en-US" w:eastAsia="zh-CN"/>
              </w:rPr>
              <w:t>3</w:t>
            </w:r>
            <w:r>
              <w:rPr>
                <w:rFonts w:hint="default" w:ascii="Times New Roman" w:hAnsi="Times New Roman" w:eastAsia="宋体" w:cs="Times New Roman"/>
                <w:bCs/>
                <w:color w:val="auto"/>
                <w:kern w:val="0"/>
                <w:sz w:val="24"/>
                <w:szCs w:val="24"/>
                <w:lang w:eastAsia="zh-CN"/>
              </w:rPr>
              <w:t>类标准</w:t>
            </w:r>
            <w:r>
              <w:rPr>
                <w:rFonts w:hint="eastAsia" w:cs="Times New Roman"/>
                <w:bCs/>
                <w:color w:val="auto"/>
                <w:kern w:val="0"/>
                <w:sz w:val="24"/>
                <w:szCs w:val="24"/>
                <w:lang w:val="en-US" w:eastAsia="zh-CN"/>
              </w:rPr>
              <w:t>限值</w:t>
            </w:r>
            <w:r>
              <w:rPr>
                <w:rFonts w:hint="default" w:ascii="Times New Roman" w:hAnsi="Times New Roman" w:eastAsia="宋体" w:cs="Times New Roman"/>
                <w:bCs/>
                <w:color w:val="auto"/>
                <w:kern w:val="0"/>
                <w:sz w:val="24"/>
                <w:szCs w:val="24"/>
                <w:lang w:eastAsia="zh-CN"/>
              </w:rPr>
              <w:t>，见表</w:t>
            </w:r>
            <w:r>
              <w:rPr>
                <w:rFonts w:hint="eastAsia" w:cs="Times New Roman"/>
                <w:bCs/>
                <w:color w:val="auto"/>
                <w:kern w:val="0"/>
                <w:sz w:val="24"/>
                <w:szCs w:val="24"/>
                <w:lang w:val="en-US" w:eastAsia="zh-CN"/>
              </w:rPr>
              <w:t>3-4</w:t>
            </w:r>
            <w:r>
              <w:rPr>
                <w:rFonts w:hint="default" w:ascii="Times New Roman" w:hAnsi="Times New Roman" w:eastAsia="宋体" w:cs="Times New Roman"/>
                <w:bCs/>
                <w:color w:val="auto"/>
                <w:kern w:val="0"/>
                <w:sz w:val="24"/>
                <w:szCs w:val="24"/>
                <w:lang w:eastAsia="zh-CN"/>
              </w:rPr>
              <w:t>。</w:t>
            </w:r>
            <w:r>
              <w:rPr>
                <w:rFonts w:hint="eastAsia" w:cs="Times New Roman"/>
                <w:b/>
                <w:bCs/>
                <w:color w:val="auto"/>
                <w:kern w:val="2"/>
                <w:sz w:val="24"/>
                <w:szCs w:val="24"/>
                <w:lang w:val="en-US" w:eastAsia="zh-CN" w:bidi="ar-SA"/>
              </w:rPr>
              <w:tab/>
            </w:r>
          </w:p>
          <w:p w14:paraId="13D3AB71">
            <w:pPr>
              <w:pStyle w:val="101"/>
              <w:keepNext w:val="0"/>
              <w:keepLines w:val="0"/>
              <w:pageBreakBefore w:val="0"/>
              <w:widowControl/>
              <w:suppressLineNumbers w:val="0"/>
              <w:tabs>
                <w:tab w:val="left" w:pos="462"/>
                <w:tab w:val="clear" w:pos="8400"/>
              </w:tabs>
              <w:kinsoku/>
              <w:wordWrap/>
              <w:overflowPunct/>
              <w:topLinePunct w:val="0"/>
              <w:autoSpaceDE/>
              <w:autoSpaceDN/>
              <w:bidi w:val="0"/>
              <w:adjustRightInd w:val="0"/>
              <w:snapToGrid w:val="0"/>
              <w:spacing w:before="0" w:beforeAutospacing="0" w:after="0" w:afterAutospacing="0" w:line="240" w:lineRule="auto"/>
              <w:ind w:left="0" w:right="0" w:firstLine="422" w:firstLineChars="200"/>
              <w:jc w:val="both"/>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表</w:t>
            </w:r>
            <w:r>
              <w:rPr>
                <w:rFonts w:hint="eastAsia" w:cs="Times New Roman"/>
                <w:b/>
                <w:bCs/>
                <w:color w:val="auto"/>
                <w:kern w:val="2"/>
                <w:sz w:val="21"/>
                <w:szCs w:val="21"/>
                <w:lang w:val="en-US" w:eastAsia="zh-CN" w:bidi="ar-SA"/>
              </w:rPr>
              <w:t>3-4</w:t>
            </w:r>
            <w:r>
              <w:rPr>
                <w:rFonts w:hint="default" w:ascii="Times New Roman" w:hAnsi="Times New Roman" w:eastAsia="宋体" w:cs="Times New Roman"/>
                <w:b/>
                <w:bCs/>
                <w:color w:val="auto"/>
                <w:kern w:val="2"/>
                <w:sz w:val="21"/>
                <w:szCs w:val="21"/>
                <w:lang w:val="en-US" w:eastAsia="zh-CN" w:bidi="ar-SA"/>
              </w:rPr>
              <w:t xml:space="preserve">     </w:t>
            </w:r>
            <w:r>
              <w:rPr>
                <w:rFonts w:hint="eastAsia" w:cs="Times New Roman"/>
                <w:b/>
                <w:bCs/>
                <w:color w:val="auto"/>
                <w:kern w:val="2"/>
                <w:sz w:val="21"/>
                <w:szCs w:val="21"/>
                <w:lang w:val="en-US" w:eastAsia="zh-CN" w:bidi="ar-SA"/>
              </w:rPr>
              <w:t xml:space="preserve">       </w:t>
            </w:r>
            <w:r>
              <w:rPr>
                <w:rFonts w:hint="default" w:ascii="Times New Roman" w:hAnsi="Times New Roman" w:eastAsia="宋体" w:cs="Times New Roman"/>
                <w:b/>
                <w:bCs/>
                <w:color w:val="auto"/>
                <w:kern w:val="2"/>
                <w:sz w:val="21"/>
                <w:szCs w:val="21"/>
                <w:lang w:val="en-US" w:eastAsia="zh-CN" w:bidi="ar-SA"/>
              </w:rPr>
              <w:t xml:space="preserve">工业企业厂界环境噪声排放标准  </w:t>
            </w:r>
            <w:r>
              <w:rPr>
                <w:rFonts w:hint="eastAsia" w:cs="Times New Roman"/>
                <w:b/>
                <w:bCs/>
                <w:color w:val="auto"/>
                <w:kern w:val="2"/>
                <w:sz w:val="21"/>
                <w:szCs w:val="21"/>
                <w:lang w:val="en-US" w:eastAsia="zh-CN" w:bidi="ar-SA"/>
              </w:rPr>
              <w:t xml:space="preserve">     </w:t>
            </w:r>
            <w:r>
              <w:rPr>
                <w:rFonts w:hint="default" w:ascii="Times New Roman" w:hAnsi="Times New Roman" w:eastAsia="宋体" w:cs="Times New Roman"/>
                <w:b/>
                <w:bCs/>
                <w:color w:val="auto"/>
                <w:kern w:val="2"/>
                <w:sz w:val="21"/>
                <w:szCs w:val="21"/>
                <w:lang w:val="en-US" w:eastAsia="zh-CN" w:bidi="ar-SA"/>
              </w:rPr>
              <w:t xml:space="preserve">    单位：dB（A）</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66"/>
              <w:gridCol w:w="911"/>
              <w:gridCol w:w="894"/>
              <w:gridCol w:w="3716"/>
            </w:tblGrid>
            <w:tr w14:paraId="75FF2A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628" w:type="pct"/>
                  <w:tcBorders>
                    <w:tl2br w:val="nil"/>
                    <w:tr2bl w:val="nil"/>
                  </w:tcBorders>
                  <w:noWrap w:val="0"/>
                  <w:vAlign w:val="center"/>
                </w:tcPr>
                <w:p w14:paraId="4746ABEA">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厂界外声环境功能区类别</w:t>
                  </w:r>
                </w:p>
              </w:tc>
              <w:tc>
                <w:tcPr>
                  <w:tcW w:w="556" w:type="pct"/>
                  <w:tcBorders>
                    <w:tl2br w:val="nil"/>
                    <w:tr2bl w:val="nil"/>
                  </w:tcBorders>
                  <w:noWrap w:val="0"/>
                  <w:vAlign w:val="center"/>
                </w:tcPr>
                <w:p w14:paraId="37E7A421">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昼间</w:t>
                  </w:r>
                </w:p>
              </w:tc>
              <w:tc>
                <w:tcPr>
                  <w:tcW w:w="546" w:type="pct"/>
                  <w:tcBorders>
                    <w:tl2br w:val="nil"/>
                    <w:tr2bl w:val="nil"/>
                  </w:tcBorders>
                  <w:noWrap w:val="0"/>
                  <w:vAlign w:val="center"/>
                </w:tcPr>
                <w:p w14:paraId="3F945450">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夜间</w:t>
                  </w:r>
                </w:p>
              </w:tc>
              <w:tc>
                <w:tcPr>
                  <w:tcW w:w="2269" w:type="pct"/>
                  <w:tcBorders>
                    <w:tl2br w:val="nil"/>
                    <w:tr2bl w:val="nil"/>
                  </w:tcBorders>
                  <w:noWrap w:val="0"/>
                  <w:vAlign w:val="center"/>
                </w:tcPr>
                <w:p w14:paraId="0B3215FE">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标准来源</w:t>
                  </w:r>
                </w:p>
              </w:tc>
            </w:tr>
            <w:tr w14:paraId="3353FD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28" w:type="pct"/>
                  <w:tcBorders>
                    <w:tl2br w:val="nil"/>
                    <w:tr2bl w:val="nil"/>
                  </w:tcBorders>
                  <w:noWrap w:val="0"/>
                  <w:vAlign w:val="center"/>
                </w:tcPr>
                <w:p w14:paraId="2659F34E">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rPr>
                    <w:t>类</w:t>
                  </w:r>
                </w:p>
              </w:tc>
              <w:tc>
                <w:tcPr>
                  <w:tcW w:w="556" w:type="pct"/>
                  <w:tcBorders>
                    <w:tl2br w:val="nil"/>
                    <w:tr2bl w:val="nil"/>
                  </w:tcBorders>
                  <w:noWrap w:val="0"/>
                  <w:vAlign w:val="center"/>
                </w:tcPr>
                <w:p w14:paraId="31FBC466">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65</w:t>
                  </w:r>
                </w:p>
              </w:tc>
              <w:tc>
                <w:tcPr>
                  <w:tcW w:w="546" w:type="pct"/>
                  <w:tcBorders>
                    <w:tl2br w:val="nil"/>
                    <w:tr2bl w:val="nil"/>
                  </w:tcBorders>
                  <w:noWrap w:val="0"/>
                  <w:vAlign w:val="center"/>
                </w:tcPr>
                <w:p w14:paraId="7641F9D8">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55</w:t>
                  </w:r>
                </w:p>
              </w:tc>
              <w:tc>
                <w:tcPr>
                  <w:tcW w:w="2269" w:type="pct"/>
                  <w:tcBorders>
                    <w:tl2br w:val="nil"/>
                    <w:tr2bl w:val="nil"/>
                  </w:tcBorders>
                  <w:noWrap w:val="0"/>
                  <w:vAlign w:val="center"/>
                </w:tcPr>
                <w:p w14:paraId="24A25665">
                  <w:pPr>
                    <w:pStyle w:val="91"/>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《工业企业厂界环境噪声排放标准》（GB12348-2008）</w:t>
                  </w:r>
                </w:p>
              </w:tc>
            </w:tr>
          </w:tbl>
          <w:p w14:paraId="5607471C">
            <w:pPr>
              <w:pStyle w:val="3"/>
              <w:numPr>
                <w:ilvl w:val="0"/>
                <w:numId w:val="0"/>
              </w:numPr>
              <w:suppressLineNumbers w:val="0"/>
              <w:bidi w:val="0"/>
              <w:spacing w:before="0" w:beforeAutospacing="0" w:after="0" w:afterAutospacing="0"/>
              <w:ind w:left="0" w:leftChars="0" w:right="0" w:rightChars="0"/>
              <w:rPr>
                <w:rFonts w:hint="eastAsia"/>
                <w:color w:val="auto"/>
                <w:lang w:val="en-US" w:eastAsia="zh-CN"/>
              </w:rPr>
            </w:pPr>
            <w:r>
              <w:rPr>
                <w:rFonts w:hint="eastAsia"/>
                <w:color w:val="auto"/>
                <w:lang w:val="en-US" w:eastAsia="zh-CN"/>
              </w:rPr>
              <w:t>2.3废水</w:t>
            </w:r>
          </w:p>
          <w:p w14:paraId="624D31C6">
            <w:pPr>
              <w:keepNext w:val="0"/>
              <w:keepLines w:val="0"/>
              <w:suppressLineNumbers w:val="0"/>
              <w:bidi w:val="0"/>
              <w:spacing w:before="0" w:beforeAutospacing="0" w:after="0" w:afterAutospacing="0"/>
              <w:ind w:left="0" w:right="0"/>
              <w:rPr>
                <w:rFonts w:hint="eastAsia"/>
                <w:color w:val="auto"/>
                <w:lang w:val="en-US" w:eastAsia="zh-CN"/>
              </w:rPr>
            </w:pPr>
            <w:r>
              <w:rPr>
                <w:rFonts w:hint="default"/>
                <w:color w:val="auto"/>
              </w:rPr>
              <w:t>生活污水</w:t>
            </w:r>
            <w:r>
              <w:rPr>
                <w:rFonts w:hint="eastAsia"/>
                <w:color w:val="auto"/>
                <w:lang w:val="en-US" w:eastAsia="zh-CN"/>
              </w:rPr>
              <w:t>和生产废水均</w:t>
            </w:r>
            <w:r>
              <w:rPr>
                <w:rFonts w:hint="default"/>
                <w:color w:val="auto"/>
                <w:lang w:eastAsia="zh-CN"/>
              </w:rPr>
              <w:t>执行《污水综合排放标准》（</w:t>
            </w:r>
            <w:r>
              <w:rPr>
                <w:rFonts w:hint="default"/>
                <w:color w:val="auto"/>
                <w:lang w:val="en-US" w:eastAsia="zh-CN"/>
              </w:rPr>
              <w:t>GB8978-1996</w:t>
            </w:r>
            <w:r>
              <w:rPr>
                <w:rFonts w:hint="default"/>
                <w:color w:val="auto"/>
                <w:lang w:eastAsia="zh-CN"/>
              </w:rPr>
              <w:t>）</w:t>
            </w:r>
            <w:r>
              <w:rPr>
                <w:rFonts w:hint="eastAsia"/>
                <w:color w:val="auto"/>
                <w:lang w:eastAsia="zh-CN"/>
              </w:rPr>
              <w:t>三</w:t>
            </w:r>
            <w:r>
              <w:rPr>
                <w:rFonts w:hint="default"/>
                <w:color w:val="auto"/>
                <w:lang w:val="en-US" w:eastAsia="zh-CN"/>
              </w:rPr>
              <w:t>级</w:t>
            </w:r>
            <w:r>
              <w:rPr>
                <w:rFonts w:hint="eastAsia"/>
                <w:color w:val="auto"/>
                <w:lang w:val="en-US" w:eastAsia="zh-CN"/>
              </w:rPr>
              <w:t>排放限值。</w:t>
            </w:r>
          </w:p>
          <w:p w14:paraId="1021DB70">
            <w:pPr>
              <w:keepNext w:val="0"/>
              <w:keepLines w:val="0"/>
              <w:suppressLineNumbers w:val="0"/>
              <w:bidi w:val="0"/>
              <w:spacing w:before="0" w:beforeAutospacing="0" w:after="0" w:afterAutospacing="0"/>
              <w:ind w:left="0" w:leftChars="0" w:right="0" w:firstLine="0" w:firstLineChars="0"/>
              <w:rPr>
                <w:rFonts w:hint="eastAsia"/>
                <w:color w:val="auto"/>
                <w:lang w:val="en-US" w:eastAsia="zh-CN"/>
              </w:rPr>
            </w:pPr>
            <w:r>
              <w:rPr>
                <w:rFonts w:hint="eastAsia"/>
                <w:color w:val="auto"/>
                <w:lang w:val="en-US" w:eastAsia="zh-CN"/>
              </w:rPr>
              <w:t>见表3-5。</w:t>
            </w:r>
          </w:p>
          <w:p w14:paraId="6E5D0B62">
            <w:pPr>
              <w:pStyle w:val="5"/>
              <w:keepNext w:val="0"/>
              <w:keepLines w:val="0"/>
              <w:suppressLineNumbers w:val="0"/>
              <w:bidi w:val="0"/>
              <w:spacing w:before="0" w:beforeAutospacing="0" w:after="0" w:afterAutospacing="0"/>
              <w:ind w:left="0" w:right="0"/>
              <w:rPr>
                <w:rFonts w:hint="default" w:ascii="Times New Roman" w:hAnsi="Times New Roman" w:eastAsia="宋体" w:cs="Times New Roman"/>
                <w:b/>
                <w:bCs/>
                <w:snapToGrid w:val="0"/>
                <w:color w:val="auto"/>
                <w:spacing w:val="0"/>
                <w:kern w:val="0"/>
                <w:position w:val="0"/>
                <w:sz w:val="21"/>
                <w:szCs w:val="21"/>
                <w:highlight w:val="none"/>
                <w:lang w:val="en-US" w:eastAsia="zh-CN"/>
              </w:rPr>
            </w:pPr>
            <w:r>
              <w:rPr>
                <w:rFonts w:hint="default" w:ascii="Times New Roman" w:hAnsi="Times New Roman" w:eastAsia="宋体" w:cs="Times New Roman"/>
                <w:b/>
                <w:bCs/>
                <w:snapToGrid w:val="0"/>
                <w:color w:val="auto"/>
                <w:spacing w:val="0"/>
                <w:kern w:val="0"/>
                <w:position w:val="0"/>
                <w:sz w:val="21"/>
                <w:szCs w:val="21"/>
                <w:highlight w:val="none"/>
                <w:lang w:val="en-US" w:eastAsia="zh-CN"/>
              </w:rPr>
              <w:t>表</w:t>
            </w:r>
            <w:r>
              <w:rPr>
                <w:rFonts w:hint="eastAsia" w:cs="Times New Roman"/>
                <w:b/>
                <w:bCs/>
                <w:snapToGrid w:val="0"/>
                <w:color w:val="auto"/>
                <w:spacing w:val="0"/>
                <w:kern w:val="0"/>
                <w:position w:val="0"/>
                <w:sz w:val="21"/>
                <w:szCs w:val="21"/>
                <w:highlight w:val="none"/>
                <w:lang w:val="en-US" w:eastAsia="zh-CN"/>
              </w:rPr>
              <w:t>3-5</w:t>
            </w:r>
            <w:r>
              <w:rPr>
                <w:rFonts w:hint="default" w:ascii="Times New Roman" w:hAnsi="Times New Roman" w:eastAsia="宋体" w:cs="Times New Roman"/>
                <w:b/>
                <w:bCs/>
                <w:snapToGrid w:val="0"/>
                <w:color w:val="auto"/>
                <w:spacing w:val="0"/>
                <w:kern w:val="0"/>
                <w:position w:val="0"/>
                <w:sz w:val="21"/>
                <w:szCs w:val="21"/>
                <w:highlight w:val="none"/>
                <w:lang w:val="en-US" w:eastAsia="zh-CN"/>
              </w:rPr>
              <w:t xml:space="preserve">             </w:t>
            </w:r>
            <w:r>
              <w:rPr>
                <w:rFonts w:hint="default"/>
                <w:color w:val="auto"/>
                <w:lang w:val="en-US"/>
              </w:rPr>
              <w:t>《污水综合排放标准》</w:t>
            </w:r>
            <w:r>
              <w:rPr>
                <w:rFonts w:hint="eastAsia"/>
                <w:color w:val="auto"/>
                <w:lang w:val="en-US" w:eastAsia="zh-CN"/>
              </w:rPr>
              <w:t>节选</w:t>
            </w:r>
            <w:r>
              <w:rPr>
                <w:rFonts w:hint="default" w:ascii="Times New Roman" w:hAnsi="Times New Roman" w:eastAsia="宋体" w:cs="Times New Roman"/>
                <w:b/>
                <w:bCs/>
                <w:snapToGrid w:val="0"/>
                <w:color w:val="auto"/>
                <w:spacing w:val="0"/>
                <w:kern w:val="0"/>
                <w:position w:val="0"/>
                <w:sz w:val="21"/>
                <w:szCs w:val="21"/>
                <w:highlight w:val="none"/>
                <w:lang w:val="en-US" w:eastAsia="zh-CN"/>
              </w:rPr>
              <w:t xml:space="preserve">     单位：mg/L（pH</w:t>
            </w:r>
            <w:r>
              <w:rPr>
                <w:rFonts w:hint="eastAsia" w:ascii="Times New Roman" w:hAnsi="Times New Roman" w:eastAsia="宋体" w:cs="Times New Roman"/>
                <w:b/>
                <w:bCs/>
                <w:snapToGrid w:val="0"/>
                <w:color w:val="auto"/>
                <w:spacing w:val="0"/>
                <w:kern w:val="0"/>
                <w:position w:val="0"/>
                <w:sz w:val="21"/>
                <w:szCs w:val="21"/>
                <w:highlight w:val="none"/>
                <w:lang w:val="en-US" w:eastAsia="zh-CN"/>
              </w:rPr>
              <w:t>无量纲</w:t>
            </w:r>
            <w:r>
              <w:rPr>
                <w:rFonts w:hint="default" w:ascii="Times New Roman" w:hAnsi="Times New Roman" w:eastAsia="宋体" w:cs="Times New Roman"/>
                <w:b/>
                <w:bCs/>
                <w:snapToGrid w:val="0"/>
                <w:color w:val="auto"/>
                <w:spacing w:val="0"/>
                <w:kern w:val="0"/>
                <w:position w:val="0"/>
                <w:sz w:val="21"/>
                <w:szCs w:val="21"/>
                <w:highlight w:val="none"/>
                <w:lang w:val="en-US" w:eastAsia="zh-CN"/>
              </w:rPr>
              <w:t>）</w:t>
            </w:r>
          </w:p>
          <w:tbl>
            <w:tblPr>
              <w:tblStyle w:val="30"/>
              <w:tblW w:w="786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85"/>
              <w:gridCol w:w="2730"/>
              <w:gridCol w:w="3946"/>
            </w:tblGrid>
            <w:tr w14:paraId="6BEC7D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0" w:hRule="atLeast"/>
                <w:jc w:val="center"/>
              </w:trPr>
              <w:tc>
                <w:tcPr>
                  <w:tcW w:w="1185" w:type="dxa"/>
                  <w:tcBorders>
                    <w:tl2br w:val="nil"/>
                    <w:tr2bl w:val="nil"/>
                  </w:tcBorders>
                  <w:noWrap w:val="0"/>
                  <w:vAlign w:val="center"/>
                </w:tcPr>
                <w:p w14:paraId="114604CC">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序号</w:t>
                  </w:r>
                </w:p>
              </w:tc>
              <w:tc>
                <w:tcPr>
                  <w:tcW w:w="2730" w:type="dxa"/>
                  <w:tcBorders>
                    <w:tl2br w:val="nil"/>
                    <w:tr2bl w:val="nil"/>
                  </w:tcBorders>
                  <w:noWrap w:val="0"/>
                  <w:vAlign w:val="center"/>
                </w:tcPr>
                <w:p w14:paraId="0E00F821">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项目</w:t>
                  </w:r>
                </w:p>
              </w:tc>
              <w:tc>
                <w:tcPr>
                  <w:tcW w:w="3946" w:type="dxa"/>
                  <w:tcBorders>
                    <w:tl2br w:val="nil"/>
                    <w:tr2bl w:val="nil"/>
                  </w:tcBorders>
                  <w:noWrap w:val="0"/>
                  <w:vAlign w:val="center"/>
                </w:tcPr>
                <w:p w14:paraId="5101D5B5">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限值</w:t>
                  </w:r>
                </w:p>
              </w:tc>
            </w:tr>
            <w:tr w14:paraId="3B9648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85" w:type="dxa"/>
                  <w:tcBorders>
                    <w:tl2br w:val="nil"/>
                    <w:tr2bl w:val="nil"/>
                  </w:tcBorders>
                  <w:noWrap w:val="0"/>
                  <w:vAlign w:val="center"/>
                </w:tcPr>
                <w:p w14:paraId="3BC3CCCE">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1</w:t>
                  </w:r>
                </w:p>
              </w:tc>
              <w:tc>
                <w:tcPr>
                  <w:tcW w:w="2730" w:type="dxa"/>
                  <w:tcBorders>
                    <w:tl2br w:val="nil"/>
                    <w:tr2bl w:val="nil"/>
                  </w:tcBorders>
                  <w:noWrap w:val="0"/>
                  <w:vAlign w:val="center"/>
                </w:tcPr>
                <w:p w14:paraId="0AE9C5CF">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pH</w:t>
                  </w:r>
                </w:p>
              </w:tc>
              <w:tc>
                <w:tcPr>
                  <w:tcW w:w="3946" w:type="dxa"/>
                  <w:tcBorders>
                    <w:tl2br w:val="nil"/>
                    <w:tr2bl w:val="nil"/>
                  </w:tcBorders>
                  <w:noWrap w:val="0"/>
                  <w:vAlign w:val="center"/>
                </w:tcPr>
                <w:p w14:paraId="32F5A8BF">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6-9</w:t>
                  </w:r>
                </w:p>
              </w:tc>
            </w:tr>
            <w:tr w14:paraId="22D1C5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85" w:type="dxa"/>
                  <w:tcBorders>
                    <w:tl2br w:val="nil"/>
                    <w:tr2bl w:val="nil"/>
                  </w:tcBorders>
                  <w:noWrap w:val="0"/>
                  <w:vAlign w:val="center"/>
                </w:tcPr>
                <w:p w14:paraId="2319F0B8">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2</w:t>
                  </w:r>
                </w:p>
              </w:tc>
              <w:tc>
                <w:tcPr>
                  <w:tcW w:w="2730" w:type="dxa"/>
                  <w:tcBorders>
                    <w:tl2br w:val="nil"/>
                    <w:tr2bl w:val="nil"/>
                  </w:tcBorders>
                  <w:noWrap w:val="0"/>
                  <w:vAlign w:val="center"/>
                </w:tcPr>
                <w:p w14:paraId="0B2FDB37">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SS</w:t>
                  </w:r>
                </w:p>
              </w:tc>
              <w:tc>
                <w:tcPr>
                  <w:tcW w:w="3946" w:type="dxa"/>
                  <w:tcBorders>
                    <w:tl2br w:val="nil"/>
                    <w:tr2bl w:val="nil"/>
                  </w:tcBorders>
                  <w:noWrap w:val="0"/>
                  <w:vAlign w:val="center"/>
                </w:tcPr>
                <w:p w14:paraId="0211D70F">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400</w:t>
                  </w:r>
                </w:p>
              </w:tc>
            </w:tr>
            <w:tr w14:paraId="76A2BB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85" w:type="dxa"/>
                  <w:tcBorders>
                    <w:tl2br w:val="nil"/>
                    <w:tr2bl w:val="nil"/>
                  </w:tcBorders>
                  <w:noWrap w:val="0"/>
                  <w:vAlign w:val="center"/>
                </w:tcPr>
                <w:p w14:paraId="1A7F7709">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3</w:t>
                  </w:r>
                </w:p>
              </w:tc>
              <w:tc>
                <w:tcPr>
                  <w:tcW w:w="2730" w:type="dxa"/>
                  <w:tcBorders>
                    <w:tl2br w:val="nil"/>
                    <w:tr2bl w:val="nil"/>
                  </w:tcBorders>
                  <w:noWrap w:val="0"/>
                  <w:vAlign w:val="center"/>
                </w:tcPr>
                <w:p w14:paraId="18B0D03C">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BOD</w:t>
                  </w:r>
                  <w:r>
                    <w:rPr>
                      <w:rFonts w:hint="default"/>
                      <w:color w:val="auto"/>
                      <w:vertAlign w:val="subscript"/>
                      <w:lang w:val="en-US"/>
                    </w:rPr>
                    <w:t>5</w:t>
                  </w:r>
                </w:p>
              </w:tc>
              <w:tc>
                <w:tcPr>
                  <w:tcW w:w="3946" w:type="dxa"/>
                  <w:tcBorders>
                    <w:tl2br w:val="nil"/>
                    <w:tr2bl w:val="nil"/>
                  </w:tcBorders>
                  <w:noWrap w:val="0"/>
                  <w:vAlign w:val="center"/>
                </w:tcPr>
                <w:p w14:paraId="39C06CEF">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300</w:t>
                  </w:r>
                </w:p>
              </w:tc>
            </w:tr>
            <w:tr w14:paraId="26BBC2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85" w:type="dxa"/>
                  <w:tcBorders>
                    <w:tl2br w:val="nil"/>
                    <w:tr2bl w:val="nil"/>
                  </w:tcBorders>
                  <w:noWrap w:val="0"/>
                  <w:vAlign w:val="center"/>
                </w:tcPr>
                <w:p w14:paraId="1C214571">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4</w:t>
                  </w:r>
                </w:p>
              </w:tc>
              <w:tc>
                <w:tcPr>
                  <w:tcW w:w="2730" w:type="dxa"/>
                  <w:tcBorders>
                    <w:tl2br w:val="nil"/>
                    <w:tr2bl w:val="nil"/>
                  </w:tcBorders>
                  <w:noWrap w:val="0"/>
                  <w:vAlign w:val="center"/>
                </w:tcPr>
                <w:p w14:paraId="3A0A570B">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COD</w:t>
                  </w:r>
                </w:p>
              </w:tc>
              <w:tc>
                <w:tcPr>
                  <w:tcW w:w="3946" w:type="dxa"/>
                  <w:tcBorders>
                    <w:tl2br w:val="nil"/>
                    <w:tr2bl w:val="nil"/>
                  </w:tcBorders>
                  <w:noWrap w:val="0"/>
                  <w:vAlign w:val="center"/>
                </w:tcPr>
                <w:p w14:paraId="4A2DD770">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500</w:t>
                  </w:r>
                </w:p>
              </w:tc>
            </w:tr>
            <w:tr w14:paraId="1CE22F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85" w:type="dxa"/>
                  <w:tcBorders>
                    <w:tl2br w:val="nil"/>
                    <w:tr2bl w:val="nil"/>
                  </w:tcBorders>
                  <w:noWrap w:val="0"/>
                  <w:vAlign w:val="center"/>
                </w:tcPr>
                <w:p w14:paraId="4A60B541">
                  <w:pPr>
                    <w:pStyle w:val="7"/>
                    <w:keepNext w:val="0"/>
                    <w:keepLines w:val="0"/>
                    <w:suppressLineNumbers w:val="0"/>
                    <w:bidi w:val="0"/>
                    <w:spacing w:before="0" w:beforeAutospacing="0" w:after="0" w:afterAutospacing="0"/>
                    <w:ind w:left="0" w:right="0"/>
                    <w:rPr>
                      <w:rFonts w:hint="default"/>
                      <w:color w:val="auto"/>
                      <w:lang w:val="en-US"/>
                    </w:rPr>
                  </w:pPr>
                  <w:r>
                    <w:rPr>
                      <w:rFonts w:hint="default"/>
                      <w:color w:val="auto"/>
                      <w:lang w:val="en-US"/>
                    </w:rPr>
                    <w:t>5</w:t>
                  </w:r>
                </w:p>
              </w:tc>
              <w:tc>
                <w:tcPr>
                  <w:tcW w:w="2730" w:type="dxa"/>
                  <w:tcBorders>
                    <w:tl2br w:val="nil"/>
                    <w:tr2bl w:val="nil"/>
                  </w:tcBorders>
                  <w:shd w:val="clear" w:color="auto" w:fill="auto"/>
                  <w:noWrap w:val="0"/>
                  <w:vAlign w:val="center"/>
                </w:tcPr>
                <w:p w14:paraId="2EC3E236">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rPr>
                    <w:t>氨氮</w:t>
                  </w:r>
                </w:p>
              </w:tc>
              <w:tc>
                <w:tcPr>
                  <w:tcW w:w="3946" w:type="dxa"/>
                  <w:tcBorders>
                    <w:tl2br w:val="nil"/>
                    <w:tr2bl w:val="nil"/>
                  </w:tcBorders>
                  <w:shd w:val="clear" w:color="auto" w:fill="auto"/>
                  <w:noWrap w:val="0"/>
                  <w:vAlign w:val="center"/>
                </w:tcPr>
                <w:p w14:paraId="01295845">
                  <w:pPr>
                    <w:pStyle w:val="7"/>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rPr>
                    <w:t>/</w:t>
                  </w:r>
                </w:p>
              </w:tc>
            </w:tr>
          </w:tbl>
          <w:p w14:paraId="31BD0DBD">
            <w:pPr>
              <w:pStyle w:val="3"/>
              <w:numPr>
                <w:ilvl w:val="0"/>
                <w:numId w:val="0"/>
              </w:numPr>
              <w:suppressLineNumbers w:val="0"/>
              <w:bidi w:val="0"/>
              <w:spacing w:before="0" w:beforeAutospacing="0" w:after="0" w:afterAutospacing="0"/>
              <w:ind w:left="0" w:leftChars="0" w:right="0" w:rightChars="0"/>
              <w:rPr>
                <w:rFonts w:hint="eastAsia"/>
                <w:color w:val="auto"/>
                <w:lang w:val="en-US" w:eastAsia="zh-CN"/>
              </w:rPr>
            </w:pPr>
            <w:r>
              <w:rPr>
                <w:rFonts w:hint="eastAsia"/>
                <w:color w:val="auto"/>
                <w:lang w:val="en-US" w:eastAsia="zh-CN"/>
              </w:rPr>
              <w:t>2.4固废</w:t>
            </w:r>
          </w:p>
          <w:p w14:paraId="68A17173">
            <w:pPr>
              <w:keepNext w:val="0"/>
              <w:keepLines w:val="0"/>
              <w:suppressLineNumbers w:val="0"/>
              <w:bidi w:val="0"/>
              <w:spacing w:before="0" w:beforeAutospacing="0" w:after="0" w:afterAutospacing="0"/>
              <w:ind w:left="0" w:right="0"/>
              <w:rPr>
                <w:rFonts w:hint="default"/>
                <w:color w:val="auto"/>
              </w:rPr>
            </w:pPr>
            <w:r>
              <w:rPr>
                <w:rFonts w:hint="default"/>
                <w:color w:val="auto"/>
              </w:rPr>
              <w:t>一般工业固废执行《一般工业固体废物贮存和填埋污染控制标准》（GB18599-2020）。</w:t>
            </w:r>
          </w:p>
        </w:tc>
      </w:tr>
      <w:tr w14:paraId="224248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4" w:type="dxa"/>
            <w:vAlign w:val="center"/>
          </w:tcPr>
          <w:p w14:paraId="74C9CE2D">
            <w:pPr>
              <w:pStyle w:val="10"/>
              <w:keepNext w:val="0"/>
              <w:keepLines w:val="0"/>
              <w:suppressLineNumbers w:val="0"/>
              <w:bidi w:val="0"/>
              <w:spacing w:before="0" w:beforeAutospacing="0" w:after="0" w:afterAutospacing="0"/>
              <w:ind w:left="0" w:right="0"/>
              <w:rPr>
                <w:rFonts w:hint="default"/>
                <w:color w:val="auto"/>
              </w:rPr>
            </w:pPr>
            <w:r>
              <w:rPr>
                <w:rFonts w:hint="eastAsia" w:ascii="宋体" w:hAnsi="宋体" w:cs="宋体"/>
                <w:b/>
                <w:bCs/>
                <w:color w:val="auto"/>
                <w:kern w:val="0"/>
                <w:szCs w:val="28"/>
              </w:rPr>
              <w:t>总</w:t>
            </w:r>
            <w:r>
              <w:rPr>
                <w:rFonts w:hint="eastAsia"/>
                <w:color w:val="auto"/>
              </w:rPr>
              <w:t>量</w:t>
            </w:r>
          </w:p>
          <w:p w14:paraId="649FB125">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控制</w:t>
            </w:r>
          </w:p>
          <w:p w14:paraId="7EFF7597">
            <w:pPr>
              <w:pStyle w:val="10"/>
              <w:keepNext w:val="0"/>
              <w:keepLines w:val="0"/>
              <w:suppressLineNumbers w:val="0"/>
              <w:bidi w:val="0"/>
              <w:spacing w:before="0" w:beforeAutospacing="0" w:after="0" w:afterAutospacing="0"/>
              <w:ind w:left="0" w:right="0"/>
              <w:rPr>
                <w:rFonts w:hint="default" w:ascii="宋体" w:hAnsi="宋体" w:cs="宋体"/>
                <w:color w:val="auto"/>
                <w:kern w:val="0"/>
                <w:szCs w:val="21"/>
              </w:rPr>
            </w:pPr>
            <w:r>
              <w:rPr>
                <w:rFonts w:hint="eastAsia"/>
                <w:color w:val="auto"/>
              </w:rPr>
              <w:t>指标</w:t>
            </w:r>
          </w:p>
        </w:tc>
        <w:tc>
          <w:tcPr>
            <w:tcW w:w="8406" w:type="dxa"/>
            <w:vAlign w:val="center"/>
          </w:tcPr>
          <w:p w14:paraId="6FA701FC">
            <w:pPr>
              <w:pStyle w:val="12"/>
              <w:keepNext w:val="0"/>
              <w:keepLines w:val="0"/>
              <w:numPr>
                <w:ilvl w:val="0"/>
                <w:numId w:val="0"/>
              </w:numPr>
              <w:suppressLineNumbers w:val="0"/>
              <w:spacing w:before="0" w:beforeAutospacing="0" w:after="0" w:afterAutospacing="0"/>
              <w:ind w:left="0" w:right="0"/>
              <w:rPr>
                <w:rFonts w:hint="default"/>
                <w:color w:val="auto"/>
              </w:rPr>
            </w:pPr>
            <w:r>
              <w:rPr>
                <w:rFonts w:hint="eastAsia"/>
                <w:color w:val="auto"/>
                <w:lang w:val="en-US" w:eastAsia="zh-CN"/>
              </w:rPr>
              <w:t>无</w:t>
            </w:r>
          </w:p>
          <w:p w14:paraId="4E14158D">
            <w:pPr>
              <w:pStyle w:val="12"/>
              <w:keepNext w:val="0"/>
              <w:keepLines w:val="0"/>
              <w:numPr>
                <w:ilvl w:val="0"/>
                <w:numId w:val="0"/>
              </w:numPr>
              <w:suppressLineNumbers w:val="0"/>
              <w:spacing w:before="0" w:beforeAutospacing="0" w:after="0" w:afterAutospacing="0"/>
              <w:ind w:left="0" w:right="0"/>
              <w:rPr>
                <w:rFonts w:hint="default"/>
                <w:color w:val="auto"/>
              </w:rPr>
            </w:pPr>
          </w:p>
          <w:p w14:paraId="3FD81067">
            <w:pPr>
              <w:pStyle w:val="12"/>
              <w:keepNext w:val="0"/>
              <w:keepLines w:val="0"/>
              <w:numPr>
                <w:ilvl w:val="0"/>
                <w:numId w:val="0"/>
              </w:numPr>
              <w:suppressLineNumbers w:val="0"/>
              <w:spacing w:before="0" w:beforeAutospacing="0" w:after="0" w:afterAutospacing="0"/>
              <w:ind w:left="0" w:right="0"/>
              <w:rPr>
                <w:rFonts w:hint="default"/>
                <w:color w:val="auto"/>
              </w:rPr>
            </w:pPr>
          </w:p>
          <w:p w14:paraId="79AACC27">
            <w:pPr>
              <w:pStyle w:val="12"/>
              <w:keepNext w:val="0"/>
              <w:keepLines w:val="0"/>
              <w:numPr>
                <w:ilvl w:val="0"/>
                <w:numId w:val="0"/>
              </w:numPr>
              <w:suppressLineNumbers w:val="0"/>
              <w:spacing w:before="0" w:beforeAutospacing="0" w:after="0" w:afterAutospacing="0"/>
              <w:ind w:left="0" w:right="0"/>
              <w:rPr>
                <w:rFonts w:hint="default"/>
                <w:color w:val="auto"/>
              </w:rPr>
            </w:pPr>
          </w:p>
          <w:p w14:paraId="2E9C74A7">
            <w:pPr>
              <w:pStyle w:val="12"/>
              <w:keepNext w:val="0"/>
              <w:keepLines w:val="0"/>
              <w:numPr>
                <w:ilvl w:val="0"/>
                <w:numId w:val="0"/>
              </w:numPr>
              <w:suppressLineNumbers w:val="0"/>
              <w:spacing w:before="0" w:beforeAutospacing="0" w:after="0" w:afterAutospacing="0"/>
              <w:ind w:left="0" w:right="0"/>
              <w:rPr>
                <w:rFonts w:hint="default"/>
                <w:color w:val="auto"/>
              </w:rPr>
            </w:pPr>
          </w:p>
          <w:p w14:paraId="0BE92BF3">
            <w:pPr>
              <w:pStyle w:val="12"/>
              <w:keepNext w:val="0"/>
              <w:keepLines w:val="0"/>
              <w:numPr>
                <w:ilvl w:val="0"/>
                <w:numId w:val="0"/>
              </w:numPr>
              <w:suppressLineNumbers w:val="0"/>
              <w:spacing w:before="0" w:beforeAutospacing="0" w:after="0" w:afterAutospacing="0"/>
              <w:ind w:left="0" w:right="0"/>
              <w:rPr>
                <w:rFonts w:hint="default"/>
                <w:color w:val="auto"/>
              </w:rPr>
            </w:pPr>
          </w:p>
          <w:p w14:paraId="5B9FF2C4">
            <w:pPr>
              <w:pStyle w:val="12"/>
              <w:keepNext w:val="0"/>
              <w:keepLines w:val="0"/>
              <w:numPr>
                <w:ilvl w:val="0"/>
                <w:numId w:val="0"/>
              </w:numPr>
              <w:suppressLineNumbers w:val="0"/>
              <w:spacing w:before="0" w:beforeAutospacing="0" w:after="0" w:afterAutospacing="0"/>
              <w:ind w:left="0" w:right="0"/>
              <w:rPr>
                <w:rFonts w:hint="default"/>
                <w:color w:val="auto"/>
              </w:rPr>
            </w:pPr>
          </w:p>
          <w:p w14:paraId="75B05DDD">
            <w:pPr>
              <w:pStyle w:val="12"/>
              <w:keepNext w:val="0"/>
              <w:keepLines w:val="0"/>
              <w:numPr>
                <w:ilvl w:val="0"/>
                <w:numId w:val="0"/>
              </w:numPr>
              <w:suppressLineNumbers w:val="0"/>
              <w:spacing w:before="0" w:beforeAutospacing="0" w:after="0" w:afterAutospacing="0"/>
              <w:ind w:left="0" w:right="0"/>
              <w:rPr>
                <w:rFonts w:hint="default"/>
                <w:color w:val="auto"/>
              </w:rPr>
            </w:pPr>
          </w:p>
        </w:tc>
      </w:tr>
    </w:tbl>
    <w:p w14:paraId="528EE607">
      <w:pPr>
        <w:pStyle w:val="2"/>
        <w:bidi w:val="0"/>
        <w:ind w:left="0" w:leftChars="0" w:firstLine="0" w:firstLineChars="0"/>
        <w:jc w:val="center"/>
        <w:rPr>
          <w:rFonts w:ascii="黑体" w:hAnsi="黑体" w:eastAsia="黑体"/>
          <w:snapToGrid w:val="0"/>
          <w:color w:val="auto"/>
          <w:szCs w:val="30"/>
        </w:rPr>
      </w:pPr>
      <w:r>
        <w:rPr>
          <w:rFonts w:ascii="黑体" w:hAnsi="黑体" w:eastAsia="黑体"/>
          <w:snapToGrid w:val="0"/>
          <w:color w:val="auto"/>
          <w:szCs w:val="36"/>
        </w:rPr>
        <w:br w:type="page"/>
      </w:r>
      <w:r>
        <w:rPr>
          <w:rFonts w:hint="eastAsia"/>
          <w:color w:val="auto"/>
        </w:rPr>
        <w:t>四、主要环境影响和保护措施</w:t>
      </w:r>
    </w:p>
    <w:tbl>
      <w:tblPr>
        <w:tblStyle w:val="30"/>
        <w:tblW w:w="508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4"/>
        <w:gridCol w:w="8517"/>
      </w:tblGrid>
      <w:tr w14:paraId="361432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341" w:type="pct"/>
            <w:tcMar>
              <w:left w:w="28" w:type="dxa"/>
              <w:right w:w="28" w:type="dxa"/>
            </w:tcMar>
            <w:vAlign w:val="center"/>
          </w:tcPr>
          <w:p w14:paraId="75FA7CD3">
            <w:pPr>
              <w:pStyle w:val="10"/>
              <w:keepNext w:val="0"/>
              <w:keepLines w:val="0"/>
              <w:suppressLineNumbers w:val="0"/>
              <w:bidi w:val="0"/>
              <w:spacing w:before="0" w:beforeAutospacing="0" w:after="0" w:afterAutospacing="0"/>
              <w:ind w:left="0" w:right="0"/>
              <w:rPr>
                <w:rFonts w:hint="default"/>
                <w:color w:val="auto"/>
              </w:rPr>
            </w:pPr>
            <w:r>
              <w:rPr>
                <w:rFonts w:hint="eastAsia" w:cs="宋体"/>
                <w:b/>
                <w:bCs/>
                <w:color w:val="auto"/>
                <w:kern w:val="2"/>
                <w:szCs w:val="28"/>
              </w:rPr>
              <w:t>施</w:t>
            </w:r>
            <w:r>
              <w:rPr>
                <w:rFonts w:hint="eastAsia"/>
                <w:color w:val="auto"/>
              </w:rPr>
              <w:t>工</w:t>
            </w:r>
          </w:p>
          <w:p w14:paraId="3C6AEC5A">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期环</w:t>
            </w:r>
          </w:p>
          <w:p w14:paraId="6A1C5DA5">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境保</w:t>
            </w:r>
          </w:p>
          <w:p w14:paraId="2FE22D6D">
            <w:pPr>
              <w:pStyle w:val="10"/>
              <w:keepNext w:val="0"/>
              <w:keepLines w:val="0"/>
              <w:suppressLineNumbers w:val="0"/>
              <w:bidi w:val="0"/>
              <w:spacing w:before="0" w:beforeAutospacing="0" w:after="0" w:afterAutospacing="0"/>
              <w:ind w:left="0" w:right="0"/>
              <w:rPr>
                <w:rFonts w:hint="default" w:cs="宋体"/>
                <w:b/>
                <w:bCs/>
                <w:color w:val="auto"/>
                <w:kern w:val="2"/>
                <w:szCs w:val="28"/>
              </w:rPr>
            </w:pPr>
            <w:r>
              <w:rPr>
                <w:rFonts w:hint="eastAsia"/>
                <w:color w:val="auto"/>
              </w:rPr>
              <w:t>护措</w:t>
            </w:r>
          </w:p>
          <w:p w14:paraId="23291B77">
            <w:pPr>
              <w:pStyle w:val="10"/>
              <w:keepNext w:val="0"/>
              <w:keepLines w:val="0"/>
              <w:suppressLineNumbers w:val="0"/>
              <w:bidi w:val="0"/>
              <w:spacing w:before="0" w:beforeAutospacing="0" w:after="0" w:afterAutospacing="0"/>
              <w:ind w:left="0" w:right="0"/>
              <w:rPr>
                <w:rFonts w:hint="default"/>
                <w:color w:val="auto"/>
              </w:rPr>
            </w:pPr>
            <w:r>
              <w:rPr>
                <w:rFonts w:hint="eastAsia"/>
                <w:color w:val="auto"/>
              </w:rPr>
              <w:t>施</w:t>
            </w:r>
          </w:p>
        </w:tc>
        <w:tc>
          <w:tcPr>
            <w:tcW w:w="4658" w:type="pct"/>
          </w:tcPr>
          <w:p w14:paraId="27013731">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本项目租用新疆光耀玻璃科技有限公司现有生产厂房，对设备进行安装，施工期间产生废气、噪声和施工垃圾等。</w:t>
            </w:r>
          </w:p>
          <w:p w14:paraId="157BD370">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1、施工期废气污染防治措施</w:t>
            </w:r>
          </w:p>
          <w:p w14:paraId="4C8462A2">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施工期废气主要来源：焊接烟尘、施工机械（手持机具）少量废气。施工期可采取以下措施：</w:t>
            </w:r>
          </w:p>
          <w:p w14:paraId="433D8D73">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1）焊接烟尘控制：生产线支架、管道焊接作业在车间内部开展，优先布置于车间通风条件较好区域；加强车间机械通风、门窗开启自然通风扩散；焊接作业量较大点位采用移动式焊接烟尘净化器；焊接作业尽量分散布置，避免集中大量焊接。</w:t>
            </w:r>
          </w:p>
          <w:p w14:paraId="25357E7B">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（2）施工使用电动工具为主，尽量少使用燃油动力设备；确需使用燃油机具时，缩短作业时间，利用车间通风扩散机具尾气。</w:t>
            </w:r>
          </w:p>
          <w:p w14:paraId="7F088275">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（3）施工完成后及时清理施工现场，清除包装废料、焊渣等。</w:t>
            </w:r>
          </w:p>
          <w:p w14:paraId="59423694">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2、施工期废水污染防治措施</w:t>
            </w:r>
          </w:p>
          <w:p w14:paraId="7AEBF949">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无混凝土搅拌，无施工废水。施工人员不在项目区食宿，依托新疆光耀玻璃科技有限公司现有办公生活区，生活污水排入下水管网，最终进拉依苏工业园区污水处理厂处理。</w:t>
            </w:r>
          </w:p>
          <w:p w14:paraId="277E8205">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3、施工期噪声防治措施</w:t>
            </w:r>
          </w:p>
          <w:p w14:paraId="7CEAA6B1">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（1）合理安排施工时间，应尽可能避免大量高噪声设备同时施工，除此之外，使用高噪声设备的施工阶段应尽量安排在白天，减少夜间的施工量；</w:t>
            </w:r>
          </w:p>
          <w:p w14:paraId="182AC674">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（2）合理布置施工现场，应避免在施工现场的同一地点安排大量的高噪声设备，造成局部声级过高；</w:t>
            </w:r>
          </w:p>
          <w:p w14:paraId="021D9F64">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（3）对动力机械设备定期进行维修和养护，避免因松动部件振动或消声器损坏而加大设备工作时的声级；</w:t>
            </w:r>
          </w:p>
          <w:p w14:paraId="3459EC2E">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（4）尽量少用哨子、喇叭、笛等指挥作业，减少人为噪声；</w:t>
            </w:r>
          </w:p>
          <w:p w14:paraId="74696E87">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（5）禁止运输车辆夜间的运输量，运输车辆在进入施工区附近区域后，要适当降低车速，避免或杜绝鸣笛。</w:t>
            </w:r>
          </w:p>
          <w:p w14:paraId="510ED115">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4、施工期固废污染防治措施</w:t>
            </w:r>
          </w:p>
          <w:p w14:paraId="766391CA">
            <w:pPr>
              <w:keepNext w:val="0"/>
              <w:keepLines w:val="0"/>
              <w:suppressLineNumbers w:val="0"/>
              <w:spacing w:before="0" w:beforeAutospacing="0" w:after="0" w:afterAutospacing="0"/>
              <w:ind w:left="0" w:right="0"/>
              <w:rPr>
                <w:rFonts w:hint="eastAsia"/>
                <w:color w:val="auto"/>
                <w:lang w:val="en-US" w:eastAsia="zh-CN"/>
              </w:rPr>
            </w:pPr>
            <w:r>
              <w:rPr>
                <w:rFonts w:hint="eastAsia"/>
                <w:color w:val="auto"/>
                <w:lang w:val="en-US" w:eastAsia="zh-CN"/>
              </w:rPr>
              <w:t>固废主要包括机械设备包装物和安装产生的固废，包装物主要为塑料、泡沫或木板，安装产生固废一般为废焊渣、焊接边角料、金属切头、螺栓垫片废件等，集中收集可回收的外售，不可回收利用的可混与生活垃圾，委托环卫部门处置。</w:t>
            </w:r>
          </w:p>
          <w:p w14:paraId="4341CCEF">
            <w:pPr>
              <w:keepNext w:val="0"/>
              <w:keepLines w:val="0"/>
              <w:suppressLineNumbers w:val="0"/>
              <w:spacing w:before="0" w:beforeAutospacing="0" w:after="0" w:afterAutospacing="0"/>
              <w:ind w:left="0" w:right="0"/>
              <w:rPr>
                <w:rFonts w:hint="eastAsia"/>
                <w:color w:val="auto"/>
                <w:lang w:val="en-US" w:eastAsia="zh-CN"/>
              </w:rPr>
            </w:pPr>
          </w:p>
          <w:p w14:paraId="459FCB40">
            <w:pPr>
              <w:keepNext w:val="0"/>
              <w:keepLines w:val="0"/>
              <w:suppressLineNumbers w:val="0"/>
              <w:spacing w:before="0" w:beforeAutospacing="0" w:after="0" w:afterAutospacing="0"/>
              <w:ind w:left="0" w:right="0"/>
              <w:rPr>
                <w:rFonts w:hint="eastAsia"/>
                <w:color w:val="auto"/>
                <w:lang w:val="en-US" w:eastAsia="zh-CN"/>
              </w:rPr>
            </w:pPr>
          </w:p>
          <w:p w14:paraId="57F02668">
            <w:pPr>
              <w:keepNext w:val="0"/>
              <w:keepLines w:val="0"/>
              <w:suppressLineNumbers w:val="0"/>
              <w:spacing w:before="0" w:beforeAutospacing="0" w:after="0" w:afterAutospacing="0"/>
              <w:ind w:left="0" w:right="0"/>
              <w:rPr>
                <w:rFonts w:hint="eastAsia"/>
                <w:color w:val="auto"/>
                <w:lang w:val="en-US" w:eastAsia="zh-CN"/>
              </w:rPr>
            </w:pPr>
          </w:p>
          <w:p w14:paraId="6E05FF62">
            <w:pPr>
              <w:keepNext w:val="0"/>
              <w:keepLines w:val="0"/>
              <w:suppressLineNumbers w:val="0"/>
              <w:spacing w:before="0" w:beforeAutospacing="0" w:after="0" w:afterAutospacing="0"/>
              <w:ind w:left="0" w:right="0"/>
              <w:rPr>
                <w:rFonts w:hint="eastAsia"/>
                <w:color w:val="auto"/>
                <w:lang w:val="en-US" w:eastAsia="zh-CN"/>
              </w:rPr>
            </w:pPr>
          </w:p>
          <w:p w14:paraId="1C96B612">
            <w:pPr>
              <w:keepNext w:val="0"/>
              <w:keepLines w:val="0"/>
              <w:suppressLineNumbers w:val="0"/>
              <w:spacing w:before="0" w:beforeAutospacing="0" w:after="0" w:afterAutospacing="0"/>
              <w:ind w:left="0" w:right="0"/>
              <w:rPr>
                <w:rFonts w:hint="eastAsia"/>
                <w:color w:val="auto"/>
                <w:lang w:val="en-US" w:eastAsia="zh-CN"/>
              </w:rPr>
            </w:pPr>
          </w:p>
          <w:p w14:paraId="52CFB956">
            <w:pPr>
              <w:keepNext w:val="0"/>
              <w:keepLines w:val="0"/>
              <w:suppressLineNumbers w:val="0"/>
              <w:spacing w:before="0" w:beforeAutospacing="0" w:after="0" w:afterAutospacing="0"/>
              <w:ind w:left="0" w:right="0"/>
              <w:rPr>
                <w:rFonts w:hint="eastAsia"/>
                <w:color w:val="auto"/>
                <w:lang w:val="en-US" w:eastAsia="zh-CN"/>
              </w:rPr>
            </w:pPr>
          </w:p>
          <w:p w14:paraId="2400FE32">
            <w:pPr>
              <w:keepNext w:val="0"/>
              <w:keepLines w:val="0"/>
              <w:suppressLineNumbers w:val="0"/>
              <w:spacing w:before="0" w:beforeAutospacing="0" w:after="0" w:afterAutospacing="0"/>
              <w:ind w:left="0" w:right="0"/>
              <w:rPr>
                <w:rFonts w:hint="eastAsia"/>
                <w:color w:val="auto"/>
                <w:lang w:val="en-US" w:eastAsia="zh-CN"/>
              </w:rPr>
            </w:pPr>
          </w:p>
          <w:p w14:paraId="4F43E9FB">
            <w:pPr>
              <w:keepNext w:val="0"/>
              <w:keepLines w:val="0"/>
              <w:suppressLineNumbers w:val="0"/>
              <w:spacing w:before="0" w:beforeAutospacing="0" w:after="0" w:afterAutospacing="0"/>
              <w:ind w:left="0" w:right="0"/>
              <w:rPr>
                <w:rFonts w:hint="eastAsia"/>
                <w:color w:val="auto"/>
                <w:lang w:val="en-US" w:eastAsia="zh-CN"/>
              </w:rPr>
            </w:pPr>
          </w:p>
          <w:p w14:paraId="520DB028">
            <w:pPr>
              <w:keepNext w:val="0"/>
              <w:keepLines w:val="0"/>
              <w:suppressLineNumbers w:val="0"/>
              <w:spacing w:before="0" w:beforeAutospacing="0" w:after="0" w:afterAutospacing="0"/>
              <w:ind w:left="0" w:right="0"/>
              <w:rPr>
                <w:rFonts w:hint="eastAsia"/>
                <w:color w:val="auto"/>
                <w:lang w:val="en-US" w:eastAsia="zh-CN"/>
              </w:rPr>
            </w:pPr>
          </w:p>
          <w:p w14:paraId="20E9C1C1">
            <w:pPr>
              <w:keepNext w:val="0"/>
              <w:keepLines w:val="0"/>
              <w:suppressLineNumbers w:val="0"/>
              <w:spacing w:before="0" w:beforeAutospacing="0" w:after="0" w:afterAutospacing="0"/>
              <w:ind w:left="0" w:right="0"/>
              <w:rPr>
                <w:rFonts w:hint="eastAsia"/>
                <w:color w:val="auto"/>
                <w:lang w:val="en-US" w:eastAsia="zh-CN"/>
              </w:rPr>
            </w:pPr>
          </w:p>
          <w:p w14:paraId="186419D9">
            <w:pPr>
              <w:keepNext w:val="0"/>
              <w:keepLines w:val="0"/>
              <w:suppressLineNumbers w:val="0"/>
              <w:spacing w:before="0" w:beforeAutospacing="0" w:after="0" w:afterAutospacing="0"/>
              <w:ind w:left="0" w:right="0"/>
              <w:rPr>
                <w:rFonts w:hint="eastAsia"/>
                <w:color w:val="auto"/>
                <w:lang w:val="en-US" w:eastAsia="zh-CN"/>
              </w:rPr>
            </w:pPr>
          </w:p>
          <w:p w14:paraId="5C432118">
            <w:pPr>
              <w:keepNext w:val="0"/>
              <w:keepLines w:val="0"/>
              <w:suppressLineNumbers w:val="0"/>
              <w:spacing w:before="0" w:beforeAutospacing="0" w:after="0" w:afterAutospacing="0"/>
              <w:ind w:left="0" w:right="0"/>
              <w:rPr>
                <w:rFonts w:hint="eastAsia"/>
                <w:color w:val="auto"/>
                <w:lang w:val="en-US" w:eastAsia="zh-CN"/>
              </w:rPr>
            </w:pPr>
          </w:p>
          <w:p w14:paraId="7CB3D1B4">
            <w:pPr>
              <w:keepNext w:val="0"/>
              <w:keepLines w:val="0"/>
              <w:suppressLineNumbers w:val="0"/>
              <w:spacing w:before="0" w:beforeAutospacing="0" w:after="0" w:afterAutospacing="0"/>
              <w:ind w:left="0" w:right="0"/>
              <w:rPr>
                <w:rFonts w:hint="eastAsia"/>
                <w:color w:val="auto"/>
                <w:lang w:val="en-US" w:eastAsia="zh-CN"/>
              </w:rPr>
            </w:pPr>
          </w:p>
          <w:p w14:paraId="6534A5BB">
            <w:pPr>
              <w:keepNext w:val="0"/>
              <w:keepLines w:val="0"/>
              <w:suppressLineNumbers w:val="0"/>
              <w:spacing w:before="0" w:beforeAutospacing="0" w:after="0" w:afterAutospacing="0"/>
              <w:ind w:left="0" w:right="0"/>
              <w:rPr>
                <w:rFonts w:hint="eastAsia"/>
                <w:color w:val="auto"/>
                <w:lang w:val="en-US" w:eastAsia="zh-CN"/>
              </w:rPr>
            </w:pPr>
          </w:p>
          <w:p w14:paraId="2955CC1B">
            <w:pPr>
              <w:keepNext w:val="0"/>
              <w:keepLines w:val="0"/>
              <w:suppressLineNumbers w:val="0"/>
              <w:spacing w:before="0" w:beforeAutospacing="0" w:after="0" w:afterAutospacing="0"/>
              <w:ind w:left="0" w:right="0"/>
              <w:rPr>
                <w:rFonts w:hint="eastAsia"/>
                <w:color w:val="auto"/>
                <w:lang w:val="en-US" w:eastAsia="zh-CN"/>
              </w:rPr>
            </w:pPr>
          </w:p>
          <w:p w14:paraId="4752594C">
            <w:pPr>
              <w:keepNext w:val="0"/>
              <w:keepLines w:val="0"/>
              <w:suppressLineNumbers w:val="0"/>
              <w:spacing w:before="0" w:beforeAutospacing="0" w:after="0" w:afterAutospacing="0"/>
              <w:ind w:left="0" w:right="0"/>
              <w:rPr>
                <w:rFonts w:hint="eastAsia"/>
                <w:color w:val="auto"/>
                <w:lang w:val="en-US" w:eastAsia="zh-CN"/>
              </w:rPr>
            </w:pPr>
          </w:p>
          <w:p w14:paraId="297DD6E3">
            <w:pPr>
              <w:keepNext w:val="0"/>
              <w:keepLines w:val="0"/>
              <w:suppressLineNumbers w:val="0"/>
              <w:spacing w:before="0" w:beforeAutospacing="0" w:after="0" w:afterAutospacing="0"/>
              <w:ind w:left="0" w:right="0"/>
              <w:rPr>
                <w:rFonts w:hint="eastAsia"/>
                <w:color w:val="auto"/>
                <w:lang w:val="en-US" w:eastAsia="zh-CN"/>
              </w:rPr>
            </w:pPr>
          </w:p>
          <w:p w14:paraId="552CB799">
            <w:pPr>
              <w:keepNext w:val="0"/>
              <w:keepLines w:val="0"/>
              <w:suppressLineNumbers w:val="0"/>
              <w:spacing w:before="0" w:beforeAutospacing="0" w:after="0" w:afterAutospacing="0"/>
              <w:ind w:left="0" w:right="0"/>
              <w:rPr>
                <w:rFonts w:hint="eastAsia"/>
                <w:color w:val="auto"/>
                <w:lang w:val="en-US" w:eastAsia="zh-CN"/>
              </w:rPr>
            </w:pPr>
          </w:p>
          <w:p w14:paraId="32CDE964">
            <w:pPr>
              <w:keepNext w:val="0"/>
              <w:keepLines w:val="0"/>
              <w:suppressLineNumbers w:val="0"/>
              <w:spacing w:before="0" w:beforeAutospacing="0" w:after="0" w:afterAutospacing="0"/>
              <w:ind w:left="0" w:right="0"/>
              <w:rPr>
                <w:rFonts w:hint="eastAsia"/>
                <w:color w:val="auto"/>
                <w:lang w:val="en-US" w:eastAsia="zh-CN"/>
              </w:rPr>
            </w:pPr>
          </w:p>
          <w:p w14:paraId="246210E6">
            <w:pPr>
              <w:keepNext w:val="0"/>
              <w:keepLines w:val="0"/>
              <w:suppressLineNumbers w:val="0"/>
              <w:spacing w:before="0" w:beforeAutospacing="0" w:after="0" w:afterAutospacing="0"/>
              <w:ind w:left="0" w:right="0"/>
              <w:rPr>
                <w:rFonts w:hint="eastAsia"/>
                <w:color w:val="auto"/>
                <w:lang w:val="en-US" w:eastAsia="zh-CN"/>
              </w:rPr>
            </w:pPr>
          </w:p>
          <w:p w14:paraId="07C05A07">
            <w:pPr>
              <w:keepNext w:val="0"/>
              <w:keepLines w:val="0"/>
              <w:suppressLineNumbers w:val="0"/>
              <w:spacing w:before="0" w:beforeAutospacing="0" w:after="0" w:afterAutospacing="0"/>
              <w:ind w:left="0" w:right="0"/>
              <w:rPr>
                <w:rFonts w:hint="eastAsia"/>
                <w:color w:val="auto"/>
                <w:lang w:val="en-US" w:eastAsia="zh-CN"/>
              </w:rPr>
            </w:pPr>
          </w:p>
          <w:p w14:paraId="19112021">
            <w:pPr>
              <w:keepNext w:val="0"/>
              <w:keepLines w:val="0"/>
              <w:suppressLineNumbers w:val="0"/>
              <w:spacing w:before="0" w:beforeAutospacing="0" w:after="0" w:afterAutospacing="0"/>
              <w:ind w:left="0" w:right="0"/>
              <w:rPr>
                <w:rFonts w:hint="eastAsia"/>
                <w:color w:val="auto"/>
                <w:lang w:val="en-US" w:eastAsia="zh-CN"/>
              </w:rPr>
            </w:pPr>
          </w:p>
          <w:p w14:paraId="5C4D3E18">
            <w:pPr>
              <w:keepNext w:val="0"/>
              <w:keepLines w:val="0"/>
              <w:suppressLineNumbers w:val="0"/>
              <w:spacing w:before="0" w:beforeAutospacing="0" w:after="0" w:afterAutospacing="0"/>
              <w:ind w:left="0" w:right="0"/>
              <w:rPr>
                <w:rFonts w:hint="eastAsia"/>
                <w:color w:val="auto"/>
                <w:lang w:val="en-US" w:eastAsia="zh-CN"/>
              </w:rPr>
            </w:pPr>
          </w:p>
          <w:p w14:paraId="6BD5CE8D">
            <w:pPr>
              <w:keepNext w:val="0"/>
              <w:keepLines w:val="0"/>
              <w:suppressLineNumbers w:val="0"/>
              <w:spacing w:before="0" w:beforeAutospacing="0" w:after="0" w:afterAutospacing="0"/>
              <w:ind w:left="0" w:right="0"/>
              <w:rPr>
                <w:rFonts w:hint="eastAsia"/>
                <w:color w:val="auto"/>
                <w:lang w:val="en-US" w:eastAsia="zh-CN"/>
              </w:rPr>
            </w:pPr>
          </w:p>
          <w:p w14:paraId="7A267B36">
            <w:pPr>
              <w:keepNext w:val="0"/>
              <w:keepLines w:val="0"/>
              <w:suppressLineNumbers w:val="0"/>
              <w:spacing w:before="0" w:beforeAutospacing="0" w:after="0" w:afterAutospacing="0"/>
              <w:ind w:left="0" w:right="0"/>
              <w:rPr>
                <w:rFonts w:hint="eastAsia"/>
                <w:color w:val="auto"/>
                <w:lang w:val="en-US" w:eastAsia="zh-CN"/>
              </w:rPr>
            </w:pPr>
          </w:p>
          <w:p w14:paraId="11EF40FE">
            <w:pPr>
              <w:keepNext w:val="0"/>
              <w:keepLines w:val="0"/>
              <w:suppressLineNumbers w:val="0"/>
              <w:spacing w:before="0" w:beforeAutospacing="0" w:after="0" w:afterAutospacing="0"/>
              <w:ind w:left="0" w:right="0"/>
              <w:rPr>
                <w:rFonts w:hint="eastAsia"/>
                <w:color w:val="auto"/>
                <w:lang w:val="en-US" w:eastAsia="zh-CN"/>
              </w:rPr>
            </w:pPr>
          </w:p>
          <w:p w14:paraId="7D285E92">
            <w:pPr>
              <w:keepNext w:val="0"/>
              <w:keepLines w:val="0"/>
              <w:suppressLineNumbers w:val="0"/>
              <w:spacing w:before="0" w:beforeAutospacing="0" w:after="0" w:afterAutospacing="0"/>
              <w:ind w:left="0" w:right="0"/>
              <w:rPr>
                <w:rFonts w:hint="eastAsia"/>
                <w:color w:val="auto"/>
                <w:lang w:val="en-US" w:eastAsia="zh-CN"/>
              </w:rPr>
            </w:pPr>
          </w:p>
          <w:p w14:paraId="6F69C48C">
            <w:pPr>
              <w:keepNext w:val="0"/>
              <w:keepLines w:val="0"/>
              <w:suppressLineNumbers w:val="0"/>
              <w:spacing w:before="0" w:beforeAutospacing="0" w:after="0" w:afterAutospacing="0"/>
              <w:ind w:left="0" w:right="0"/>
              <w:rPr>
                <w:rFonts w:hint="eastAsia"/>
                <w:color w:val="auto"/>
                <w:lang w:val="en-US" w:eastAsia="zh-CN"/>
              </w:rPr>
            </w:pPr>
          </w:p>
          <w:p w14:paraId="3F7B1E8B">
            <w:pPr>
              <w:keepNext w:val="0"/>
              <w:keepLines w:val="0"/>
              <w:suppressLineNumbers w:val="0"/>
              <w:spacing w:before="0" w:beforeAutospacing="0" w:after="0" w:afterAutospacing="0"/>
              <w:ind w:left="0" w:right="0"/>
              <w:rPr>
                <w:rFonts w:hint="eastAsia"/>
                <w:color w:val="auto"/>
                <w:lang w:val="en-US" w:eastAsia="zh-CN"/>
              </w:rPr>
            </w:pPr>
          </w:p>
          <w:p w14:paraId="3848C0DD">
            <w:pPr>
              <w:keepNext w:val="0"/>
              <w:keepLines w:val="0"/>
              <w:suppressLineNumbers w:val="0"/>
              <w:spacing w:before="0" w:beforeAutospacing="0" w:after="0" w:afterAutospacing="0"/>
              <w:ind w:left="0" w:right="0"/>
              <w:rPr>
                <w:rFonts w:hint="eastAsia"/>
                <w:color w:val="auto"/>
                <w:lang w:val="en-US" w:eastAsia="zh-CN"/>
              </w:rPr>
            </w:pPr>
          </w:p>
          <w:p w14:paraId="64F40732">
            <w:pPr>
              <w:keepNext w:val="0"/>
              <w:keepLines w:val="0"/>
              <w:suppressLineNumbers w:val="0"/>
              <w:spacing w:before="0" w:beforeAutospacing="0" w:after="0" w:afterAutospacing="0"/>
              <w:ind w:left="0" w:leftChars="0" w:right="0" w:firstLine="0" w:firstLineChars="0"/>
              <w:rPr>
                <w:rFonts w:hint="eastAsia"/>
                <w:color w:val="auto"/>
                <w:lang w:val="en-US" w:eastAsia="zh-CN"/>
              </w:rPr>
            </w:pPr>
          </w:p>
        </w:tc>
      </w:tr>
    </w:tbl>
    <w:p w14:paraId="21091CDA">
      <w:pPr>
        <w:pStyle w:val="10"/>
        <w:keepNext w:val="0"/>
        <w:keepLines w:val="0"/>
        <w:suppressLineNumbers w:val="0"/>
        <w:bidi w:val="0"/>
        <w:spacing w:before="0" w:beforeAutospacing="0" w:after="0" w:afterAutospacing="0"/>
        <w:ind w:left="0" w:right="0"/>
        <w:jc w:val="both"/>
        <w:rPr>
          <w:rFonts w:hint="eastAsia" w:ascii="宋体" w:hAnsi="宋体" w:cs="宋体"/>
          <w:b/>
          <w:color w:val="auto"/>
          <w:szCs w:val="28"/>
        </w:rPr>
        <w:sectPr>
          <w:pgSz w:w="11907" w:h="16840"/>
          <w:pgMar w:top="1417" w:right="1531" w:bottom="1417" w:left="1531" w:header="851" w:footer="851" w:gutter="0"/>
          <w:pgBorders>
            <w:top w:val="none" w:sz="0" w:space="0"/>
            <w:left w:val="none" w:sz="0" w:space="0"/>
            <w:bottom w:val="none" w:sz="0" w:space="0"/>
            <w:right w:val="none" w:sz="0" w:space="0"/>
          </w:pgBorders>
          <w:cols w:space="720" w:num="1"/>
          <w:docGrid w:linePitch="312" w:charSpace="0"/>
        </w:sectPr>
      </w:pP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3753"/>
      </w:tblGrid>
      <w:tr w14:paraId="49DB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5" w:type="pct"/>
            <w:vAlign w:val="center"/>
          </w:tcPr>
          <w:p w14:paraId="5A837582">
            <w:pPr>
              <w:pStyle w:val="10"/>
              <w:keepNext w:val="0"/>
              <w:keepLines w:val="0"/>
              <w:suppressLineNumbers w:val="0"/>
              <w:bidi w:val="0"/>
              <w:spacing w:before="0" w:beforeAutospacing="0" w:after="0" w:afterAutospacing="0"/>
              <w:ind w:left="0" w:right="0"/>
              <w:jc w:val="center"/>
              <w:rPr>
                <w:rFonts w:hint="default"/>
                <w:color w:val="auto"/>
              </w:rPr>
            </w:pPr>
            <w:r>
              <w:rPr>
                <w:rFonts w:hint="eastAsia" w:ascii="宋体" w:hAnsi="宋体" w:cs="宋体"/>
                <w:b/>
                <w:color w:val="auto"/>
                <w:szCs w:val="28"/>
              </w:rPr>
              <w:t>运</w:t>
            </w:r>
            <w:r>
              <w:rPr>
                <w:rFonts w:hint="eastAsia"/>
                <w:color w:val="auto"/>
              </w:rPr>
              <w:t>营</w:t>
            </w:r>
          </w:p>
          <w:p w14:paraId="5D894868">
            <w:pPr>
              <w:pStyle w:val="10"/>
              <w:keepNext w:val="0"/>
              <w:keepLines w:val="0"/>
              <w:suppressLineNumbers w:val="0"/>
              <w:bidi w:val="0"/>
              <w:spacing w:before="0" w:beforeAutospacing="0" w:after="0" w:afterAutospacing="0"/>
              <w:ind w:left="0" w:right="0"/>
              <w:jc w:val="center"/>
              <w:rPr>
                <w:rFonts w:hint="default"/>
                <w:color w:val="auto"/>
              </w:rPr>
            </w:pPr>
            <w:r>
              <w:rPr>
                <w:rFonts w:hint="eastAsia"/>
                <w:color w:val="auto"/>
              </w:rPr>
              <w:t>期环</w:t>
            </w:r>
          </w:p>
          <w:p w14:paraId="2A1AED97">
            <w:pPr>
              <w:pStyle w:val="10"/>
              <w:keepNext w:val="0"/>
              <w:keepLines w:val="0"/>
              <w:suppressLineNumbers w:val="0"/>
              <w:bidi w:val="0"/>
              <w:spacing w:before="0" w:beforeAutospacing="0" w:after="0" w:afterAutospacing="0"/>
              <w:ind w:left="0" w:right="0"/>
              <w:jc w:val="center"/>
              <w:rPr>
                <w:rFonts w:hint="default"/>
                <w:color w:val="auto"/>
              </w:rPr>
            </w:pPr>
            <w:r>
              <w:rPr>
                <w:rFonts w:hint="eastAsia"/>
                <w:color w:val="auto"/>
              </w:rPr>
              <w:t>境影</w:t>
            </w:r>
          </w:p>
          <w:p w14:paraId="23AAF9AA">
            <w:pPr>
              <w:pStyle w:val="10"/>
              <w:keepNext w:val="0"/>
              <w:keepLines w:val="0"/>
              <w:suppressLineNumbers w:val="0"/>
              <w:bidi w:val="0"/>
              <w:spacing w:before="0" w:beforeAutospacing="0" w:after="0" w:afterAutospacing="0"/>
              <w:ind w:left="0" w:right="0"/>
              <w:jc w:val="center"/>
              <w:rPr>
                <w:rFonts w:hint="default"/>
                <w:color w:val="auto"/>
              </w:rPr>
            </w:pPr>
            <w:r>
              <w:rPr>
                <w:rFonts w:hint="eastAsia"/>
                <w:color w:val="auto"/>
              </w:rPr>
              <w:t>响和</w:t>
            </w:r>
          </w:p>
          <w:p w14:paraId="0BCFAAC3">
            <w:pPr>
              <w:pStyle w:val="10"/>
              <w:keepNext w:val="0"/>
              <w:keepLines w:val="0"/>
              <w:suppressLineNumbers w:val="0"/>
              <w:bidi w:val="0"/>
              <w:spacing w:before="0" w:beforeAutospacing="0" w:after="0" w:afterAutospacing="0"/>
              <w:ind w:left="0" w:right="0"/>
              <w:jc w:val="center"/>
              <w:rPr>
                <w:rFonts w:hint="default"/>
                <w:color w:val="auto"/>
              </w:rPr>
            </w:pPr>
            <w:r>
              <w:rPr>
                <w:rFonts w:hint="eastAsia"/>
                <w:color w:val="auto"/>
              </w:rPr>
              <w:t>保护</w:t>
            </w:r>
          </w:p>
          <w:p w14:paraId="325603BD">
            <w:pPr>
              <w:pStyle w:val="10"/>
              <w:keepNext w:val="0"/>
              <w:keepLines w:val="0"/>
              <w:suppressLineNumbers w:val="0"/>
              <w:bidi w:val="0"/>
              <w:spacing w:before="0" w:beforeAutospacing="0" w:after="0" w:afterAutospacing="0"/>
              <w:ind w:left="0" w:right="0"/>
              <w:jc w:val="center"/>
              <w:rPr>
                <w:rFonts w:hint="eastAsia" w:ascii="宋体" w:hAnsi="宋体" w:cs="宋体"/>
                <w:b/>
                <w:color w:val="auto"/>
                <w:szCs w:val="28"/>
                <w:vertAlign w:val="baseline"/>
              </w:rPr>
            </w:pPr>
            <w:r>
              <w:rPr>
                <w:rFonts w:hint="eastAsia"/>
                <w:color w:val="auto"/>
              </w:rPr>
              <w:t>措施</w:t>
            </w:r>
          </w:p>
        </w:tc>
        <w:tc>
          <w:tcPr>
            <w:tcW w:w="4834" w:type="pct"/>
          </w:tcPr>
          <w:p w14:paraId="278F9FAD">
            <w:pPr>
              <w:pStyle w:val="3"/>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本项目运营期废气产生及排放情况详见下表</w:t>
            </w:r>
          </w:p>
          <w:p w14:paraId="2BB1C2E6">
            <w:pPr>
              <w:pStyle w:val="5"/>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表4-1                                                  本项目废气产生及排放情况一览表</w:t>
            </w:r>
          </w:p>
          <w:tbl>
            <w:tblPr>
              <w:tblStyle w:val="3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9"/>
              <w:gridCol w:w="409"/>
              <w:gridCol w:w="409"/>
              <w:gridCol w:w="672"/>
              <w:gridCol w:w="954"/>
              <w:gridCol w:w="1130"/>
              <w:gridCol w:w="326"/>
              <w:gridCol w:w="409"/>
              <w:gridCol w:w="640"/>
              <w:gridCol w:w="415"/>
              <w:gridCol w:w="672"/>
              <w:gridCol w:w="954"/>
              <w:gridCol w:w="1095"/>
              <w:gridCol w:w="1242"/>
              <w:gridCol w:w="792"/>
              <w:gridCol w:w="409"/>
              <w:gridCol w:w="409"/>
              <w:gridCol w:w="630"/>
              <w:gridCol w:w="568"/>
              <w:gridCol w:w="993"/>
            </w:tblGrid>
            <w:tr w14:paraId="1D6DD1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 w:type="pct"/>
                  <w:vMerge w:val="restart"/>
                  <w:tcBorders>
                    <w:tl2br w:val="nil"/>
                    <w:tr2bl w:val="nil"/>
                  </w:tcBorders>
                  <w:vAlign w:val="center"/>
                </w:tcPr>
                <w:p w14:paraId="60389BD1">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产污</w:t>
                  </w:r>
                </w:p>
                <w:p w14:paraId="0B091D63">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环节</w:t>
                  </w:r>
                </w:p>
              </w:tc>
              <w:tc>
                <w:tcPr>
                  <w:tcW w:w="151" w:type="pct"/>
                  <w:vMerge w:val="restart"/>
                  <w:tcBorders>
                    <w:tl2br w:val="nil"/>
                    <w:tr2bl w:val="nil"/>
                  </w:tcBorders>
                  <w:vAlign w:val="center"/>
                </w:tcPr>
                <w:p w14:paraId="1FD64254">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工艺</w:t>
                  </w:r>
                </w:p>
              </w:tc>
              <w:tc>
                <w:tcPr>
                  <w:tcW w:w="151" w:type="pct"/>
                  <w:vMerge w:val="restart"/>
                  <w:tcBorders>
                    <w:tl2br w:val="nil"/>
                    <w:tr2bl w:val="nil"/>
                  </w:tcBorders>
                  <w:vAlign w:val="center"/>
                </w:tcPr>
                <w:p w14:paraId="39ABCB9E">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污染物</w:t>
                  </w:r>
                </w:p>
              </w:tc>
              <w:tc>
                <w:tcPr>
                  <w:tcW w:w="1017" w:type="pct"/>
                  <w:gridSpan w:val="3"/>
                  <w:tcBorders>
                    <w:tl2br w:val="nil"/>
                    <w:tr2bl w:val="nil"/>
                  </w:tcBorders>
                  <w:vAlign w:val="center"/>
                </w:tcPr>
                <w:p w14:paraId="555AA9AB">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产生情况</w:t>
                  </w:r>
                </w:p>
              </w:tc>
              <w:tc>
                <w:tcPr>
                  <w:tcW w:w="120" w:type="pct"/>
                  <w:vMerge w:val="restart"/>
                  <w:tcBorders>
                    <w:tl2br w:val="nil"/>
                    <w:tr2bl w:val="nil"/>
                  </w:tcBorders>
                  <w:vAlign w:val="center"/>
                </w:tcPr>
                <w:p w14:paraId="6279BDF4">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排放形式</w:t>
                  </w:r>
                </w:p>
              </w:tc>
              <w:tc>
                <w:tcPr>
                  <w:tcW w:w="540" w:type="pct"/>
                  <w:gridSpan w:val="3"/>
                  <w:tcBorders>
                    <w:tl2br w:val="nil"/>
                    <w:tr2bl w:val="nil"/>
                  </w:tcBorders>
                  <w:vAlign w:val="center"/>
                </w:tcPr>
                <w:p w14:paraId="0B5E16DE">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治理情况</w:t>
                  </w:r>
                </w:p>
              </w:tc>
              <w:tc>
                <w:tcPr>
                  <w:tcW w:w="1005" w:type="pct"/>
                  <w:gridSpan w:val="3"/>
                  <w:tcBorders>
                    <w:tl2br w:val="nil"/>
                    <w:tr2bl w:val="nil"/>
                  </w:tcBorders>
                  <w:vAlign w:val="center"/>
                </w:tcPr>
                <w:p w14:paraId="14101387">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排放情况</w:t>
                  </w:r>
                </w:p>
              </w:tc>
              <w:tc>
                <w:tcPr>
                  <w:tcW w:w="1495" w:type="pct"/>
                  <w:gridSpan w:val="6"/>
                  <w:tcBorders>
                    <w:tl2br w:val="nil"/>
                    <w:tr2bl w:val="nil"/>
                  </w:tcBorders>
                  <w:vAlign w:val="center"/>
                </w:tcPr>
                <w:p w14:paraId="66D481FC">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排气筒参数</w:t>
                  </w:r>
                </w:p>
              </w:tc>
              <w:tc>
                <w:tcPr>
                  <w:tcW w:w="366" w:type="pct"/>
                  <w:vMerge w:val="restart"/>
                  <w:tcBorders>
                    <w:tl2br w:val="nil"/>
                    <w:tr2bl w:val="nil"/>
                  </w:tcBorders>
                  <w:vAlign w:val="center"/>
                </w:tcPr>
                <w:p w14:paraId="61069D28">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排放</w:t>
                  </w:r>
                  <w:r>
                    <w:rPr>
                      <w:rFonts w:hint="eastAsia"/>
                      <w:color w:val="auto"/>
                      <w:sz w:val="21"/>
                      <w:szCs w:val="21"/>
                      <w:lang w:val="en-US" w:eastAsia="zh-CN"/>
                    </w:rPr>
                    <w:t>限值（</w:t>
                  </w:r>
                  <w:r>
                    <w:rPr>
                      <w:rFonts w:hint="default"/>
                      <w:color w:val="auto"/>
                      <w:sz w:val="21"/>
                      <w:szCs w:val="21"/>
                      <w:highlight w:val="none"/>
                      <w:lang w:val="en-US" w:eastAsia="zh-CN"/>
                    </w:rPr>
                    <w:t>mg/</w:t>
                  </w:r>
                  <w:r>
                    <w:rPr>
                      <w:rFonts w:hint="eastAsia"/>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³</w:t>
                  </w:r>
                  <w:r>
                    <w:rPr>
                      <w:rFonts w:hint="eastAsia"/>
                      <w:color w:val="auto"/>
                      <w:sz w:val="21"/>
                      <w:szCs w:val="21"/>
                      <w:highlight w:val="none"/>
                      <w:lang w:val="en-US" w:eastAsia="zh-CN"/>
                    </w:rPr>
                    <w:t>)</w:t>
                  </w:r>
                </w:p>
              </w:tc>
            </w:tr>
            <w:tr w14:paraId="23B71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 w:type="pct"/>
                  <w:vMerge w:val="continue"/>
                  <w:tcBorders>
                    <w:tl2br w:val="nil"/>
                    <w:tr2bl w:val="nil"/>
                  </w:tcBorders>
                  <w:vAlign w:val="center"/>
                </w:tcPr>
                <w:p w14:paraId="211B4ED7">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ascii="Times New Roman" w:hAnsi="Times New Roman" w:eastAsia="宋体" w:cs="Times New Roman"/>
                      <w:color w:val="auto"/>
                      <w:sz w:val="21"/>
                      <w:szCs w:val="21"/>
                      <w:lang w:val="en-US" w:eastAsia="zh-CN"/>
                    </w:rPr>
                  </w:pPr>
                </w:p>
              </w:tc>
              <w:tc>
                <w:tcPr>
                  <w:tcW w:w="151" w:type="pct"/>
                  <w:vMerge w:val="continue"/>
                  <w:tcBorders>
                    <w:tl2br w:val="nil"/>
                    <w:tr2bl w:val="nil"/>
                  </w:tcBorders>
                  <w:vAlign w:val="center"/>
                </w:tcPr>
                <w:p w14:paraId="26121E8A">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p>
              </w:tc>
              <w:tc>
                <w:tcPr>
                  <w:tcW w:w="151" w:type="pct"/>
                  <w:vMerge w:val="continue"/>
                  <w:tcBorders>
                    <w:tl2br w:val="nil"/>
                    <w:tr2bl w:val="nil"/>
                  </w:tcBorders>
                  <w:vAlign w:val="center"/>
                </w:tcPr>
                <w:p w14:paraId="568E4077">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p>
              </w:tc>
              <w:tc>
                <w:tcPr>
                  <w:tcW w:w="248" w:type="pct"/>
                  <w:tcBorders>
                    <w:tl2br w:val="nil"/>
                    <w:tr2bl w:val="nil"/>
                  </w:tcBorders>
                  <w:vAlign w:val="center"/>
                </w:tcPr>
                <w:p w14:paraId="6D0A46C7">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产生量</w:t>
                  </w:r>
                  <w:r>
                    <w:rPr>
                      <w:rFonts w:hint="eastAsia"/>
                      <w:color w:val="auto"/>
                      <w:sz w:val="21"/>
                      <w:szCs w:val="21"/>
                      <w:lang w:val="en-US" w:eastAsia="zh-CN"/>
                    </w:rPr>
                    <w:t>（</w:t>
                  </w:r>
                  <w:r>
                    <w:rPr>
                      <w:rFonts w:hint="eastAsia"/>
                      <w:color w:val="auto"/>
                      <w:sz w:val="21"/>
                      <w:szCs w:val="21"/>
                      <w:highlight w:val="none"/>
                      <w:lang w:val="en-US" w:eastAsia="zh-CN"/>
                    </w:rPr>
                    <w:t>t</w:t>
                  </w:r>
                  <w:r>
                    <w:rPr>
                      <w:rFonts w:hint="default"/>
                      <w:color w:val="auto"/>
                      <w:sz w:val="21"/>
                      <w:szCs w:val="21"/>
                      <w:lang w:val="en-US" w:eastAsia="zh-CN"/>
                    </w:rPr>
                    <w:t>/a</w:t>
                  </w:r>
                  <w:r>
                    <w:rPr>
                      <w:rFonts w:hint="eastAsia"/>
                      <w:color w:val="auto"/>
                      <w:sz w:val="21"/>
                      <w:szCs w:val="21"/>
                      <w:lang w:val="en-US" w:eastAsia="zh-CN"/>
                    </w:rPr>
                    <w:t>)</w:t>
                  </w:r>
                </w:p>
              </w:tc>
              <w:tc>
                <w:tcPr>
                  <w:tcW w:w="352" w:type="pct"/>
                  <w:tcBorders>
                    <w:tl2br w:val="nil"/>
                    <w:tr2bl w:val="nil"/>
                  </w:tcBorders>
                  <w:vAlign w:val="center"/>
                </w:tcPr>
                <w:p w14:paraId="21382001">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产生速率（kg/h）</w:t>
                  </w:r>
                </w:p>
              </w:tc>
              <w:tc>
                <w:tcPr>
                  <w:tcW w:w="417" w:type="pct"/>
                  <w:tcBorders>
                    <w:tl2br w:val="nil"/>
                    <w:tr2bl w:val="nil"/>
                  </w:tcBorders>
                  <w:vAlign w:val="center"/>
                </w:tcPr>
                <w:p w14:paraId="1532BA4D">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default"/>
                      <w:color w:val="auto"/>
                      <w:sz w:val="21"/>
                      <w:szCs w:val="21"/>
                      <w:highlight w:val="none"/>
                      <w:lang w:val="en-US" w:eastAsia="zh-CN"/>
                    </w:rPr>
                    <w:t>产生浓度</w:t>
                  </w:r>
                  <w:r>
                    <w:rPr>
                      <w:rFonts w:hint="eastAsia"/>
                      <w:color w:val="auto"/>
                      <w:sz w:val="21"/>
                      <w:szCs w:val="21"/>
                      <w:highlight w:val="none"/>
                      <w:lang w:val="en-US" w:eastAsia="zh-CN"/>
                    </w:rPr>
                    <w:t>（</w:t>
                  </w:r>
                  <w:r>
                    <w:rPr>
                      <w:rFonts w:hint="default"/>
                      <w:color w:val="auto"/>
                      <w:sz w:val="21"/>
                      <w:szCs w:val="21"/>
                      <w:highlight w:val="none"/>
                      <w:lang w:val="en-US" w:eastAsia="zh-CN"/>
                    </w:rPr>
                    <w:t>mg/</w:t>
                  </w:r>
                  <w:r>
                    <w:rPr>
                      <w:rFonts w:hint="eastAsia"/>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³</w:t>
                  </w:r>
                  <w:r>
                    <w:rPr>
                      <w:rFonts w:hint="eastAsia"/>
                      <w:color w:val="auto"/>
                      <w:sz w:val="21"/>
                      <w:szCs w:val="21"/>
                      <w:highlight w:val="none"/>
                      <w:lang w:val="en-US" w:eastAsia="zh-CN"/>
                    </w:rPr>
                    <w:t>)</w:t>
                  </w:r>
                </w:p>
              </w:tc>
              <w:tc>
                <w:tcPr>
                  <w:tcW w:w="120" w:type="pct"/>
                  <w:vMerge w:val="continue"/>
                  <w:tcBorders>
                    <w:tl2br w:val="nil"/>
                    <w:tr2bl w:val="nil"/>
                  </w:tcBorders>
                  <w:vAlign w:val="center"/>
                </w:tcPr>
                <w:p w14:paraId="5B1D8B35">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p>
              </w:tc>
              <w:tc>
                <w:tcPr>
                  <w:tcW w:w="151" w:type="pct"/>
                  <w:tcBorders>
                    <w:tl2br w:val="nil"/>
                    <w:tr2bl w:val="nil"/>
                  </w:tcBorders>
                  <w:vAlign w:val="center"/>
                </w:tcPr>
                <w:p w14:paraId="6F45E682">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治理</w:t>
                  </w:r>
                  <w:r>
                    <w:rPr>
                      <w:rFonts w:hint="default"/>
                      <w:color w:val="auto"/>
                      <w:sz w:val="21"/>
                      <w:szCs w:val="21"/>
                      <w:highlight w:val="none"/>
                      <w:lang w:val="en-US" w:eastAsia="zh-CN"/>
                    </w:rPr>
                    <w:t>措施</w:t>
                  </w:r>
                </w:p>
              </w:tc>
              <w:tc>
                <w:tcPr>
                  <w:tcW w:w="236" w:type="pct"/>
                  <w:tcBorders>
                    <w:tl2br w:val="nil"/>
                    <w:tr2bl w:val="nil"/>
                  </w:tcBorders>
                  <w:vAlign w:val="center"/>
                </w:tcPr>
                <w:p w14:paraId="13D4BAA6">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default"/>
                      <w:color w:val="auto"/>
                      <w:sz w:val="21"/>
                      <w:szCs w:val="21"/>
                      <w:highlight w:val="none"/>
                      <w:lang w:val="en-US" w:eastAsia="zh-CN"/>
                    </w:rPr>
                    <w:t>去除率</w:t>
                  </w:r>
                </w:p>
              </w:tc>
              <w:tc>
                <w:tcPr>
                  <w:tcW w:w="153" w:type="pct"/>
                  <w:tcBorders>
                    <w:tl2br w:val="nil"/>
                    <w:tr2bl w:val="nil"/>
                  </w:tcBorders>
                  <w:vAlign w:val="center"/>
                </w:tcPr>
                <w:p w14:paraId="4E280AE3">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default"/>
                      <w:color w:val="auto"/>
                      <w:sz w:val="21"/>
                      <w:szCs w:val="21"/>
                      <w:highlight w:val="none"/>
                      <w:lang w:val="en-US" w:eastAsia="zh-CN"/>
                    </w:rPr>
                    <w:t>是否可行</w:t>
                  </w:r>
                </w:p>
              </w:tc>
              <w:tc>
                <w:tcPr>
                  <w:tcW w:w="248" w:type="pct"/>
                  <w:tcBorders>
                    <w:tl2br w:val="nil"/>
                    <w:tr2bl w:val="nil"/>
                  </w:tcBorders>
                  <w:vAlign w:val="center"/>
                </w:tcPr>
                <w:p w14:paraId="21DE0F11">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default"/>
                      <w:color w:val="auto"/>
                      <w:sz w:val="21"/>
                      <w:szCs w:val="21"/>
                      <w:highlight w:val="none"/>
                      <w:lang w:val="en-US" w:eastAsia="zh-CN"/>
                    </w:rPr>
                    <w:t>排放量</w:t>
                  </w:r>
                  <w:r>
                    <w:rPr>
                      <w:rFonts w:hint="eastAsia"/>
                      <w:color w:val="auto"/>
                      <w:sz w:val="21"/>
                      <w:szCs w:val="21"/>
                      <w:highlight w:val="none"/>
                      <w:lang w:val="en-US" w:eastAsia="zh-CN"/>
                    </w:rPr>
                    <w:t>(t</w:t>
                  </w:r>
                  <w:r>
                    <w:rPr>
                      <w:rFonts w:hint="default"/>
                      <w:color w:val="auto"/>
                      <w:sz w:val="21"/>
                      <w:szCs w:val="21"/>
                      <w:highlight w:val="none"/>
                      <w:lang w:val="en-US" w:eastAsia="zh-CN"/>
                    </w:rPr>
                    <w:t>/a</w:t>
                  </w:r>
                  <w:r>
                    <w:rPr>
                      <w:rFonts w:hint="eastAsia"/>
                      <w:color w:val="auto"/>
                      <w:sz w:val="21"/>
                      <w:szCs w:val="21"/>
                      <w:highlight w:val="none"/>
                      <w:lang w:val="en-US" w:eastAsia="zh-CN"/>
                    </w:rPr>
                    <w:t>)</w:t>
                  </w:r>
                </w:p>
              </w:tc>
              <w:tc>
                <w:tcPr>
                  <w:tcW w:w="352" w:type="pct"/>
                  <w:tcBorders>
                    <w:tl2br w:val="nil"/>
                    <w:tr2bl w:val="nil"/>
                  </w:tcBorders>
                  <w:vAlign w:val="center"/>
                </w:tcPr>
                <w:p w14:paraId="02CEEE7D">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lang w:val="en-US" w:eastAsia="zh-CN"/>
                    </w:rPr>
                    <w:t>排放速率（kg/h）</w:t>
                  </w:r>
                </w:p>
              </w:tc>
              <w:tc>
                <w:tcPr>
                  <w:tcW w:w="404" w:type="pct"/>
                  <w:tcBorders>
                    <w:tl2br w:val="nil"/>
                    <w:tr2bl w:val="nil"/>
                  </w:tcBorders>
                  <w:vAlign w:val="center"/>
                </w:tcPr>
                <w:p w14:paraId="2F6FCF65">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default"/>
                      <w:color w:val="auto"/>
                      <w:sz w:val="21"/>
                      <w:szCs w:val="21"/>
                      <w:highlight w:val="none"/>
                      <w:lang w:val="en-US" w:eastAsia="zh-CN"/>
                    </w:rPr>
                    <w:t>排放浓度</w:t>
                  </w:r>
                  <w:r>
                    <w:rPr>
                      <w:rFonts w:hint="eastAsia"/>
                      <w:color w:val="auto"/>
                      <w:sz w:val="21"/>
                      <w:szCs w:val="21"/>
                      <w:highlight w:val="none"/>
                      <w:lang w:val="en-US" w:eastAsia="zh-CN"/>
                    </w:rPr>
                    <w:t>（</w:t>
                  </w:r>
                  <w:r>
                    <w:rPr>
                      <w:rFonts w:hint="default"/>
                      <w:color w:val="auto"/>
                      <w:sz w:val="21"/>
                      <w:szCs w:val="21"/>
                      <w:highlight w:val="none"/>
                      <w:lang w:val="en-US" w:eastAsia="zh-CN"/>
                    </w:rPr>
                    <w:t>mg/</w:t>
                  </w:r>
                  <w:r>
                    <w:rPr>
                      <w:rFonts w:hint="eastAsia"/>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³</w:t>
                  </w:r>
                  <w:r>
                    <w:rPr>
                      <w:rFonts w:hint="eastAsia"/>
                      <w:color w:val="auto"/>
                      <w:sz w:val="21"/>
                      <w:szCs w:val="21"/>
                      <w:highlight w:val="none"/>
                      <w:lang w:val="en-US" w:eastAsia="zh-CN"/>
                    </w:rPr>
                    <w:t>)</w:t>
                  </w:r>
                </w:p>
              </w:tc>
              <w:tc>
                <w:tcPr>
                  <w:tcW w:w="458" w:type="pct"/>
                  <w:tcBorders>
                    <w:tl2br w:val="nil"/>
                    <w:tr2bl w:val="nil"/>
                  </w:tcBorders>
                  <w:vAlign w:val="center"/>
                </w:tcPr>
                <w:p w14:paraId="077A8794">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地理坐标</w:t>
                  </w:r>
                </w:p>
              </w:tc>
              <w:tc>
                <w:tcPr>
                  <w:tcW w:w="292" w:type="pct"/>
                  <w:tcBorders>
                    <w:tl2br w:val="nil"/>
                    <w:tr2bl w:val="nil"/>
                  </w:tcBorders>
                  <w:vAlign w:val="center"/>
                </w:tcPr>
                <w:p w14:paraId="7789C8BA">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编号</w:t>
                  </w:r>
                </w:p>
              </w:tc>
              <w:tc>
                <w:tcPr>
                  <w:tcW w:w="151" w:type="pct"/>
                  <w:tcBorders>
                    <w:tl2br w:val="nil"/>
                    <w:tr2bl w:val="nil"/>
                  </w:tcBorders>
                  <w:vAlign w:val="center"/>
                </w:tcPr>
                <w:p w14:paraId="2852305F">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名称</w:t>
                  </w:r>
                </w:p>
              </w:tc>
              <w:tc>
                <w:tcPr>
                  <w:tcW w:w="151" w:type="pct"/>
                  <w:tcBorders>
                    <w:tl2br w:val="nil"/>
                    <w:tr2bl w:val="nil"/>
                  </w:tcBorders>
                  <w:vAlign w:val="center"/>
                </w:tcPr>
                <w:p w14:paraId="7D22BD32">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类型</w:t>
                  </w:r>
                </w:p>
              </w:tc>
              <w:tc>
                <w:tcPr>
                  <w:tcW w:w="232" w:type="pct"/>
                  <w:tcBorders>
                    <w:tl2br w:val="nil"/>
                    <w:tr2bl w:val="nil"/>
                  </w:tcBorders>
                  <w:vAlign w:val="center"/>
                </w:tcPr>
                <w:p w14:paraId="7B6B7E5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高度</w:t>
                  </w:r>
                  <w:r>
                    <w:rPr>
                      <w:rFonts w:hint="eastAsia"/>
                      <w:color w:val="auto"/>
                      <w:sz w:val="21"/>
                      <w:szCs w:val="21"/>
                      <w:lang w:val="en-US" w:eastAsia="zh-CN"/>
                    </w:rPr>
                    <w:t>（</w:t>
                  </w:r>
                  <w:r>
                    <w:rPr>
                      <w:rFonts w:hint="default"/>
                      <w:color w:val="auto"/>
                      <w:sz w:val="21"/>
                      <w:szCs w:val="21"/>
                      <w:lang w:val="en-US" w:eastAsia="zh-CN"/>
                    </w:rPr>
                    <w:t>m</w:t>
                  </w:r>
                  <w:r>
                    <w:rPr>
                      <w:rFonts w:hint="eastAsia"/>
                      <w:color w:val="auto"/>
                      <w:sz w:val="21"/>
                      <w:szCs w:val="21"/>
                      <w:lang w:val="en-US" w:eastAsia="zh-CN"/>
                    </w:rPr>
                    <w:t>)</w:t>
                  </w:r>
                </w:p>
              </w:tc>
              <w:tc>
                <w:tcPr>
                  <w:tcW w:w="209" w:type="pct"/>
                  <w:tcBorders>
                    <w:tl2br w:val="nil"/>
                    <w:tr2bl w:val="nil"/>
                  </w:tcBorders>
                  <w:vAlign w:val="center"/>
                </w:tcPr>
                <w:p w14:paraId="0675420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default"/>
                      <w:color w:val="auto"/>
                      <w:sz w:val="21"/>
                      <w:szCs w:val="21"/>
                      <w:lang w:val="en-US" w:eastAsia="zh-CN"/>
                    </w:rPr>
                    <w:t>内径</w:t>
                  </w:r>
                </w:p>
                <w:p w14:paraId="289197B1">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(m)</w:t>
                  </w:r>
                </w:p>
              </w:tc>
              <w:tc>
                <w:tcPr>
                  <w:tcW w:w="366" w:type="pct"/>
                  <w:vMerge w:val="continue"/>
                  <w:tcBorders>
                    <w:tl2br w:val="nil"/>
                    <w:tr2bl w:val="nil"/>
                  </w:tcBorders>
                  <w:vAlign w:val="center"/>
                </w:tcPr>
                <w:p w14:paraId="17E7D625">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p>
              </w:tc>
            </w:tr>
            <w:tr w14:paraId="4BB6D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 w:type="pct"/>
                  <w:vMerge w:val="restart"/>
                  <w:tcBorders>
                    <w:tl2br w:val="nil"/>
                    <w:tr2bl w:val="nil"/>
                  </w:tcBorders>
                  <w:vAlign w:val="center"/>
                </w:tcPr>
                <w:p w14:paraId="43A77735">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喷砂工序</w:t>
                  </w:r>
                </w:p>
              </w:tc>
              <w:tc>
                <w:tcPr>
                  <w:tcW w:w="151" w:type="pct"/>
                  <w:vMerge w:val="restart"/>
                  <w:tcBorders>
                    <w:tl2br w:val="nil"/>
                    <w:tr2bl w:val="nil"/>
                  </w:tcBorders>
                  <w:vAlign w:val="center"/>
                </w:tcPr>
                <w:p w14:paraId="2EEBC5EE">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喷砂废气</w:t>
                  </w:r>
                </w:p>
              </w:tc>
              <w:tc>
                <w:tcPr>
                  <w:tcW w:w="151" w:type="pct"/>
                  <w:vMerge w:val="restart"/>
                  <w:tcBorders>
                    <w:tl2br w:val="nil"/>
                    <w:tr2bl w:val="nil"/>
                  </w:tcBorders>
                  <w:vAlign w:val="center"/>
                </w:tcPr>
                <w:p w14:paraId="2A2540B8">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颗粒物</w:t>
                  </w:r>
                </w:p>
              </w:tc>
              <w:tc>
                <w:tcPr>
                  <w:tcW w:w="248" w:type="pct"/>
                  <w:tcBorders>
                    <w:tl2br w:val="nil"/>
                    <w:tr2bl w:val="nil"/>
                  </w:tcBorders>
                  <w:shd w:val="clear" w:color="auto" w:fill="auto"/>
                  <w:vAlign w:val="center"/>
                </w:tcPr>
                <w:p w14:paraId="581E5223">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0.851</w:t>
                  </w:r>
                </w:p>
              </w:tc>
              <w:tc>
                <w:tcPr>
                  <w:tcW w:w="352" w:type="pct"/>
                  <w:tcBorders>
                    <w:tl2br w:val="nil"/>
                    <w:tr2bl w:val="nil"/>
                  </w:tcBorders>
                  <w:shd w:val="clear" w:color="auto" w:fill="auto"/>
                  <w:vAlign w:val="center"/>
                </w:tcPr>
                <w:p w14:paraId="5AC8A438">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0.099</w:t>
                  </w:r>
                </w:p>
              </w:tc>
              <w:tc>
                <w:tcPr>
                  <w:tcW w:w="417" w:type="pct"/>
                  <w:tcBorders>
                    <w:tl2br w:val="nil"/>
                    <w:tr2bl w:val="nil"/>
                  </w:tcBorders>
                  <w:shd w:val="clear" w:color="auto" w:fill="auto"/>
                  <w:vAlign w:val="center"/>
                </w:tcPr>
                <w:p w14:paraId="2CAF0B52">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19.71</w:t>
                  </w:r>
                </w:p>
              </w:tc>
              <w:tc>
                <w:tcPr>
                  <w:tcW w:w="120" w:type="pct"/>
                  <w:tcBorders>
                    <w:tl2br w:val="nil"/>
                    <w:tr2bl w:val="nil"/>
                  </w:tcBorders>
                  <w:vAlign w:val="center"/>
                </w:tcPr>
                <w:p w14:paraId="25918D04">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有组织</w:t>
                  </w:r>
                </w:p>
              </w:tc>
              <w:tc>
                <w:tcPr>
                  <w:tcW w:w="151" w:type="pct"/>
                  <w:tcBorders>
                    <w:tl2br w:val="nil"/>
                    <w:tr2bl w:val="nil"/>
                  </w:tcBorders>
                  <w:vAlign w:val="center"/>
                </w:tcPr>
                <w:p w14:paraId="208354A5">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布袋除尘器</w:t>
                  </w:r>
                </w:p>
              </w:tc>
              <w:tc>
                <w:tcPr>
                  <w:tcW w:w="236" w:type="pct"/>
                  <w:tcBorders>
                    <w:tl2br w:val="nil"/>
                    <w:tr2bl w:val="nil"/>
                  </w:tcBorders>
                  <w:vAlign w:val="center"/>
                </w:tcPr>
                <w:p w14:paraId="44228D7C">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99%</w:t>
                  </w:r>
                </w:p>
              </w:tc>
              <w:tc>
                <w:tcPr>
                  <w:tcW w:w="153" w:type="pct"/>
                  <w:tcBorders>
                    <w:tl2br w:val="nil"/>
                    <w:tr2bl w:val="nil"/>
                  </w:tcBorders>
                  <w:vAlign w:val="center"/>
                </w:tcPr>
                <w:p w14:paraId="5985B67D">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是</w:t>
                  </w:r>
                </w:p>
              </w:tc>
              <w:tc>
                <w:tcPr>
                  <w:tcW w:w="248" w:type="pct"/>
                  <w:tcBorders>
                    <w:tl2br w:val="nil"/>
                    <w:tr2bl w:val="nil"/>
                  </w:tcBorders>
                  <w:shd w:val="clear" w:color="auto" w:fill="auto"/>
                  <w:vAlign w:val="center"/>
                </w:tcPr>
                <w:p w14:paraId="0D16CFDA">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0.0009</w:t>
                  </w:r>
                </w:p>
              </w:tc>
              <w:tc>
                <w:tcPr>
                  <w:tcW w:w="352" w:type="pct"/>
                  <w:tcBorders>
                    <w:tl2br w:val="nil"/>
                    <w:tr2bl w:val="nil"/>
                  </w:tcBorders>
                  <w:shd w:val="clear" w:color="auto" w:fill="auto"/>
                  <w:vAlign w:val="center"/>
                </w:tcPr>
                <w:p w14:paraId="289C534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highlight w:val="none"/>
                      <w:lang w:val="en-US" w:eastAsia="zh-CN"/>
                    </w:rPr>
                  </w:pPr>
                  <w:r>
                    <w:rPr>
                      <w:rFonts w:hint="eastAsia"/>
                      <w:color w:val="auto"/>
                      <w:sz w:val="21"/>
                      <w:szCs w:val="21"/>
                      <w:highlight w:val="none"/>
                      <w:lang w:val="en-US" w:eastAsia="zh-CN"/>
                    </w:rPr>
                    <w:t>0.001</w:t>
                  </w:r>
                </w:p>
              </w:tc>
              <w:tc>
                <w:tcPr>
                  <w:tcW w:w="404" w:type="pct"/>
                  <w:tcBorders>
                    <w:tl2br w:val="nil"/>
                    <w:tr2bl w:val="nil"/>
                  </w:tcBorders>
                  <w:shd w:val="clear" w:color="auto" w:fill="auto"/>
                  <w:vAlign w:val="center"/>
                </w:tcPr>
                <w:p w14:paraId="335E4726">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0.197</w:t>
                  </w:r>
                </w:p>
              </w:tc>
              <w:tc>
                <w:tcPr>
                  <w:tcW w:w="458" w:type="pct"/>
                  <w:tcBorders>
                    <w:tl2br w:val="nil"/>
                    <w:tr2bl w:val="nil"/>
                  </w:tcBorders>
                  <w:vAlign w:val="center"/>
                </w:tcPr>
                <w:p w14:paraId="113F0296">
                  <w:pPr>
                    <w:pStyle w:val="7"/>
                    <w:keepNext w:val="0"/>
                    <w:keepLines w:val="0"/>
                    <w:suppressLineNumbers w:val="0"/>
                    <w:bidi w:val="0"/>
                    <w:spacing w:before="0" w:beforeAutospacing="0" w:after="0" w:afterAutospacing="0"/>
                    <w:ind w:left="0" w:right="0"/>
                    <w:rPr>
                      <w:rFonts w:hint="default" w:ascii="Times New Roman" w:hAnsi="Times New Roman" w:cs="Times New Roman"/>
                      <w:color w:val="auto"/>
                    </w:rPr>
                  </w:pPr>
                  <w:r>
                    <w:rPr>
                      <w:rFonts w:hint="eastAsia"/>
                      <w:color w:val="auto"/>
                      <w:lang w:val="en-US" w:eastAsia="zh-CN"/>
                    </w:rPr>
                    <w:t>东经</w:t>
                  </w:r>
                  <w:r>
                    <w:rPr>
                      <w:rFonts w:hint="default" w:ascii="Times New Roman" w:hAnsi="Times New Roman" w:cs="Times New Roman"/>
                      <w:color w:val="auto"/>
                    </w:rPr>
                    <w:t>84°2′13.936″</w:t>
                  </w:r>
                </w:p>
                <w:p w14:paraId="39B247F8">
                  <w:pPr>
                    <w:pStyle w:val="7"/>
                    <w:keepNext w:val="0"/>
                    <w:keepLines w:val="0"/>
                    <w:suppressLineNumbers w:val="0"/>
                    <w:bidi w:val="0"/>
                    <w:spacing w:before="0" w:beforeAutospacing="0" w:after="0" w:afterAutospacing="0"/>
                    <w:ind w:left="0" w:right="0"/>
                    <w:rPr>
                      <w:rFonts w:hint="eastAsia"/>
                      <w:color w:val="auto"/>
                      <w:lang w:val="en-US" w:eastAsia="zh-CN"/>
                    </w:rPr>
                  </w:pPr>
                  <w:r>
                    <w:rPr>
                      <w:rFonts w:hint="eastAsia" w:ascii="Times New Roman" w:hAnsi="Times New Roman" w:cs="Times New Roman"/>
                      <w:color w:val="auto"/>
                      <w:lang w:val="en-US" w:eastAsia="zh-CN"/>
                    </w:rPr>
                    <w:t>北纬</w:t>
                  </w:r>
                  <w:r>
                    <w:rPr>
                      <w:rFonts w:hint="default" w:ascii="Times New Roman" w:hAnsi="Times New Roman" w:cs="Times New Roman"/>
                      <w:color w:val="auto"/>
                      <w:lang w:eastAsia="zh-CN"/>
                    </w:rPr>
                    <w:t>41°49′4.812″</w:t>
                  </w:r>
                </w:p>
              </w:tc>
              <w:tc>
                <w:tcPr>
                  <w:tcW w:w="292" w:type="pct"/>
                  <w:tcBorders>
                    <w:tl2br w:val="nil"/>
                    <w:tr2bl w:val="nil"/>
                  </w:tcBorders>
                  <w:vAlign w:val="center"/>
                </w:tcPr>
                <w:p w14:paraId="38CE6D12">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DA001</w:t>
                  </w:r>
                </w:p>
              </w:tc>
              <w:tc>
                <w:tcPr>
                  <w:tcW w:w="151" w:type="pct"/>
                  <w:tcBorders>
                    <w:tl2br w:val="nil"/>
                    <w:tr2bl w:val="nil"/>
                  </w:tcBorders>
                  <w:vAlign w:val="center"/>
                </w:tcPr>
                <w:p w14:paraId="010FCDA1">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lang w:val="en-US" w:eastAsia="zh-CN"/>
                    </w:rPr>
                  </w:pPr>
                  <w:r>
                    <w:rPr>
                      <w:rFonts w:hint="eastAsia"/>
                      <w:color w:val="auto"/>
                      <w:sz w:val="21"/>
                      <w:szCs w:val="21"/>
                      <w:lang w:val="en-US" w:eastAsia="zh-CN"/>
                    </w:rPr>
                    <w:t>颗粒物排放口</w:t>
                  </w:r>
                </w:p>
              </w:tc>
              <w:tc>
                <w:tcPr>
                  <w:tcW w:w="151" w:type="pct"/>
                  <w:tcBorders>
                    <w:tl2br w:val="nil"/>
                    <w:tr2bl w:val="nil"/>
                  </w:tcBorders>
                  <w:vAlign w:val="center"/>
                </w:tcPr>
                <w:p w14:paraId="562C03F3">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lang w:val="en-US" w:eastAsia="zh-CN"/>
                    </w:rPr>
                  </w:pPr>
                  <w:r>
                    <w:rPr>
                      <w:rFonts w:hint="eastAsia"/>
                      <w:color w:val="auto"/>
                      <w:sz w:val="21"/>
                      <w:szCs w:val="21"/>
                      <w:lang w:val="en-US" w:eastAsia="zh-CN"/>
                    </w:rPr>
                    <w:t>一般排放口</w:t>
                  </w:r>
                </w:p>
              </w:tc>
              <w:tc>
                <w:tcPr>
                  <w:tcW w:w="232" w:type="pct"/>
                  <w:tcBorders>
                    <w:tl2br w:val="nil"/>
                    <w:tr2bl w:val="nil"/>
                  </w:tcBorders>
                  <w:vAlign w:val="center"/>
                </w:tcPr>
                <w:p w14:paraId="203AAB8F">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15</w:t>
                  </w:r>
                </w:p>
              </w:tc>
              <w:tc>
                <w:tcPr>
                  <w:tcW w:w="209" w:type="pct"/>
                  <w:tcBorders>
                    <w:tl2br w:val="nil"/>
                    <w:tr2bl w:val="nil"/>
                  </w:tcBorders>
                  <w:vAlign w:val="center"/>
                </w:tcPr>
                <w:p w14:paraId="4350AAB3">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0.5</w:t>
                  </w:r>
                </w:p>
              </w:tc>
              <w:tc>
                <w:tcPr>
                  <w:tcW w:w="366" w:type="pct"/>
                  <w:tcBorders>
                    <w:tl2br w:val="nil"/>
                    <w:tr2bl w:val="nil"/>
                  </w:tcBorders>
                  <w:vAlign w:val="center"/>
                </w:tcPr>
                <w:p w14:paraId="4DDA93C2">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30</w:t>
                  </w:r>
                </w:p>
              </w:tc>
            </w:tr>
            <w:tr w14:paraId="62438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 w:type="pct"/>
                  <w:vMerge w:val="continue"/>
                  <w:tcBorders>
                    <w:tl2br w:val="nil"/>
                    <w:tr2bl w:val="nil"/>
                  </w:tcBorders>
                  <w:vAlign w:val="center"/>
                </w:tcPr>
                <w:p w14:paraId="581E6154">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rPr>
                  </w:pPr>
                </w:p>
              </w:tc>
              <w:tc>
                <w:tcPr>
                  <w:tcW w:w="151" w:type="pct"/>
                  <w:vMerge w:val="continue"/>
                  <w:tcBorders>
                    <w:tl2br w:val="nil"/>
                    <w:tr2bl w:val="nil"/>
                  </w:tcBorders>
                  <w:vAlign w:val="center"/>
                </w:tcPr>
                <w:p w14:paraId="4B877BA6">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lang w:val="en-US" w:eastAsia="zh-CN"/>
                    </w:rPr>
                  </w:pPr>
                </w:p>
              </w:tc>
              <w:tc>
                <w:tcPr>
                  <w:tcW w:w="151" w:type="pct"/>
                  <w:vMerge w:val="continue"/>
                  <w:tcBorders>
                    <w:tl2br w:val="nil"/>
                    <w:tr2bl w:val="nil"/>
                  </w:tcBorders>
                  <w:vAlign w:val="center"/>
                </w:tcPr>
                <w:p w14:paraId="26ED95FE">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lang w:val="en-US" w:eastAsia="zh-CN"/>
                    </w:rPr>
                  </w:pPr>
                </w:p>
              </w:tc>
              <w:tc>
                <w:tcPr>
                  <w:tcW w:w="248" w:type="pct"/>
                  <w:tcBorders>
                    <w:tl2br w:val="nil"/>
                    <w:tr2bl w:val="nil"/>
                  </w:tcBorders>
                  <w:shd w:val="clear" w:color="auto" w:fill="auto"/>
                  <w:vAlign w:val="center"/>
                </w:tcPr>
                <w:p w14:paraId="5C5F0A8A">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0.009</w:t>
                  </w:r>
                </w:p>
              </w:tc>
              <w:tc>
                <w:tcPr>
                  <w:tcW w:w="352" w:type="pct"/>
                  <w:tcBorders>
                    <w:tl2br w:val="nil"/>
                    <w:tr2bl w:val="nil"/>
                  </w:tcBorders>
                  <w:shd w:val="clear" w:color="auto" w:fill="auto"/>
                  <w:vAlign w:val="center"/>
                </w:tcPr>
                <w:p w14:paraId="009029BF">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lang w:val="en-US" w:eastAsia="zh-CN"/>
                    </w:rPr>
                  </w:pPr>
                  <w:r>
                    <w:rPr>
                      <w:rFonts w:hint="eastAsia"/>
                      <w:color w:val="auto"/>
                      <w:sz w:val="21"/>
                      <w:szCs w:val="21"/>
                      <w:lang w:val="en-US" w:eastAsia="zh-CN"/>
                    </w:rPr>
                    <w:t>/</w:t>
                  </w:r>
                </w:p>
              </w:tc>
              <w:tc>
                <w:tcPr>
                  <w:tcW w:w="417" w:type="pct"/>
                  <w:tcBorders>
                    <w:tl2br w:val="nil"/>
                    <w:tr2bl w:val="nil"/>
                  </w:tcBorders>
                  <w:shd w:val="clear" w:color="auto" w:fill="auto"/>
                  <w:vAlign w:val="center"/>
                </w:tcPr>
                <w:p w14:paraId="26FB4B9E">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w:t>
                  </w:r>
                </w:p>
              </w:tc>
              <w:tc>
                <w:tcPr>
                  <w:tcW w:w="120" w:type="pct"/>
                  <w:tcBorders>
                    <w:tl2br w:val="nil"/>
                    <w:tr2bl w:val="nil"/>
                  </w:tcBorders>
                  <w:vAlign w:val="center"/>
                </w:tcPr>
                <w:p w14:paraId="7F8341CF">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无组织</w:t>
                  </w:r>
                </w:p>
              </w:tc>
              <w:tc>
                <w:tcPr>
                  <w:tcW w:w="151" w:type="pct"/>
                  <w:tcBorders>
                    <w:tl2br w:val="nil"/>
                    <w:tr2bl w:val="nil"/>
                  </w:tcBorders>
                  <w:vAlign w:val="center"/>
                </w:tcPr>
                <w:p w14:paraId="7FBC8425">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封闭车间</w:t>
                  </w:r>
                </w:p>
              </w:tc>
              <w:tc>
                <w:tcPr>
                  <w:tcW w:w="236" w:type="pct"/>
                  <w:tcBorders>
                    <w:tl2br w:val="nil"/>
                    <w:tr2bl w:val="nil"/>
                  </w:tcBorders>
                  <w:vAlign w:val="center"/>
                </w:tcPr>
                <w:p w14:paraId="306293E6">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w:t>
                  </w:r>
                </w:p>
              </w:tc>
              <w:tc>
                <w:tcPr>
                  <w:tcW w:w="153" w:type="pct"/>
                  <w:tcBorders>
                    <w:tl2br w:val="nil"/>
                    <w:tr2bl w:val="nil"/>
                  </w:tcBorders>
                  <w:vAlign w:val="center"/>
                </w:tcPr>
                <w:p w14:paraId="27C02E3E">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lang w:val="en-US" w:eastAsia="zh-CN"/>
                    </w:rPr>
                  </w:pPr>
                  <w:r>
                    <w:rPr>
                      <w:rFonts w:hint="eastAsia"/>
                      <w:color w:val="auto"/>
                      <w:sz w:val="21"/>
                      <w:szCs w:val="21"/>
                      <w:lang w:val="en-US" w:eastAsia="zh-CN"/>
                    </w:rPr>
                    <w:t>/</w:t>
                  </w:r>
                </w:p>
              </w:tc>
              <w:tc>
                <w:tcPr>
                  <w:tcW w:w="248" w:type="pct"/>
                  <w:tcBorders>
                    <w:tl2br w:val="nil"/>
                    <w:tr2bl w:val="nil"/>
                  </w:tcBorders>
                  <w:shd w:val="clear" w:color="auto" w:fill="auto"/>
                  <w:vAlign w:val="center"/>
                </w:tcPr>
                <w:p w14:paraId="315A681A">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0.009</w:t>
                  </w:r>
                </w:p>
              </w:tc>
              <w:tc>
                <w:tcPr>
                  <w:tcW w:w="352" w:type="pct"/>
                  <w:tcBorders>
                    <w:tl2br w:val="nil"/>
                    <w:tr2bl w:val="nil"/>
                  </w:tcBorders>
                  <w:shd w:val="clear" w:color="auto" w:fill="auto"/>
                  <w:vAlign w:val="center"/>
                </w:tcPr>
                <w:p w14:paraId="2822B28D">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sz w:val="21"/>
                      <w:szCs w:val="21"/>
                      <w:lang w:val="en-US" w:eastAsia="zh-CN"/>
                    </w:rPr>
                    <w:t>/</w:t>
                  </w:r>
                </w:p>
              </w:tc>
              <w:tc>
                <w:tcPr>
                  <w:tcW w:w="404" w:type="pct"/>
                  <w:tcBorders>
                    <w:tl2br w:val="nil"/>
                    <w:tr2bl w:val="nil"/>
                  </w:tcBorders>
                  <w:shd w:val="clear" w:color="auto" w:fill="auto"/>
                  <w:vAlign w:val="center"/>
                </w:tcPr>
                <w:p w14:paraId="35AB5385">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color w:val="auto"/>
                      <w:sz w:val="21"/>
                      <w:szCs w:val="21"/>
                      <w:lang w:val="en-US" w:eastAsia="zh-CN"/>
                    </w:rPr>
                    <w:t>/</w:t>
                  </w:r>
                </w:p>
              </w:tc>
              <w:tc>
                <w:tcPr>
                  <w:tcW w:w="458" w:type="pct"/>
                  <w:tcBorders>
                    <w:tl2br w:val="nil"/>
                    <w:tr2bl w:val="nil"/>
                  </w:tcBorders>
                  <w:vAlign w:val="center"/>
                </w:tcPr>
                <w:p w14:paraId="0E317282">
                  <w:pPr>
                    <w:pStyle w:val="7"/>
                    <w:keepNext w:val="0"/>
                    <w:keepLines w:val="0"/>
                    <w:suppressLineNumbers w:val="0"/>
                    <w:bidi w:val="0"/>
                    <w:spacing w:before="0" w:beforeAutospacing="0" w:after="0" w:afterAutospacing="0"/>
                    <w:ind w:left="0" w:right="0"/>
                    <w:rPr>
                      <w:rFonts w:hint="default" w:ascii="Times New Roman" w:hAnsi="Times New Roman" w:cs="Times New Roman"/>
                      <w:color w:val="auto"/>
                      <w:lang w:val="en-US" w:eastAsia="zh-CN"/>
                    </w:rPr>
                  </w:pPr>
                  <w:r>
                    <w:rPr>
                      <w:rFonts w:hint="eastAsia" w:cs="Times New Roman"/>
                      <w:color w:val="auto"/>
                      <w:lang w:val="en-US" w:eastAsia="zh-CN"/>
                    </w:rPr>
                    <w:t>/</w:t>
                  </w:r>
                </w:p>
              </w:tc>
              <w:tc>
                <w:tcPr>
                  <w:tcW w:w="292" w:type="pct"/>
                  <w:tcBorders>
                    <w:tl2br w:val="nil"/>
                    <w:tr2bl w:val="nil"/>
                  </w:tcBorders>
                  <w:vAlign w:val="center"/>
                </w:tcPr>
                <w:p w14:paraId="6CD5E417">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w:t>
                  </w:r>
                </w:p>
              </w:tc>
              <w:tc>
                <w:tcPr>
                  <w:tcW w:w="151" w:type="pct"/>
                  <w:tcBorders>
                    <w:tl2br w:val="nil"/>
                    <w:tr2bl w:val="nil"/>
                  </w:tcBorders>
                  <w:vAlign w:val="center"/>
                </w:tcPr>
                <w:p w14:paraId="085525E7">
                  <w:pPr>
                    <w:pStyle w:val="7"/>
                    <w:keepNext w:val="0"/>
                    <w:keepLines w:val="0"/>
                    <w:suppressLineNumbers w:val="0"/>
                    <w:bidi w:val="0"/>
                    <w:spacing w:before="0" w:beforeAutospacing="0" w:after="0" w:afterAutospacing="0"/>
                    <w:ind w:left="0" w:leftChars="0" w:right="0" w:rightChars="0" w:firstLine="0" w:firstLineChars="0"/>
                    <w:rPr>
                      <w:rFonts w:hint="eastAsia"/>
                      <w:color w:val="auto"/>
                      <w:sz w:val="21"/>
                      <w:szCs w:val="21"/>
                      <w:lang w:val="en-US" w:eastAsia="zh-CN"/>
                    </w:rPr>
                  </w:pPr>
                  <w:r>
                    <w:rPr>
                      <w:rFonts w:hint="eastAsia" w:cs="Times New Roman"/>
                      <w:color w:val="auto"/>
                      <w:lang w:val="en-US" w:eastAsia="zh-CN"/>
                    </w:rPr>
                    <w:t>/</w:t>
                  </w:r>
                </w:p>
              </w:tc>
              <w:tc>
                <w:tcPr>
                  <w:tcW w:w="151" w:type="pct"/>
                  <w:tcBorders>
                    <w:tl2br w:val="nil"/>
                    <w:tr2bl w:val="nil"/>
                  </w:tcBorders>
                  <w:vAlign w:val="center"/>
                </w:tcPr>
                <w:p w14:paraId="4F009ECF">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color w:val="auto"/>
                      <w:sz w:val="21"/>
                      <w:szCs w:val="21"/>
                      <w:lang w:val="en-US" w:eastAsia="zh-CN"/>
                    </w:rPr>
                  </w:pPr>
                  <w:r>
                    <w:rPr>
                      <w:rFonts w:hint="eastAsia"/>
                      <w:color w:val="auto"/>
                      <w:sz w:val="21"/>
                      <w:szCs w:val="21"/>
                      <w:lang w:val="en-US" w:eastAsia="zh-CN"/>
                    </w:rPr>
                    <w:t>/</w:t>
                  </w:r>
                </w:p>
              </w:tc>
              <w:tc>
                <w:tcPr>
                  <w:tcW w:w="232" w:type="pct"/>
                  <w:tcBorders>
                    <w:tl2br w:val="nil"/>
                    <w:tr2bl w:val="nil"/>
                  </w:tcBorders>
                  <w:vAlign w:val="center"/>
                </w:tcPr>
                <w:p w14:paraId="6A9048B5">
                  <w:pPr>
                    <w:pStyle w:val="7"/>
                    <w:keepNext w:val="0"/>
                    <w:keepLines w:val="0"/>
                    <w:suppressLineNumbers w:val="0"/>
                    <w:bidi w:val="0"/>
                    <w:spacing w:before="0" w:beforeAutospacing="0" w:after="0" w:afterAutospacing="0"/>
                    <w:ind w:left="0" w:leftChars="0" w:right="0" w:rightChars="0" w:firstLine="0" w:firstLineChars="0"/>
                    <w:rPr>
                      <w:rFonts w:hint="eastAsia"/>
                      <w:color w:val="auto"/>
                      <w:sz w:val="21"/>
                      <w:szCs w:val="21"/>
                      <w:lang w:val="en-US" w:eastAsia="zh-CN"/>
                    </w:rPr>
                  </w:pPr>
                  <w:r>
                    <w:rPr>
                      <w:rFonts w:hint="eastAsia" w:cs="Times New Roman"/>
                      <w:color w:val="auto"/>
                      <w:lang w:val="en-US" w:eastAsia="zh-CN"/>
                    </w:rPr>
                    <w:t>/</w:t>
                  </w:r>
                </w:p>
              </w:tc>
              <w:tc>
                <w:tcPr>
                  <w:tcW w:w="209" w:type="pct"/>
                  <w:tcBorders>
                    <w:tl2br w:val="nil"/>
                    <w:tr2bl w:val="nil"/>
                  </w:tcBorders>
                  <w:vAlign w:val="center"/>
                </w:tcPr>
                <w:p w14:paraId="0AED1B9A">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color w:val="auto"/>
                      <w:sz w:val="21"/>
                      <w:szCs w:val="21"/>
                      <w:lang w:val="en-US" w:eastAsia="zh-CN"/>
                    </w:rPr>
                  </w:pPr>
                  <w:r>
                    <w:rPr>
                      <w:rFonts w:hint="eastAsia"/>
                      <w:color w:val="auto"/>
                      <w:sz w:val="21"/>
                      <w:szCs w:val="21"/>
                      <w:lang w:val="en-US" w:eastAsia="zh-CN"/>
                    </w:rPr>
                    <w:t>/</w:t>
                  </w:r>
                </w:p>
              </w:tc>
              <w:tc>
                <w:tcPr>
                  <w:tcW w:w="366" w:type="pct"/>
                  <w:tcBorders>
                    <w:tl2br w:val="nil"/>
                    <w:tr2bl w:val="nil"/>
                  </w:tcBorders>
                  <w:vAlign w:val="center"/>
                </w:tcPr>
                <w:p w14:paraId="0AE0BA21">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lang w:val="en-US" w:eastAsia="zh-CN"/>
                    </w:rPr>
                  </w:pPr>
                  <w:r>
                    <w:rPr>
                      <w:rFonts w:hint="eastAsia"/>
                      <w:color w:val="auto"/>
                      <w:sz w:val="21"/>
                      <w:szCs w:val="21"/>
                      <w:lang w:val="en-US" w:eastAsia="zh-CN"/>
                    </w:rPr>
                    <w:t>3</w:t>
                  </w:r>
                </w:p>
              </w:tc>
            </w:tr>
            <w:tr w14:paraId="5B876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 w:type="pct"/>
                  <w:tcBorders>
                    <w:tl2br w:val="nil"/>
                    <w:tr2bl w:val="nil"/>
                  </w:tcBorders>
                  <w:vAlign w:val="center"/>
                </w:tcPr>
                <w:p w14:paraId="68483660">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highlight w:val="none"/>
                    </w:rPr>
                  </w:pPr>
                  <w:r>
                    <w:rPr>
                      <w:rFonts w:hint="eastAsia"/>
                      <w:color w:val="auto"/>
                      <w:highlight w:val="none"/>
                      <w:lang w:val="en-US" w:eastAsia="zh-CN"/>
                    </w:rPr>
                    <w:t>喷粉工序</w:t>
                  </w:r>
                </w:p>
              </w:tc>
              <w:tc>
                <w:tcPr>
                  <w:tcW w:w="151" w:type="pct"/>
                  <w:tcBorders>
                    <w:tl2br w:val="nil"/>
                    <w:tr2bl w:val="nil"/>
                  </w:tcBorders>
                  <w:vAlign w:val="center"/>
                </w:tcPr>
                <w:p w14:paraId="4F21EE2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highlight w:val="none"/>
                      <w:lang w:val="en-US" w:eastAsia="zh-CN"/>
                    </w:rPr>
                  </w:pPr>
                  <w:r>
                    <w:rPr>
                      <w:rFonts w:hint="eastAsia"/>
                      <w:color w:val="auto"/>
                      <w:highlight w:val="none"/>
                      <w:lang w:val="en-US" w:eastAsia="zh-CN"/>
                    </w:rPr>
                    <w:t>喷粉</w:t>
                  </w:r>
                  <w:r>
                    <w:rPr>
                      <w:rFonts w:hint="eastAsia"/>
                      <w:color w:val="auto"/>
                      <w:sz w:val="21"/>
                      <w:szCs w:val="21"/>
                      <w:highlight w:val="none"/>
                      <w:lang w:val="en-US" w:eastAsia="zh-CN"/>
                    </w:rPr>
                    <w:t>废气</w:t>
                  </w:r>
                </w:p>
              </w:tc>
              <w:tc>
                <w:tcPr>
                  <w:tcW w:w="151" w:type="pct"/>
                  <w:tcBorders>
                    <w:tl2br w:val="nil"/>
                    <w:tr2bl w:val="nil"/>
                  </w:tcBorders>
                  <w:vAlign w:val="center"/>
                </w:tcPr>
                <w:p w14:paraId="0CC40131">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eastAsia"/>
                      <w:color w:val="auto"/>
                      <w:sz w:val="21"/>
                      <w:szCs w:val="21"/>
                      <w:highlight w:val="none"/>
                      <w:lang w:val="en-US" w:eastAsia="zh-CN"/>
                    </w:rPr>
                  </w:pPr>
                  <w:r>
                    <w:rPr>
                      <w:rFonts w:hint="eastAsia"/>
                      <w:color w:val="auto"/>
                      <w:sz w:val="21"/>
                      <w:szCs w:val="21"/>
                      <w:highlight w:val="none"/>
                      <w:lang w:val="en-US" w:eastAsia="zh-CN"/>
                    </w:rPr>
                    <w:t>颗粒物</w:t>
                  </w:r>
                </w:p>
              </w:tc>
              <w:tc>
                <w:tcPr>
                  <w:tcW w:w="248" w:type="pct"/>
                  <w:tcBorders>
                    <w:tl2br w:val="nil"/>
                    <w:tr2bl w:val="nil"/>
                  </w:tcBorders>
                  <w:shd w:val="clear" w:color="auto" w:fill="auto"/>
                  <w:vAlign w:val="center"/>
                </w:tcPr>
                <w:p w14:paraId="31C2CA9D">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0.024</w:t>
                  </w:r>
                </w:p>
              </w:tc>
              <w:tc>
                <w:tcPr>
                  <w:tcW w:w="352" w:type="pct"/>
                  <w:tcBorders>
                    <w:tl2br w:val="nil"/>
                    <w:tr2bl w:val="nil"/>
                  </w:tcBorders>
                  <w:shd w:val="clear" w:color="auto" w:fill="auto"/>
                  <w:vAlign w:val="center"/>
                </w:tcPr>
                <w:p w14:paraId="2E0F9EC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0.003</w:t>
                  </w:r>
                </w:p>
              </w:tc>
              <w:tc>
                <w:tcPr>
                  <w:tcW w:w="417" w:type="pct"/>
                  <w:tcBorders>
                    <w:tl2br w:val="nil"/>
                    <w:tr2bl w:val="nil"/>
                  </w:tcBorders>
                  <w:shd w:val="clear" w:color="auto" w:fill="auto"/>
                  <w:vAlign w:val="center"/>
                </w:tcPr>
                <w:p w14:paraId="5B547E0C">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120" w:type="pct"/>
                  <w:tcBorders>
                    <w:tl2br w:val="nil"/>
                    <w:tr2bl w:val="nil"/>
                  </w:tcBorders>
                  <w:shd w:val="clear" w:color="auto" w:fill="auto"/>
                  <w:vAlign w:val="center"/>
                </w:tcPr>
                <w:p w14:paraId="5870E5BB">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无组织</w:t>
                  </w:r>
                </w:p>
              </w:tc>
              <w:tc>
                <w:tcPr>
                  <w:tcW w:w="151" w:type="pct"/>
                  <w:tcBorders>
                    <w:tl2br w:val="nil"/>
                    <w:tr2bl w:val="nil"/>
                  </w:tcBorders>
                  <w:shd w:val="clear" w:color="auto" w:fill="auto"/>
                  <w:vAlign w:val="center"/>
                </w:tcPr>
                <w:p w14:paraId="78214224">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封闭车间</w:t>
                  </w:r>
                </w:p>
              </w:tc>
              <w:tc>
                <w:tcPr>
                  <w:tcW w:w="236" w:type="pct"/>
                  <w:tcBorders>
                    <w:tl2br w:val="nil"/>
                    <w:tr2bl w:val="nil"/>
                  </w:tcBorders>
                  <w:shd w:val="clear" w:color="auto" w:fill="auto"/>
                  <w:vAlign w:val="center"/>
                </w:tcPr>
                <w:p w14:paraId="020AE277">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w:t>
                  </w:r>
                </w:p>
              </w:tc>
              <w:tc>
                <w:tcPr>
                  <w:tcW w:w="153" w:type="pct"/>
                  <w:tcBorders>
                    <w:tl2br w:val="nil"/>
                    <w:tr2bl w:val="nil"/>
                  </w:tcBorders>
                  <w:shd w:val="clear" w:color="auto" w:fill="auto"/>
                  <w:vAlign w:val="center"/>
                </w:tcPr>
                <w:p w14:paraId="7B0F9B17">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w:t>
                  </w:r>
                </w:p>
              </w:tc>
              <w:tc>
                <w:tcPr>
                  <w:tcW w:w="248" w:type="pct"/>
                  <w:tcBorders>
                    <w:tl2br w:val="nil"/>
                    <w:tr2bl w:val="nil"/>
                  </w:tcBorders>
                  <w:shd w:val="clear" w:color="auto" w:fill="auto"/>
                  <w:vAlign w:val="center"/>
                </w:tcPr>
                <w:p w14:paraId="3F0F038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0.024</w:t>
                  </w:r>
                </w:p>
              </w:tc>
              <w:tc>
                <w:tcPr>
                  <w:tcW w:w="352" w:type="pct"/>
                  <w:tcBorders>
                    <w:tl2br w:val="nil"/>
                    <w:tr2bl w:val="nil"/>
                  </w:tcBorders>
                  <w:shd w:val="clear" w:color="auto" w:fill="auto"/>
                  <w:vAlign w:val="center"/>
                </w:tcPr>
                <w:p w14:paraId="663FCBED">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0.003</w:t>
                  </w:r>
                </w:p>
              </w:tc>
              <w:tc>
                <w:tcPr>
                  <w:tcW w:w="404" w:type="pct"/>
                  <w:tcBorders>
                    <w:tl2br w:val="nil"/>
                    <w:tr2bl w:val="nil"/>
                  </w:tcBorders>
                  <w:shd w:val="clear" w:color="auto" w:fill="auto"/>
                  <w:vAlign w:val="center"/>
                </w:tcPr>
                <w:p w14:paraId="3EA3989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458" w:type="pct"/>
                  <w:tcBorders>
                    <w:tl2br w:val="nil"/>
                    <w:tr2bl w:val="nil"/>
                  </w:tcBorders>
                  <w:vAlign w:val="center"/>
                </w:tcPr>
                <w:p w14:paraId="5CB9FFCA">
                  <w:pPr>
                    <w:pStyle w:val="7"/>
                    <w:keepNext w:val="0"/>
                    <w:keepLines w:val="0"/>
                    <w:suppressLineNumbers w:val="0"/>
                    <w:bidi w:val="0"/>
                    <w:spacing w:before="0" w:beforeAutospacing="0" w:after="0" w:afterAutospacing="0"/>
                    <w:ind w:left="0" w:right="0"/>
                    <w:rPr>
                      <w:rFonts w:hint="default" w:cs="Times New Roman"/>
                      <w:color w:val="auto"/>
                      <w:highlight w:val="none"/>
                      <w:lang w:val="en-US" w:eastAsia="zh-CN"/>
                    </w:rPr>
                  </w:pPr>
                  <w:r>
                    <w:rPr>
                      <w:rFonts w:hint="eastAsia" w:cs="Times New Roman"/>
                      <w:color w:val="auto"/>
                      <w:highlight w:val="none"/>
                      <w:lang w:val="en-US" w:eastAsia="zh-CN"/>
                    </w:rPr>
                    <w:t>/</w:t>
                  </w:r>
                </w:p>
              </w:tc>
              <w:tc>
                <w:tcPr>
                  <w:tcW w:w="292" w:type="pct"/>
                  <w:tcBorders>
                    <w:tl2br w:val="nil"/>
                    <w:tr2bl w:val="nil"/>
                  </w:tcBorders>
                  <w:vAlign w:val="center"/>
                </w:tcPr>
                <w:p w14:paraId="4DBE3D1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151" w:type="pct"/>
                  <w:tcBorders>
                    <w:tl2br w:val="nil"/>
                    <w:tr2bl w:val="nil"/>
                  </w:tcBorders>
                  <w:vAlign w:val="center"/>
                </w:tcPr>
                <w:p w14:paraId="187340BE">
                  <w:pPr>
                    <w:pStyle w:val="7"/>
                    <w:keepNext w:val="0"/>
                    <w:keepLines w:val="0"/>
                    <w:suppressLineNumbers w:val="0"/>
                    <w:bidi w:val="0"/>
                    <w:spacing w:before="0" w:beforeAutospacing="0" w:after="0" w:afterAutospacing="0"/>
                    <w:ind w:left="0" w:leftChars="0" w:right="0" w:rightChars="0" w:firstLine="0" w:firstLineChars="0"/>
                    <w:rPr>
                      <w:rFonts w:hint="default" w:cs="Times New Roman"/>
                      <w:color w:val="auto"/>
                      <w:highlight w:val="none"/>
                      <w:lang w:val="en-US" w:eastAsia="zh-CN"/>
                    </w:rPr>
                  </w:pPr>
                  <w:r>
                    <w:rPr>
                      <w:rFonts w:hint="eastAsia" w:cs="Times New Roman"/>
                      <w:color w:val="auto"/>
                      <w:highlight w:val="none"/>
                      <w:lang w:val="en-US" w:eastAsia="zh-CN"/>
                    </w:rPr>
                    <w:t>/</w:t>
                  </w:r>
                </w:p>
              </w:tc>
              <w:tc>
                <w:tcPr>
                  <w:tcW w:w="151" w:type="pct"/>
                  <w:tcBorders>
                    <w:tl2br w:val="nil"/>
                    <w:tr2bl w:val="nil"/>
                  </w:tcBorders>
                  <w:vAlign w:val="center"/>
                </w:tcPr>
                <w:p w14:paraId="488510E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232" w:type="pct"/>
                  <w:tcBorders>
                    <w:tl2br w:val="nil"/>
                    <w:tr2bl w:val="nil"/>
                  </w:tcBorders>
                  <w:shd w:val="clear" w:color="auto" w:fill="auto"/>
                  <w:vAlign w:val="center"/>
                </w:tcPr>
                <w:p w14:paraId="2C7F0BF0">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w:t>
                  </w:r>
                </w:p>
              </w:tc>
              <w:tc>
                <w:tcPr>
                  <w:tcW w:w="209" w:type="pct"/>
                  <w:tcBorders>
                    <w:tl2br w:val="nil"/>
                    <w:tr2bl w:val="nil"/>
                  </w:tcBorders>
                  <w:shd w:val="clear" w:color="auto" w:fill="auto"/>
                  <w:vAlign w:val="center"/>
                </w:tcPr>
                <w:p w14:paraId="755F55A9">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w:t>
                  </w:r>
                </w:p>
              </w:tc>
              <w:tc>
                <w:tcPr>
                  <w:tcW w:w="366" w:type="pct"/>
                  <w:tcBorders>
                    <w:tl2br w:val="nil"/>
                    <w:tr2bl w:val="nil"/>
                  </w:tcBorders>
                  <w:shd w:val="clear" w:color="auto" w:fill="auto"/>
                  <w:vAlign w:val="center"/>
                </w:tcPr>
                <w:p w14:paraId="3C7A1084">
                  <w:pPr>
                    <w:pStyle w:val="11"/>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sz w:val="21"/>
                      <w:szCs w:val="21"/>
                      <w:lang w:val="en-US" w:eastAsia="zh-CN"/>
                    </w:rPr>
                    <w:t>3</w:t>
                  </w:r>
                </w:p>
              </w:tc>
            </w:tr>
          </w:tbl>
          <w:p w14:paraId="04221F80">
            <w:pPr>
              <w:pStyle w:val="10"/>
              <w:keepNext w:val="0"/>
              <w:keepLines w:val="0"/>
              <w:suppressLineNumbers w:val="0"/>
              <w:bidi w:val="0"/>
              <w:spacing w:before="0" w:beforeAutospacing="0" w:after="0" w:afterAutospacing="0"/>
              <w:ind w:left="0" w:right="0"/>
              <w:jc w:val="both"/>
              <w:rPr>
                <w:rFonts w:hint="eastAsia" w:ascii="宋体" w:hAnsi="宋体" w:cs="宋体"/>
                <w:b/>
                <w:color w:val="auto"/>
                <w:szCs w:val="28"/>
                <w:vertAlign w:val="baseline"/>
              </w:rPr>
            </w:pPr>
          </w:p>
        </w:tc>
      </w:tr>
    </w:tbl>
    <w:p w14:paraId="42115A80">
      <w:pPr>
        <w:pStyle w:val="10"/>
        <w:keepNext w:val="0"/>
        <w:keepLines w:val="0"/>
        <w:suppressLineNumbers w:val="0"/>
        <w:bidi w:val="0"/>
        <w:spacing w:before="0" w:beforeAutospacing="0" w:after="0" w:afterAutospacing="0"/>
        <w:ind w:left="0" w:right="0"/>
        <w:rPr>
          <w:rFonts w:hint="eastAsia" w:ascii="宋体" w:hAnsi="宋体" w:cs="宋体"/>
          <w:b/>
          <w:color w:val="auto"/>
          <w:szCs w:val="28"/>
        </w:rPr>
        <w:sectPr>
          <w:pgSz w:w="16840" w:h="11907" w:orient="landscape"/>
          <w:pgMar w:top="1134" w:right="1417" w:bottom="1417" w:left="1417" w:header="851" w:footer="851" w:gutter="0"/>
          <w:pgBorders>
            <w:top w:val="none" w:sz="0" w:space="0"/>
            <w:left w:val="none" w:sz="0" w:space="0"/>
            <w:bottom w:val="none" w:sz="0" w:space="0"/>
            <w:right w:val="none" w:sz="0" w:space="0"/>
          </w:pgBorders>
          <w:cols w:space="720" w:num="1"/>
          <w:docGrid w:linePitch="312" w:charSpace="0"/>
        </w:sectPr>
      </w:pPr>
    </w:p>
    <w:tbl>
      <w:tblPr>
        <w:tblStyle w:val="30"/>
        <w:tblW w:w="504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89"/>
        <w:gridCol w:w="8571"/>
      </w:tblGrid>
      <w:tr w14:paraId="6835F9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82" w:hRule="atLeast"/>
          <w:jc w:val="center"/>
        </w:trPr>
        <w:tc>
          <w:tcPr>
            <w:tcW w:w="270" w:type="pct"/>
            <w:tcMar>
              <w:left w:w="28" w:type="dxa"/>
              <w:right w:w="28" w:type="dxa"/>
            </w:tcMar>
            <w:vAlign w:val="center"/>
          </w:tcPr>
          <w:p w14:paraId="3C9C9D97">
            <w:pPr>
              <w:pStyle w:val="10"/>
              <w:keepNext w:val="0"/>
              <w:keepLines w:val="0"/>
              <w:suppressLineNumbers w:val="0"/>
              <w:bidi w:val="0"/>
              <w:spacing w:before="0" w:beforeAutospacing="0" w:after="0" w:afterAutospacing="0"/>
              <w:ind w:left="0" w:right="0"/>
              <w:rPr>
                <w:rFonts w:hint="default"/>
                <w:color w:val="auto"/>
                <w:highlight w:val="none"/>
              </w:rPr>
            </w:pPr>
            <w:r>
              <w:rPr>
                <w:rFonts w:hint="eastAsia" w:ascii="宋体" w:hAnsi="宋体" w:cs="宋体"/>
                <w:b/>
                <w:color w:val="auto"/>
                <w:szCs w:val="28"/>
                <w:highlight w:val="none"/>
              </w:rPr>
              <w:t>运</w:t>
            </w:r>
            <w:r>
              <w:rPr>
                <w:rFonts w:hint="eastAsia"/>
                <w:color w:val="auto"/>
                <w:highlight w:val="none"/>
              </w:rPr>
              <w:t>营</w:t>
            </w:r>
          </w:p>
          <w:p w14:paraId="0BF30FB9">
            <w:pPr>
              <w:pStyle w:val="10"/>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期环</w:t>
            </w:r>
          </w:p>
          <w:p w14:paraId="785F8706">
            <w:pPr>
              <w:pStyle w:val="10"/>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境影</w:t>
            </w:r>
          </w:p>
          <w:p w14:paraId="2F4F6337">
            <w:pPr>
              <w:pStyle w:val="10"/>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响和</w:t>
            </w:r>
          </w:p>
          <w:p w14:paraId="46E16F8B">
            <w:pPr>
              <w:pStyle w:val="10"/>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保护</w:t>
            </w:r>
          </w:p>
          <w:p w14:paraId="0DE0F5F5">
            <w:pPr>
              <w:pStyle w:val="10"/>
              <w:keepNext w:val="0"/>
              <w:keepLines w:val="0"/>
              <w:suppressLineNumbers w:val="0"/>
              <w:bidi w:val="0"/>
              <w:spacing w:before="0" w:beforeAutospacing="0" w:after="0" w:afterAutospacing="0"/>
              <w:ind w:left="0" w:right="0"/>
              <w:rPr>
                <w:rFonts w:hint="default" w:ascii="宋体" w:hAnsi="宋体" w:cs="宋体"/>
                <w:bCs/>
                <w:color w:val="auto"/>
                <w:szCs w:val="21"/>
                <w:highlight w:val="none"/>
              </w:rPr>
            </w:pPr>
            <w:r>
              <w:rPr>
                <w:rFonts w:hint="eastAsia"/>
                <w:color w:val="auto"/>
                <w:highlight w:val="none"/>
              </w:rPr>
              <w:t>措施</w:t>
            </w:r>
          </w:p>
        </w:tc>
        <w:tc>
          <w:tcPr>
            <w:tcW w:w="4729" w:type="pct"/>
          </w:tcPr>
          <w:p w14:paraId="187C8A34">
            <w:pPr>
              <w:pStyle w:val="3"/>
              <w:suppressLineNumbers w:val="0"/>
              <w:bidi w:val="0"/>
              <w:spacing w:before="0" w:beforeAutospacing="0" w:after="0" w:afterAutospacing="0"/>
              <w:ind w:left="0" w:right="0"/>
              <w:rPr>
                <w:rFonts w:hint="eastAsia"/>
                <w:color w:val="auto"/>
                <w:highlight w:val="none"/>
              </w:rPr>
            </w:pPr>
            <w:r>
              <w:rPr>
                <w:rFonts w:hint="default"/>
                <w:color w:val="auto"/>
                <w:highlight w:val="none"/>
              </w:rPr>
              <w:t>1</w:t>
            </w:r>
            <w:r>
              <w:rPr>
                <w:rFonts w:hint="eastAsia"/>
                <w:color w:val="auto"/>
                <w:highlight w:val="none"/>
              </w:rPr>
              <w:t>、废气</w:t>
            </w:r>
          </w:p>
          <w:p w14:paraId="58CB0F5F">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本项目生产过程的废气主要为喷砂工序</w:t>
            </w:r>
            <w:r>
              <w:rPr>
                <w:rFonts w:hint="eastAsia"/>
                <w:color w:val="auto"/>
                <w:highlight w:val="none"/>
                <w:lang w:val="en-US" w:eastAsia="zh-CN"/>
              </w:rPr>
              <w:t>和喷粉工序</w:t>
            </w:r>
            <w:r>
              <w:rPr>
                <w:rFonts w:hint="eastAsia"/>
                <w:color w:val="auto"/>
                <w:highlight w:val="none"/>
              </w:rPr>
              <w:t>产生的少量颗粒物。</w:t>
            </w:r>
          </w:p>
          <w:p w14:paraId="056A9BB2">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喷粉工序</w:t>
            </w:r>
          </w:p>
          <w:p w14:paraId="754B347B">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本项目为设备自带封闭喷粉腔，微负压喷粉，</w:t>
            </w:r>
            <w:r>
              <w:rPr>
                <w:rFonts w:hint="default"/>
                <w:color w:val="auto"/>
                <w:highlight w:val="none"/>
              </w:rPr>
              <w:t>喷粉反弹未附着的防霉隔离粉由设备配套内置滤芯回收，粉料循环回用</w:t>
            </w:r>
            <w:r>
              <w:rPr>
                <w:rFonts w:hint="eastAsia"/>
                <w:color w:val="auto"/>
                <w:highlight w:val="none"/>
                <w:lang w:eastAsia="zh-CN"/>
              </w:rPr>
              <w:t>。</w:t>
            </w:r>
            <w:r>
              <w:rPr>
                <w:rFonts w:hint="eastAsia"/>
                <w:color w:val="auto"/>
                <w:highlight w:val="none"/>
              </w:rPr>
              <w:t>防霉隔离粉</w:t>
            </w:r>
            <w:r>
              <w:rPr>
                <w:rFonts w:hint="eastAsia"/>
                <w:color w:val="auto"/>
                <w:highlight w:val="none"/>
                <w:lang w:val="en-US" w:eastAsia="zh-CN"/>
              </w:rPr>
              <w:t>年用量3.15t/a，</w:t>
            </w:r>
            <w:r>
              <w:rPr>
                <w:rFonts w:hint="default"/>
                <w:color w:val="auto"/>
                <w:highlight w:val="none"/>
              </w:rPr>
              <w:t>其中</w:t>
            </w:r>
            <w:r>
              <w:rPr>
                <w:rFonts w:hint="eastAsia"/>
                <w:color w:val="auto"/>
                <w:highlight w:val="none"/>
                <w:lang w:val="en-US" w:eastAsia="zh-CN"/>
              </w:rPr>
              <w:t>85</w:t>
            </w:r>
            <w:r>
              <w:rPr>
                <w:rFonts w:hint="default"/>
                <w:color w:val="auto"/>
                <w:highlight w:val="none"/>
              </w:rPr>
              <w:t>%粉料附着于玻璃成品表面；剩余</w:t>
            </w:r>
            <w:r>
              <w:rPr>
                <w:rFonts w:hint="eastAsia"/>
                <w:color w:val="auto"/>
                <w:highlight w:val="none"/>
                <w:lang w:val="en-US" w:eastAsia="zh-CN"/>
              </w:rPr>
              <w:t>15</w:t>
            </w:r>
            <w:r>
              <w:rPr>
                <w:rFonts w:hint="default"/>
                <w:color w:val="auto"/>
                <w:highlight w:val="none"/>
              </w:rPr>
              <w:t>%为过喷反弹粉料，在密闭腔体内飞扬；过喷粉料95%被设备自带内置滤芯捕集，粉料循环回用于喷粉；剩余5%从腔体进出口缝隙逸散，形成车间无组织颗粒物。经</w:t>
            </w:r>
            <w:r>
              <w:rPr>
                <w:rFonts w:hint="eastAsia"/>
                <w:color w:val="auto"/>
                <w:highlight w:val="none"/>
                <w:lang w:val="en-US" w:eastAsia="zh-CN"/>
              </w:rPr>
              <w:t>核</w:t>
            </w:r>
            <w:r>
              <w:rPr>
                <w:rFonts w:hint="default"/>
                <w:color w:val="auto"/>
                <w:highlight w:val="none"/>
              </w:rPr>
              <w:t>算，喷粉工序无组织颗粒物排放量0.0</w:t>
            </w:r>
            <w:r>
              <w:rPr>
                <w:rFonts w:hint="eastAsia"/>
                <w:color w:val="auto"/>
                <w:highlight w:val="none"/>
                <w:lang w:val="en-US" w:eastAsia="zh-CN"/>
              </w:rPr>
              <w:t>24</w:t>
            </w:r>
            <w:r>
              <w:rPr>
                <w:rFonts w:hint="default"/>
                <w:color w:val="auto"/>
                <w:highlight w:val="none"/>
              </w:rPr>
              <w:t> t/a，</w:t>
            </w:r>
            <w:r>
              <w:rPr>
                <w:rFonts w:hint="eastAsia"/>
                <w:color w:val="auto"/>
                <w:highlight w:val="none"/>
                <w:lang w:val="en-US" w:eastAsia="zh-CN"/>
              </w:rPr>
              <w:t>年运行7200h，</w:t>
            </w:r>
            <w:r>
              <w:rPr>
                <w:rFonts w:hint="default"/>
                <w:color w:val="auto"/>
                <w:highlight w:val="none"/>
              </w:rPr>
              <w:t>排放速率0.00</w:t>
            </w:r>
            <w:r>
              <w:rPr>
                <w:rFonts w:hint="eastAsia"/>
                <w:color w:val="auto"/>
                <w:highlight w:val="none"/>
                <w:lang w:val="en-US" w:eastAsia="zh-CN"/>
              </w:rPr>
              <w:t>3</w:t>
            </w:r>
            <w:r>
              <w:rPr>
                <w:rFonts w:hint="default"/>
                <w:color w:val="auto"/>
                <w:highlight w:val="none"/>
              </w:rPr>
              <w:t> kg/h</w:t>
            </w:r>
            <w:r>
              <w:rPr>
                <w:rFonts w:hint="eastAsia"/>
                <w:color w:val="auto"/>
                <w:highlight w:val="none"/>
                <w:lang w:eastAsia="zh-CN"/>
              </w:rPr>
              <w:t>；</w:t>
            </w:r>
            <w:r>
              <w:rPr>
                <w:rFonts w:hint="eastAsia"/>
                <w:color w:val="auto"/>
                <w:highlight w:val="none"/>
                <w:lang w:val="en-US" w:eastAsia="zh-CN"/>
              </w:rPr>
              <w:t>满足《玻璃工业大气污染物排放标准》（GB26453-2022）表B.1中的排放限值要求，</w:t>
            </w:r>
            <w:r>
              <w:rPr>
                <w:rFonts w:hint="eastAsia"/>
                <w:color w:val="auto"/>
                <w:highlight w:val="none"/>
              </w:rPr>
              <w:t>即</w:t>
            </w:r>
            <w:r>
              <w:rPr>
                <w:rFonts w:hint="eastAsia"/>
                <w:color w:val="auto"/>
                <w:highlight w:val="none"/>
                <w:lang w:val="en-US" w:eastAsia="zh-CN"/>
              </w:rPr>
              <w:t>3</w:t>
            </w:r>
            <w:r>
              <w:rPr>
                <w:rFonts w:hint="eastAsia"/>
                <w:color w:val="auto"/>
                <w:highlight w:val="none"/>
              </w:rPr>
              <w:t>.0mg/m</w:t>
            </w:r>
            <w:r>
              <w:rPr>
                <w:rFonts w:hint="eastAsia"/>
                <w:color w:val="auto"/>
                <w:highlight w:val="none"/>
                <w:vertAlign w:val="superscript"/>
              </w:rPr>
              <w:t>3</w:t>
            </w:r>
            <w:r>
              <w:rPr>
                <w:rFonts w:hint="eastAsia"/>
                <w:color w:val="auto"/>
                <w:highlight w:val="none"/>
                <w:lang w:val="en-US" w:eastAsia="zh-CN"/>
              </w:rPr>
              <w:t>。</w:t>
            </w:r>
          </w:p>
          <w:p w14:paraId="75C33681">
            <w:pPr>
              <w:keepNext w:val="0"/>
              <w:keepLines w:val="0"/>
              <w:suppressLineNumbers w:val="0"/>
              <w:bidi w:val="0"/>
              <w:spacing w:before="0" w:beforeAutospacing="0" w:after="0" w:afterAutospacing="0"/>
              <w:ind w:left="0" w:right="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喷砂清洁工序</w:t>
            </w:r>
          </w:p>
          <w:p w14:paraId="72971886">
            <w:pPr>
              <w:keepNext w:val="0"/>
              <w:keepLines w:val="0"/>
              <w:suppressLineNumbers w:val="0"/>
              <w:bidi w:val="0"/>
              <w:spacing w:before="0" w:beforeAutospacing="0" w:after="0" w:afterAutospacing="0"/>
              <w:ind w:left="0" w:right="0"/>
              <w:rPr>
                <w:rFonts w:hint="default"/>
                <w:color w:val="auto"/>
                <w:highlight w:val="none"/>
                <w:lang w:val="en-US"/>
              </w:rPr>
            </w:pPr>
            <w:r>
              <w:rPr>
                <w:rFonts w:hint="eastAsia"/>
                <w:color w:val="auto"/>
                <w:highlight w:val="none"/>
              </w:rPr>
              <w:t>根据企业提供的资料，</w:t>
            </w:r>
            <w:r>
              <w:rPr>
                <w:rFonts w:hint="eastAsia"/>
                <w:color w:val="auto"/>
                <w:highlight w:val="none"/>
                <w:lang w:val="en-US" w:eastAsia="zh-CN"/>
              </w:rPr>
              <w:t>冷却屏蔽装置为铝合金材质，重量约3.6t，安装于镀膜室溅射单元内，一个月清理一次，对其表面进行喷砂清洁工作，每次约72h，年工作约864h，参考《</w:t>
            </w:r>
            <w:r>
              <w:rPr>
                <w:rFonts w:hint="default"/>
                <w:color w:val="auto"/>
                <w:highlight w:val="none"/>
                <w:lang w:val="en-US" w:eastAsia="zh-CN"/>
              </w:rPr>
              <w:t>排放源统计调查产排污核算方法</w:t>
            </w:r>
            <w:r>
              <w:rPr>
                <w:rFonts w:hint="eastAsia"/>
                <w:color w:val="auto"/>
                <w:highlight w:val="none"/>
                <w:lang w:val="en-US" w:eastAsia="zh-CN"/>
              </w:rPr>
              <w:t>和系数手册》&lt;</w:t>
            </w:r>
            <w:r>
              <w:rPr>
                <w:rFonts w:hint="eastAsia"/>
                <w:color w:val="auto"/>
                <w:highlight w:val="none"/>
              </w:rPr>
              <w:t>33 金属制品业、34 通用设备制造业、35 专用设备制造业、36 汽车制造业、37 铁路、船舶、航空航天和其他运输设备制造业、431 金属制品修理、432 通用设备修理、433 专用设备修理、434 铁路、船舶、航空航天等运输设备修理（不包括电镀工艺）行业系数手册</w:t>
            </w:r>
            <w:r>
              <w:rPr>
                <w:rFonts w:hint="eastAsia"/>
                <w:color w:val="auto"/>
                <w:highlight w:val="none"/>
                <w:lang w:val="en-US" w:eastAsia="zh-CN"/>
              </w:rPr>
              <w:t>&gt;中预处理工段颗粒物产污系数为2.19kg/t-原料，则本项目颗粒物产生量为0.095t/a，颗粒物经集气罩+布袋除尘处理后，由15m高排气筒排放，风机风量为5000m</w:t>
            </w:r>
            <w:r>
              <w:rPr>
                <w:rFonts w:hint="eastAsia"/>
                <w:color w:val="auto"/>
                <w:highlight w:val="none"/>
                <w:vertAlign w:val="superscript"/>
                <w:lang w:val="en-US" w:eastAsia="zh-CN"/>
              </w:rPr>
              <w:t>3</w:t>
            </w:r>
            <w:r>
              <w:rPr>
                <w:rFonts w:hint="eastAsia"/>
                <w:color w:val="auto"/>
                <w:highlight w:val="none"/>
                <w:lang w:val="en-US" w:eastAsia="zh-CN"/>
              </w:rPr>
              <w:t>/h，收集效率为90%，则颗粒物产生为0.085t/a，产生速率为0.099kg/h，产生浓度19.71mg/m</w:t>
            </w:r>
            <w:r>
              <w:rPr>
                <w:rFonts w:hint="eastAsia"/>
                <w:color w:val="auto"/>
                <w:highlight w:val="none"/>
                <w:vertAlign w:val="superscript"/>
                <w:lang w:val="en-US" w:eastAsia="zh-CN"/>
              </w:rPr>
              <w:t>3</w:t>
            </w:r>
            <w:r>
              <w:rPr>
                <w:rFonts w:hint="eastAsia"/>
                <w:color w:val="auto"/>
                <w:highlight w:val="none"/>
                <w:lang w:val="en-US" w:eastAsia="zh-CN"/>
              </w:rPr>
              <w:t>，布袋除尘处理效率为99%，颗粒物排放量为0.0009t/a，排放速率为0.001kg/h，排放浓度0.197mg/m</w:t>
            </w:r>
            <w:r>
              <w:rPr>
                <w:rFonts w:hint="eastAsia"/>
                <w:color w:val="auto"/>
                <w:highlight w:val="none"/>
                <w:vertAlign w:val="superscript"/>
                <w:lang w:val="en-US" w:eastAsia="zh-CN"/>
              </w:rPr>
              <w:t>3</w:t>
            </w:r>
            <w:r>
              <w:rPr>
                <w:rFonts w:hint="eastAsia"/>
                <w:color w:val="auto"/>
                <w:highlight w:val="none"/>
              </w:rPr>
              <w:t>。</w:t>
            </w:r>
            <w:r>
              <w:rPr>
                <w:rFonts w:hint="eastAsia"/>
                <w:color w:val="auto"/>
                <w:highlight w:val="none"/>
                <w:lang w:val="en-US" w:eastAsia="zh-CN"/>
              </w:rPr>
              <w:t>满足《玻璃工业大气污染物排放标准》（GB26453-2022）表1中的排放限值要求，</w:t>
            </w:r>
            <w:r>
              <w:rPr>
                <w:rFonts w:hint="eastAsia"/>
                <w:color w:val="auto"/>
                <w:highlight w:val="none"/>
              </w:rPr>
              <w:t>即</w:t>
            </w:r>
            <w:r>
              <w:rPr>
                <w:rFonts w:hint="eastAsia"/>
                <w:color w:val="auto"/>
                <w:highlight w:val="none"/>
                <w:lang w:val="en-US" w:eastAsia="zh-CN"/>
              </w:rPr>
              <w:t>30</w:t>
            </w:r>
            <w:r>
              <w:rPr>
                <w:rFonts w:hint="eastAsia"/>
                <w:color w:val="auto"/>
                <w:highlight w:val="none"/>
              </w:rPr>
              <w:t>mg/m</w:t>
            </w:r>
            <w:r>
              <w:rPr>
                <w:rFonts w:hint="eastAsia"/>
                <w:color w:val="auto"/>
                <w:highlight w:val="none"/>
                <w:vertAlign w:val="superscript"/>
              </w:rPr>
              <w:t>3</w:t>
            </w:r>
            <w:r>
              <w:rPr>
                <w:rFonts w:hint="eastAsia"/>
                <w:color w:val="auto"/>
                <w:highlight w:val="none"/>
                <w:lang w:val="en-US" w:eastAsia="zh-CN"/>
              </w:rPr>
              <w:t>。</w:t>
            </w:r>
          </w:p>
          <w:p w14:paraId="64F1F4E6">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en-US" w:eastAsia="zh-CN"/>
              </w:rPr>
              <w:t>未收集粉尘产生量0.009t/a，在生产车间内沉降</w:t>
            </w:r>
            <w:r>
              <w:rPr>
                <w:rFonts w:hint="eastAsia"/>
                <w:color w:val="auto"/>
                <w:highlight w:val="none"/>
                <w:lang w:eastAsia="zh-CN"/>
              </w:rPr>
              <w:t>，</w:t>
            </w:r>
            <w:r>
              <w:rPr>
                <w:rFonts w:hint="eastAsia"/>
                <w:color w:val="auto"/>
                <w:highlight w:val="none"/>
                <w:lang w:val="en-US" w:eastAsia="zh-CN"/>
              </w:rPr>
              <w:t>满足《玻璃工业大气污染物排放标准》（GB26453-2022）表B.1中的排放限值要求，</w:t>
            </w:r>
            <w:r>
              <w:rPr>
                <w:rFonts w:hint="eastAsia"/>
                <w:color w:val="auto"/>
                <w:highlight w:val="none"/>
              </w:rPr>
              <w:t>即</w:t>
            </w:r>
            <w:r>
              <w:rPr>
                <w:rFonts w:hint="eastAsia"/>
                <w:color w:val="auto"/>
                <w:highlight w:val="none"/>
                <w:lang w:val="en-US" w:eastAsia="zh-CN"/>
              </w:rPr>
              <w:t>3</w:t>
            </w:r>
            <w:r>
              <w:rPr>
                <w:rFonts w:hint="eastAsia"/>
                <w:color w:val="auto"/>
                <w:highlight w:val="none"/>
              </w:rPr>
              <w:t>.0mg/m</w:t>
            </w:r>
            <w:r>
              <w:rPr>
                <w:rFonts w:hint="eastAsia"/>
                <w:color w:val="auto"/>
                <w:highlight w:val="none"/>
                <w:vertAlign w:val="superscript"/>
              </w:rPr>
              <w:t>3</w:t>
            </w:r>
            <w:r>
              <w:rPr>
                <w:rFonts w:hint="eastAsia"/>
                <w:color w:val="auto"/>
                <w:highlight w:val="none"/>
                <w:lang w:val="en-US" w:eastAsia="zh-CN"/>
              </w:rPr>
              <w:t>。</w:t>
            </w:r>
          </w:p>
          <w:p w14:paraId="06F42AE7">
            <w:pPr>
              <w:pStyle w:val="3"/>
              <w:suppressLineNumbers w:val="0"/>
              <w:spacing w:before="0" w:beforeAutospacing="0" w:after="0" w:afterAutospacing="0"/>
              <w:ind w:left="0" w:right="0"/>
              <w:rPr>
                <w:rFonts w:hint="default"/>
                <w:color w:val="auto"/>
                <w:highlight w:val="none"/>
              </w:rPr>
            </w:pPr>
            <w:r>
              <w:rPr>
                <w:rFonts w:hint="eastAsia"/>
                <w:color w:val="auto"/>
                <w:highlight w:val="none"/>
              </w:rPr>
              <w:t>1.2废气治理</w:t>
            </w:r>
            <w:r>
              <w:rPr>
                <w:rFonts w:hint="default"/>
                <w:color w:val="auto"/>
                <w:highlight w:val="none"/>
              </w:rPr>
              <w:t>技术可行性</w:t>
            </w:r>
            <w:r>
              <w:rPr>
                <w:rFonts w:hint="eastAsia"/>
                <w:color w:val="auto"/>
                <w:highlight w:val="none"/>
              </w:rPr>
              <w:t>分析</w:t>
            </w:r>
            <w:r>
              <w:rPr>
                <w:rFonts w:hint="default"/>
                <w:color w:val="auto"/>
                <w:highlight w:val="none"/>
              </w:rPr>
              <w:t xml:space="preserve"> </w:t>
            </w:r>
          </w:p>
          <w:p w14:paraId="00D4E86A">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本项目喷粉工序颗粒物经</w:t>
            </w:r>
            <w:r>
              <w:rPr>
                <w:rFonts w:hint="default"/>
                <w:color w:val="auto"/>
                <w:highlight w:val="none"/>
              </w:rPr>
              <w:t>设备配套内置滤芯回收</w:t>
            </w:r>
            <w:r>
              <w:rPr>
                <w:rFonts w:hint="eastAsia"/>
                <w:color w:val="auto"/>
                <w:highlight w:val="none"/>
                <w:lang w:val="en-US" w:eastAsia="zh-CN"/>
              </w:rPr>
              <w:t>利用，设备逸散粉尘量较低，在封闭车间内沉降，颗粒物满足《玻璃工业大气污染物排放标准》（GB26453-2022）表B.1中的排放限值的要求，</w:t>
            </w:r>
            <w:r>
              <w:rPr>
                <w:rFonts w:hint="eastAsia"/>
                <w:color w:val="auto"/>
                <w:highlight w:val="none"/>
              </w:rPr>
              <w:t>即</w:t>
            </w:r>
            <w:r>
              <w:rPr>
                <w:rFonts w:hint="eastAsia"/>
                <w:color w:val="auto"/>
                <w:highlight w:val="none"/>
                <w:lang w:val="en-US" w:eastAsia="zh-CN"/>
              </w:rPr>
              <w:t>3</w:t>
            </w:r>
            <w:r>
              <w:rPr>
                <w:rFonts w:hint="eastAsia"/>
                <w:color w:val="auto"/>
                <w:highlight w:val="none"/>
              </w:rPr>
              <w:t>.0mg/m</w:t>
            </w:r>
            <w:r>
              <w:rPr>
                <w:rFonts w:hint="eastAsia"/>
                <w:color w:val="auto"/>
                <w:highlight w:val="none"/>
                <w:vertAlign w:val="superscript"/>
              </w:rPr>
              <w:t>3</w:t>
            </w:r>
            <w:r>
              <w:rPr>
                <w:rFonts w:hint="eastAsia"/>
                <w:color w:val="auto"/>
                <w:highlight w:val="none"/>
                <w:lang w:val="en-US" w:eastAsia="zh-CN"/>
              </w:rPr>
              <w:t>。</w:t>
            </w:r>
          </w:p>
          <w:p w14:paraId="58F870FF">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喷砂废气采用集气罩+布袋除尘处理后经15m排气筒排出，颗粒物满足《玻璃工业大气污染物排放标准》（GB26453-2022）表1中的排放限值要求，满足《玻璃工业大气污染防治可行技术指南》（</w:t>
            </w:r>
            <w:r>
              <w:rPr>
                <w:rFonts w:hint="eastAsia" w:ascii="Times New Roman" w:hAnsi="Times New Roman" w:cs="Times New Roman"/>
                <w:color w:val="auto"/>
                <w:spacing w:val="0"/>
                <w:kern w:val="2"/>
                <w:sz w:val="24"/>
                <w:szCs w:val="24"/>
                <w:highlight w:val="none"/>
                <w:lang w:val="en-US" w:eastAsia="zh-CN" w:bidi="ar"/>
              </w:rPr>
              <w:t xml:space="preserve">HJ </w:t>
            </w:r>
            <w:r>
              <w:rPr>
                <w:rFonts w:hint="eastAsia" w:cs="Times New Roman"/>
                <w:color w:val="auto"/>
                <w:spacing w:val="0"/>
                <w:kern w:val="2"/>
                <w:sz w:val="24"/>
                <w:szCs w:val="24"/>
                <w:highlight w:val="none"/>
                <w:lang w:val="en-US" w:eastAsia="zh-CN" w:bidi="ar"/>
              </w:rPr>
              <w:t>2305.1-2025</w:t>
            </w:r>
            <w:r>
              <w:rPr>
                <w:rFonts w:hint="eastAsia"/>
                <w:color w:val="auto"/>
                <w:highlight w:val="none"/>
                <w:lang w:val="en-US" w:eastAsia="zh-CN"/>
              </w:rPr>
              <w:t>）中6.1颗粒物治理技术中的袋式除尘技术，属于可行技术</w:t>
            </w:r>
            <w:r>
              <w:rPr>
                <w:rFonts w:hint="eastAsia"/>
                <w:color w:val="auto"/>
                <w:highlight w:val="none"/>
                <w:lang w:eastAsia="zh-CN"/>
              </w:rPr>
              <w:t>。</w:t>
            </w:r>
          </w:p>
          <w:p w14:paraId="5144161B">
            <w:pPr>
              <w:pStyle w:val="3"/>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1.3非正常工况</w:t>
            </w:r>
          </w:p>
          <w:p w14:paraId="072CD95F">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本项目非正常工况排放主要考虑布袋除尘</w:t>
            </w:r>
            <w:r>
              <w:rPr>
                <w:rFonts w:hint="eastAsia"/>
                <w:color w:val="auto"/>
                <w:highlight w:val="none"/>
                <w:lang w:eastAsia="zh-CN"/>
              </w:rPr>
              <w:t>的非正常工况</w:t>
            </w:r>
            <w:r>
              <w:rPr>
                <w:rFonts w:hint="eastAsia"/>
                <w:color w:val="auto"/>
                <w:highlight w:val="none"/>
                <w:lang w:val="en-US" w:eastAsia="zh-CN"/>
              </w:rPr>
              <w:t>，布袋除尘效率为99%，部分布袋破裂，治理效率下降至50%，</w:t>
            </w:r>
            <w:r>
              <w:rPr>
                <w:rFonts w:hint="default"/>
                <w:color w:val="auto"/>
                <w:highlight w:val="none"/>
              </w:rPr>
              <w:t>事故</w:t>
            </w:r>
            <w:r>
              <w:rPr>
                <w:rFonts w:hint="eastAsia"/>
                <w:color w:val="auto"/>
                <w:highlight w:val="none"/>
                <w:lang w:eastAsia="zh-CN"/>
              </w:rPr>
              <w:t>持续</w:t>
            </w:r>
            <w:r>
              <w:rPr>
                <w:rFonts w:hint="default"/>
                <w:color w:val="auto"/>
                <w:highlight w:val="none"/>
              </w:rPr>
              <w:t>时间为</w:t>
            </w:r>
            <w:r>
              <w:rPr>
                <w:rFonts w:hint="eastAsia"/>
                <w:color w:val="auto"/>
                <w:highlight w:val="none"/>
                <w:lang w:val="en-US" w:eastAsia="zh-CN"/>
              </w:rPr>
              <w:t>60</w:t>
            </w:r>
            <w:r>
              <w:rPr>
                <w:rFonts w:hint="default"/>
                <w:color w:val="auto"/>
                <w:highlight w:val="none"/>
              </w:rPr>
              <w:t>min，发生频次为</w:t>
            </w:r>
            <w:r>
              <w:rPr>
                <w:rFonts w:hint="eastAsia"/>
                <w:color w:val="auto"/>
                <w:highlight w:val="none"/>
                <w:lang w:val="en-US" w:eastAsia="zh-CN"/>
              </w:rPr>
              <w:t>1</w:t>
            </w:r>
            <w:r>
              <w:rPr>
                <w:rFonts w:hint="default"/>
                <w:color w:val="auto"/>
                <w:highlight w:val="none"/>
              </w:rPr>
              <w:t>次/年</w:t>
            </w:r>
            <w:r>
              <w:rPr>
                <w:rFonts w:hint="eastAsia"/>
                <w:color w:val="auto"/>
                <w:highlight w:val="none"/>
                <w:lang w:eastAsia="zh-CN"/>
              </w:rPr>
              <w:t>，</w:t>
            </w:r>
            <w:r>
              <w:rPr>
                <w:rFonts w:hint="eastAsia"/>
                <w:color w:val="auto"/>
                <w:highlight w:val="none"/>
                <w:lang w:val="en-US" w:eastAsia="zh-CN"/>
              </w:rPr>
              <w:t>废气非正常工况源强情况见</w:t>
            </w:r>
            <w:r>
              <w:rPr>
                <w:rFonts w:hint="default"/>
                <w:color w:val="auto"/>
                <w:highlight w:val="none"/>
              </w:rPr>
              <w:t>表</w:t>
            </w:r>
            <w:r>
              <w:rPr>
                <w:rFonts w:hint="eastAsia"/>
                <w:color w:val="auto"/>
                <w:highlight w:val="none"/>
                <w:lang w:val="en-US" w:eastAsia="zh-CN"/>
              </w:rPr>
              <w:t>4-2。</w:t>
            </w:r>
          </w:p>
          <w:p w14:paraId="4A4D890A">
            <w:pPr>
              <w:pStyle w:val="5"/>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eastAsia="zh-CN"/>
              </w:rPr>
              <w:t>表</w:t>
            </w:r>
            <w:r>
              <w:rPr>
                <w:rFonts w:hint="eastAsia"/>
                <w:color w:val="auto"/>
                <w:highlight w:val="none"/>
                <w:lang w:val="en-US" w:eastAsia="zh-CN"/>
              </w:rPr>
              <w:t>4-2                    非正常工况排污情况</w:t>
            </w:r>
          </w:p>
          <w:tbl>
            <w:tblPr>
              <w:tblStyle w:val="30"/>
              <w:tblW w:w="8354"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46"/>
              <w:gridCol w:w="717"/>
              <w:gridCol w:w="596"/>
              <w:gridCol w:w="927"/>
              <w:gridCol w:w="960"/>
              <w:gridCol w:w="1026"/>
              <w:gridCol w:w="744"/>
              <w:gridCol w:w="761"/>
              <w:gridCol w:w="798"/>
              <w:gridCol w:w="1079"/>
            </w:tblGrid>
            <w:tr w14:paraId="7EC14B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746" w:type="dxa"/>
                  <w:tcBorders>
                    <w:tl2br w:val="nil"/>
                    <w:tr2bl w:val="nil"/>
                  </w:tcBorders>
                  <w:noWrap w:val="0"/>
                  <w:vAlign w:val="center"/>
                </w:tcPr>
                <w:p w14:paraId="2EA7BBE1">
                  <w:pPr>
                    <w:pStyle w:val="54"/>
                    <w:keepNext w:val="0"/>
                    <w:keepLines w:val="0"/>
                    <w:suppressLineNumbers w:val="0"/>
                    <w:topLinePunct/>
                    <w:autoSpaceDE/>
                    <w:autoSpaceDN/>
                    <w:bidi w:val="0"/>
                    <w:spacing w:before="0" w:beforeAutospacing="0" w:after="0" w:afterAutospacing="0"/>
                    <w:ind w:left="0" w:leftChars="0" w:firstLine="0" w:firstLineChars="0"/>
                    <w:jc w:val="both"/>
                    <w:textAlignment w:val="center"/>
                    <w:rPr>
                      <w:rFonts w:hint="eastAsia"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排放源</w:t>
                  </w:r>
                </w:p>
              </w:tc>
              <w:tc>
                <w:tcPr>
                  <w:tcW w:w="717" w:type="dxa"/>
                  <w:tcBorders>
                    <w:tl2br w:val="nil"/>
                    <w:tr2bl w:val="nil"/>
                  </w:tcBorders>
                  <w:noWrap w:val="0"/>
                  <w:vAlign w:val="center"/>
                </w:tcPr>
                <w:p w14:paraId="7FF1C7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污染物名称</w:t>
                  </w:r>
                </w:p>
              </w:tc>
              <w:tc>
                <w:tcPr>
                  <w:tcW w:w="596" w:type="dxa"/>
                  <w:tcBorders>
                    <w:tl2br w:val="nil"/>
                    <w:tr2bl w:val="nil"/>
                  </w:tcBorders>
                  <w:noWrap w:val="0"/>
                  <w:vAlign w:val="center"/>
                </w:tcPr>
                <w:p w14:paraId="51DE98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处理效率</w:t>
                  </w:r>
                </w:p>
              </w:tc>
              <w:tc>
                <w:tcPr>
                  <w:tcW w:w="927" w:type="dxa"/>
                  <w:tcBorders>
                    <w:tl2br w:val="nil"/>
                    <w:tr2bl w:val="nil"/>
                  </w:tcBorders>
                  <w:noWrap w:val="0"/>
                  <w:vAlign w:val="center"/>
                </w:tcPr>
                <w:p w14:paraId="5060FF51">
                  <w:pPr>
                    <w:pStyle w:val="54"/>
                    <w:keepNext w:val="0"/>
                    <w:keepLines w:val="0"/>
                    <w:suppressLineNumbers w:val="0"/>
                    <w:topLinePunct/>
                    <w:autoSpaceDE/>
                    <w:autoSpaceDN/>
                    <w:bidi w:val="0"/>
                    <w:spacing w:before="0" w:beforeAutospacing="0" w:after="0" w:afterAutospacing="0"/>
                    <w:ind w:left="0" w:leftChars="0" w:right="0" w:rightChars="0" w:firstLine="0" w:firstLineChars="0"/>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rPr>
                    <w:t>处理风量（m</w:t>
                  </w:r>
                  <w:r>
                    <w:rPr>
                      <w:rFonts w:hint="eastAsia" w:cs="Times New Roman"/>
                      <w:color w:val="auto"/>
                      <w:kern w:val="2"/>
                      <w:sz w:val="21"/>
                      <w:szCs w:val="21"/>
                      <w:highlight w:val="none"/>
                      <w:vertAlign w:val="superscript"/>
                      <w:lang w:val="en-US" w:eastAsia="zh-CN"/>
                    </w:rPr>
                    <w:t>3</w:t>
                  </w:r>
                  <w:r>
                    <w:rPr>
                      <w:rFonts w:hint="eastAsia" w:cs="Times New Roman"/>
                      <w:color w:val="auto"/>
                      <w:kern w:val="2"/>
                      <w:sz w:val="21"/>
                      <w:szCs w:val="21"/>
                      <w:highlight w:val="none"/>
                      <w:lang w:val="en-US" w:eastAsia="zh-CN"/>
                    </w:rPr>
                    <w:t>/h）</w:t>
                  </w:r>
                </w:p>
              </w:tc>
              <w:tc>
                <w:tcPr>
                  <w:tcW w:w="960" w:type="dxa"/>
                  <w:tcBorders>
                    <w:tl2br w:val="nil"/>
                    <w:tr2bl w:val="nil"/>
                  </w:tcBorders>
                  <w:noWrap w:val="0"/>
                  <w:vAlign w:val="center"/>
                </w:tcPr>
                <w:p w14:paraId="21E89B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排放速率</w:t>
                  </w:r>
                </w:p>
                <w:p w14:paraId="3DDBD4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（kg/h）</w:t>
                  </w:r>
                </w:p>
              </w:tc>
              <w:tc>
                <w:tcPr>
                  <w:tcW w:w="1026" w:type="dxa"/>
                  <w:tcBorders>
                    <w:tl2br w:val="nil"/>
                    <w:tr2bl w:val="nil"/>
                  </w:tcBorders>
                  <w:noWrap w:val="0"/>
                  <w:vAlign w:val="center"/>
                </w:tcPr>
                <w:p w14:paraId="6AFAEE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排放浓度</w:t>
                  </w:r>
                </w:p>
                <w:p w14:paraId="0A057C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（mg/m</w:t>
                  </w:r>
                  <w:r>
                    <w:rPr>
                      <w:rFonts w:hint="default" w:ascii="Times New Roman" w:hAnsi="Times New Roman" w:eastAsia="宋体" w:cs="Times New Roman"/>
                      <w:color w:val="auto"/>
                      <w:sz w:val="21"/>
                      <w:szCs w:val="21"/>
                      <w:highlight w:val="none"/>
                      <w:vertAlign w:val="superscript"/>
                      <w:lang w:eastAsia="zh-CN"/>
                    </w:rPr>
                    <w:t>3</w:t>
                  </w:r>
                  <w:r>
                    <w:rPr>
                      <w:rFonts w:hint="default" w:ascii="Times New Roman" w:hAnsi="Times New Roman" w:eastAsia="宋体" w:cs="Times New Roman"/>
                      <w:color w:val="auto"/>
                      <w:sz w:val="21"/>
                      <w:szCs w:val="21"/>
                      <w:highlight w:val="none"/>
                      <w:lang w:eastAsia="zh-CN"/>
                    </w:rPr>
                    <w:t>）</w:t>
                  </w:r>
                </w:p>
              </w:tc>
              <w:tc>
                <w:tcPr>
                  <w:tcW w:w="744" w:type="dxa"/>
                  <w:tcBorders>
                    <w:tl2br w:val="nil"/>
                    <w:tr2bl w:val="nil"/>
                  </w:tcBorders>
                  <w:noWrap w:val="0"/>
                  <w:vAlign w:val="center"/>
                </w:tcPr>
                <w:p w14:paraId="42088F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eastAsia="zh-CN"/>
                    </w:rPr>
                    <w:t>发生频次（次）</w:t>
                  </w:r>
                </w:p>
              </w:tc>
              <w:tc>
                <w:tcPr>
                  <w:tcW w:w="761" w:type="dxa"/>
                  <w:tcBorders>
                    <w:tl2br w:val="nil"/>
                    <w:tr2bl w:val="nil"/>
                  </w:tcBorders>
                  <w:noWrap w:val="0"/>
                  <w:vAlign w:val="center"/>
                </w:tcPr>
                <w:p w14:paraId="62EB0F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eastAsia="zh-CN"/>
                    </w:rPr>
                    <w:t>单次持续时间（</w:t>
                  </w:r>
                  <w:r>
                    <w:rPr>
                      <w:rFonts w:hint="eastAsia" w:cs="Times New Roman"/>
                      <w:color w:val="auto"/>
                      <w:sz w:val="21"/>
                      <w:szCs w:val="21"/>
                      <w:highlight w:val="none"/>
                      <w:lang w:val="en-US" w:eastAsia="zh-CN"/>
                    </w:rPr>
                    <w:t>h</w:t>
                  </w:r>
                  <w:r>
                    <w:rPr>
                      <w:rFonts w:hint="eastAsia" w:cs="Times New Roman"/>
                      <w:color w:val="auto"/>
                      <w:sz w:val="21"/>
                      <w:szCs w:val="21"/>
                      <w:highlight w:val="none"/>
                      <w:lang w:eastAsia="zh-CN"/>
                    </w:rPr>
                    <w:t>）</w:t>
                  </w:r>
                </w:p>
              </w:tc>
              <w:tc>
                <w:tcPr>
                  <w:tcW w:w="798" w:type="dxa"/>
                  <w:tcBorders>
                    <w:tl2br w:val="nil"/>
                    <w:tr2bl w:val="nil"/>
                  </w:tcBorders>
                  <w:noWrap w:val="0"/>
                  <w:vAlign w:val="center"/>
                </w:tcPr>
                <w:p w14:paraId="213E28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eastAsia="zh-CN"/>
                    </w:rPr>
                    <w:t>排放量（</w:t>
                  </w:r>
                  <w:r>
                    <w:rPr>
                      <w:rFonts w:hint="eastAsia" w:cs="Times New Roman"/>
                      <w:color w:val="auto"/>
                      <w:sz w:val="21"/>
                      <w:szCs w:val="21"/>
                      <w:highlight w:val="none"/>
                      <w:lang w:val="en-US" w:eastAsia="zh-CN"/>
                    </w:rPr>
                    <w:t>kg</w:t>
                  </w:r>
                  <w:r>
                    <w:rPr>
                      <w:rFonts w:hint="eastAsia" w:cs="Times New Roman"/>
                      <w:color w:val="auto"/>
                      <w:sz w:val="21"/>
                      <w:szCs w:val="21"/>
                      <w:highlight w:val="none"/>
                      <w:lang w:eastAsia="zh-CN"/>
                    </w:rPr>
                    <w:t>）</w:t>
                  </w:r>
                </w:p>
              </w:tc>
              <w:tc>
                <w:tcPr>
                  <w:tcW w:w="1079" w:type="dxa"/>
                  <w:tcBorders>
                    <w:tl2br w:val="nil"/>
                    <w:tr2bl w:val="nil"/>
                  </w:tcBorders>
                  <w:noWrap w:val="0"/>
                  <w:vAlign w:val="center"/>
                </w:tcPr>
                <w:p w14:paraId="491929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eastAsia="zh-CN"/>
                    </w:rPr>
                    <w:t>处理措施</w:t>
                  </w:r>
                </w:p>
              </w:tc>
            </w:tr>
            <w:tr w14:paraId="129FAF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746" w:type="dxa"/>
                  <w:tcBorders>
                    <w:tl2br w:val="nil"/>
                    <w:tr2bl w:val="nil"/>
                  </w:tcBorders>
                  <w:noWrap w:val="0"/>
                  <w:vAlign w:val="center"/>
                </w:tcPr>
                <w:p w14:paraId="4C81A3CF">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DA00</w:t>
                  </w:r>
                  <w:r>
                    <w:rPr>
                      <w:rFonts w:hint="eastAsia" w:cs="Times New Roman"/>
                      <w:color w:val="auto"/>
                      <w:kern w:val="2"/>
                      <w:sz w:val="21"/>
                      <w:szCs w:val="21"/>
                      <w:highlight w:val="none"/>
                      <w:lang w:val="en-US" w:eastAsia="zh-CN" w:bidi="ar-SA"/>
                    </w:rPr>
                    <w:t>1</w:t>
                  </w:r>
                </w:p>
              </w:tc>
              <w:tc>
                <w:tcPr>
                  <w:tcW w:w="717" w:type="dxa"/>
                  <w:tcBorders>
                    <w:tl2br w:val="nil"/>
                    <w:tr2bl w:val="nil"/>
                  </w:tcBorders>
                  <w:noWrap w:val="0"/>
                  <w:vAlign w:val="center"/>
                </w:tcPr>
                <w:p w14:paraId="612C0CD5">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颗粒物</w:t>
                  </w:r>
                </w:p>
              </w:tc>
              <w:tc>
                <w:tcPr>
                  <w:tcW w:w="596" w:type="dxa"/>
                  <w:tcBorders>
                    <w:tl2br w:val="nil"/>
                    <w:tr2bl w:val="nil"/>
                  </w:tcBorders>
                  <w:noWrap w:val="0"/>
                  <w:vAlign w:val="center"/>
                </w:tcPr>
                <w:p w14:paraId="74C54491">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w:t>
                  </w:r>
                  <w:r>
                    <w:rPr>
                      <w:rFonts w:hint="eastAsia" w:eastAsia="宋体" w:cs="Times New Roman"/>
                      <w:color w:val="auto"/>
                      <w:kern w:val="2"/>
                      <w:sz w:val="21"/>
                      <w:szCs w:val="21"/>
                      <w:highlight w:val="none"/>
                      <w:lang w:val="en-US" w:eastAsia="zh-CN" w:bidi="ar-SA"/>
                    </w:rPr>
                    <w:t>%</w:t>
                  </w:r>
                </w:p>
              </w:tc>
              <w:tc>
                <w:tcPr>
                  <w:tcW w:w="927" w:type="dxa"/>
                  <w:tcBorders>
                    <w:tl2br w:val="nil"/>
                    <w:tr2bl w:val="nil"/>
                  </w:tcBorders>
                  <w:noWrap w:val="0"/>
                  <w:vAlign w:val="center"/>
                </w:tcPr>
                <w:p w14:paraId="40056B01">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5000</w:t>
                  </w:r>
                </w:p>
              </w:tc>
              <w:tc>
                <w:tcPr>
                  <w:tcW w:w="960" w:type="dxa"/>
                  <w:tcBorders>
                    <w:tl2br w:val="nil"/>
                    <w:tr2bl w:val="nil"/>
                  </w:tcBorders>
                  <w:shd w:val="clear" w:color="auto" w:fill="auto"/>
                  <w:noWrap w:val="0"/>
                  <w:vAlign w:val="center"/>
                </w:tcPr>
                <w:p w14:paraId="4BA565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0.049</w:t>
                  </w:r>
                </w:p>
              </w:tc>
              <w:tc>
                <w:tcPr>
                  <w:tcW w:w="1026" w:type="dxa"/>
                  <w:tcBorders>
                    <w:tl2br w:val="nil"/>
                    <w:tr2bl w:val="nil"/>
                  </w:tcBorders>
                  <w:shd w:val="clear" w:color="auto" w:fill="auto"/>
                  <w:noWrap w:val="0"/>
                  <w:vAlign w:val="center"/>
                </w:tcPr>
                <w:p w14:paraId="04264B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9.855</w:t>
                  </w:r>
                </w:p>
              </w:tc>
              <w:tc>
                <w:tcPr>
                  <w:tcW w:w="744" w:type="dxa"/>
                  <w:tcBorders>
                    <w:tl2br w:val="nil"/>
                    <w:tr2bl w:val="nil"/>
                  </w:tcBorders>
                  <w:noWrap w:val="0"/>
                  <w:vAlign w:val="center"/>
                </w:tcPr>
                <w:p w14:paraId="6AA049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761" w:type="dxa"/>
                  <w:tcBorders>
                    <w:tl2br w:val="nil"/>
                    <w:tr2bl w:val="nil"/>
                  </w:tcBorders>
                  <w:noWrap w:val="0"/>
                  <w:vAlign w:val="center"/>
                </w:tcPr>
                <w:p w14:paraId="215073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798" w:type="dxa"/>
                  <w:tcBorders>
                    <w:tl2br w:val="nil"/>
                    <w:tr2bl w:val="nil"/>
                  </w:tcBorders>
                  <w:noWrap w:val="0"/>
                  <w:vAlign w:val="center"/>
                </w:tcPr>
                <w:p w14:paraId="27D6D2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0.098</w:t>
                  </w:r>
                </w:p>
              </w:tc>
              <w:tc>
                <w:tcPr>
                  <w:tcW w:w="1079" w:type="dxa"/>
                  <w:tcBorders>
                    <w:tl2br w:val="nil"/>
                    <w:tr2bl w:val="nil"/>
                  </w:tcBorders>
                  <w:noWrap w:val="0"/>
                  <w:vAlign w:val="center"/>
                </w:tcPr>
                <w:p w14:paraId="56EA35D1">
                  <w:pPr>
                    <w:pStyle w:val="54"/>
                    <w:keepNext w:val="0"/>
                    <w:keepLines w:val="0"/>
                    <w:suppressLineNumbers w:val="0"/>
                    <w:topLinePunct/>
                    <w:autoSpaceDE/>
                    <w:autoSpaceDN/>
                    <w:bidi w:val="0"/>
                    <w:spacing w:before="0" w:beforeAutospacing="0" w:after="0" w:afterAutospacing="0"/>
                    <w:ind w:left="0" w:leftChars="0" w:right="0" w:rightChars="0" w:firstLine="0" w:firstLineChars="0"/>
                    <w:textAlignment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发现后紧急抢修</w:t>
                  </w:r>
                </w:p>
              </w:tc>
            </w:tr>
          </w:tbl>
          <w:p w14:paraId="1BC25D0E">
            <w:pPr>
              <w:pStyle w:val="3"/>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1.4废气自行监测</w:t>
            </w:r>
          </w:p>
          <w:p w14:paraId="390BD5FB">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ascii="宋体" w:hAnsi="宋体" w:eastAsia="宋体" w:cs="宋体"/>
                <w:color w:val="auto"/>
                <w:spacing w:val="0"/>
                <w:kern w:val="2"/>
                <w:sz w:val="24"/>
                <w:szCs w:val="24"/>
                <w:highlight w:val="none"/>
                <w:lang w:val="en-US" w:eastAsia="zh-CN" w:bidi="ar"/>
              </w:rPr>
              <w:t>根据《排污单位自行监测技术指南 平板玻璃工业》</w:t>
            </w:r>
            <w:r>
              <w:rPr>
                <w:rFonts w:hint="eastAsia" w:ascii="宋体" w:hAnsi="宋体" w:cs="宋体"/>
                <w:color w:val="auto"/>
                <w:spacing w:val="0"/>
                <w:kern w:val="2"/>
                <w:sz w:val="24"/>
                <w:szCs w:val="24"/>
                <w:highlight w:val="none"/>
                <w:lang w:val="en-US" w:eastAsia="zh-CN" w:bidi="ar"/>
              </w:rPr>
              <w:t>（</w:t>
            </w:r>
            <w:r>
              <w:rPr>
                <w:rFonts w:hint="default" w:ascii="Times New Roman" w:hAnsi="Times New Roman" w:cs="Times New Roman"/>
                <w:color w:val="auto"/>
                <w:spacing w:val="0"/>
                <w:kern w:val="2"/>
                <w:sz w:val="24"/>
                <w:szCs w:val="24"/>
                <w:highlight w:val="none"/>
                <w:lang w:val="en-US" w:eastAsia="zh-CN" w:bidi="ar"/>
              </w:rPr>
              <w:t xml:space="preserve">HJ </w:t>
            </w:r>
            <w:r>
              <w:rPr>
                <w:rFonts w:hint="eastAsia" w:cs="Times New Roman"/>
                <w:color w:val="auto"/>
                <w:spacing w:val="0"/>
                <w:kern w:val="2"/>
                <w:sz w:val="24"/>
                <w:szCs w:val="24"/>
                <w:highlight w:val="none"/>
                <w:lang w:val="en-US" w:eastAsia="zh-CN" w:bidi="ar"/>
              </w:rPr>
              <w:t>988</w:t>
            </w:r>
            <w:r>
              <w:rPr>
                <w:rFonts w:hint="default" w:ascii="Times New Roman" w:hAnsi="Times New Roman" w:cs="Times New Roman"/>
                <w:color w:val="auto"/>
                <w:spacing w:val="0"/>
                <w:kern w:val="2"/>
                <w:sz w:val="24"/>
                <w:szCs w:val="24"/>
                <w:highlight w:val="none"/>
                <w:lang w:val="en-US" w:eastAsia="zh-CN" w:bidi="ar"/>
              </w:rPr>
              <w:t>-201</w:t>
            </w:r>
            <w:r>
              <w:rPr>
                <w:rFonts w:hint="eastAsia" w:cs="Times New Roman"/>
                <w:color w:val="auto"/>
                <w:spacing w:val="0"/>
                <w:kern w:val="2"/>
                <w:sz w:val="24"/>
                <w:szCs w:val="24"/>
                <w:highlight w:val="none"/>
                <w:lang w:val="en-US" w:eastAsia="zh-CN" w:bidi="ar"/>
              </w:rPr>
              <w:t>8）</w:t>
            </w:r>
            <w:r>
              <w:rPr>
                <w:rFonts w:hint="eastAsia" w:ascii="Times New Roman" w:hAnsi="Times New Roman" w:cs="Times New Roman"/>
                <w:color w:val="auto"/>
                <w:spacing w:val="0"/>
                <w:kern w:val="2"/>
                <w:sz w:val="24"/>
                <w:szCs w:val="24"/>
                <w:highlight w:val="none"/>
                <w:lang w:val="en-US" w:eastAsia="zh-CN" w:bidi="ar"/>
              </w:rPr>
              <w:t>《</w:t>
            </w:r>
            <w:r>
              <w:rPr>
                <w:rFonts w:hint="eastAsia"/>
                <w:color w:val="auto"/>
                <w:highlight w:val="none"/>
                <w:lang w:val="en-US" w:eastAsia="zh-CN"/>
              </w:rPr>
              <w:t>排污许可证申请与核发技术规范 玻璃工业—平板玻璃</w:t>
            </w:r>
            <w:r>
              <w:rPr>
                <w:rFonts w:hint="eastAsia" w:ascii="Times New Roman" w:hAnsi="Times New Roman" w:cs="Times New Roman"/>
                <w:color w:val="auto"/>
                <w:spacing w:val="0"/>
                <w:kern w:val="2"/>
                <w:sz w:val="24"/>
                <w:szCs w:val="24"/>
                <w:highlight w:val="none"/>
                <w:lang w:val="en-US" w:eastAsia="zh-CN" w:bidi="ar"/>
              </w:rPr>
              <w:t>》</w:t>
            </w:r>
            <w:r>
              <w:rPr>
                <w:rFonts w:hint="eastAsia" w:cs="Times New Roman"/>
                <w:color w:val="auto"/>
                <w:spacing w:val="0"/>
                <w:kern w:val="2"/>
                <w:sz w:val="24"/>
                <w:szCs w:val="24"/>
                <w:highlight w:val="none"/>
                <w:lang w:val="en-US" w:eastAsia="zh-CN" w:bidi="ar"/>
              </w:rPr>
              <w:t>（</w:t>
            </w:r>
            <w:r>
              <w:rPr>
                <w:rFonts w:hint="eastAsia" w:ascii="Times New Roman" w:hAnsi="Times New Roman" w:cs="Times New Roman"/>
                <w:color w:val="auto"/>
                <w:spacing w:val="0"/>
                <w:kern w:val="2"/>
                <w:sz w:val="24"/>
                <w:szCs w:val="24"/>
                <w:highlight w:val="none"/>
                <w:lang w:val="en-US" w:eastAsia="zh-CN" w:bidi="ar"/>
              </w:rPr>
              <w:t xml:space="preserve">HJ </w:t>
            </w:r>
            <w:r>
              <w:rPr>
                <w:rFonts w:hint="eastAsia" w:cs="Times New Roman"/>
                <w:color w:val="auto"/>
                <w:spacing w:val="0"/>
                <w:kern w:val="2"/>
                <w:sz w:val="24"/>
                <w:szCs w:val="24"/>
                <w:highlight w:val="none"/>
                <w:lang w:val="en-US" w:eastAsia="zh-CN" w:bidi="ar"/>
              </w:rPr>
              <w:t>856-2017）</w:t>
            </w:r>
            <w:r>
              <w:rPr>
                <w:rFonts w:hint="eastAsia"/>
                <w:color w:val="auto"/>
                <w:highlight w:val="none"/>
                <w:lang w:val="en-US" w:eastAsia="zh-CN"/>
              </w:rPr>
              <w:t>，</w:t>
            </w:r>
            <w:r>
              <w:rPr>
                <w:rFonts w:hint="default"/>
                <w:color w:val="auto"/>
                <w:highlight w:val="none"/>
                <w:lang w:val="en-US" w:eastAsia="zh-CN"/>
              </w:rPr>
              <w:t>监测计划见表</w:t>
            </w:r>
            <w:r>
              <w:rPr>
                <w:rFonts w:hint="eastAsia"/>
                <w:color w:val="auto"/>
                <w:highlight w:val="none"/>
                <w:lang w:val="en-US" w:eastAsia="zh-CN"/>
              </w:rPr>
              <w:t>4-3</w:t>
            </w:r>
            <w:r>
              <w:rPr>
                <w:rFonts w:hint="default"/>
                <w:color w:val="auto"/>
                <w:highlight w:val="none"/>
                <w:lang w:val="en-US" w:eastAsia="zh-CN"/>
              </w:rPr>
              <w:t>。</w:t>
            </w:r>
          </w:p>
          <w:p w14:paraId="11B8A97D">
            <w:pPr>
              <w:pStyle w:val="5"/>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eastAsia="zh-CN"/>
              </w:rPr>
              <w:t>表</w:t>
            </w:r>
            <w:r>
              <w:rPr>
                <w:rFonts w:hint="eastAsia"/>
                <w:color w:val="auto"/>
                <w:highlight w:val="none"/>
                <w:lang w:val="en-US" w:eastAsia="zh-CN"/>
              </w:rPr>
              <w:t>4-3                           废气监测计划一览表</w:t>
            </w:r>
          </w:p>
          <w:tbl>
            <w:tblPr>
              <w:tblStyle w:val="30"/>
              <w:tblW w:w="8439" w:type="dxa"/>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284"/>
              <w:gridCol w:w="1770"/>
              <w:gridCol w:w="3178"/>
              <w:gridCol w:w="2207"/>
            </w:tblGrid>
            <w:tr w14:paraId="089F30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284" w:type="dxa"/>
                  <w:tcBorders>
                    <w:tl2br w:val="nil"/>
                    <w:tr2bl w:val="nil"/>
                  </w:tcBorders>
                  <w:noWrap w:val="0"/>
                  <w:vAlign w:val="center"/>
                </w:tcPr>
                <w:p w14:paraId="0C17EDF2">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类别</w:t>
                  </w:r>
                </w:p>
              </w:tc>
              <w:tc>
                <w:tcPr>
                  <w:tcW w:w="1770" w:type="dxa"/>
                  <w:tcBorders>
                    <w:tl2br w:val="nil"/>
                    <w:tr2bl w:val="nil"/>
                  </w:tcBorders>
                  <w:noWrap w:val="0"/>
                  <w:vAlign w:val="center"/>
                </w:tcPr>
                <w:p w14:paraId="54E0CD46">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监测位置</w:t>
                  </w:r>
                </w:p>
              </w:tc>
              <w:tc>
                <w:tcPr>
                  <w:tcW w:w="3178" w:type="dxa"/>
                  <w:tcBorders>
                    <w:tl2br w:val="nil"/>
                    <w:tr2bl w:val="nil"/>
                  </w:tcBorders>
                  <w:noWrap w:val="0"/>
                  <w:vAlign w:val="center"/>
                </w:tcPr>
                <w:p w14:paraId="5A9CBC0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监测项目</w:t>
                  </w:r>
                </w:p>
              </w:tc>
              <w:tc>
                <w:tcPr>
                  <w:tcW w:w="2207" w:type="dxa"/>
                  <w:tcBorders>
                    <w:tl2br w:val="nil"/>
                    <w:tr2bl w:val="nil"/>
                  </w:tcBorders>
                  <w:noWrap w:val="0"/>
                  <w:vAlign w:val="center"/>
                </w:tcPr>
                <w:p w14:paraId="55693D3B">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监测频次</w:t>
                  </w:r>
                </w:p>
              </w:tc>
            </w:tr>
            <w:tr w14:paraId="58A2E6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284" w:type="dxa"/>
                  <w:tcBorders>
                    <w:tl2br w:val="nil"/>
                    <w:tr2bl w:val="nil"/>
                  </w:tcBorders>
                  <w:noWrap w:val="0"/>
                  <w:vAlign w:val="center"/>
                </w:tcPr>
                <w:p w14:paraId="3ABDF251">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有组织废气</w:t>
                  </w:r>
                </w:p>
              </w:tc>
              <w:tc>
                <w:tcPr>
                  <w:tcW w:w="1770" w:type="dxa"/>
                  <w:tcBorders>
                    <w:tl2br w:val="nil"/>
                    <w:tr2bl w:val="nil"/>
                  </w:tcBorders>
                  <w:noWrap w:val="0"/>
                  <w:vAlign w:val="center"/>
                </w:tcPr>
                <w:p w14:paraId="35E0A72D">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eastAsia="宋体"/>
                      <w:color w:val="auto"/>
                      <w:highlight w:val="none"/>
                      <w:lang w:val="en-US" w:eastAsia="zh-CN"/>
                    </w:rPr>
                  </w:pPr>
                  <w:r>
                    <w:rPr>
                      <w:rFonts w:hint="eastAsia"/>
                      <w:color w:val="auto"/>
                      <w:highlight w:val="none"/>
                      <w:lang w:val="en-US" w:eastAsia="zh-CN"/>
                    </w:rPr>
                    <w:t>DA001</w:t>
                  </w:r>
                </w:p>
              </w:tc>
              <w:tc>
                <w:tcPr>
                  <w:tcW w:w="3178" w:type="dxa"/>
                  <w:tcBorders>
                    <w:tl2br w:val="nil"/>
                    <w:tr2bl w:val="nil"/>
                  </w:tcBorders>
                  <w:noWrap w:val="0"/>
                  <w:vAlign w:val="center"/>
                </w:tcPr>
                <w:p w14:paraId="06D768C0">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color w:val="auto"/>
                      <w:highlight w:val="none"/>
                      <w:lang w:val="en-US" w:eastAsia="zh-CN"/>
                    </w:rPr>
                  </w:pPr>
                  <w:r>
                    <w:rPr>
                      <w:rFonts w:hint="eastAsia"/>
                      <w:color w:val="auto"/>
                      <w:highlight w:val="none"/>
                      <w:lang w:val="en-US" w:eastAsia="zh-CN"/>
                    </w:rPr>
                    <w:t>颗粒物</w:t>
                  </w:r>
                </w:p>
              </w:tc>
              <w:tc>
                <w:tcPr>
                  <w:tcW w:w="2207" w:type="dxa"/>
                  <w:tcBorders>
                    <w:tl2br w:val="nil"/>
                    <w:tr2bl w:val="nil"/>
                  </w:tcBorders>
                  <w:noWrap w:val="0"/>
                  <w:vAlign w:val="center"/>
                </w:tcPr>
                <w:p w14:paraId="78D8A6B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color w:val="auto"/>
                      <w:highlight w:val="none"/>
                      <w:lang w:val="en-US" w:eastAsia="zh-CN"/>
                    </w:rPr>
                  </w:pPr>
                  <w:r>
                    <w:rPr>
                      <w:rFonts w:hint="eastAsia"/>
                      <w:color w:val="auto"/>
                      <w:highlight w:val="none"/>
                      <w:lang w:val="en-US" w:eastAsia="zh-CN"/>
                    </w:rPr>
                    <w:t>年</w:t>
                  </w:r>
                </w:p>
              </w:tc>
            </w:tr>
            <w:tr w14:paraId="550BA0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284" w:type="dxa"/>
                  <w:tcBorders>
                    <w:tl2br w:val="nil"/>
                    <w:tr2bl w:val="nil"/>
                  </w:tcBorders>
                  <w:noWrap w:val="0"/>
                  <w:vAlign w:val="center"/>
                </w:tcPr>
                <w:p w14:paraId="79225671">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无组织废气</w:t>
                  </w:r>
                </w:p>
              </w:tc>
              <w:tc>
                <w:tcPr>
                  <w:tcW w:w="1770" w:type="dxa"/>
                  <w:tcBorders>
                    <w:tl2br w:val="nil"/>
                    <w:tr2bl w:val="nil"/>
                  </w:tcBorders>
                  <w:shd w:val="clear" w:color="auto" w:fill="auto"/>
                  <w:noWrap w:val="0"/>
                  <w:vAlign w:val="center"/>
                </w:tcPr>
                <w:p w14:paraId="7D26C8B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车间外</w:t>
                  </w:r>
                </w:p>
              </w:tc>
              <w:tc>
                <w:tcPr>
                  <w:tcW w:w="3178" w:type="dxa"/>
                  <w:tcBorders>
                    <w:tl2br w:val="nil"/>
                    <w:tr2bl w:val="nil"/>
                  </w:tcBorders>
                  <w:shd w:val="clear" w:color="auto" w:fill="auto"/>
                  <w:noWrap w:val="0"/>
                  <w:vAlign w:val="center"/>
                </w:tcPr>
                <w:p w14:paraId="36C2B8C6">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颗粒物</w:t>
                  </w:r>
                </w:p>
              </w:tc>
              <w:tc>
                <w:tcPr>
                  <w:tcW w:w="2207" w:type="dxa"/>
                  <w:tcBorders>
                    <w:tl2br w:val="nil"/>
                    <w:tr2bl w:val="nil"/>
                  </w:tcBorders>
                  <w:shd w:val="clear" w:color="auto" w:fill="auto"/>
                  <w:noWrap w:val="0"/>
                  <w:vAlign w:val="center"/>
                </w:tcPr>
                <w:p w14:paraId="2F22B206">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半年</w:t>
                  </w:r>
                </w:p>
              </w:tc>
            </w:tr>
          </w:tbl>
          <w:p w14:paraId="0F14067B">
            <w:pPr>
              <w:pStyle w:val="3"/>
              <w:suppressLineNumbers w:val="0"/>
              <w:bidi w:val="0"/>
              <w:spacing w:before="0" w:beforeAutospacing="0" w:after="0" w:afterAutospacing="0"/>
              <w:ind w:left="0" w:right="0"/>
              <w:rPr>
                <w:rFonts w:hint="default"/>
                <w:color w:val="auto"/>
                <w:highlight w:val="none"/>
              </w:rPr>
            </w:pPr>
            <w:r>
              <w:rPr>
                <w:rFonts w:hint="default"/>
                <w:color w:val="auto"/>
                <w:highlight w:val="none"/>
              </w:rPr>
              <w:t>2</w:t>
            </w:r>
            <w:r>
              <w:rPr>
                <w:rFonts w:hint="eastAsia"/>
                <w:color w:val="auto"/>
                <w:highlight w:val="none"/>
              </w:rPr>
              <w:t>、废水</w:t>
            </w:r>
          </w:p>
          <w:p w14:paraId="2BECC5A7">
            <w:pPr>
              <w:pStyle w:val="3"/>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2.1废水源强分析</w:t>
            </w:r>
          </w:p>
          <w:p w14:paraId="25BFBFCE">
            <w:pPr>
              <w:pStyle w:val="3"/>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2" w:firstLineChars="200"/>
              <w:textAlignment w:val="auto"/>
              <w:rPr>
                <w:rFonts w:hint="eastAsia"/>
                <w:color w:val="auto"/>
                <w:highlight w:val="none"/>
                <w:lang w:val="en-US" w:eastAsia="zh-CN"/>
              </w:rPr>
            </w:pPr>
            <w:r>
              <w:rPr>
                <w:rFonts w:hint="eastAsia"/>
                <w:color w:val="auto"/>
                <w:highlight w:val="none"/>
                <w:lang w:val="en-US" w:eastAsia="zh-CN"/>
              </w:rPr>
              <w:t>2.1.1生产废水</w:t>
            </w:r>
          </w:p>
          <w:p w14:paraId="0DD57CED">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highlight w:val="none"/>
                <w:lang w:eastAsia="zh-CN"/>
              </w:rPr>
              <w:t>纯水制备系统会产生浓水，新鲜用水量为31371m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/a，得水率70%，浓水产生量约</w:t>
            </w:r>
            <w:r>
              <w:rPr>
                <w:rFonts w:hint="default" w:ascii="Times New Roman" w:hAnsi="Times New Roman" w:cs="Times New Roman"/>
                <w:color w:val="auto"/>
                <w:highlight w:val="none"/>
                <w:lang w:val="en-US" w:eastAsia="zh-CN"/>
              </w:rPr>
              <w:t>1671</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eastAsia="宋体" w:cs="Times New Roman"/>
                <w:color w:val="auto"/>
                <w:sz w:val="24"/>
                <w:szCs w:val="24"/>
              </w:rPr>
              <w:t>本项目软化水制备产生</w:t>
            </w:r>
            <w:r>
              <w:rPr>
                <w:rFonts w:hint="default" w:ascii="Times New Roman" w:hAnsi="Times New Roman" w:eastAsia="宋体" w:cs="Times New Roman"/>
                <w:color w:val="auto"/>
                <w:sz w:val="24"/>
                <w:szCs w:val="24"/>
                <w:lang w:val="en-US" w:eastAsia="zh-CN"/>
              </w:rPr>
              <w:t>的</w:t>
            </w:r>
            <w:r>
              <w:rPr>
                <w:rFonts w:hint="default" w:ascii="Times New Roman" w:hAnsi="Times New Roman" w:eastAsia="宋体" w:cs="Times New Roman"/>
                <w:color w:val="auto"/>
                <w:sz w:val="24"/>
                <w:szCs w:val="24"/>
              </w:rPr>
              <w:t>浓水，废水</w:t>
            </w:r>
            <w:r>
              <w:rPr>
                <w:rFonts w:hint="default" w:ascii="Times New Roman" w:hAnsi="Times New Roman" w:eastAsia="宋体" w:cs="Times New Roman"/>
                <w:color w:val="auto"/>
                <w:sz w:val="24"/>
                <w:szCs w:val="24"/>
                <w:lang w:val="en-US" w:eastAsia="zh-CN"/>
              </w:rPr>
              <w:t>中主要</w:t>
            </w:r>
            <w:r>
              <w:rPr>
                <w:rFonts w:hint="default" w:ascii="Times New Roman" w:hAnsi="Times New Roman" w:eastAsia="宋体" w:cs="Times New Roman"/>
                <w:color w:val="auto"/>
                <w:sz w:val="24"/>
                <w:szCs w:val="24"/>
              </w:rPr>
              <w:t>污染物为总硬度、氯化物、溶解性总固体（TDS），SS、COD 浓度较低。</w:t>
            </w:r>
            <w:r>
              <w:rPr>
                <w:rFonts w:hint="default" w:ascii="Times New Roman" w:hAnsi="Times New Roman" w:eastAsia="宋体" w:cs="Times New Roman"/>
                <w:color w:val="auto"/>
                <w:sz w:val="24"/>
                <w:szCs w:val="24"/>
                <w:lang w:val="en-US" w:eastAsia="zh-CN"/>
              </w:rPr>
              <w:t>类比同类项目：</w:t>
            </w:r>
            <w:r>
              <w:rPr>
                <w:rFonts w:hint="default" w:ascii="Times New Roman" w:hAnsi="Times New Roman" w:eastAsia="宋体" w:cs="Times New Roman"/>
                <w:color w:val="auto"/>
                <w:sz w:val="24"/>
                <w:szCs w:val="24"/>
              </w:rPr>
              <w:t>总硬度1500～5000mg/L（以 CaCO₃计）、氯化物800～3000mg/L、TDS2000～6000mg/L，SS＜30mg/L，COD＜30mg/L。</w:t>
            </w:r>
            <w:r>
              <w:rPr>
                <w:rFonts w:hint="default" w:ascii="Times New Roman" w:hAnsi="Times New Roman" w:eastAsia="宋体" w:cs="Times New Roman"/>
                <w:color w:val="auto"/>
                <w:sz w:val="24"/>
                <w:szCs w:val="24"/>
                <w:lang w:val="en-US" w:eastAsia="zh-CN"/>
              </w:rPr>
              <w:t>根据园区污水处理厂的进水要求，</w:t>
            </w:r>
            <w:r>
              <w:rPr>
                <w:rFonts w:hint="default" w:ascii="Times New Roman" w:hAnsi="Times New Roman" w:eastAsia="宋体" w:cs="Times New Roman"/>
                <w:color w:val="auto"/>
                <w:sz w:val="24"/>
                <w:szCs w:val="24"/>
                <w:highlight w:val="none"/>
              </w:rPr>
              <w:t>该废水执行《污水综合排放标准》（GB 8978-1996）三级标准后排入园区污水管网，</w:t>
            </w:r>
            <w:r>
              <w:rPr>
                <w:rFonts w:hint="default" w:ascii="Times New Roman" w:hAnsi="Times New Roman" w:eastAsia="宋体" w:cs="Times New Roman"/>
                <w:color w:val="auto"/>
                <w:sz w:val="24"/>
                <w:szCs w:val="24"/>
                <w:highlight w:val="none"/>
                <w:lang w:val="en-US" w:eastAsia="zh-CN"/>
              </w:rPr>
              <w:t>最终进入园区</w:t>
            </w:r>
            <w:r>
              <w:rPr>
                <w:rFonts w:hint="default" w:ascii="Times New Roman" w:hAnsi="Times New Roman" w:eastAsia="宋体" w:cs="Times New Roman"/>
                <w:color w:val="auto"/>
                <w:sz w:val="24"/>
                <w:szCs w:val="24"/>
                <w:highlight w:val="none"/>
              </w:rPr>
              <w:t>污水处理厂集中处理。</w:t>
            </w:r>
          </w:p>
          <w:p w14:paraId="3C5E6B62">
            <w:pPr>
              <w:pStyle w:val="3"/>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2" w:firstLineChars="200"/>
              <w:textAlignment w:val="auto"/>
              <w:rPr>
                <w:rFonts w:hint="eastAsia"/>
                <w:color w:val="auto"/>
                <w:highlight w:val="none"/>
                <w:lang w:eastAsia="zh-CN"/>
              </w:rPr>
            </w:pPr>
            <w:r>
              <w:rPr>
                <w:rFonts w:hint="eastAsia"/>
                <w:color w:val="auto"/>
                <w:highlight w:val="none"/>
                <w:lang w:eastAsia="zh-CN"/>
              </w:rPr>
              <w:t>2</w:t>
            </w:r>
            <w:r>
              <w:rPr>
                <w:rFonts w:hint="eastAsia"/>
                <w:color w:val="auto"/>
                <w:highlight w:val="none"/>
                <w:lang w:val="en-US" w:eastAsia="zh-CN"/>
              </w:rPr>
              <w:t>.1.2</w:t>
            </w:r>
            <w:r>
              <w:rPr>
                <w:rFonts w:hint="eastAsia"/>
                <w:color w:val="auto"/>
                <w:highlight w:val="none"/>
                <w:lang w:eastAsia="zh-CN"/>
              </w:rPr>
              <w:t>生活污水</w:t>
            </w:r>
          </w:p>
          <w:p w14:paraId="460B26E0">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eastAsia="zh-CN"/>
              </w:rPr>
              <w:t>本项目生活用水量为2.8m</w:t>
            </w:r>
            <w:r>
              <w:rPr>
                <w:rFonts w:hint="eastAsia"/>
                <w:color w:val="auto"/>
                <w:highlight w:val="none"/>
                <w:vertAlign w:val="superscript"/>
                <w:lang w:eastAsia="zh-CN"/>
              </w:rPr>
              <w:t>3</w:t>
            </w:r>
            <w:r>
              <w:rPr>
                <w:rFonts w:hint="eastAsia"/>
                <w:color w:val="auto"/>
                <w:highlight w:val="none"/>
                <w:lang w:eastAsia="zh-CN"/>
              </w:rPr>
              <w:t>/d，84</w:t>
            </w:r>
            <w:r>
              <w:rPr>
                <w:rFonts w:hint="eastAsia"/>
                <w:color w:val="auto"/>
                <w:highlight w:val="none"/>
                <w:lang w:val="en-US" w:eastAsia="zh-CN"/>
              </w:rPr>
              <w:t>0</w:t>
            </w:r>
            <w:r>
              <w:rPr>
                <w:rFonts w:hint="eastAsia"/>
                <w:color w:val="auto"/>
                <w:highlight w:val="none"/>
                <w:lang w:eastAsia="zh-CN"/>
              </w:rPr>
              <w:t>m</w:t>
            </w:r>
            <w:r>
              <w:rPr>
                <w:rFonts w:hint="eastAsia"/>
                <w:color w:val="auto"/>
                <w:highlight w:val="none"/>
                <w:vertAlign w:val="superscript"/>
                <w:lang w:eastAsia="zh-CN"/>
              </w:rPr>
              <w:t>3</w:t>
            </w:r>
            <w:r>
              <w:rPr>
                <w:rFonts w:hint="eastAsia"/>
                <w:color w:val="auto"/>
                <w:highlight w:val="none"/>
                <w:lang w:eastAsia="zh-CN"/>
              </w:rPr>
              <w:t>/a。排水量按用水量80%计，则排水量为2.24m</w:t>
            </w:r>
            <w:r>
              <w:rPr>
                <w:rFonts w:hint="eastAsia"/>
                <w:color w:val="auto"/>
                <w:highlight w:val="none"/>
                <w:vertAlign w:val="superscript"/>
                <w:lang w:eastAsia="zh-CN"/>
              </w:rPr>
              <w:t>3</w:t>
            </w:r>
            <w:r>
              <w:rPr>
                <w:rFonts w:hint="eastAsia"/>
                <w:color w:val="auto"/>
                <w:highlight w:val="none"/>
                <w:lang w:eastAsia="zh-CN"/>
              </w:rPr>
              <w:t>/d，</w:t>
            </w:r>
            <w:r>
              <w:rPr>
                <w:rFonts w:hint="eastAsia"/>
                <w:color w:val="auto"/>
                <w:highlight w:val="none"/>
                <w:lang w:val="en-US" w:eastAsia="zh-CN"/>
              </w:rPr>
              <w:t>672</w:t>
            </w:r>
            <w:r>
              <w:rPr>
                <w:rFonts w:hint="eastAsia"/>
                <w:color w:val="auto"/>
                <w:highlight w:val="none"/>
                <w:lang w:eastAsia="zh-CN"/>
              </w:rPr>
              <w:t>m</w:t>
            </w:r>
            <w:r>
              <w:rPr>
                <w:rFonts w:hint="eastAsia"/>
                <w:color w:val="auto"/>
                <w:highlight w:val="none"/>
                <w:vertAlign w:val="superscript"/>
                <w:lang w:eastAsia="zh-CN"/>
              </w:rPr>
              <w:t>3</w:t>
            </w:r>
            <w:r>
              <w:rPr>
                <w:rFonts w:hint="eastAsia"/>
                <w:color w:val="auto"/>
                <w:highlight w:val="none"/>
                <w:lang w:eastAsia="zh-CN"/>
              </w:rPr>
              <w:t>/a。生活污水排入园区下水管网，最终进入拉依苏化工区污水处理厂，</w:t>
            </w:r>
            <w:r>
              <w:rPr>
                <w:rFonts w:hint="eastAsia"/>
                <w:color w:val="auto"/>
                <w:highlight w:val="none"/>
                <w:lang w:val="en-US" w:eastAsia="zh-CN"/>
              </w:rPr>
              <w:t>生活污水污染物排放浓度类比</w:t>
            </w:r>
            <w:r>
              <w:rPr>
                <w:rFonts w:hint="default"/>
                <w:color w:val="auto"/>
                <w:highlight w:val="none"/>
              </w:rPr>
              <w:t>新疆光耀玻璃科技有限公司</w:t>
            </w:r>
            <w:r>
              <w:rPr>
                <w:rFonts w:hint="eastAsia"/>
                <w:color w:val="auto"/>
                <w:highlight w:val="none"/>
                <w:lang w:val="en-US" w:eastAsia="zh-CN"/>
              </w:rPr>
              <w:t>现有生活污水监测数据，</w:t>
            </w:r>
            <w:r>
              <w:rPr>
                <w:rFonts w:hint="eastAsia"/>
                <w:color w:val="auto"/>
                <w:highlight w:val="none"/>
                <w:lang w:eastAsia="zh-CN"/>
              </w:rPr>
              <w:t>表4-</w:t>
            </w:r>
            <w:r>
              <w:rPr>
                <w:rFonts w:hint="eastAsia"/>
                <w:color w:val="auto"/>
                <w:highlight w:val="none"/>
                <w:lang w:val="en-US" w:eastAsia="zh-CN"/>
              </w:rPr>
              <w:t>4。</w:t>
            </w:r>
          </w:p>
          <w:p w14:paraId="325200A1">
            <w:pPr>
              <w:pStyle w:val="5"/>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eastAsia="zh-CN"/>
              </w:rPr>
              <w:t>表</w:t>
            </w:r>
            <w:r>
              <w:rPr>
                <w:rFonts w:hint="eastAsia"/>
                <w:color w:val="auto"/>
                <w:highlight w:val="none"/>
                <w:lang w:val="en-US" w:eastAsia="zh-CN"/>
              </w:rPr>
              <w:t xml:space="preserve">4-4             </w:t>
            </w:r>
            <w:r>
              <w:rPr>
                <w:rFonts w:hint="default"/>
                <w:color w:val="auto"/>
                <w:highlight w:val="none"/>
              </w:rPr>
              <w:t>本项目</w:t>
            </w:r>
            <w:r>
              <w:rPr>
                <w:rFonts w:hint="eastAsia"/>
                <w:color w:val="auto"/>
                <w:highlight w:val="none"/>
                <w:lang w:eastAsia="zh-CN"/>
              </w:rPr>
              <w:t>生活污水</w:t>
            </w:r>
            <w:r>
              <w:rPr>
                <w:rFonts w:hint="default"/>
                <w:color w:val="auto"/>
                <w:highlight w:val="none"/>
              </w:rPr>
              <w:t>污染产生排放情况一览表</w:t>
            </w:r>
          </w:p>
          <w:tbl>
            <w:tblPr>
              <w:tblStyle w:val="30"/>
              <w:tblpPr w:leftFromText="180" w:rightFromText="180" w:vertAnchor="text" w:horzAnchor="page" w:tblpXSpec="center" w:tblpY="25"/>
              <w:tblOverlap w:val="never"/>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019"/>
              <w:gridCol w:w="1425"/>
              <w:gridCol w:w="1530"/>
              <w:gridCol w:w="1707"/>
              <w:gridCol w:w="1730"/>
            </w:tblGrid>
            <w:tr w14:paraId="2EB930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noWrap w:val="0"/>
                  <w:tcMar>
                    <w:left w:w="28" w:type="dxa"/>
                    <w:right w:w="28" w:type="dxa"/>
                  </w:tcMar>
                  <w:vAlign w:val="center"/>
                </w:tcPr>
                <w:p w14:paraId="451AAB3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排放口编号</w:t>
                  </w:r>
                </w:p>
              </w:tc>
              <w:tc>
                <w:tcPr>
                  <w:tcW w:w="610" w:type="pct"/>
                  <w:noWrap w:val="0"/>
                  <w:tcMar>
                    <w:left w:w="28" w:type="dxa"/>
                    <w:right w:w="28" w:type="dxa"/>
                  </w:tcMar>
                  <w:vAlign w:val="center"/>
                </w:tcPr>
                <w:p w14:paraId="0B3A7D42">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废水量</w:t>
                  </w:r>
                </w:p>
              </w:tc>
              <w:tc>
                <w:tcPr>
                  <w:tcW w:w="853" w:type="pct"/>
                  <w:noWrap w:val="0"/>
                  <w:tcMar>
                    <w:left w:w="28" w:type="dxa"/>
                    <w:right w:w="28" w:type="dxa"/>
                  </w:tcMar>
                  <w:vAlign w:val="center"/>
                </w:tcPr>
                <w:p w14:paraId="2153A710">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污染物</w:t>
                  </w:r>
                </w:p>
              </w:tc>
              <w:tc>
                <w:tcPr>
                  <w:tcW w:w="916" w:type="pct"/>
                  <w:noWrap w:val="0"/>
                  <w:tcMar>
                    <w:left w:w="28" w:type="dxa"/>
                    <w:right w:w="28" w:type="dxa"/>
                  </w:tcMar>
                  <w:vAlign w:val="center"/>
                </w:tcPr>
                <w:p w14:paraId="50B52672">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处理前排放浓度</w:t>
                  </w:r>
                </w:p>
                <w:p w14:paraId="28A3145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（mg/L）</w:t>
                  </w:r>
                </w:p>
              </w:tc>
              <w:tc>
                <w:tcPr>
                  <w:tcW w:w="1022" w:type="pct"/>
                  <w:noWrap w:val="0"/>
                  <w:tcMar>
                    <w:left w:w="28" w:type="dxa"/>
                    <w:right w:w="28" w:type="dxa"/>
                  </w:tcMar>
                  <w:vAlign w:val="center"/>
                </w:tcPr>
                <w:p w14:paraId="3C2FF95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年产生量</w:t>
                  </w:r>
                </w:p>
                <w:p w14:paraId="4F19762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（t/a）</w:t>
                  </w:r>
                </w:p>
              </w:tc>
              <w:tc>
                <w:tcPr>
                  <w:tcW w:w="1031" w:type="pct"/>
                  <w:noWrap w:val="0"/>
                  <w:tcMar>
                    <w:left w:w="28" w:type="dxa"/>
                    <w:right w:w="28" w:type="dxa"/>
                  </w:tcMar>
                  <w:vAlign w:val="center"/>
                </w:tcPr>
                <w:p w14:paraId="70B13855">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限值</w:t>
                  </w:r>
                  <w:r>
                    <w:rPr>
                      <w:rFonts w:hint="default" w:ascii="Times New Roman" w:hAnsi="Times New Roman" w:eastAsia="宋体" w:cs="Times New Roman"/>
                      <w:color w:val="auto"/>
                      <w:highlight w:val="none"/>
                      <w:lang w:val="en-US" w:eastAsia="zh-CN"/>
                    </w:rPr>
                    <w:t>（mg/L）</w:t>
                  </w:r>
                </w:p>
              </w:tc>
            </w:tr>
            <w:tr w14:paraId="28DCF6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restart"/>
                  <w:noWrap w:val="0"/>
                  <w:tcMar>
                    <w:left w:w="28" w:type="dxa"/>
                    <w:right w:w="28" w:type="dxa"/>
                  </w:tcMar>
                  <w:vAlign w:val="center"/>
                </w:tcPr>
                <w:p w14:paraId="7F0713BE">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DW001</w:t>
                  </w:r>
                </w:p>
              </w:tc>
              <w:tc>
                <w:tcPr>
                  <w:tcW w:w="610" w:type="pct"/>
                  <w:vMerge w:val="restart"/>
                  <w:noWrap w:val="0"/>
                  <w:tcMar>
                    <w:left w:w="28" w:type="dxa"/>
                    <w:right w:w="28" w:type="dxa"/>
                  </w:tcMar>
                  <w:vAlign w:val="center"/>
                </w:tcPr>
                <w:p w14:paraId="4820B52E">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672</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/a</w:t>
                  </w:r>
                </w:p>
              </w:tc>
              <w:tc>
                <w:tcPr>
                  <w:tcW w:w="853" w:type="pct"/>
                  <w:noWrap w:val="0"/>
                  <w:tcMar>
                    <w:left w:w="28" w:type="dxa"/>
                    <w:right w:w="28" w:type="dxa"/>
                  </w:tcMar>
                  <w:vAlign w:val="center"/>
                </w:tcPr>
                <w:p w14:paraId="09BF821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COD</w:t>
                  </w:r>
                </w:p>
              </w:tc>
              <w:tc>
                <w:tcPr>
                  <w:tcW w:w="916" w:type="pct"/>
                  <w:noWrap w:val="0"/>
                  <w:tcMar>
                    <w:left w:w="28" w:type="dxa"/>
                    <w:right w:w="28" w:type="dxa"/>
                  </w:tcMar>
                  <w:vAlign w:val="center"/>
                </w:tcPr>
                <w:p w14:paraId="4A5328B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74.67</w:t>
                  </w:r>
                </w:p>
              </w:tc>
              <w:tc>
                <w:tcPr>
                  <w:tcW w:w="1022" w:type="pct"/>
                  <w:noWrap w:val="0"/>
                  <w:tcMar>
                    <w:left w:w="28" w:type="dxa"/>
                    <w:right w:w="28" w:type="dxa"/>
                  </w:tcMar>
                  <w:vAlign w:val="center"/>
                </w:tcPr>
                <w:p w14:paraId="0CC4409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0.05</w:t>
                  </w:r>
                </w:p>
              </w:tc>
              <w:tc>
                <w:tcPr>
                  <w:tcW w:w="1031" w:type="pct"/>
                  <w:noWrap w:val="0"/>
                  <w:tcMar>
                    <w:left w:w="28" w:type="dxa"/>
                    <w:right w:w="28" w:type="dxa"/>
                  </w:tcMar>
                  <w:vAlign w:val="center"/>
                </w:tcPr>
                <w:p w14:paraId="7CBD80F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500</w:t>
                  </w:r>
                </w:p>
              </w:tc>
            </w:tr>
            <w:tr w14:paraId="26E3D9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noWrap w:val="0"/>
                  <w:tcMar>
                    <w:left w:w="28" w:type="dxa"/>
                    <w:right w:w="28" w:type="dxa"/>
                  </w:tcMar>
                  <w:vAlign w:val="center"/>
                </w:tcPr>
                <w:p w14:paraId="180BF939">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p>
              </w:tc>
              <w:tc>
                <w:tcPr>
                  <w:tcW w:w="610" w:type="pct"/>
                  <w:vMerge w:val="continue"/>
                  <w:noWrap w:val="0"/>
                  <w:tcMar>
                    <w:left w:w="28" w:type="dxa"/>
                    <w:right w:w="28" w:type="dxa"/>
                  </w:tcMar>
                  <w:vAlign w:val="center"/>
                </w:tcPr>
                <w:p w14:paraId="41BF8090">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p>
              </w:tc>
              <w:tc>
                <w:tcPr>
                  <w:tcW w:w="853" w:type="pct"/>
                  <w:noWrap w:val="0"/>
                  <w:tcMar>
                    <w:left w:w="28" w:type="dxa"/>
                    <w:right w:w="28" w:type="dxa"/>
                  </w:tcMar>
                  <w:vAlign w:val="center"/>
                </w:tcPr>
                <w:p w14:paraId="7424249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BOD</w:t>
                  </w:r>
                  <w:r>
                    <w:rPr>
                      <w:rFonts w:hint="default"/>
                      <w:color w:val="auto"/>
                      <w:highlight w:val="none"/>
                      <w:vertAlign w:val="subscript"/>
                      <w:lang w:val="en-US" w:eastAsia="zh-CN"/>
                    </w:rPr>
                    <w:t>5</w:t>
                  </w:r>
                </w:p>
              </w:tc>
              <w:tc>
                <w:tcPr>
                  <w:tcW w:w="916" w:type="pct"/>
                  <w:noWrap w:val="0"/>
                  <w:tcMar>
                    <w:left w:w="28" w:type="dxa"/>
                    <w:right w:w="28" w:type="dxa"/>
                  </w:tcMar>
                  <w:vAlign w:val="center"/>
                </w:tcPr>
                <w:p w14:paraId="739E045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10</w:t>
                  </w:r>
                </w:p>
              </w:tc>
              <w:tc>
                <w:tcPr>
                  <w:tcW w:w="1022" w:type="pct"/>
                  <w:noWrap w:val="0"/>
                  <w:tcMar>
                    <w:left w:w="28" w:type="dxa"/>
                    <w:right w:w="28" w:type="dxa"/>
                  </w:tcMar>
                  <w:vAlign w:val="center"/>
                </w:tcPr>
                <w:p w14:paraId="439C072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0.007</w:t>
                  </w:r>
                </w:p>
              </w:tc>
              <w:tc>
                <w:tcPr>
                  <w:tcW w:w="1031" w:type="pct"/>
                  <w:noWrap w:val="0"/>
                  <w:tcMar>
                    <w:left w:w="28" w:type="dxa"/>
                    <w:right w:w="28" w:type="dxa"/>
                  </w:tcMar>
                  <w:vAlign w:val="center"/>
                </w:tcPr>
                <w:p w14:paraId="2D902B9B">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300</w:t>
                  </w:r>
                </w:p>
              </w:tc>
            </w:tr>
            <w:tr w14:paraId="5CA0F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noWrap w:val="0"/>
                  <w:tcMar>
                    <w:left w:w="28" w:type="dxa"/>
                    <w:right w:w="28" w:type="dxa"/>
                  </w:tcMar>
                  <w:vAlign w:val="center"/>
                </w:tcPr>
                <w:p w14:paraId="79D2A26C">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p>
              </w:tc>
              <w:tc>
                <w:tcPr>
                  <w:tcW w:w="610" w:type="pct"/>
                  <w:vMerge w:val="continue"/>
                  <w:noWrap w:val="0"/>
                  <w:tcMar>
                    <w:left w:w="28" w:type="dxa"/>
                    <w:right w:w="28" w:type="dxa"/>
                  </w:tcMar>
                  <w:vAlign w:val="center"/>
                </w:tcPr>
                <w:p w14:paraId="721BF89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p>
              </w:tc>
              <w:tc>
                <w:tcPr>
                  <w:tcW w:w="853" w:type="pct"/>
                  <w:noWrap w:val="0"/>
                  <w:tcMar>
                    <w:left w:w="28" w:type="dxa"/>
                    <w:right w:w="28" w:type="dxa"/>
                  </w:tcMar>
                  <w:vAlign w:val="center"/>
                </w:tcPr>
                <w:p w14:paraId="143C219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SS</w:t>
                  </w:r>
                </w:p>
              </w:tc>
              <w:tc>
                <w:tcPr>
                  <w:tcW w:w="916" w:type="pct"/>
                  <w:noWrap w:val="0"/>
                  <w:tcMar>
                    <w:left w:w="28" w:type="dxa"/>
                    <w:right w:w="28" w:type="dxa"/>
                  </w:tcMar>
                  <w:vAlign w:val="center"/>
                </w:tcPr>
                <w:p w14:paraId="0EB5D27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35</w:t>
                  </w:r>
                </w:p>
              </w:tc>
              <w:tc>
                <w:tcPr>
                  <w:tcW w:w="1022" w:type="pct"/>
                  <w:noWrap w:val="0"/>
                  <w:tcMar>
                    <w:left w:w="28" w:type="dxa"/>
                    <w:right w:w="28" w:type="dxa"/>
                  </w:tcMar>
                  <w:vAlign w:val="center"/>
                </w:tcPr>
                <w:p w14:paraId="526B34B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0.024</w:t>
                  </w:r>
                </w:p>
              </w:tc>
              <w:tc>
                <w:tcPr>
                  <w:tcW w:w="1031" w:type="pct"/>
                  <w:noWrap w:val="0"/>
                  <w:tcMar>
                    <w:left w:w="28" w:type="dxa"/>
                    <w:right w:w="28" w:type="dxa"/>
                  </w:tcMar>
                  <w:vAlign w:val="center"/>
                </w:tcPr>
                <w:p w14:paraId="215F9D4E">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400</w:t>
                  </w:r>
                </w:p>
              </w:tc>
            </w:tr>
            <w:tr w14:paraId="7CDE50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noWrap w:val="0"/>
                  <w:tcMar>
                    <w:left w:w="28" w:type="dxa"/>
                    <w:right w:w="28" w:type="dxa"/>
                  </w:tcMar>
                  <w:vAlign w:val="center"/>
                </w:tcPr>
                <w:p w14:paraId="1D6D3E42">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p>
              </w:tc>
              <w:tc>
                <w:tcPr>
                  <w:tcW w:w="610" w:type="pct"/>
                  <w:vMerge w:val="continue"/>
                  <w:noWrap w:val="0"/>
                  <w:tcMar>
                    <w:left w:w="28" w:type="dxa"/>
                    <w:right w:w="28" w:type="dxa"/>
                  </w:tcMar>
                  <w:vAlign w:val="center"/>
                </w:tcPr>
                <w:p w14:paraId="5C7B9E56">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p>
              </w:tc>
              <w:tc>
                <w:tcPr>
                  <w:tcW w:w="853" w:type="pct"/>
                  <w:noWrap w:val="0"/>
                  <w:tcMar>
                    <w:left w:w="28" w:type="dxa"/>
                    <w:right w:w="28" w:type="dxa"/>
                  </w:tcMar>
                  <w:vAlign w:val="center"/>
                </w:tcPr>
                <w:p w14:paraId="4FC76BB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NH</w:t>
                  </w:r>
                  <w:r>
                    <w:rPr>
                      <w:rFonts w:hint="default"/>
                      <w:color w:val="auto"/>
                      <w:highlight w:val="none"/>
                      <w:vertAlign w:val="subscript"/>
                      <w:lang w:val="en-US" w:eastAsia="zh-CN"/>
                    </w:rPr>
                    <w:t>3</w:t>
                  </w:r>
                  <w:r>
                    <w:rPr>
                      <w:rFonts w:hint="default"/>
                      <w:color w:val="auto"/>
                      <w:highlight w:val="none"/>
                      <w:lang w:val="en-US" w:eastAsia="zh-CN"/>
                    </w:rPr>
                    <w:t>-N</w:t>
                  </w:r>
                </w:p>
              </w:tc>
              <w:tc>
                <w:tcPr>
                  <w:tcW w:w="916" w:type="pct"/>
                  <w:noWrap w:val="0"/>
                  <w:tcMar>
                    <w:left w:w="28" w:type="dxa"/>
                    <w:right w:w="28" w:type="dxa"/>
                  </w:tcMar>
                  <w:vAlign w:val="center"/>
                </w:tcPr>
                <w:p w14:paraId="3183DCB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18.17</w:t>
                  </w:r>
                </w:p>
              </w:tc>
              <w:tc>
                <w:tcPr>
                  <w:tcW w:w="1022" w:type="pct"/>
                  <w:noWrap w:val="0"/>
                  <w:tcMar>
                    <w:left w:w="28" w:type="dxa"/>
                    <w:right w:w="28" w:type="dxa"/>
                  </w:tcMar>
                  <w:vAlign w:val="center"/>
                </w:tcPr>
                <w:p w14:paraId="7841295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0.012</w:t>
                  </w:r>
                </w:p>
              </w:tc>
              <w:tc>
                <w:tcPr>
                  <w:tcW w:w="1031" w:type="pct"/>
                  <w:noWrap w:val="0"/>
                  <w:tcMar>
                    <w:left w:w="28" w:type="dxa"/>
                    <w:right w:w="28" w:type="dxa"/>
                  </w:tcMar>
                  <w:vAlign w:val="center"/>
                </w:tcPr>
                <w:p w14:paraId="075CCD7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64BFC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6"/>
                  <w:noWrap w:val="0"/>
                  <w:tcMar>
                    <w:left w:w="28" w:type="dxa"/>
                    <w:right w:w="28" w:type="dxa"/>
                  </w:tcMar>
                  <w:vAlign w:val="center"/>
                </w:tcPr>
                <w:p w14:paraId="2DCCE168">
                  <w:pPr>
                    <w:pStyle w:val="7"/>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highlight w:val="none"/>
                      <w:lang w:val="en-US" w:eastAsia="zh-CN"/>
                    </w:rPr>
                  </w:pPr>
                  <w:r>
                    <w:rPr>
                      <w:rFonts w:hint="default"/>
                      <w:color w:val="auto"/>
                      <w:highlight w:val="none"/>
                    </w:rPr>
                    <w:t>巴州鑫烁材料科技有限公司员工 40 人</w:t>
                  </w:r>
                  <w:r>
                    <w:rPr>
                      <w:rFonts w:hint="eastAsia"/>
                      <w:color w:val="auto"/>
                      <w:highlight w:val="none"/>
                      <w:lang w:eastAsia="zh-CN"/>
                    </w:rPr>
                    <w:t>，</w:t>
                  </w:r>
                  <w:r>
                    <w:rPr>
                      <w:rFonts w:hint="eastAsia"/>
                      <w:color w:val="auto"/>
                      <w:highlight w:val="none"/>
                      <w:lang w:val="en-US" w:eastAsia="zh-CN"/>
                    </w:rPr>
                    <w:t>依托</w:t>
                  </w:r>
                  <w:r>
                    <w:rPr>
                      <w:rFonts w:hint="default"/>
                      <w:color w:val="auto"/>
                      <w:highlight w:val="none"/>
                    </w:rPr>
                    <w:t>新疆光耀玻璃科技有限公司</w:t>
                  </w:r>
                  <w:r>
                    <w:rPr>
                      <w:rFonts w:hint="eastAsia"/>
                      <w:color w:val="auto"/>
                      <w:highlight w:val="none"/>
                      <w:lang w:val="en-US" w:eastAsia="zh-CN"/>
                    </w:rPr>
                    <w:t>现有生活区，</w:t>
                  </w:r>
                  <w:r>
                    <w:rPr>
                      <w:rFonts w:hint="default"/>
                      <w:color w:val="auto"/>
                      <w:highlight w:val="none"/>
                    </w:rPr>
                    <w:t>生活污水依托光耀玻璃现有化粪池预处理后，排入拉依苏化工区污水处理厂；人员作息、生活设施、化粪池处理工艺、园区纳管条件完全一致，具备类比条件。</w:t>
                  </w:r>
                </w:p>
              </w:tc>
            </w:tr>
          </w:tbl>
          <w:p w14:paraId="5E321F25">
            <w:pPr>
              <w:pStyle w:val="5"/>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表4-5                    排放口基本情况表</w:t>
            </w:r>
          </w:p>
          <w:tbl>
            <w:tblPr>
              <w:tblStyle w:val="31"/>
              <w:tblW w:w="496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69"/>
              <w:gridCol w:w="1913"/>
              <w:gridCol w:w="1819"/>
              <w:gridCol w:w="626"/>
              <w:gridCol w:w="644"/>
              <w:gridCol w:w="628"/>
              <w:gridCol w:w="420"/>
              <w:gridCol w:w="718"/>
              <w:gridCol w:w="665"/>
            </w:tblGrid>
            <w:tr w14:paraId="50A466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523" w:type="pct"/>
                  <w:vMerge w:val="restart"/>
                  <w:tcBorders>
                    <w:tl2br w:val="nil"/>
                    <w:tr2bl w:val="nil"/>
                  </w:tcBorders>
                  <w:noWrap w:val="0"/>
                  <w:vAlign w:val="center"/>
                </w:tcPr>
                <w:p w14:paraId="6410615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排放口编号</w:t>
                  </w:r>
                </w:p>
              </w:tc>
              <w:tc>
                <w:tcPr>
                  <w:tcW w:w="2247" w:type="pct"/>
                  <w:gridSpan w:val="2"/>
                  <w:tcBorders>
                    <w:tl2br w:val="nil"/>
                    <w:tr2bl w:val="nil"/>
                  </w:tcBorders>
                  <w:noWrap w:val="0"/>
                  <w:vAlign w:val="center"/>
                </w:tcPr>
                <w:p w14:paraId="13E02D8F">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地理坐标</w:t>
                  </w:r>
                </w:p>
              </w:tc>
              <w:tc>
                <w:tcPr>
                  <w:tcW w:w="377" w:type="pct"/>
                  <w:vMerge w:val="restart"/>
                  <w:tcBorders>
                    <w:tl2br w:val="nil"/>
                    <w:tr2bl w:val="nil"/>
                  </w:tcBorders>
                  <w:noWrap w:val="0"/>
                  <w:vAlign w:val="center"/>
                </w:tcPr>
                <w:p w14:paraId="4B527A4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废水排放量m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/a</w:t>
                  </w:r>
                </w:p>
              </w:tc>
              <w:tc>
                <w:tcPr>
                  <w:tcW w:w="387" w:type="pct"/>
                  <w:vMerge w:val="restart"/>
                  <w:tcBorders>
                    <w:tl2br w:val="nil"/>
                    <w:tr2bl w:val="nil"/>
                  </w:tcBorders>
                  <w:noWrap w:val="0"/>
                  <w:vAlign w:val="center"/>
                </w:tcPr>
                <w:p w14:paraId="28FA9A2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废水排放去向</w:t>
                  </w:r>
                </w:p>
              </w:tc>
              <w:tc>
                <w:tcPr>
                  <w:tcW w:w="378" w:type="pct"/>
                  <w:vMerge w:val="restart"/>
                  <w:tcBorders>
                    <w:tl2br w:val="nil"/>
                    <w:tr2bl w:val="nil"/>
                  </w:tcBorders>
                  <w:noWrap w:val="0"/>
                  <w:vAlign w:val="center"/>
                </w:tcPr>
                <w:p w14:paraId="17F26B8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排放规律</w:t>
                  </w:r>
                </w:p>
              </w:tc>
              <w:tc>
                <w:tcPr>
                  <w:tcW w:w="1085" w:type="pct"/>
                  <w:gridSpan w:val="3"/>
                  <w:tcBorders>
                    <w:tl2br w:val="nil"/>
                    <w:tr2bl w:val="nil"/>
                  </w:tcBorders>
                  <w:noWrap w:val="0"/>
                  <w:vAlign w:val="center"/>
                </w:tcPr>
                <w:p w14:paraId="177DDA0B">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受纳污水处理厂信息</w:t>
                  </w:r>
                </w:p>
              </w:tc>
            </w:tr>
            <w:tr w14:paraId="59749E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23" w:type="pct"/>
                  <w:vMerge w:val="continue"/>
                  <w:tcBorders>
                    <w:tl2br w:val="nil"/>
                    <w:tr2bl w:val="nil"/>
                  </w:tcBorders>
                  <w:noWrap w:val="0"/>
                  <w:vAlign w:val="center"/>
                </w:tcPr>
                <w:p w14:paraId="5D18DEA5">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152" w:type="pct"/>
                  <w:tcBorders>
                    <w:tl2br w:val="nil"/>
                    <w:tr2bl w:val="nil"/>
                  </w:tcBorders>
                  <w:noWrap w:val="0"/>
                  <w:vAlign w:val="center"/>
                </w:tcPr>
                <w:p w14:paraId="1ADFAE10">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w:t>
                  </w:r>
                </w:p>
              </w:tc>
              <w:tc>
                <w:tcPr>
                  <w:tcW w:w="1095" w:type="pct"/>
                  <w:tcBorders>
                    <w:tl2br w:val="nil"/>
                    <w:tr2bl w:val="nil"/>
                  </w:tcBorders>
                  <w:noWrap w:val="0"/>
                  <w:vAlign w:val="center"/>
                </w:tcPr>
                <w:p w14:paraId="4CF6A56C">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E</w:t>
                  </w:r>
                </w:p>
              </w:tc>
              <w:tc>
                <w:tcPr>
                  <w:tcW w:w="377" w:type="pct"/>
                  <w:vMerge w:val="continue"/>
                  <w:tcBorders>
                    <w:tl2br w:val="nil"/>
                    <w:tr2bl w:val="nil"/>
                  </w:tcBorders>
                  <w:noWrap w:val="0"/>
                  <w:vAlign w:val="center"/>
                </w:tcPr>
                <w:p w14:paraId="7DB4917C">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87" w:type="pct"/>
                  <w:vMerge w:val="continue"/>
                  <w:tcBorders>
                    <w:tl2br w:val="nil"/>
                    <w:tr2bl w:val="nil"/>
                  </w:tcBorders>
                  <w:noWrap w:val="0"/>
                  <w:vAlign w:val="center"/>
                </w:tcPr>
                <w:p w14:paraId="6390CC0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8" w:type="pct"/>
                  <w:vMerge w:val="continue"/>
                  <w:tcBorders>
                    <w:tl2br w:val="nil"/>
                    <w:tr2bl w:val="nil"/>
                  </w:tcBorders>
                  <w:noWrap w:val="0"/>
                  <w:vAlign w:val="center"/>
                </w:tcPr>
                <w:p w14:paraId="5676D280">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252" w:type="pct"/>
                  <w:tcBorders>
                    <w:tl2br w:val="nil"/>
                    <w:tr2bl w:val="nil"/>
                  </w:tcBorders>
                  <w:noWrap w:val="0"/>
                  <w:vAlign w:val="center"/>
                </w:tcPr>
                <w:p w14:paraId="47043559">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名称</w:t>
                  </w:r>
                </w:p>
              </w:tc>
              <w:tc>
                <w:tcPr>
                  <w:tcW w:w="432" w:type="pct"/>
                  <w:tcBorders>
                    <w:tl2br w:val="nil"/>
                    <w:tr2bl w:val="nil"/>
                  </w:tcBorders>
                  <w:noWrap w:val="0"/>
                  <w:vAlign w:val="center"/>
                </w:tcPr>
                <w:p w14:paraId="6820BC1A">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污染物</w:t>
                  </w:r>
                </w:p>
              </w:tc>
              <w:tc>
                <w:tcPr>
                  <w:tcW w:w="400" w:type="pct"/>
                  <w:tcBorders>
                    <w:tl2br w:val="nil"/>
                    <w:tr2bl w:val="nil"/>
                  </w:tcBorders>
                  <w:noWrap w:val="0"/>
                  <w:vAlign w:val="center"/>
                </w:tcPr>
                <w:p w14:paraId="35261E4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排放限值mg/L</w:t>
                  </w:r>
                </w:p>
              </w:tc>
            </w:tr>
            <w:tr w14:paraId="22C497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23" w:type="pct"/>
                  <w:vMerge w:val="restart"/>
                  <w:tcBorders>
                    <w:tl2br w:val="nil"/>
                    <w:tr2bl w:val="nil"/>
                  </w:tcBorders>
                  <w:noWrap w:val="0"/>
                  <w:vAlign w:val="center"/>
                </w:tcPr>
                <w:p w14:paraId="2AA1701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DW001</w:t>
                  </w:r>
                </w:p>
              </w:tc>
              <w:tc>
                <w:tcPr>
                  <w:tcW w:w="1152" w:type="pct"/>
                  <w:vMerge w:val="restart"/>
                  <w:tcBorders>
                    <w:tl2br w:val="nil"/>
                    <w:tr2bl w:val="nil"/>
                  </w:tcBorders>
                  <w:noWrap w:val="0"/>
                  <w:vAlign w:val="center"/>
                </w:tcPr>
                <w:p w14:paraId="4DB59C4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83°59'55.55"</w:t>
                  </w:r>
                </w:p>
              </w:tc>
              <w:tc>
                <w:tcPr>
                  <w:tcW w:w="1095" w:type="pct"/>
                  <w:vMerge w:val="restart"/>
                  <w:tcBorders>
                    <w:tl2br w:val="nil"/>
                    <w:tr2bl w:val="nil"/>
                  </w:tcBorders>
                  <w:noWrap w:val="0"/>
                  <w:vAlign w:val="center"/>
                </w:tcPr>
                <w:p w14:paraId="26FE5ABE">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41°48'38.57"</w:t>
                  </w:r>
                </w:p>
              </w:tc>
              <w:tc>
                <w:tcPr>
                  <w:tcW w:w="377" w:type="pct"/>
                  <w:vMerge w:val="restart"/>
                  <w:tcBorders>
                    <w:tl2br w:val="nil"/>
                    <w:tr2bl w:val="nil"/>
                  </w:tcBorders>
                  <w:noWrap w:val="0"/>
                  <w:vAlign w:val="center"/>
                </w:tcPr>
                <w:p w14:paraId="694C7C8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672</w:t>
                  </w:r>
                </w:p>
              </w:tc>
              <w:tc>
                <w:tcPr>
                  <w:tcW w:w="387" w:type="pct"/>
                  <w:vMerge w:val="restart"/>
                  <w:tcBorders>
                    <w:tl2br w:val="nil"/>
                    <w:tr2bl w:val="nil"/>
                  </w:tcBorders>
                  <w:noWrap w:val="0"/>
                  <w:vAlign w:val="center"/>
                </w:tcPr>
                <w:p w14:paraId="1E7DBECD">
                  <w:pPr>
                    <w:keepNext w:val="0"/>
                    <w:keepLines w:val="0"/>
                    <w:pageBreakBefore w:val="0"/>
                    <w:suppressLineNumbers w:val="0"/>
                    <w:kinsoku/>
                    <w:wordWrap/>
                    <w:overflowPunct/>
                    <w:autoSpaceDE/>
                    <w:autoSpaceDN/>
                    <w:bidi w:val="0"/>
                    <w:adjustRightInd w:val="0"/>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园区污水处理厂</w:t>
                  </w:r>
                </w:p>
              </w:tc>
              <w:tc>
                <w:tcPr>
                  <w:tcW w:w="378" w:type="pct"/>
                  <w:vMerge w:val="restart"/>
                  <w:tcBorders>
                    <w:tl2br w:val="nil"/>
                    <w:tr2bl w:val="nil"/>
                  </w:tcBorders>
                  <w:noWrap w:val="0"/>
                  <w:vAlign w:val="center"/>
                </w:tcPr>
                <w:p w14:paraId="277E46FF">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间歇排放，排放期间流量不稳定</w:t>
                  </w:r>
                </w:p>
              </w:tc>
              <w:tc>
                <w:tcPr>
                  <w:tcW w:w="252" w:type="pct"/>
                  <w:vMerge w:val="restart"/>
                  <w:tcBorders>
                    <w:tl2br w:val="nil"/>
                    <w:tr2bl w:val="nil"/>
                  </w:tcBorders>
                  <w:noWrap w:val="0"/>
                  <w:vAlign w:val="center"/>
                </w:tcPr>
                <w:p w14:paraId="7A00C4CF">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拉依苏化工区污水处理厂</w:t>
                  </w:r>
                </w:p>
              </w:tc>
              <w:tc>
                <w:tcPr>
                  <w:tcW w:w="432" w:type="pct"/>
                  <w:tcBorders>
                    <w:tl2br w:val="nil"/>
                    <w:tr2bl w:val="nil"/>
                  </w:tcBorders>
                  <w:noWrap w:val="0"/>
                  <w:vAlign w:val="center"/>
                </w:tcPr>
                <w:p w14:paraId="53B1C22D">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pH</w:t>
                  </w:r>
                </w:p>
              </w:tc>
              <w:tc>
                <w:tcPr>
                  <w:tcW w:w="400" w:type="pct"/>
                  <w:tcBorders>
                    <w:tl2br w:val="nil"/>
                    <w:tr2bl w:val="nil"/>
                  </w:tcBorders>
                  <w:noWrap w:val="0"/>
                  <w:vAlign w:val="center"/>
                </w:tcPr>
                <w:p w14:paraId="6EBB6B3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6-9（无量纲）</w:t>
                  </w:r>
                </w:p>
              </w:tc>
            </w:tr>
            <w:tr w14:paraId="191FD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23" w:type="pct"/>
                  <w:vMerge w:val="continue"/>
                  <w:tcBorders>
                    <w:tl2br w:val="nil"/>
                    <w:tr2bl w:val="nil"/>
                  </w:tcBorders>
                  <w:noWrap w:val="0"/>
                  <w:vAlign w:val="center"/>
                </w:tcPr>
                <w:p w14:paraId="3EC9928A">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152" w:type="pct"/>
                  <w:vMerge w:val="continue"/>
                  <w:tcBorders>
                    <w:tl2br w:val="nil"/>
                    <w:tr2bl w:val="nil"/>
                  </w:tcBorders>
                  <w:noWrap w:val="0"/>
                  <w:vAlign w:val="center"/>
                </w:tcPr>
                <w:p w14:paraId="75EB0A4A">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095" w:type="pct"/>
                  <w:vMerge w:val="continue"/>
                  <w:tcBorders>
                    <w:tl2br w:val="nil"/>
                    <w:tr2bl w:val="nil"/>
                  </w:tcBorders>
                  <w:noWrap w:val="0"/>
                  <w:vAlign w:val="center"/>
                </w:tcPr>
                <w:p w14:paraId="41F12579">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7" w:type="pct"/>
                  <w:vMerge w:val="continue"/>
                  <w:tcBorders>
                    <w:tl2br w:val="nil"/>
                    <w:tr2bl w:val="nil"/>
                  </w:tcBorders>
                  <w:noWrap w:val="0"/>
                  <w:vAlign w:val="center"/>
                </w:tcPr>
                <w:p w14:paraId="5E89BD2E">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87" w:type="pct"/>
                  <w:vMerge w:val="continue"/>
                  <w:tcBorders>
                    <w:tl2br w:val="nil"/>
                    <w:tr2bl w:val="nil"/>
                  </w:tcBorders>
                  <w:noWrap w:val="0"/>
                  <w:vAlign w:val="center"/>
                </w:tcPr>
                <w:p w14:paraId="0B360FAC">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8" w:type="pct"/>
                  <w:vMerge w:val="continue"/>
                  <w:tcBorders>
                    <w:tl2br w:val="nil"/>
                    <w:tr2bl w:val="nil"/>
                  </w:tcBorders>
                  <w:noWrap w:val="0"/>
                  <w:vAlign w:val="center"/>
                </w:tcPr>
                <w:p w14:paraId="39B9BC1B">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252" w:type="pct"/>
                  <w:vMerge w:val="continue"/>
                  <w:tcBorders>
                    <w:tl2br w:val="nil"/>
                    <w:tr2bl w:val="nil"/>
                  </w:tcBorders>
                  <w:noWrap w:val="0"/>
                  <w:vAlign w:val="center"/>
                </w:tcPr>
                <w:p w14:paraId="2CC17B39">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432" w:type="pct"/>
                  <w:tcBorders>
                    <w:tl2br w:val="nil"/>
                    <w:tr2bl w:val="nil"/>
                  </w:tcBorders>
                  <w:noWrap w:val="0"/>
                  <w:vAlign w:val="center"/>
                </w:tcPr>
                <w:p w14:paraId="7EED116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COD</w:t>
                  </w:r>
                </w:p>
              </w:tc>
              <w:tc>
                <w:tcPr>
                  <w:tcW w:w="400" w:type="pct"/>
                  <w:tcBorders>
                    <w:tl2br w:val="nil"/>
                    <w:tr2bl w:val="nil"/>
                  </w:tcBorders>
                  <w:noWrap w:val="0"/>
                  <w:vAlign w:val="center"/>
                </w:tcPr>
                <w:p w14:paraId="515D80F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r>
            <w:tr w14:paraId="1897FD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23" w:type="pct"/>
                  <w:vMerge w:val="continue"/>
                  <w:tcBorders>
                    <w:tl2br w:val="nil"/>
                    <w:tr2bl w:val="nil"/>
                  </w:tcBorders>
                  <w:noWrap w:val="0"/>
                  <w:vAlign w:val="center"/>
                </w:tcPr>
                <w:p w14:paraId="1411FD82">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152" w:type="pct"/>
                  <w:vMerge w:val="continue"/>
                  <w:tcBorders>
                    <w:tl2br w:val="nil"/>
                    <w:tr2bl w:val="nil"/>
                  </w:tcBorders>
                  <w:noWrap w:val="0"/>
                  <w:vAlign w:val="center"/>
                </w:tcPr>
                <w:p w14:paraId="2424018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095" w:type="pct"/>
                  <w:vMerge w:val="continue"/>
                  <w:tcBorders>
                    <w:tl2br w:val="nil"/>
                    <w:tr2bl w:val="nil"/>
                  </w:tcBorders>
                  <w:noWrap w:val="0"/>
                  <w:vAlign w:val="center"/>
                </w:tcPr>
                <w:p w14:paraId="310B9AF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7" w:type="pct"/>
                  <w:vMerge w:val="continue"/>
                  <w:tcBorders>
                    <w:tl2br w:val="nil"/>
                    <w:tr2bl w:val="nil"/>
                  </w:tcBorders>
                  <w:noWrap w:val="0"/>
                  <w:vAlign w:val="center"/>
                </w:tcPr>
                <w:p w14:paraId="3880D36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87" w:type="pct"/>
                  <w:vMerge w:val="continue"/>
                  <w:tcBorders>
                    <w:tl2br w:val="nil"/>
                    <w:tr2bl w:val="nil"/>
                  </w:tcBorders>
                  <w:noWrap w:val="0"/>
                  <w:vAlign w:val="center"/>
                </w:tcPr>
                <w:p w14:paraId="2D46626F">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8" w:type="pct"/>
                  <w:vMerge w:val="continue"/>
                  <w:tcBorders>
                    <w:tl2br w:val="nil"/>
                    <w:tr2bl w:val="nil"/>
                  </w:tcBorders>
                  <w:noWrap w:val="0"/>
                  <w:vAlign w:val="center"/>
                </w:tcPr>
                <w:p w14:paraId="745B43C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252" w:type="pct"/>
                  <w:vMerge w:val="continue"/>
                  <w:tcBorders>
                    <w:tl2br w:val="nil"/>
                    <w:tr2bl w:val="nil"/>
                  </w:tcBorders>
                  <w:noWrap w:val="0"/>
                  <w:vAlign w:val="center"/>
                </w:tcPr>
                <w:p w14:paraId="64445A9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432" w:type="pct"/>
                  <w:tcBorders>
                    <w:tl2br w:val="nil"/>
                    <w:tr2bl w:val="nil"/>
                  </w:tcBorders>
                  <w:noWrap w:val="0"/>
                  <w:vAlign w:val="center"/>
                </w:tcPr>
                <w:p w14:paraId="7EBEC59F">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p>
              </w:tc>
              <w:tc>
                <w:tcPr>
                  <w:tcW w:w="400" w:type="pct"/>
                  <w:tcBorders>
                    <w:tl2br w:val="nil"/>
                    <w:tr2bl w:val="nil"/>
                  </w:tcBorders>
                  <w:noWrap w:val="0"/>
                  <w:vAlign w:val="center"/>
                </w:tcPr>
                <w:p w14:paraId="397F8D49">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2D5813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23" w:type="pct"/>
                  <w:vMerge w:val="continue"/>
                  <w:tcBorders>
                    <w:tl2br w:val="nil"/>
                    <w:tr2bl w:val="nil"/>
                  </w:tcBorders>
                  <w:noWrap w:val="0"/>
                  <w:vAlign w:val="center"/>
                </w:tcPr>
                <w:p w14:paraId="1401881B">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152" w:type="pct"/>
                  <w:vMerge w:val="continue"/>
                  <w:tcBorders>
                    <w:tl2br w:val="nil"/>
                    <w:tr2bl w:val="nil"/>
                  </w:tcBorders>
                  <w:noWrap w:val="0"/>
                  <w:vAlign w:val="center"/>
                </w:tcPr>
                <w:p w14:paraId="16D2B61C">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095" w:type="pct"/>
                  <w:vMerge w:val="continue"/>
                  <w:tcBorders>
                    <w:tl2br w:val="nil"/>
                    <w:tr2bl w:val="nil"/>
                  </w:tcBorders>
                  <w:noWrap w:val="0"/>
                  <w:vAlign w:val="center"/>
                </w:tcPr>
                <w:p w14:paraId="205B351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7" w:type="pct"/>
                  <w:vMerge w:val="continue"/>
                  <w:tcBorders>
                    <w:tl2br w:val="nil"/>
                    <w:tr2bl w:val="nil"/>
                  </w:tcBorders>
                  <w:noWrap w:val="0"/>
                  <w:vAlign w:val="center"/>
                </w:tcPr>
                <w:p w14:paraId="60324F4B">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87" w:type="pct"/>
                  <w:vMerge w:val="continue"/>
                  <w:tcBorders>
                    <w:tl2br w:val="nil"/>
                    <w:tr2bl w:val="nil"/>
                  </w:tcBorders>
                  <w:noWrap w:val="0"/>
                  <w:vAlign w:val="center"/>
                </w:tcPr>
                <w:p w14:paraId="5D9C10D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8" w:type="pct"/>
                  <w:vMerge w:val="continue"/>
                  <w:tcBorders>
                    <w:tl2br w:val="nil"/>
                    <w:tr2bl w:val="nil"/>
                  </w:tcBorders>
                  <w:noWrap w:val="0"/>
                  <w:vAlign w:val="center"/>
                </w:tcPr>
                <w:p w14:paraId="11BF7185">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252" w:type="pct"/>
                  <w:vMerge w:val="continue"/>
                  <w:tcBorders>
                    <w:tl2br w:val="nil"/>
                    <w:tr2bl w:val="nil"/>
                  </w:tcBorders>
                  <w:noWrap w:val="0"/>
                  <w:vAlign w:val="center"/>
                </w:tcPr>
                <w:p w14:paraId="1AA0699A">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432" w:type="pct"/>
                  <w:tcBorders>
                    <w:tl2br w:val="nil"/>
                    <w:tr2bl w:val="nil"/>
                  </w:tcBorders>
                  <w:noWrap w:val="0"/>
                  <w:vAlign w:val="center"/>
                </w:tcPr>
                <w:p w14:paraId="3373975F">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SS</w:t>
                  </w:r>
                </w:p>
              </w:tc>
              <w:tc>
                <w:tcPr>
                  <w:tcW w:w="400" w:type="pct"/>
                  <w:tcBorders>
                    <w:tl2br w:val="nil"/>
                    <w:tr2bl w:val="nil"/>
                  </w:tcBorders>
                  <w:noWrap w:val="0"/>
                  <w:vAlign w:val="center"/>
                </w:tcPr>
                <w:p w14:paraId="05D8963A">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3C5E3D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23" w:type="pct"/>
                  <w:vMerge w:val="continue"/>
                  <w:tcBorders>
                    <w:tl2br w:val="nil"/>
                    <w:tr2bl w:val="nil"/>
                  </w:tcBorders>
                  <w:noWrap w:val="0"/>
                  <w:vAlign w:val="center"/>
                </w:tcPr>
                <w:p w14:paraId="57F83DD2">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152" w:type="pct"/>
                  <w:vMerge w:val="continue"/>
                  <w:tcBorders>
                    <w:tl2br w:val="nil"/>
                    <w:tr2bl w:val="nil"/>
                  </w:tcBorders>
                  <w:noWrap w:val="0"/>
                  <w:vAlign w:val="center"/>
                </w:tcPr>
                <w:p w14:paraId="6144746D">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1095" w:type="pct"/>
                  <w:vMerge w:val="continue"/>
                  <w:tcBorders>
                    <w:tl2br w:val="nil"/>
                    <w:tr2bl w:val="nil"/>
                  </w:tcBorders>
                  <w:noWrap w:val="0"/>
                  <w:vAlign w:val="center"/>
                </w:tcPr>
                <w:p w14:paraId="10D76D3B">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7" w:type="pct"/>
                  <w:vMerge w:val="continue"/>
                  <w:tcBorders>
                    <w:tl2br w:val="nil"/>
                    <w:tr2bl w:val="nil"/>
                  </w:tcBorders>
                  <w:noWrap w:val="0"/>
                  <w:vAlign w:val="center"/>
                </w:tcPr>
                <w:p w14:paraId="30AC93E6">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87" w:type="pct"/>
                  <w:vMerge w:val="continue"/>
                  <w:tcBorders>
                    <w:tl2br w:val="nil"/>
                    <w:tr2bl w:val="nil"/>
                  </w:tcBorders>
                  <w:noWrap w:val="0"/>
                  <w:vAlign w:val="center"/>
                </w:tcPr>
                <w:p w14:paraId="536D0EA6">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8" w:type="pct"/>
                  <w:vMerge w:val="continue"/>
                  <w:tcBorders>
                    <w:tl2br w:val="nil"/>
                    <w:tr2bl w:val="nil"/>
                  </w:tcBorders>
                  <w:noWrap w:val="0"/>
                  <w:vAlign w:val="center"/>
                </w:tcPr>
                <w:p w14:paraId="17BCAAFC">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252" w:type="pct"/>
                  <w:vMerge w:val="continue"/>
                  <w:tcBorders>
                    <w:tl2br w:val="nil"/>
                    <w:tr2bl w:val="nil"/>
                  </w:tcBorders>
                  <w:noWrap w:val="0"/>
                  <w:vAlign w:val="center"/>
                </w:tcPr>
                <w:p w14:paraId="3CA7093F">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432" w:type="pct"/>
                  <w:vMerge w:val="restart"/>
                  <w:tcBorders>
                    <w:tl2br w:val="nil"/>
                    <w:tr2bl w:val="nil"/>
                  </w:tcBorders>
                  <w:noWrap w:val="0"/>
                  <w:vAlign w:val="center"/>
                </w:tcPr>
                <w:p w14:paraId="335F3F0D">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氨氮</w:t>
                  </w:r>
                </w:p>
              </w:tc>
              <w:tc>
                <w:tcPr>
                  <w:tcW w:w="400" w:type="pct"/>
                  <w:vMerge w:val="restart"/>
                  <w:tcBorders>
                    <w:tl2br w:val="nil"/>
                    <w:tr2bl w:val="nil"/>
                  </w:tcBorders>
                  <w:noWrap w:val="0"/>
                  <w:vAlign w:val="center"/>
                </w:tcPr>
                <w:p w14:paraId="163E3A8D">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5（8）</w:t>
                  </w:r>
                </w:p>
              </w:tc>
            </w:tr>
            <w:tr w14:paraId="490283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23" w:type="pct"/>
                  <w:tcBorders>
                    <w:tl2br w:val="nil"/>
                    <w:tr2bl w:val="nil"/>
                  </w:tcBorders>
                  <w:noWrap w:val="0"/>
                  <w:vAlign w:val="center"/>
                </w:tcPr>
                <w:p w14:paraId="1A9119C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DW002</w:t>
                  </w:r>
                </w:p>
              </w:tc>
              <w:tc>
                <w:tcPr>
                  <w:tcW w:w="1152" w:type="pct"/>
                  <w:tcBorders>
                    <w:tl2br w:val="nil"/>
                    <w:tr2bl w:val="nil"/>
                  </w:tcBorders>
                  <w:shd w:val="clear" w:color="auto" w:fill="auto"/>
                  <w:noWrap w:val="0"/>
                  <w:vAlign w:val="center"/>
                </w:tcPr>
                <w:p w14:paraId="374D6AAC">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84°2'23.45"</w:t>
                  </w:r>
                </w:p>
              </w:tc>
              <w:tc>
                <w:tcPr>
                  <w:tcW w:w="1095" w:type="pct"/>
                  <w:tcBorders>
                    <w:tl2br w:val="nil"/>
                    <w:tr2bl w:val="nil"/>
                  </w:tcBorders>
                  <w:shd w:val="clear" w:color="auto" w:fill="auto"/>
                  <w:noWrap w:val="0"/>
                  <w:vAlign w:val="center"/>
                </w:tcPr>
                <w:p w14:paraId="64AA7935">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41°49'5.45"</w:t>
                  </w:r>
                </w:p>
              </w:tc>
              <w:tc>
                <w:tcPr>
                  <w:tcW w:w="377" w:type="pct"/>
                  <w:tcBorders>
                    <w:tl2br w:val="nil"/>
                    <w:tr2bl w:val="nil"/>
                  </w:tcBorders>
                  <w:noWrap w:val="0"/>
                  <w:vAlign w:val="center"/>
                </w:tcPr>
                <w:p w14:paraId="14EB04C5">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1671</w:t>
                  </w:r>
                </w:p>
              </w:tc>
              <w:tc>
                <w:tcPr>
                  <w:tcW w:w="387" w:type="pct"/>
                  <w:vMerge w:val="continue"/>
                  <w:tcBorders>
                    <w:tl2br w:val="nil"/>
                    <w:tr2bl w:val="nil"/>
                  </w:tcBorders>
                  <w:noWrap w:val="0"/>
                  <w:vAlign w:val="center"/>
                </w:tcPr>
                <w:p w14:paraId="4D0F4AB9">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378" w:type="pct"/>
                  <w:vMerge w:val="continue"/>
                  <w:tcBorders>
                    <w:tl2br w:val="nil"/>
                    <w:tr2bl w:val="nil"/>
                  </w:tcBorders>
                  <w:noWrap w:val="0"/>
                  <w:vAlign w:val="center"/>
                </w:tcPr>
                <w:p w14:paraId="09C09E8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252" w:type="pct"/>
                  <w:vMerge w:val="continue"/>
                  <w:tcBorders>
                    <w:tl2br w:val="nil"/>
                    <w:tr2bl w:val="nil"/>
                  </w:tcBorders>
                  <w:noWrap w:val="0"/>
                  <w:vAlign w:val="center"/>
                </w:tcPr>
                <w:p w14:paraId="6E2408BE">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432" w:type="pct"/>
                  <w:vMerge w:val="continue"/>
                  <w:tcBorders>
                    <w:tl2br w:val="nil"/>
                    <w:tr2bl w:val="nil"/>
                  </w:tcBorders>
                  <w:noWrap w:val="0"/>
                  <w:vAlign w:val="center"/>
                </w:tcPr>
                <w:p w14:paraId="178E59D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c>
                <w:tcPr>
                  <w:tcW w:w="400" w:type="pct"/>
                  <w:vMerge w:val="continue"/>
                  <w:tcBorders>
                    <w:tl2br w:val="nil"/>
                    <w:tr2bl w:val="nil"/>
                  </w:tcBorders>
                  <w:noWrap w:val="0"/>
                  <w:vAlign w:val="center"/>
                </w:tcPr>
                <w:p w14:paraId="251DD887">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ascii="Times New Roman" w:hAnsi="Times New Roman" w:eastAsia="宋体" w:cs="Times New Roman"/>
                      <w:color w:val="auto"/>
                      <w:sz w:val="21"/>
                      <w:szCs w:val="21"/>
                      <w:highlight w:val="none"/>
                      <w:lang w:val="en-US" w:eastAsia="zh-CN"/>
                    </w:rPr>
                  </w:pPr>
                </w:p>
              </w:tc>
            </w:tr>
          </w:tbl>
          <w:p w14:paraId="40BD6DA7">
            <w:pPr>
              <w:pStyle w:val="3"/>
              <w:suppressLineNumbers w:val="0"/>
              <w:bidi w:val="0"/>
              <w:spacing w:before="0" w:beforeAutospacing="0" w:after="0" w:afterAutospacing="0"/>
              <w:ind w:left="0" w:right="0"/>
              <w:rPr>
                <w:rFonts w:hint="default"/>
                <w:color w:val="auto"/>
                <w:highlight w:val="none"/>
              </w:rPr>
            </w:pPr>
            <w:r>
              <w:rPr>
                <w:rFonts w:hint="default"/>
                <w:color w:val="auto"/>
                <w:highlight w:val="none"/>
              </w:rPr>
              <w:t>2.</w:t>
            </w:r>
            <w:r>
              <w:rPr>
                <w:rFonts w:hint="eastAsia"/>
                <w:color w:val="auto"/>
                <w:highlight w:val="none"/>
                <w:lang w:val="en-US" w:eastAsia="zh-CN"/>
              </w:rPr>
              <w:t>2</w:t>
            </w:r>
            <w:r>
              <w:rPr>
                <w:rFonts w:hint="eastAsia"/>
                <w:color w:val="auto"/>
                <w:highlight w:val="none"/>
              </w:rPr>
              <w:t>依托污水处理厂可行性</w:t>
            </w:r>
          </w:p>
          <w:p w14:paraId="12FAFF2C">
            <w:pPr>
              <w:pStyle w:val="9"/>
              <w:keepNext w:val="0"/>
              <w:keepLines w:val="0"/>
              <w:suppressLineNumbers w:val="0"/>
              <w:spacing w:before="0" w:beforeAutospacing="0" w:after="0" w:afterAutospacing="0"/>
              <w:ind w:left="0" w:right="0"/>
              <w:rPr>
                <w:rFonts w:hint="eastAsia"/>
                <w:color w:val="auto"/>
                <w:szCs w:val="24"/>
                <w:highlight w:val="none"/>
                <w:lang w:val="en-US" w:eastAsia="zh-CN" w:bidi="ar"/>
              </w:rPr>
            </w:pPr>
            <w:r>
              <w:rPr>
                <w:rFonts w:hint="eastAsia"/>
                <w:color w:val="auto"/>
                <w:highlight w:val="none"/>
                <w:lang w:eastAsia="zh-CN"/>
              </w:rPr>
              <w:t>拉依苏化工区污水处理厂</w:t>
            </w:r>
            <w:r>
              <w:rPr>
                <w:rFonts w:hint="default"/>
                <w:color w:val="auto"/>
                <w:highlight w:val="none"/>
                <w:lang w:val="en-US" w:eastAsia="zh-CN"/>
              </w:rPr>
              <w:t>位于</w:t>
            </w:r>
            <w:r>
              <w:rPr>
                <w:rFonts w:hint="eastAsia"/>
                <w:color w:val="auto"/>
                <w:highlight w:val="none"/>
                <w:lang w:val="en-US" w:eastAsia="zh-CN"/>
              </w:rPr>
              <w:t>轮台县</w:t>
            </w:r>
            <w:r>
              <w:rPr>
                <w:rFonts w:hint="eastAsia"/>
                <w:color w:val="auto"/>
                <w:highlight w:val="none"/>
                <w:lang w:eastAsia="zh-CN"/>
              </w:rPr>
              <w:t>拉依苏化工区</w:t>
            </w:r>
            <w:r>
              <w:rPr>
                <w:rFonts w:hint="eastAsia"/>
                <w:color w:val="auto"/>
                <w:highlight w:val="none"/>
                <w:lang w:val="en-US" w:eastAsia="zh-CN"/>
              </w:rPr>
              <w:t>西南侧</w:t>
            </w:r>
            <w:r>
              <w:rPr>
                <w:rFonts w:hint="default"/>
                <w:color w:val="auto"/>
                <w:highlight w:val="none"/>
                <w:lang w:val="en-US" w:eastAsia="zh-CN"/>
              </w:rPr>
              <w:t>，厂址中心坐标为E</w:t>
            </w:r>
            <w:r>
              <w:rPr>
                <w:rFonts w:hint="eastAsia"/>
                <w:color w:val="auto"/>
                <w:highlight w:val="none"/>
                <w:lang w:val="en-US" w:eastAsia="zh-CN"/>
              </w:rPr>
              <w:t>:</w:t>
            </w:r>
            <w:r>
              <w:rPr>
                <w:rFonts w:hint="default"/>
                <w:color w:val="auto"/>
                <w:highlight w:val="none"/>
                <w:lang w:val="en-US" w:eastAsia="zh-CN"/>
              </w:rPr>
              <w:t>8</w:t>
            </w:r>
            <w:r>
              <w:rPr>
                <w:rFonts w:hint="eastAsia"/>
                <w:color w:val="auto"/>
                <w:highlight w:val="none"/>
                <w:lang w:val="en-US" w:eastAsia="zh-CN"/>
              </w:rPr>
              <w:t>3</w:t>
            </w:r>
            <w:r>
              <w:rPr>
                <w:rFonts w:hint="default"/>
                <w:color w:val="auto"/>
                <w:highlight w:val="none"/>
                <w:lang w:val="en-US" w:eastAsia="zh-CN"/>
              </w:rPr>
              <w:t>°</w:t>
            </w:r>
            <w:r>
              <w:rPr>
                <w:rFonts w:hint="eastAsia"/>
                <w:color w:val="auto"/>
                <w:highlight w:val="none"/>
                <w:lang w:val="en-US" w:eastAsia="zh-CN"/>
              </w:rPr>
              <w:t>59</w:t>
            </w:r>
            <w:r>
              <w:rPr>
                <w:rFonts w:hint="default"/>
                <w:color w:val="auto"/>
                <w:highlight w:val="none"/>
                <w:lang w:val="en-US" w:eastAsia="zh-CN"/>
              </w:rPr>
              <w:t>'</w:t>
            </w:r>
            <w:r>
              <w:rPr>
                <w:rFonts w:hint="eastAsia"/>
                <w:color w:val="auto"/>
                <w:highlight w:val="none"/>
                <w:lang w:val="en-US" w:eastAsia="zh-CN"/>
              </w:rPr>
              <w:t>55.55</w:t>
            </w:r>
            <w:r>
              <w:rPr>
                <w:rFonts w:hint="default" w:ascii="Times New Roman" w:hAnsi="Times New Roman" w:cs="Times New Roman"/>
                <w:color w:val="auto"/>
                <w:highlight w:val="none"/>
                <w:lang w:val="en-US" w:eastAsia="zh-CN"/>
              </w:rPr>
              <w:t>″</w:t>
            </w:r>
            <w:r>
              <w:rPr>
                <w:rFonts w:hint="default"/>
                <w:color w:val="auto"/>
                <w:highlight w:val="none"/>
                <w:lang w:val="en-US" w:eastAsia="zh-CN"/>
              </w:rPr>
              <w:t>，N</w:t>
            </w:r>
            <w:r>
              <w:rPr>
                <w:rFonts w:hint="eastAsia"/>
                <w:color w:val="auto"/>
                <w:highlight w:val="none"/>
                <w:lang w:val="en-US" w:eastAsia="zh-CN"/>
              </w:rPr>
              <w:t>:</w:t>
            </w:r>
            <w:r>
              <w:rPr>
                <w:rFonts w:hint="default"/>
                <w:color w:val="auto"/>
                <w:highlight w:val="none"/>
                <w:lang w:val="en-US" w:eastAsia="zh-CN"/>
              </w:rPr>
              <w:t>41°</w:t>
            </w:r>
            <w:r>
              <w:rPr>
                <w:rFonts w:hint="eastAsia"/>
                <w:color w:val="auto"/>
                <w:highlight w:val="none"/>
                <w:lang w:val="en-US" w:eastAsia="zh-CN"/>
              </w:rPr>
              <w:t>48</w:t>
            </w:r>
            <w:r>
              <w:rPr>
                <w:rFonts w:hint="default"/>
                <w:color w:val="auto"/>
                <w:highlight w:val="none"/>
                <w:lang w:val="en-US" w:eastAsia="zh-CN"/>
              </w:rPr>
              <w:t>'3</w:t>
            </w:r>
            <w:r>
              <w:rPr>
                <w:rFonts w:hint="eastAsia"/>
                <w:color w:val="auto"/>
                <w:highlight w:val="none"/>
                <w:lang w:val="en-US" w:eastAsia="zh-CN"/>
              </w:rPr>
              <w:t>8.57</w:t>
            </w:r>
            <w:r>
              <w:rPr>
                <w:rFonts w:hint="default" w:ascii="Times New Roman" w:hAnsi="Times New Roman"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，排污许可证编号：</w:t>
            </w:r>
            <w:r>
              <w:rPr>
                <w:rFonts w:hint="eastAsia" w:cs="Times New Roman"/>
                <w:color w:val="auto"/>
                <w:highlight w:val="none"/>
                <w:lang w:val="en-US" w:eastAsia="zh-CN"/>
              </w:rPr>
              <w:t>91652822MA776C7W8H001Y</w:t>
            </w:r>
            <w:r>
              <w:rPr>
                <w:rFonts w:hint="eastAsia" w:ascii="Times New Roman" w:hAnsi="Times New Roman" w:eastAsia="宋体" w:cs="Times New Roman"/>
                <w:color w:val="auto"/>
                <w:highlight w:val="none"/>
                <w:lang w:val="en-US" w:eastAsia="zh-CN"/>
              </w:rPr>
              <w:t>，位于本项目</w:t>
            </w:r>
            <w:r>
              <w:rPr>
                <w:rFonts w:hint="eastAsia" w:cs="Times New Roman"/>
                <w:color w:val="auto"/>
                <w:highlight w:val="none"/>
                <w:lang w:val="en-US" w:eastAsia="zh-CN"/>
              </w:rPr>
              <w:t>西南</w:t>
            </w:r>
            <w:r>
              <w:rPr>
                <w:rFonts w:hint="eastAsia" w:ascii="Times New Roman" w:hAnsi="Times New Roman" w:eastAsia="宋体" w:cs="Times New Roman"/>
                <w:color w:val="auto"/>
                <w:highlight w:val="none"/>
                <w:lang w:val="en-US" w:eastAsia="zh-CN"/>
              </w:rPr>
              <w:t>侧</w:t>
            </w:r>
            <w:r>
              <w:rPr>
                <w:rFonts w:hint="eastAsia" w:cs="Times New Roman"/>
                <w:color w:val="auto"/>
                <w:highlight w:val="none"/>
                <w:lang w:val="en-US" w:eastAsia="zh-CN"/>
              </w:rPr>
              <w:t>3.14</w:t>
            </w:r>
            <w:r>
              <w:rPr>
                <w:rFonts w:hint="eastAsia" w:ascii="Times New Roman" w:hAnsi="Times New Roman" w:eastAsia="宋体" w:cs="Times New Roman"/>
                <w:color w:val="auto"/>
                <w:highlight w:val="none"/>
                <w:lang w:val="en-US" w:eastAsia="zh-CN"/>
              </w:rPr>
              <w:t>km处</w:t>
            </w:r>
            <w:r>
              <w:rPr>
                <w:rFonts w:hint="eastAsia"/>
                <w:color w:val="auto"/>
                <w:highlight w:val="none"/>
                <w:lang w:val="en-US" w:eastAsia="zh-CN"/>
              </w:rPr>
              <w:t>，</w:t>
            </w:r>
            <w:r>
              <w:rPr>
                <w:rFonts w:hint="eastAsia" w:ascii="宋体" w:hAnsi="宋体" w:eastAsia="宋体" w:cs="宋体"/>
                <w:color w:val="auto"/>
                <w:spacing w:val="0"/>
                <w:position w:val="0"/>
                <w:sz w:val="24"/>
                <w:szCs w:val="24"/>
                <w:highlight w:val="none"/>
              </w:rPr>
              <w:t>采用“水解酸化生物处理工艺（</w:t>
            </w:r>
            <w:r>
              <w:rPr>
                <w:rFonts w:hint="default" w:ascii="Times New Roman" w:hAnsi="Times New Roman" w:cs="Times New Roman"/>
                <w:color w:val="auto"/>
                <w:spacing w:val="0"/>
                <w:position w:val="0"/>
                <w:sz w:val="24"/>
                <w:szCs w:val="24"/>
                <w:highlight w:val="none"/>
              </w:rPr>
              <w:t>A/O</w:t>
            </w:r>
            <w:r>
              <w:rPr>
                <w:rFonts w:hint="eastAsia" w:ascii="宋体" w:hAnsi="宋体" w:eastAsia="宋体" w:cs="宋体"/>
                <w:color w:val="auto"/>
                <w:spacing w:val="0"/>
                <w:position w:val="0"/>
                <w:sz w:val="24"/>
                <w:szCs w:val="24"/>
                <w:highlight w:val="none"/>
              </w:rPr>
              <w:t>处理工艺）、深度处理采用</w:t>
            </w:r>
            <w:r>
              <w:rPr>
                <w:rFonts w:hint="default" w:ascii="Times New Roman" w:hAnsi="Times New Roman" w:cs="Times New Roman"/>
                <w:color w:val="auto"/>
                <w:spacing w:val="0"/>
                <w:position w:val="0"/>
                <w:sz w:val="24"/>
                <w:szCs w:val="24"/>
                <w:highlight w:val="none"/>
              </w:rPr>
              <w:t>MBR+</w:t>
            </w:r>
            <w:r>
              <w:rPr>
                <w:rFonts w:hint="eastAsia" w:ascii="宋体" w:hAnsi="宋体" w:eastAsia="宋体" w:cs="宋体"/>
                <w:color w:val="auto"/>
                <w:spacing w:val="0"/>
                <w:position w:val="0"/>
                <w:sz w:val="24"/>
                <w:szCs w:val="24"/>
                <w:highlight w:val="none"/>
              </w:rPr>
              <w:t>臭氧催化氧化”工艺，其设计规模为近期</w:t>
            </w:r>
            <w:r>
              <w:rPr>
                <w:rFonts w:hint="default" w:ascii="Times New Roman" w:hAnsi="Times New Roman" w:cs="Times New Roman"/>
                <w:color w:val="auto"/>
                <w:spacing w:val="0"/>
                <w:position w:val="0"/>
                <w:sz w:val="24"/>
                <w:szCs w:val="24"/>
                <w:highlight w:val="none"/>
              </w:rPr>
              <w:t>2.5</w:t>
            </w:r>
            <w:r>
              <w:rPr>
                <w:rFonts w:hint="eastAsia" w:ascii="宋体" w:hAnsi="宋体" w:eastAsia="宋体" w:cs="宋体"/>
                <w:color w:val="auto"/>
                <w:spacing w:val="0"/>
                <w:position w:val="0"/>
                <w:sz w:val="24"/>
                <w:szCs w:val="24"/>
                <w:highlight w:val="none"/>
              </w:rPr>
              <w:t>万</w:t>
            </w:r>
            <w:r>
              <w:rPr>
                <w:rFonts w:hint="default" w:ascii="Times New Roman" w:hAnsi="Times New Roman" w:cs="Times New Roman"/>
                <w:color w:val="auto"/>
                <w:spacing w:val="0"/>
                <w:position w:val="0"/>
                <w:sz w:val="24"/>
                <w:szCs w:val="24"/>
                <w:highlight w:val="none"/>
              </w:rPr>
              <w:t>m</w:t>
            </w:r>
            <w:r>
              <w:rPr>
                <w:rFonts w:hint="default" w:ascii="Times New Roman" w:hAnsi="Times New Roman" w:cs="Times New Roman"/>
                <w:color w:val="auto"/>
                <w:spacing w:val="0"/>
                <w:position w:val="0"/>
                <w:sz w:val="31"/>
                <w:szCs w:val="31"/>
                <w:highlight w:val="none"/>
                <w:vertAlign w:val="superscript"/>
              </w:rPr>
              <w:t>3</w:t>
            </w:r>
            <w:r>
              <w:rPr>
                <w:rFonts w:hint="default" w:ascii="Times New Roman" w:hAnsi="Times New Roman" w:cs="Times New Roman"/>
                <w:color w:val="auto"/>
                <w:spacing w:val="0"/>
                <w:position w:val="0"/>
                <w:sz w:val="24"/>
                <w:szCs w:val="24"/>
                <w:highlight w:val="none"/>
              </w:rPr>
              <w:t>/d</w:t>
            </w:r>
            <w:r>
              <w:rPr>
                <w:rFonts w:hint="eastAsia" w:ascii="宋体" w:hAnsi="宋体" w:eastAsia="宋体" w:cs="宋体"/>
                <w:color w:val="auto"/>
                <w:spacing w:val="0"/>
                <w:position w:val="0"/>
                <w:sz w:val="24"/>
                <w:szCs w:val="24"/>
                <w:highlight w:val="none"/>
              </w:rPr>
              <w:t>、远期</w:t>
            </w:r>
            <w:r>
              <w:rPr>
                <w:rFonts w:hint="default" w:ascii="Times New Roman" w:hAnsi="Times New Roman" w:cs="Times New Roman"/>
                <w:color w:val="auto"/>
                <w:spacing w:val="0"/>
                <w:position w:val="0"/>
                <w:sz w:val="24"/>
                <w:szCs w:val="24"/>
                <w:highlight w:val="none"/>
              </w:rPr>
              <w:t>5</w:t>
            </w:r>
            <w:r>
              <w:rPr>
                <w:rFonts w:hint="eastAsia" w:ascii="宋体" w:hAnsi="宋体" w:eastAsia="宋体" w:cs="宋体"/>
                <w:color w:val="auto"/>
                <w:spacing w:val="0"/>
                <w:position w:val="0"/>
                <w:sz w:val="24"/>
                <w:szCs w:val="24"/>
                <w:highlight w:val="none"/>
              </w:rPr>
              <w:t>万</w:t>
            </w:r>
            <w:r>
              <w:rPr>
                <w:rFonts w:hint="default" w:ascii="Times New Roman" w:hAnsi="Times New Roman" w:cs="Times New Roman"/>
                <w:color w:val="auto"/>
                <w:spacing w:val="0"/>
                <w:position w:val="0"/>
                <w:sz w:val="24"/>
                <w:szCs w:val="24"/>
                <w:highlight w:val="none"/>
              </w:rPr>
              <w:t>m</w:t>
            </w:r>
            <w:r>
              <w:rPr>
                <w:rFonts w:hint="default" w:ascii="Times New Roman" w:hAnsi="Times New Roman" w:cs="Times New Roman"/>
                <w:color w:val="auto"/>
                <w:spacing w:val="0"/>
                <w:position w:val="0"/>
                <w:sz w:val="31"/>
                <w:szCs w:val="31"/>
                <w:highlight w:val="none"/>
                <w:vertAlign w:val="superscript"/>
              </w:rPr>
              <w:t>3</w:t>
            </w:r>
            <w:r>
              <w:rPr>
                <w:rFonts w:hint="default" w:ascii="Times New Roman" w:hAnsi="Times New Roman" w:cs="Times New Roman"/>
                <w:color w:val="auto"/>
                <w:spacing w:val="0"/>
                <w:position w:val="0"/>
                <w:sz w:val="24"/>
                <w:szCs w:val="24"/>
                <w:highlight w:val="none"/>
              </w:rPr>
              <w:t>/d</w:t>
            </w:r>
            <w:r>
              <w:rPr>
                <w:rFonts w:hint="eastAsia" w:ascii="宋体" w:hAnsi="宋体" w:eastAsia="宋体" w:cs="宋体"/>
                <w:color w:val="auto"/>
                <w:spacing w:val="0"/>
                <w:position w:val="0"/>
                <w:sz w:val="24"/>
                <w:szCs w:val="24"/>
                <w:highlight w:val="none"/>
              </w:rPr>
              <w:t>，排水管网</w:t>
            </w:r>
            <w:r>
              <w:rPr>
                <w:rFonts w:hint="default" w:ascii="Times New Roman" w:hAnsi="Times New Roman" w:cs="Times New Roman"/>
                <w:color w:val="auto"/>
                <w:spacing w:val="0"/>
                <w:position w:val="0"/>
                <w:sz w:val="24"/>
                <w:szCs w:val="24"/>
                <w:highlight w:val="none"/>
              </w:rPr>
              <w:t>64173m</w:t>
            </w:r>
            <w:r>
              <w:rPr>
                <w:rFonts w:hint="eastAsia" w:ascii="宋体" w:hAnsi="宋体" w:eastAsia="宋体" w:cs="宋体"/>
                <w:color w:val="auto"/>
                <w:spacing w:val="0"/>
                <w:position w:val="0"/>
                <w:sz w:val="24"/>
                <w:szCs w:val="24"/>
                <w:highlight w:val="none"/>
              </w:rPr>
              <w:t>。一期工程已于</w:t>
            </w:r>
            <w:r>
              <w:rPr>
                <w:rFonts w:hint="default" w:ascii="Times New Roman" w:hAnsi="Times New Roman" w:cs="Times New Roman"/>
                <w:color w:val="auto"/>
                <w:spacing w:val="0"/>
                <w:position w:val="0"/>
                <w:sz w:val="24"/>
                <w:szCs w:val="24"/>
                <w:highlight w:val="none"/>
              </w:rPr>
              <w:t>2017</w:t>
            </w:r>
            <w:r>
              <w:rPr>
                <w:rFonts w:hint="eastAsia" w:ascii="宋体" w:hAnsi="宋体" w:eastAsia="宋体" w:cs="宋体"/>
                <w:color w:val="auto"/>
                <w:spacing w:val="0"/>
                <w:position w:val="0"/>
                <w:sz w:val="24"/>
                <w:szCs w:val="24"/>
                <w:highlight w:val="none"/>
              </w:rPr>
              <w:t>年</w:t>
            </w:r>
            <w:r>
              <w:rPr>
                <w:rFonts w:hint="default" w:ascii="Times New Roman" w:hAnsi="Times New Roman" w:cs="Times New Roman"/>
                <w:color w:val="auto"/>
                <w:spacing w:val="0"/>
                <w:position w:val="0"/>
                <w:sz w:val="24"/>
                <w:szCs w:val="24"/>
                <w:highlight w:val="none"/>
              </w:rPr>
              <w:t>3</w:t>
            </w:r>
            <w:r>
              <w:rPr>
                <w:rFonts w:hint="eastAsia" w:ascii="宋体" w:hAnsi="宋体" w:eastAsia="宋体" w:cs="宋体"/>
                <w:color w:val="auto"/>
                <w:spacing w:val="0"/>
                <w:position w:val="0"/>
                <w:sz w:val="24"/>
                <w:szCs w:val="24"/>
                <w:highlight w:val="none"/>
              </w:rPr>
              <w:t>月开工建设，</w:t>
            </w:r>
            <w:r>
              <w:rPr>
                <w:rFonts w:hint="default" w:ascii="Times New Roman" w:hAnsi="Times New Roman" w:cs="Times New Roman"/>
                <w:color w:val="auto"/>
                <w:spacing w:val="0"/>
                <w:position w:val="0"/>
                <w:sz w:val="24"/>
                <w:szCs w:val="24"/>
                <w:highlight w:val="none"/>
              </w:rPr>
              <w:t>2018</w:t>
            </w:r>
            <w:r>
              <w:rPr>
                <w:rFonts w:hint="eastAsia" w:ascii="宋体" w:hAnsi="宋体" w:eastAsia="宋体" w:cs="宋体"/>
                <w:color w:val="auto"/>
                <w:spacing w:val="0"/>
                <w:position w:val="0"/>
                <w:sz w:val="24"/>
                <w:szCs w:val="24"/>
                <w:highlight w:val="none"/>
              </w:rPr>
              <w:t>年</w:t>
            </w:r>
            <w:r>
              <w:rPr>
                <w:rFonts w:hint="default" w:ascii="Times New Roman" w:hAnsi="Times New Roman" w:cs="Times New Roman"/>
                <w:color w:val="auto"/>
                <w:spacing w:val="0"/>
                <w:position w:val="0"/>
                <w:sz w:val="24"/>
                <w:szCs w:val="24"/>
                <w:highlight w:val="none"/>
              </w:rPr>
              <w:t>9</w:t>
            </w:r>
            <w:r>
              <w:rPr>
                <w:rFonts w:hint="eastAsia" w:ascii="宋体" w:hAnsi="宋体" w:eastAsia="宋体" w:cs="宋体"/>
                <w:color w:val="auto"/>
                <w:spacing w:val="0"/>
                <w:position w:val="0"/>
                <w:sz w:val="24"/>
                <w:szCs w:val="24"/>
                <w:highlight w:val="none"/>
              </w:rPr>
              <w:t>月投入运行，</w:t>
            </w:r>
            <w:r>
              <w:rPr>
                <w:rFonts w:hint="default" w:ascii="Times New Roman" w:hAnsi="Times New Roman" w:cs="Times New Roman"/>
                <w:color w:val="auto"/>
                <w:spacing w:val="0"/>
                <w:position w:val="0"/>
                <w:sz w:val="24"/>
                <w:szCs w:val="24"/>
                <w:highlight w:val="none"/>
              </w:rPr>
              <w:t>11</w:t>
            </w:r>
            <w:r>
              <w:rPr>
                <w:rFonts w:hint="eastAsia" w:ascii="宋体" w:hAnsi="宋体" w:eastAsia="宋体" w:cs="宋体"/>
                <w:color w:val="auto"/>
                <w:spacing w:val="0"/>
                <w:position w:val="0"/>
                <w:sz w:val="24"/>
                <w:szCs w:val="24"/>
                <w:highlight w:val="none"/>
              </w:rPr>
              <w:t>月接入巴州生态环境局在线监测网，</w:t>
            </w:r>
            <w:r>
              <w:rPr>
                <w:rFonts w:hint="default" w:ascii="Times New Roman" w:hAnsi="Times New Roman" w:cs="Times New Roman"/>
                <w:color w:val="auto"/>
                <w:spacing w:val="0"/>
                <w:position w:val="0"/>
                <w:sz w:val="24"/>
                <w:szCs w:val="24"/>
                <w:highlight w:val="none"/>
              </w:rPr>
              <w:t>2019</w:t>
            </w:r>
            <w:r>
              <w:rPr>
                <w:rFonts w:hint="eastAsia" w:ascii="宋体" w:hAnsi="宋体" w:eastAsia="宋体" w:cs="宋体"/>
                <w:color w:val="auto"/>
                <w:spacing w:val="0"/>
                <w:position w:val="0"/>
                <w:sz w:val="24"/>
                <w:szCs w:val="24"/>
                <w:highlight w:val="none"/>
              </w:rPr>
              <w:t>年</w:t>
            </w:r>
            <w:r>
              <w:rPr>
                <w:rFonts w:hint="default" w:ascii="Times New Roman" w:hAnsi="Times New Roman" w:cs="Times New Roman"/>
                <w:color w:val="auto"/>
                <w:spacing w:val="0"/>
                <w:position w:val="0"/>
                <w:sz w:val="24"/>
                <w:szCs w:val="24"/>
                <w:highlight w:val="none"/>
              </w:rPr>
              <w:t>11</w:t>
            </w:r>
            <w:r>
              <w:rPr>
                <w:rFonts w:hint="eastAsia" w:ascii="宋体" w:hAnsi="宋体" w:eastAsia="宋体" w:cs="宋体"/>
                <w:color w:val="auto"/>
                <w:spacing w:val="0"/>
                <w:position w:val="0"/>
                <w:sz w:val="24"/>
                <w:szCs w:val="24"/>
                <w:highlight w:val="none"/>
              </w:rPr>
              <w:t>月</w:t>
            </w:r>
            <w:r>
              <w:rPr>
                <w:rFonts w:hint="default" w:ascii="Times New Roman" w:hAnsi="Times New Roman" w:cs="Times New Roman"/>
                <w:color w:val="auto"/>
                <w:spacing w:val="0"/>
                <w:position w:val="0"/>
                <w:sz w:val="24"/>
                <w:szCs w:val="24"/>
                <w:highlight w:val="none"/>
              </w:rPr>
              <w:t>10</w:t>
            </w:r>
            <w:r>
              <w:rPr>
                <w:rFonts w:hint="eastAsia" w:ascii="宋体" w:hAnsi="宋体" w:eastAsia="宋体" w:cs="宋体"/>
                <w:color w:val="auto"/>
                <w:spacing w:val="0"/>
                <w:position w:val="0"/>
                <w:sz w:val="24"/>
                <w:szCs w:val="24"/>
                <w:highlight w:val="none"/>
              </w:rPr>
              <w:t>日通过竣工环保验收，配套排水管网全部铺设完毕。进厂污水依次经过粗格栅、调节池、细格栅及沉砂池、水解酸化池、</w:t>
            </w:r>
            <w:r>
              <w:rPr>
                <w:rFonts w:hint="default" w:ascii="Times New Roman" w:hAnsi="Times New Roman" w:cs="Times New Roman"/>
                <w:color w:val="auto"/>
                <w:spacing w:val="0"/>
                <w:position w:val="0"/>
                <w:sz w:val="24"/>
                <w:szCs w:val="24"/>
                <w:highlight w:val="none"/>
              </w:rPr>
              <w:t>A/O</w:t>
            </w:r>
            <w:r>
              <w:rPr>
                <w:rFonts w:hint="eastAsia" w:ascii="宋体" w:hAnsi="宋体" w:eastAsia="宋体" w:cs="宋体"/>
                <w:color w:val="auto"/>
                <w:spacing w:val="0"/>
                <w:position w:val="0"/>
                <w:sz w:val="24"/>
                <w:szCs w:val="24"/>
                <w:highlight w:val="none"/>
              </w:rPr>
              <w:t>池、</w:t>
            </w:r>
            <w:r>
              <w:rPr>
                <w:rFonts w:hint="default" w:ascii="Times New Roman" w:hAnsi="Times New Roman" w:cs="Times New Roman"/>
                <w:color w:val="auto"/>
                <w:spacing w:val="0"/>
                <w:position w:val="0"/>
                <w:sz w:val="24"/>
                <w:szCs w:val="24"/>
                <w:highlight w:val="none"/>
              </w:rPr>
              <w:t>MBR</w:t>
            </w:r>
            <w:r>
              <w:rPr>
                <w:rFonts w:hint="eastAsia" w:ascii="宋体" w:hAnsi="宋体" w:eastAsia="宋体" w:cs="宋体"/>
                <w:color w:val="auto"/>
                <w:spacing w:val="0"/>
                <w:position w:val="0"/>
                <w:sz w:val="24"/>
                <w:szCs w:val="24"/>
                <w:highlight w:val="none"/>
              </w:rPr>
              <w:t>膜池、臭氧催化氧化池处理后，出水进入清水池。拉依苏化工区污水处理厂处理后的出水水质执行《城镇污水厂污染物排放标准》（</w:t>
            </w:r>
            <w:r>
              <w:rPr>
                <w:rFonts w:hint="default" w:ascii="Times New Roman" w:hAnsi="Times New Roman" w:cs="Times New Roman"/>
                <w:color w:val="auto"/>
                <w:spacing w:val="0"/>
                <w:position w:val="0"/>
                <w:sz w:val="24"/>
                <w:szCs w:val="24"/>
                <w:highlight w:val="none"/>
              </w:rPr>
              <w:t>GB18918-2002</w:t>
            </w:r>
            <w:r>
              <w:rPr>
                <w:rFonts w:hint="eastAsia" w:ascii="宋体" w:hAnsi="宋体" w:eastAsia="宋体" w:cs="宋体"/>
                <w:color w:val="auto"/>
                <w:spacing w:val="0"/>
                <w:position w:val="0"/>
                <w:sz w:val="24"/>
                <w:szCs w:val="24"/>
                <w:highlight w:val="none"/>
              </w:rPr>
              <w:t>）一级</w:t>
            </w:r>
            <w:r>
              <w:rPr>
                <w:rFonts w:hint="default" w:ascii="Times New Roman" w:hAnsi="Times New Roman" w:cs="Times New Roman"/>
                <w:color w:val="auto"/>
                <w:spacing w:val="0"/>
                <w:position w:val="0"/>
                <w:sz w:val="24"/>
                <w:szCs w:val="24"/>
                <w:highlight w:val="none"/>
              </w:rPr>
              <w:t>A</w:t>
            </w:r>
            <w:r>
              <w:rPr>
                <w:rFonts w:hint="eastAsia" w:ascii="宋体" w:hAnsi="宋体" w:eastAsia="宋体" w:cs="宋体"/>
                <w:color w:val="auto"/>
                <w:spacing w:val="0"/>
                <w:position w:val="0"/>
                <w:sz w:val="24"/>
                <w:szCs w:val="24"/>
                <w:highlight w:val="none"/>
              </w:rPr>
              <w:t>标准，出水用于补给及</w:t>
            </w:r>
            <w:r>
              <w:rPr>
                <w:rFonts w:hint="eastAsia" w:ascii="宋体" w:hAnsi="宋体" w:eastAsia="宋体" w:cs="宋体"/>
                <w:color w:val="auto"/>
                <w:spacing w:val="0"/>
                <w:position w:val="0"/>
                <w:sz w:val="24"/>
                <w:szCs w:val="24"/>
                <w:highlight w:val="none"/>
                <w:lang w:eastAsia="zh-CN"/>
              </w:rPr>
              <w:t>污水处理厂</w:t>
            </w:r>
            <w:r>
              <w:rPr>
                <w:rFonts w:hint="eastAsia" w:ascii="宋体" w:hAnsi="宋体" w:eastAsia="宋体" w:cs="宋体"/>
                <w:color w:val="auto"/>
                <w:spacing w:val="0"/>
                <w:position w:val="0"/>
                <w:sz w:val="24"/>
                <w:szCs w:val="24"/>
                <w:highlight w:val="none"/>
              </w:rPr>
              <w:t>厂区绿化。</w:t>
            </w:r>
          </w:p>
          <w:p w14:paraId="4FC1BAB3">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目前，污水处理厂处理污水</w:t>
            </w:r>
            <w:r>
              <w:rPr>
                <w:rFonts w:hint="default"/>
                <w:color w:val="auto"/>
                <w:highlight w:val="none"/>
                <w:lang w:val="en-US" w:eastAsia="zh-CN"/>
              </w:rPr>
              <w:t xml:space="preserve">0.6 </w:t>
            </w:r>
            <w:r>
              <w:rPr>
                <w:rFonts w:hint="eastAsia"/>
                <w:color w:val="auto"/>
                <w:highlight w:val="none"/>
                <w:lang w:val="en-US" w:eastAsia="zh-CN"/>
              </w:rPr>
              <w:t>万</w:t>
            </w:r>
            <w:r>
              <w:rPr>
                <w:rFonts w:hint="default"/>
                <w:color w:val="auto"/>
                <w:highlight w:val="none"/>
                <w:lang w:val="en-US" w:eastAsia="zh-CN"/>
              </w:rPr>
              <w:t>m</w:t>
            </w:r>
            <w:r>
              <w:rPr>
                <w:rFonts w:hint="default"/>
                <w:color w:val="auto"/>
                <w:highlight w:val="none"/>
                <w:vertAlign w:val="superscript"/>
                <w:lang w:val="en-US" w:eastAsia="zh-CN"/>
              </w:rPr>
              <w:t>3</w:t>
            </w:r>
            <w:r>
              <w:rPr>
                <w:rFonts w:hint="default"/>
                <w:color w:val="auto"/>
                <w:highlight w:val="none"/>
                <w:lang w:val="en-US" w:eastAsia="zh-CN"/>
              </w:rPr>
              <w:t>/d</w:t>
            </w:r>
            <w:r>
              <w:rPr>
                <w:rFonts w:hint="eastAsia"/>
                <w:color w:val="auto"/>
                <w:highlight w:val="none"/>
                <w:lang w:val="en-US" w:eastAsia="zh-CN"/>
              </w:rPr>
              <w:t>，尚有处理余量</w:t>
            </w:r>
            <w:r>
              <w:rPr>
                <w:rFonts w:hint="default"/>
                <w:color w:val="auto"/>
                <w:highlight w:val="none"/>
                <w:lang w:val="en-US" w:eastAsia="zh-CN"/>
              </w:rPr>
              <w:t xml:space="preserve">1.9 </w:t>
            </w:r>
            <w:r>
              <w:rPr>
                <w:rFonts w:hint="eastAsia"/>
                <w:color w:val="auto"/>
                <w:highlight w:val="none"/>
                <w:lang w:val="en-US" w:eastAsia="zh-CN"/>
              </w:rPr>
              <w:t>万</w:t>
            </w:r>
            <w:r>
              <w:rPr>
                <w:rFonts w:hint="default"/>
                <w:color w:val="auto"/>
                <w:highlight w:val="none"/>
                <w:lang w:val="en-US" w:eastAsia="zh-CN"/>
              </w:rPr>
              <w:t>m</w:t>
            </w:r>
            <w:r>
              <w:rPr>
                <w:rFonts w:hint="default"/>
                <w:color w:val="auto"/>
                <w:highlight w:val="none"/>
                <w:vertAlign w:val="superscript"/>
                <w:lang w:val="en-US" w:eastAsia="zh-CN"/>
              </w:rPr>
              <w:t>3</w:t>
            </w:r>
            <w:r>
              <w:rPr>
                <w:rFonts w:hint="default"/>
                <w:color w:val="auto"/>
                <w:highlight w:val="none"/>
                <w:lang w:val="en-US" w:eastAsia="zh-CN"/>
              </w:rPr>
              <w:t>/d</w:t>
            </w:r>
            <w:r>
              <w:rPr>
                <w:rFonts w:hint="eastAsia"/>
                <w:color w:val="auto"/>
                <w:highlight w:val="none"/>
                <w:lang w:val="en-US" w:eastAsia="zh-CN"/>
              </w:rPr>
              <w:t>，本项目最大排水量7.811</w:t>
            </w:r>
            <w:r>
              <w:rPr>
                <w:rFonts w:hint="default"/>
                <w:color w:val="auto"/>
                <w:highlight w:val="none"/>
                <w:lang w:val="en-US" w:eastAsia="zh-CN"/>
              </w:rPr>
              <w:t>m</w:t>
            </w:r>
            <w:r>
              <w:rPr>
                <w:rFonts w:hint="default"/>
                <w:color w:val="auto"/>
                <w:highlight w:val="none"/>
                <w:vertAlign w:val="superscript"/>
                <w:lang w:val="en-US" w:eastAsia="zh-CN"/>
              </w:rPr>
              <w:t>3</w:t>
            </w:r>
            <w:r>
              <w:rPr>
                <w:rFonts w:hint="default"/>
                <w:color w:val="auto"/>
                <w:highlight w:val="none"/>
                <w:lang w:val="en-US" w:eastAsia="zh-CN"/>
              </w:rPr>
              <w:t>/d</w:t>
            </w:r>
            <w:r>
              <w:rPr>
                <w:rFonts w:hint="eastAsia"/>
                <w:color w:val="auto"/>
                <w:highlight w:val="none"/>
                <w:lang w:val="en-US" w:eastAsia="zh-CN"/>
              </w:rPr>
              <w:t>，远小于园区污水处理厂处理余量。因此，项目废水经厂内化粪池预处理，达到园区污水处理厂纳污水质要求后，经园区排水管网进入园区污水处理厂可行，满足园区规划环境影响报告书及审查意见的要求。</w:t>
            </w:r>
            <w:r>
              <w:rPr>
                <w:rFonts w:hint="default"/>
                <w:color w:val="auto"/>
                <w:highlight w:val="none"/>
                <w:lang w:val="en-US" w:eastAsia="zh-CN"/>
              </w:rPr>
              <w:t xml:space="preserve"> </w:t>
            </w:r>
          </w:p>
          <w:p w14:paraId="2102D4A2">
            <w:pPr>
              <w:pStyle w:val="3"/>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2.3废水自行监测</w:t>
            </w:r>
          </w:p>
          <w:p w14:paraId="409F2B29">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ascii="宋体" w:hAnsi="宋体" w:eastAsia="宋体" w:cs="宋体"/>
                <w:color w:val="auto"/>
                <w:spacing w:val="0"/>
                <w:kern w:val="2"/>
                <w:sz w:val="24"/>
                <w:szCs w:val="24"/>
                <w:highlight w:val="none"/>
                <w:lang w:val="en-US" w:eastAsia="zh-CN" w:bidi="ar"/>
              </w:rPr>
              <w:t>根据《排污单位自行监测技术指南 总则》</w:t>
            </w:r>
            <w:r>
              <w:rPr>
                <w:rFonts w:hint="eastAsia" w:ascii="宋体" w:hAnsi="宋体" w:cs="宋体"/>
                <w:color w:val="auto"/>
                <w:spacing w:val="0"/>
                <w:kern w:val="2"/>
                <w:sz w:val="24"/>
                <w:szCs w:val="24"/>
                <w:highlight w:val="none"/>
                <w:lang w:val="en-US" w:eastAsia="zh-CN" w:bidi="ar"/>
              </w:rPr>
              <w:t>（</w:t>
            </w:r>
            <w:r>
              <w:rPr>
                <w:rFonts w:hint="default" w:ascii="Times New Roman" w:hAnsi="Times New Roman" w:cs="Times New Roman"/>
                <w:color w:val="auto"/>
                <w:spacing w:val="0"/>
                <w:kern w:val="2"/>
                <w:sz w:val="24"/>
                <w:szCs w:val="24"/>
                <w:highlight w:val="none"/>
                <w:lang w:val="en-US" w:eastAsia="zh-CN" w:bidi="ar"/>
              </w:rPr>
              <w:t>HJ</w:t>
            </w:r>
            <w:r>
              <w:rPr>
                <w:rFonts w:hint="eastAsia" w:ascii="Times New Roman" w:hAnsi="Times New Roman" w:cs="Times New Roman"/>
                <w:color w:val="auto"/>
                <w:spacing w:val="0"/>
                <w:kern w:val="2"/>
                <w:sz w:val="24"/>
                <w:szCs w:val="24"/>
                <w:highlight w:val="none"/>
                <w:lang w:val="en-US" w:eastAsia="zh-CN" w:bidi="ar"/>
              </w:rPr>
              <w:t>819</w:t>
            </w:r>
            <w:r>
              <w:rPr>
                <w:rFonts w:hint="default" w:ascii="Times New Roman" w:hAnsi="Times New Roman" w:cs="Times New Roman"/>
                <w:color w:val="auto"/>
                <w:spacing w:val="0"/>
                <w:kern w:val="2"/>
                <w:sz w:val="24"/>
                <w:szCs w:val="24"/>
                <w:highlight w:val="none"/>
                <w:lang w:val="en-US" w:eastAsia="zh-CN" w:bidi="ar"/>
              </w:rPr>
              <w:t>-201</w:t>
            </w:r>
            <w:r>
              <w:rPr>
                <w:rFonts w:hint="eastAsia" w:ascii="Times New Roman" w:hAnsi="Times New Roman" w:cs="Times New Roman"/>
                <w:color w:val="auto"/>
                <w:spacing w:val="0"/>
                <w:kern w:val="2"/>
                <w:sz w:val="24"/>
                <w:szCs w:val="24"/>
                <w:highlight w:val="none"/>
                <w:lang w:val="en-US" w:eastAsia="zh-CN" w:bidi="ar"/>
              </w:rPr>
              <w:t>7</w:t>
            </w:r>
            <w:r>
              <w:rPr>
                <w:rFonts w:hint="eastAsia" w:cs="Times New Roman"/>
                <w:color w:val="auto"/>
                <w:spacing w:val="0"/>
                <w:kern w:val="2"/>
                <w:sz w:val="24"/>
                <w:szCs w:val="24"/>
                <w:highlight w:val="none"/>
                <w:lang w:val="en-US" w:eastAsia="zh-CN" w:bidi="ar"/>
              </w:rPr>
              <w:t>）</w:t>
            </w:r>
            <w:r>
              <w:rPr>
                <w:rFonts w:hint="eastAsia" w:ascii="宋体" w:hAnsi="宋体" w:eastAsia="宋体" w:cs="宋体"/>
                <w:color w:val="auto"/>
                <w:spacing w:val="0"/>
                <w:kern w:val="2"/>
                <w:sz w:val="24"/>
                <w:szCs w:val="24"/>
                <w:highlight w:val="none"/>
                <w:lang w:val="en-US" w:eastAsia="zh-CN" w:bidi="ar"/>
              </w:rPr>
              <w:t>《排污单位自行监测技术指南 平板玻璃》</w:t>
            </w:r>
            <w:r>
              <w:rPr>
                <w:rFonts w:hint="eastAsia" w:ascii="宋体" w:hAnsi="宋体" w:cs="宋体"/>
                <w:color w:val="auto"/>
                <w:spacing w:val="0"/>
                <w:kern w:val="2"/>
                <w:sz w:val="24"/>
                <w:szCs w:val="24"/>
                <w:highlight w:val="none"/>
                <w:lang w:val="en-US" w:eastAsia="zh-CN" w:bidi="ar"/>
              </w:rPr>
              <w:t>（</w:t>
            </w:r>
            <w:r>
              <w:rPr>
                <w:rFonts w:hint="default" w:ascii="Times New Roman" w:hAnsi="Times New Roman" w:cs="Times New Roman"/>
                <w:color w:val="auto"/>
                <w:spacing w:val="0"/>
                <w:kern w:val="2"/>
                <w:sz w:val="24"/>
                <w:szCs w:val="24"/>
                <w:highlight w:val="none"/>
                <w:lang w:val="en-US" w:eastAsia="zh-CN" w:bidi="ar"/>
              </w:rPr>
              <w:t>HJ</w:t>
            </w:r>
            <w:r>
              <w:rPr>
                <w:rFonts w:hint="eastAsia" w:ascii="Times New Roman" w:hAnsi="Times New Roman" w:cs="Times New Roman"/>
                <w:color w:val="auto"/>
                <w:spacing w:val="0"/>
                <w:kern w:val="2"/>
                <w:sz w:val="24"/>
                <w:szCs w:val="24"/>
                <w:highlight w:val="none"/>
                <w:lang w:val="en-US" w:eastAsia="zh-CN" w:bidi="ar"/>
              </w:rPr>
              <w:t>988</w:t>
            </w:r>
            <w:r>
              <w:rPr>
                <w:rFonts w:hint="default" w:ascii="Times New Roman" w:hAnsi="Times New Roman" w:cs="Times New Roman"/>
                <w:color w:val="auto"/>
                <w:spacing w:val="0"/>
                <w:kern w:val="2"/>
                <w:sz w:val="24"/>
                <w:szCs w:val="24"/>
                <w:highlight w:val="none"/>
                <w:lang w:val="en-US" w:eastAsia="zh-CN" w:bidi="ar"/>
              </w:rPr>
              <w:t>-201</w:t>
            </w:r>
            <w:r>
              <w:rPr>
                <w:rFonts w:hint="eastAsia" w:ascii="Times New Roman" w:hAnsi="Times New Roman" w:cs="Times New Roman"/>
                <w:color w:val="auto"/>
                <w:spacing w:val="0"/>
                <w:kern w:val="2"/>
                <w:sz w:val="24"/>
                <w:szCs w:val="24"/>
                <w:highlight w:val="none"/>
                <w:lang w:val="en-US" w:eastAsia="zh-CN" w:bidi="ar"/>
              </w:rPr>
              <w:t>8</w:t>
            </w:r>
            <w:r>
              <w:rPr>
                <w:rFonts w:hint="eastAsia" w:cs="Times New Roman"/>
                <w:color w:val="auto"/>
                <w:spacing w:val="0"/>
                <w:kern w:val="2"/>
                <w:sz w:val="24"/>
                <w:szCs w:val="24"/>
                <w:highlight w:val="none"/>
                <w:lang w:val="en-US" w:eastAsia="zh-CN" w:bidi="ar"/>
              </w:rPr>
              <w:t>）</w:t>
            </w:r>
            <w:r>
              <w:rPr>
                <w:rFonts w:hint="eastAsia"/>
                <w:color w:val="auto"/>
                <w:highlight w:val="none"/>
                <w:lang w:val="en-US" w:eastAsia="zh-CN"/>
              </w:rPr>
              <w:t>，</w:t>
            </w:r>
            <w:r>
              <w:rPr>
                <w:rFonts w:hint="default"/>
                <w:color w:val="auto"/>
                <w:highlight w:val="none"/>
                <w:lang w:val="en-US" w:eastAsia="zh-CN"/>
              </w:rPr>
              <w:t>监测计划见表</w:t>
            </w:r>
            <w:r>
              <w:rPr>
                <w:rFonts w:hint="eastAsia"/>
                <w:color w:val="auto"/>
                <w:highlight w:val="none"/>
                <w:lang w:val="en-US" w:eastAsia="zh-CN"/>
              </w:rPr>
              <w:t>4-6</w:t>
            </w:r>
            <w:r>
              <w:rPr>
                <w:rFonts w:hint="default"/>
                <w:color w:val="auto"/>
                <w:highlight w:val="none"/>
                <w:lang w:val="en-US" w:eastAsia="zh-CN"/>
              </w:rPr>
              <w:t>。</w:t>
            </w:r>
          </w:p>
          <w:p w14:paraId="27327FEC">
            <w:pPr>
              <w:pStyle w:val="5"/>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eastAsia="zh-CN"/>
              </w:rPr>
              <w:t>表</w:t>
            </w:r>
            <w:r>
              <w:rPr>
                <w:rFonts w:hint="eastAsia"/>
                <w:color w:val="auto"/>
                <w:highlight w:val="none"/>
                <w:lang w:val="en-US" w:eastAsia="zh-CN"/>
              </w:rPr>
              <w:t>4-6                           废水监测计划一览表</w:t>
            </w:r>
          </w:p>
          <w:tbl>
            <w:tblPr>
              <w:tblStyle w:val="30"/>
              <w:tblW w:w="8398" w:type="dxa"/>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13"/>
              <w:gridCol w:w="1396"/>
              <w:gridCol w:w="2507"/>
              <w:gridCol w:w="1376"/>
              <w:gridCol w:w="2106"/>
            </w:tblGrid>
            <w:tr w14:paraId="53DEDD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13" w:type="dxa"/>
                  <w:tcBorders>
                    <w:tl2br w:val="nil"/>
                    <w:tr2bl w:val="nil"/>
                  </w:tcBorders>
                  <w:noWrap w:val="0"/>
                  <w:vAlign w:val="center"/>
                </w:tcPr>
                <w:p w14:paraId="08BB7285">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类别</w:t>
                  </w:r>
                </w:p>
              </w:tc>
              <w:tc>
                <w:tcPr>
                  <w:tcW w:w="1396" w:type="dxa"/>
                  <w:tcBorders>
                    <w:tl2br w:val="nil"/>
                    <w:tr2bl w:val="nil"/>
                  </w:tcBorders>
                  <w:noWrap w:val="0"/>
                  <w:vAlign w:val="center"/>
                </w:tcPr>
                <w:p w14:paraId="330BD4DD">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监测位置</w:t>
                  </w:r>
                </w:p>
              </w:tc>
              <w:tc>
                <w:tcPr>
                  <w:tcW w:w="2507" w:type="dxa"/>
                  <w:tcBorders>
                    <w:tl2br w:val="nil"/>
                    <w:tr2bl w:val="nil"/>
                  </w:tcBorders>
                  <w:noWrap w:val="0"/>
                  <w:vAlign w:val="center"/>
                </w:tcPr>
                <w:p w14:paraId="71128CB6">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监测项目</w:t>
                  </w:r>
                </w:p>
              </w:tc>
              <w:tc>
                <w:tcPr>
                  <w:tcW w:w="1376" w:type="dxa"/>
                  <w:tcBorders>
                    <w:tl2br w:val="nil"/>
                    <w:tr2bl w:val="nil"/>
                  </w:tcBorders>
                  <w:noWrap w:val="0"/>
                  <w:vAlign w:val="center"/>
                </w:tcPr>
                <w:p w14:paraId="2B14C52D">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监测频次</w:t>
                  </w:r>
                </w:p>
              </w:tc>
              <w:tc>
                <w:tcPr>
                  <w:tcW w:w="2106" w:type="dxa"/>
                  <w:tcBorders>
                    <w:tl2br w:val="nil"/>
                    <w:tr2bl w:val="nil"/>
                  </w:tcBorders>
                  <w:noWrap w:val="0"/>
                  <w:vAlign w:val="center"/>
                </w:tcPr>
                <w:p w14:paraId="72F505DC">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color w:val="auto"/>
                      <w:highlight w:val="none"/>
                      <w:lang w:val="en-US" w:eastAsia="zh-CN"/>
                    </w:rPr>
                  </w:pPr>
                  <w:r>
                    <w:rPr>
                      <w:rFonts w:hint="eastAsia"/>
                      <w:color w:val="auto"/>
                      <w:highlight w:val="none"/>
                      <w:lang w:val="en-US" w:eastAsia="zh-CN"/>
                    </w:rPr>
                    <w:t>执行标准</w:t>
                  </w:r>
                </w:p>
              </w:tc>
            </w:tr>
            <w:tr w14:paraId="7C55E6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013" w:type="dxa"/>
                  <w:tcBorders>
                    <w:tl2br w:val="nil"/>
                    <w:tr2bl w:val="nil"/>
                  </w:tcBorders>
                  <w:noWrap w:val="0"/>
                  <w:vAlign w:val="center"/>
                </w:tcPr>
                <w:p w14:paraId="5BCC930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color w:val="auto"/>
                      <w:highlight w:val="none"/>
                      <w:lang w:val="en-US" w:eastAsia="zh-CN"/>
                    </w:rPr>
                  </w:pPr>
                  <w:r>
                    <w:rPr>
                      <w:rFonts w:hint="eastAsia"/>
                      <w:color w:val="auto"/>
                      <w:highlight w:val="none"/>
                      <w:lang w:val="en-US" w:eastAsia="zh-CN"/>
                    </w:rPr>
                    <w:t>生产废水</w:t>
                  </w:r>
                </w:p>
              </w:tc>
              <w:tc>
                <w:tcPr>
                  <w:tcW w:w="1396" w:type="dxa"/>
                  <w:tcBorders>
                    <w:tl2br w:val="nil"/>
                    <w:tr2bl w:val="nil"/>
                  </w:tcBorders>
                  <w:noWrap w:val="0"/>
                  <w:vAlign w:val="center"/>
                </w:tcPr>
                <w:p w14:paraId="5E41F108">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eastAsia="宋体"/>
                      <w:color w:val="auto"/>
                      <w:highlight w:val="none"/>
                      <w:lang w:val="en-US" w:eastAsia="zh-CN"/>
                    </w:rPr>
                  </w:pPr>
                  <w:r>
                    <w:rPr>
                      <w:rFonts w:hint="eastAsia" w:eastAsia="宋体"/>
                      <w:color w:val="auto"/>
                      <w:highlight w:val="none"/>
                      <w:lang w:val="en-US" w:eastAsia="zh-CN"/>
                    </w:rPr>
                    <w:t>DW002</w:t>
                  </w:r>
                </w:p>
              </w:tc>
              <w:tc>
                <w:tcPr>
                  <w:tcW w:w="2507" w:type="dxa"/>
                  <w:tcBorders>
                    <w:tl2br w:val="nil"/>
                    <w:tr2bl w:val="nil"/>
                  </w:tcBorders>
                  <w:noWrap w:val="0"/>
                  <w:vAlign w:val="center"/>
                </w:tcPr>
                <w:p w14:paraId="48276503">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color w:val="auto"/>
                      <w:highlight w:val="none"/>
                      <w:lang w:val="en-US" w:eastAsia="zh-CN"/>
                    </w:rPr>
                  </w:pPr>
                  <w:r>
                    <w:rPr>
                      <w:rFonts w:hint="eastAsia"/>
                      <w:color w:val="auto"/>
                      <w:highlight w:val="none"/>
                      <w:lang w:val="en-US" w:eastAsia="zh-CN"/>
                    </w:rPr>
                    <w:t>pH、COD、SS、氨氮、TDS、总硬度、氯化物</w:t>
                  </w:r>
                </w:p>
              </w:tc>
              <w:tc>
                <w:tcPr>
                  <w:tcW w:w="1376" w:type="dxa"/>
                  <w:tcBorders>
                    <w:tl2br w:val="nil"/>
                    <w:tr2bl w:val="nil"/>
                  </w:tcBorders>
                  <w:noWrap w:val="0"/>
                  <w:vAlign w:val="center"/>
                </w:tcPr>
                <w:p w14:paraId="27E1A252">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default"/>
                      <w:color w:val="auto"/>
                      <w:highlight w:val="none"/>
                      <w:lang w:val="en-US" w:eastAsia="zh-CN"/>
                    </w:rPr>
                  </w:pPr>
                  <w:r>
                    <w:rPr>
                      <w:rFonts w:hint="eastAsia"/>
                      <w:color w:val="auto"/>
                      <w:highlight w:val="none"/>
                      <w:lang w:val="en-US" w:eastAsia="zh-CN"/>
                    </w:rPr>
                    <w:t>1次/年</w:t>
                  </w:r>
                </w:p>
              </w:tc>
              <w:tc>
                <w:tcPr>
                  <w:tcW w:w="2106" w:type="dxa"/>
                  <w:tcBorders>
                    <w:tl2br w:val="nil"/>
                    <w:tr2bl w:val="nil"/>
                  </w:tcBorders>
                  <w:noWrap w:val="0"/>
                  <w:vAlign w:val="center"/>
                </w:tcPr>
                <w:p w14:paraId="41D22334">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firstLine="0" w:firstLineChars="0"/>
                    <w:textAlignment w:val="center"/>
                    <w:rPr>
                      <w:rFonts w:hint="eastAsia"/>
                      <w:color w:val="auto"/>
                      <w:highlight w:val="none"/>
                      <w:lang w:val="en-US" w:eastAsia="zh-CN"/>
                    </w:rPr>
                  </w:pPr>
                  <w:r>
                    <w:rPr>
                      <w:rFonts w:hint="eastAsia"/>
                      <w:color w:val="auto"/>
                      <w:highlight w:val="none"/>
                      <w:lang w:val="en-US" w:eastAsia="zh-CN"/>
                    </w:rPr>
                    <w:t>《污水综合排放标准》（GB 8978-1996）三级标准</w:t>
                  </w:r>
                </w:p>
              </w:tc>
            </w:tr>
          </w:tbl>
          <w:p w14:paraId="7DB7DA94">
            <w:pPr>
              <w:pStyle w:val="3"/>
              <w:suppressLineNumbers w:val="0"/>
              <w:bidi w:val="0"/>
              <w:spacing w:before="0" w:beforeAutospacing="0" w:after="0" w:afterAutospacing="0"/>
              <w:ind w:left="0" w:right="0"/>
              <w:rPr>
                <w:rFonts w:hint="default"/>
                <w:color w:val="auto"/>
                <w:highlight w:val="none"/>
              </w:rPr>
            </w:pPr>
            <w:r>
              <w:rPr>
                <w:rFonts w:hint="default"/>
                <w:color w:val="auto"/>
                <w:highlight w:val="none"/>
              </w:rPr>
              <w:t>3</w:t>
            </w:r>
            <w:r>
              <w:rPr>
                <w:rFonts w:hint="eastAsia"/>
                <w:color w:val="auto"/>
                <w:highlight w:val="none"/>
              </w:rPr>
              <w:t>、噪声</w:t>
            </w:r>
          </w:p>
          <w:p w14:paraId="13F5B454">
            <w:pPr>
              <w:pStyle w:val="3"/>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3.1噪声预测</w:t>
            </w:r>
          </w:p>
          <w:p w14:paraId="1B0C3BC6">
            <w:pPr>
              <w:keepNext w:val="0"/>
              <w:keepLines w:val="0"/>
              <w:suppressLineNumbers w:val="0"/>
              <w:bidi w:val="0"/>
              <w:spacing w:before="0" w:beforeAutospacing="0" w:after="0" w:afterAutospacing="0"/>
              <w:ind w:left="0" w:right="0"/>
              <w:rPr>
                <w:rFonts w:hint="default"/>
                <w:color w:val="auto"/>
                <w:highlight w:val="none"/>
              </w:rPr>
            </w:pPr>
            <w:r>
              <w:rPr>
                <w:rFonts w:hint="default" w:ascii="宋体" w:hAnsi="宋体" w:eastAsia="宋体" w:cs="宋体"/>
                <w:color w:val="auto"/>
                <w:sz w:val="24"/>
                <w:szCs w:val="24"/>
                <w:highlight w:val="none"/>
              </w:rPr>
              <w:t>项目噪声源主要为清洗机、喷砂机、覆膜机、自动上下片运行产生的设备噪声；冷却</w:t>
            </w:r>
            <w:r>
              <w:rPr>
                <w:rFonts w:hint="eastAsia" w:ascii="宋体" w:hAnsi="宋体" w:cs="宋体"/>
                <w:color w:val="auto"/>
                <w:sz w:val="24"/>
                <w:szCs w:val="24"/>
                <w:highlight w:val="none"/>
                <w:lang w:val="en-US" w:eastAsia="zh-CN"/>
              </w:rPr>
              <w:t>系统</w:t>
            </w:r>
            <w:r>
              <w:rPr>
                <w:rFonts w:hint="default" w:ascii="宋体" w:hAnsi="宋体" w:eastAsia="宋体" w:cs="宋体"/>
                <w:color w:val="auto"/>
                <w:sz w:val="24"/>
                <w:szCs w:val="24"/>
                <w:highlight w:val="none"/>
              </w:rPr>
              <w:t>、超纯水制备系统噪声主要来源于配套泵类及电机运转噪声</w:t>
            </w:r>
            <w:r>
              <w:rPr>
                <w:rFonts w:hint="eastAsia" w:ascii="宋体" w:hAnsi="宋体" w:eastAsia="宋体" w:cs="宋体"/>
                <w:color w:val="auto"/>
                <w:sz w:val="24"/>
                <w:szCs w:val="24"/>
                <w:highlight w:val="none"/>
                <w:lang w:eastAsia="zh-CN"/>
              </w:rPr>
              <w:t>，</w:t>
            </w:r>
            <w:r>
              <w:rPr>
                <w:rFonts w:hint="eastAsia"/>
                <w:color w:val="auto"/>
                <w:highlight w:val="none"/>
                <w:lang w:val="en-US" w:eastAsia="zh-CN"/>
              </w:rPr>
              <w:t>噪声在70-90</w:t>
            </w:r>
            <w:r>
              <w:rPr>
                <w:rFonts w:hint="default"/>
                <w:color w:val="auto"/>
                <w:highlight w:val="none"/>
                <w:lang w:val="en-US" w:eastAsia="zh-CN"/>
              </w:rPr>
              <w:t>dB</w:t>
            </w:r>
            <w:r>
              <w:rPr>
                <w:rFonts w:hint="eastAsia"/>
                <w:color w:val="auto"/>
                <w:highlight w:val="none"/>
                <w:lang w:val="en-US" w:eastAsia="zh-CN"/>
              </w:rPr>
              <w:t>（</w:t>
            </w:r>
            <w:r>
              <w:rPr>
                <w:rFonts w:hint="default"/>
                <w:color w:val="auto"/>
                <w:highlight w:val="none"/>
                <w:lang w:val="en-US" w:eastAsia="zh-CN"/>
              </w:rPr>
              <w:t>A</w:t>
            </w:r>
            <w:r>
              <w:rPr>
                <w:rFonts w:hint="eastAsia"/>
                <w:color w:val="auto"/>
                <w:highlight w:val="none"/>
                <w:lang w:val="en-US" w:eastAsia="zh-CN"/>
              </w:rPr>
              <w:t>）之间，通过基础减振、厂房隔声后可有效降低20</w:t>
            </w:r>
            <w:r>
              <w:rPr>
                <w:rFonts w:hint="default"/>
                <w:color w:val="auto"/>
                <w:highlight w:val="none"/>
                <w:lang w:val="en-US" w:eastAsia="zh-CN"/>
              </w:rPr>
              <w:t>dB</w:t>
            </w:r>
            <w:r>
              <w:rPr>
                <w:rFonts w:hint="eastAsia"/>
                <w:color w:val="auto"/>
                <w:highlight w:val="none"/>
                <w:lang w:val="en-US" w:eastAsia="zh-CN"/>
              </w:rPr>
              <w:t>（</w:t>
            </w:r>
            <w:r>
              <w:rPr>
                <w:rFonts w:hint="default"/>
                <w:color w:val="auto"/>
                <w:highlight w:val="none"/>
                <w:lang w:val="en-US" w:eastAsia="zh-CN"/>
              </w:rPr>
              <w:t>A</w:t>
            </w:r>
            <w:r>
              <w:rPr>
                <w:rFonts w:hint="eastAsia"/>
                <w:color w:val="auto"/>
                <w:highlight w:val="none"/>
                <w:lang w:val="en-US" w:eastAsia="zh-CN"/>
              </w:rPr>
              <w:t>）以上。</w:t>
            </w:r>
          </w:p>
          <w:p w14:paraId="01537FC2">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en-US" w:eastAsia="zh-CN"/>
              </w:rPr>
              <w:t>（1）</w:t>
            </w:r>
            <w:r>
              <w:rPr>
                <w:rFonts w:hint="eastAsia"/>
                <w:color w:val="auto"/>
                <w:highlight w:val="none"/>
              </w:rPr>
              <w:t>预测模式的确定</w:t>
            </w:r>
          </w:p>
          <w:p w14:paraId="08D27663">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采用《环境影响评价技术导则</w:t>
            </w:r>
            <w:r>
              <w:rPr>
                <w:rFonts w:hint="eastAsia"/>
                <w:color w:val="auto"/>
                <w:highlight w:val="none"/>
                <w:lang w:val="en-US" w:eastAsia="zh-CN"/>
              </w:rPr>
              <w:t xml:space="preserve"> </w:t>
            </w:r>
            <w:r>
              <w:rPr>
                <w:rFonts w:hint="eastAsia"/>
                <w:color w:val="auto"/>
                <w:highlight w:val="none"/>
              </w:rPr>
              <w:t>声环境》</w:t>
            </w:r>
            <w:r>
              <w:rPr>
                <w:rFonts w:hint="eastAsia"/>
                <w:color w:val="auto"/>
                <w:highlight w:val="none"/>
                <w:lang w:eastAsia="zh-CN"/>
              </w:rPr>
              <w:t>（</w:t>
            </w:r>
            <w:r>
              <w:rPr>
                <w:rFonts w:hint="eastAsia"/>
                <w:color w:val="auto"/>
                <w:highlight w:val="none"/>
              </w:rPr>
              <w:t>HJ2.4-20</w:t>
            </w:r>
            <w:r>
              <w:rPr>
                <w:rFonts w:hint="eastAsia"/>
                <w:color w:val="auto"/>
                <w:highlight w:val="none"/>
                <w:lang w:val="en-US" w:eastAsia="zh-CN"/>
              </w:rPr>
              <w:t>21）</w:t>
            </w:r>
            <w:r>
              <w:rPr>
                <w:rFonts w:hint="eastAsia"/>
                <w:color w:val="auto"/>
                <w:highlight w:val="none"/>
              </w:rPr>
              <w:t>中推荐的模式进行计算。</w:t>
            </w:r>
          </w:p>
          <w:p w14:paraId="28825EA9">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噪声源参数的确定</w:t>
            </w:r>
          </w:p>
          <w:p w14:paraId="54ACC91D">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噪声源</w:t>
            </w:r>
            <w:r>
              <w:rPr>
                <w:rFonts w:hint="eastAsia"/>
                <w:color w:val="auto"/>
                <w:highlight w:val="none"/>
                <w:lang w:val="en-US" w:eastAsia="zh-CN"/>
              </w:rPr>
              <w:t>强</w:t>
            </w:r>
            <w:r>
              <w:rPr>
                <w:rFonts w:hint="eastAsia"/>
                <w:color w:val="auto"/>
                <w:highlight w:val="none"/>
              </w:rPr>
              <w:t>根据《污染源源强核算技术指南</w:t>
            </w:r>
            <w:r>
              <w:rPr>
                <w:rFonts w:hint="eastAsia"/>
                <w:color w:val="auto"/>
                <w:highlight w:val="none"/>
                <w:lang w:val="en-US" w:eastAsia="zh-CN"/>
              </w:rPr>
              <w:t xml:space="preserve"> </w:t>
            </w:r>
            <w:r>
              <w:rPr>
                <w:rFonts w:hint="eastAsia"/>
                <w:color w:val="auto"/>
                <w:highlight w:val="none"/>
              </w:rPr>
              <w:t>平板玻璃制造》(HJ980-2018)</w:t>
            </w:r>
            <w:r>
              <w:rPr>
                <w:rFonts w:hint="eastAsia"/>
                <w:color w:val="auto"/>
                <w:highlight w:val="none"/>
                <w:lang w:val="en-US" w:eastAsia="zh-CN"/>
              </w:rPr>
              <w:t>和</w:t>
            </w:r>
            <w:r>
              <w:rPr>
                <w:rFonts w:hint="eastAsia"/>
                <w:color w:val="auto"/>
                <w:highlight w:val="none"/>
              </w:rPr>
              <w:t>建设单位所</w:t>
            </w:r>
            <w:r>
              <w:rPr>
                <w:rFonts w:hint="eastAsia"/>
                <w:color w:val="auto"/>
                <w:highlight w:val="none"/>
                <w:lang w:val="en-US" w:eastAsia="zh-CN"/>
              </w:rPr>
              <w:t>提供的参数，原点坐标</w:t>
            </w:r>
            <w:r>
              <w:rPr>
                <w:rFonts w:hint="default"/>
                <w:color w:val="auto"/>
                <w:highlight w:val="none"/>
                <w:lang w:val="en-US" w:eastAsia="zh-CN"/>
              </w:rPr>
              <w:t>（</w:t>
            </w:r>
            <w:bookmarkStart w:id="4" w:name="PO_8"/>
            <w:r>
              <w:rPr>
                <w:rFonts w:hint="eastAsia"/>
                <w:color w:val="auto"/>
                <w:highlight w:val="none"/>
                <w:lang w:val="en-US" w:eastAsia="zh-CN"/>
              </w:rPr>
              <w:t>经度：</w:t>
            </w:r>
            <w:r>
              <w:rPr>
                <w:rFonts w:hint="default"/>
                <w:color w:val="auto"/>
                <w:highlight w:val="none"/>
                <w:lang w:val="en-US" w:eastAsia="zh-CN"/>
              </w:rPr>
              <w:t>84°2′14.225″</w:t>
            </w:r>
            <w:r>
              <w:rPr>
                <w:rFonts w:hint="eastAsia"/>
                <w:color w:val="auto"/>
                <w:highlight w:val="none"/>
                <w:lang w:val="en-US" w:eastAsia="zh-CN"/>
              </w:rPr>
              <w:t>，</w:t>
            </w:r>
            <w:bookmarkEnd w:id="4"/>
            <w:r>
              <w:rPr>
                <w:rFonts w:hint="eastAsia"/>
                <w:color w:val="auto"/>
                <w:highlight w:val="none"/>
                <w:lang w:val="en-US" w:eastAsia="zh-CN"/>
              </w:rPr>
              <w:t>纬度</w:t>
            </w:r>
            <w:r>
              <w:rPr>
                <w:rFonts w:hint="default"/>
                <w:color w:val="auto"/>
                <w:highlight w:val="none"/>
                <w:lang w:val="en-US" w:eastAsia="zh-CN"/>
              </w:rPr>
              <w:t>：41°49′4.789″）为坐标原点，正东向为X轴正方向，正北向为Y轴正方向</w:t>
            </w:r>
            <w:r>
              <w:rPr>
                <w:rFonts w:hint="eastAsia"/>
                <w:color w:val="auto"/>
                <w:highlight w:val="none"/>
                <w:lang w:eastAsia="zh-CN"/>
              </w:rPr>
              <w:t>，</w:t>
            </w:r>
            <w:r>
              <w:rPr>
                <w:rFonts w:hint="eastAsia"/>
                <w:color w:val="auto"/>
                <w:highlight w:val="none"/>
              </w:rPr>
              <w:t>主要产噪设备参数见下表。</w:t>
            </w:r>
          </w:p>
          <w:p w14:paraId="1B22C3C2">
            <w:pPr>
              <w:pStyle w:val="8"/>
              <w:keepLines w:val="0"/>
              <w:suppressLineNumbers w:val="0"/>
              <w:bidi w:val="0"/>
              <w:spacing w:before="0" w:beforeAutospacing="0" w:after="0" w:afterAutospacing="0"/>
              <w:ind w:left="0" w:right="0"/>
              <w:rPr>
                <w:rFonts w:hint="default" w:ascii="Times New Roman" w:hAnsi="Times New Roman" w:cs="Times New Roman"/>
                <w:color w:val="auto"/>
                <w:highlight w:val="none"/>
                <w:lang w:eastAsia="zh-CN"/>
              </w:rPr>
            </w:pPr>
            <w:r>
              <w:rPr>
                <w:rFonts w:hint="default"/>
                <w:color w:val="auto"/>
                <w:highlight w:val="none"/>
                <w:lang w:eastAsia="zh-CN"/>
              </w:rPr>
              <w:t>表</w:t>
            </w:r>
            <w:r>
              <w:rPr>
                <w:rFonts w:hint="eastAsia"/>
                <w:color w:val="auto"/>
                <w:highlight w:val="none"/>
                <w:lang w:val="en-US" w:eastAsia="zh-CN"/>
              </w:rPr>
              <w:t>4-7</w:t>
            </w:r>
            <w:r>
              <w:rPr>
                <w:rFonts w:hint="default"/>
                <w:color w:val="auto"/>
                <w:highlight w:val="none"/>
                <w:lang w:eastAsia="zh-CN"/>
              </w:rPr>
              <w:tab/>
            </w:r>
            <w:r>
              <w:rPr>
                <w:rFonts w:hint="eastAsia"/>
                <w:color w:val="auto"/>
                <w:highlight w:val="none"/>
                <w:lang w:val="en-US" w:eastAsia="zh-CN"/>
              </w:rPr>
              <w:t xml:space="preserve">          </w:t>
            </w:r>
            <w:r>
              <w:rPr>
                <w:rFonts w:hint="default" w:cs="Times New Roman" w:asciiTheme="minorEastAsia" w:hAnsiTheme="minorEastAsia" w:eastAsiaTheme="minorEastAsia"/>
                <w:b/>
                <w:bCs/>
                <w:color w:val="auto"/>
                <w:highlight w:val="none"/>
                <w:lang w:eastAsia="zh-CN"/>
              </w:rPr>
              <w:t>工业企业噪声源强调查清单（室外声源）</w:t>
            </w:r>
            <w:bookmarkStart w:id="5" w:name="PT_5"/>
          </w:p>
          <w:tbl>
            <w:tblPr>
              <w:tblStyle w:val="30"/>
              <w:tblW w:w="4874" w:type="pct"/>
              <w:jc w:val="center"/>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927"/>
              <w:gridCol w:w="733"/>
              <w:gridCol w:w="646"/>
              <w:gridCol w:w="658"/>
              <w:gridCol w:w="1395"/>
              <w:gridCol w:w="1216"/>
              <w:gridCol w:w="1370"/>
              <w:gridCol w:w="743"/>
            </w:tblGrid>
            <w:tr w14:paraId="7158BD12">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7" w:type="pct"/>
                  <w:vMerge w:val="restart"/>
                  <w:tcBorders>
                    <w:top w:val="single" w:color="auto" w:sz="12" w:space="0"/>
                  </w:tcBorders>
                  <w:vAlign w:val="center"/>
                </w:tcPr>
                <w:p w14:paraId="345BC80A">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序号</w:t>
                  </w:r>
                </w:p>
              </w:tc>
              <w:tc>
                <w:tcPr>
                  <w:tcW w:w="570" w:type="pct"/>
                  <w:vMerge w:val="restart"/>
                  <w:tcBorders>
                    <w:top w:val="single" w:color="auto" w:sz="12" w:space="0"/>
                  </w:tcBorders>
                  <w:vAlign w:val="center"/>
                </w:tcPr>
                <w:p w14:paraId="65D145AC">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声源名称</w:t>
                  </w:r>
                </w:p>
              </w:tc>
              <w:tc>
                <w:tcPr>
                  <w:tcW w:w="1251" w:type="pct"/>
                  <w:gridSpan w:val="3"/>
                  <w:tcBorders>
                    <w:top w:val="single" w:color="auto" w:sz="12" w:space="0"/>
                  </w:tcBorders>
                  <w:vAlign w:val="center"/>
                </w:tcPr>
                <w:p w14:paraId="66AE2D6D">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空间相对位置/m</w:t>
                  </w:r>
                </w:p>
              </w:tc>
              <w:tc>
                <w:tcPr>
                  <w:tcW w:w="1603" w:type="pct"/>
                  <w:gridSpan w:val="2"/>
                  <w:tcBorders>
                    <w:top w:val="single" w:color="auto" w:sz="12" w:space="0"/>
                  </w:tcBorders>
                  <w:vAlign w:val="center"/>
                </w:tcPr>
                <w:p w14:paraId="673430DE">
                  <w:pPr>
                    <w:pStyle w:val="7"/>
                    <w:keepNext w:val="0"/>
                    <w:keepLines w:val="0"/>
                    <w:suppressLineNumbers w:val="0"/>
                    <w:bidi w:val="0"/>
                    <w:spacing w:before="0" w:beforeAutospacing="0" w:after="0" w:afterAutospacing="0"/>
                    <w:ind w:left="0" w:right="0"/>
                    <w:rPr>
                      <w:rFonts w:hint="default"/>
                      <w:color w:val="auto"/>
                      <w:highlight w:val="none"/>
                      <w:lang w:eastAsia="zh-CN"/>
                    </w:rPr>
                  </w:pPr>
                  <w:r>
                    <w:rPr>
                      <w:rFonts w:hint="default"/>
                      <w:color w:val="auto"/>
                      <w:highlight w:val="none"/>
                      <w:lang w:eastAsia="zh-CN"/>
                    </w:rPr>
                    <w:t>声源源强（任选一种）</w:t>
                  </w:r>
                </w:p>
              </w:tc>
              <w:tc>
                <w:tcPr>
                  <w:tcW w:w="841" w:type="pct"/>
                  <w:vMerge w:val="restart"/>
                  <w:tcBorders>
                    <w:top w:val="single" w:color="auto" w:sz="12" w:space="0"/>
                  </w:tcBorders>
                  <w:vAlign w:val="center"/>
                </w:tcPr>
                <w:p w14:paraId="41B40E7C">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声源控制措施</w:t>
                  </w:r>
                </w:p>
              </w:tc>
              <w:tc>
                <w:tcPr>
                  <w:tcW w:w="456" w:type="pct"/>
                  <w:vMerge w:val="restart"/>
                  <w:tcBorders>
                    <w:top w:val="single" w:color="auto" w:sz="12" w:space="0"/>
                    <w:right w:val="nil"/>
                  </w:tcBorders>
                  <w:vAlign w:val="center"/>
                </w:tcPr>
                <w:p w14:paraId="4DA4E6A1">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运行时段</w:t>
                  </w:r>
                </w:p>
              </w:tc>
            </w:tr>
            <w:tr w14:paraId="191FB24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7" w:type="pct"/>
                  <w:vMerge w:val="continue"/>
                  <w:shd w:val="clear" w:color="auto" w:fill="FFFFFF"/>
                  <w:vAlign w:val="center"/>
                </w:tcPr>
                <w:p w14:paraId="1CF672D6">
                  <w:pPr>
                    <w:pStyle w:val="7"/>
                    <w:keepNext w:val="0"/>
                    <w:keepLines w:val="0"/>
                    <w:suppressLineNumbers w:val="0"/>
                    <w:bidi w:val="0"/>
                    <w:spacing w:before="0" w:beforeAutospacing="0" w:after="0" w:afterAutospacing="0"/>
                    <w:ind w:left="0" w:right="0"/>
                    <w:rPr>
                      <w:rFonts w:hint="default"/>
                      <w:color w:val="auto"/>
                      <w:highlight w:val="none"/>
                    </w:rPr>
                  </w:pPr>
                </w:p>
              </w:tc>
              <w:tc>
                <w:tcPr>
                  <w:tcW w:w="570" w:type="pct"/>
                  <w:vMerge w:val="continue"/>
                  <w:shd w:val="clear" w:color="auto" w:fill="FFFFFF"/>
                  <w:vAlign w:val="center"/>
                </w:tcPr>
                <w:p w14:paraId="18D5BA0F">
                  <w:pPr>
                    <w:pStyle w:val="7"/>
                    <w:keepNext w:val="0"/>
                    <w:keepLines w:val="0"/>
                    <w:suppressLineNumbers w:val="0"/>
                    <w:bidi w:val="0"/>
                    <w:spacing w:before="0" w:beforeAutospacing="0" w:after="0" w:afterAutospacing="0"/>
                    <w:ind w:left="0" w:right="0"/>
                    <w:rPr>
                      <w:rFonts w:hint="default"/>
                      <w:color w:val="auto"/>
                      <w:highlight w:val="none"/>
                    </w:rPr>
                  </w:pPr>
                </w:p>
              </w:tc>
              <w:tc>
                <w:tcPr>
                  <w:tcW w:w="450" w:type="pct"/>
                  <w:shd w:val="clear" w:color="auto" w:fill="FFFFFF"/>
                  <w:vAlign w:val="center"/>
                </w:tcPr>
                <w:p w14:paraId="4CBBBEC3">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X</w:t>
                  </w:r>
                </w:p>
              </w:tc>
              <w:tc>
                <w:tcPr>
                  <w:tcW w:w="396" w:type="pct"/>
                  <w:shd w:val="clear" w:color="auto" w:fill="FFFFFF"/>
                  <w:vAlign w:val="center"/>
                </w:tcPr>
                <w:p w14:paraId="20C089B5">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Y</w:t>
                  </w:r>
                </w:p>
              </w:tc>
              <w:tc>
                <w:tcPr>
                  <w:tcW w:w="404" w:type="pct"/>
                  <w:shd w:val="clear" w:color="auto" w:fill="FFFFFF"/>
                  <w:vAlign w:val="center"/>
                </w:tcPr>
                <w:p w14:paraId="6648E9DB">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Z</w:t>
                  </w:r>
                </w:p>
              </w:tc>
              <w:tc>
                <w:tcPr>
                  <w:tcW w:w="856" w:type="pct"/>
                  <w:shd w:val="clear" w:color="auto" w:fill="FFFFFF"/>
                  <w:vAlign w:val="center"/>
                </w:tcPr>
                <w:p w14:paraId="1F463601">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（声压级/距声源距离）/（dB(A)/m）</w:t>
                  </w:r>
                </w:p>
              </w:tc>
              <w:tc>
                <w:tcPr>
                  <w:tcW w:w="746" w:type="pct"/>
                  <w:shd w:val="clear" w:color="auto" w:fill="FFFFFF"/>
                  <w:vAlign w:val="center"/>
                </w:tcPr>
                <w:p w14:paraId="353E1442">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声功率级/dB(A)</w:t>
                  </w:r>
                </w:p>
              </w:tc>
              <w:tc>
                <w:tcPr>
                  <w:tcW w:w="841" w:type="pct"/>
                  <w:vMerge w:val="continue"/>
                  <w:shd w:val="clear" w:color="auto" w:fill="FFFFFF"/>
                  <w:vAlign w:val="center"/>
                </w:tcPr>
                <w:p w14:paraId="2ADB82EF">
                  <w:pPr>
                    <w:pStyle w:val="7"/>
                    <w:keepNext w:val="0"/>
                    <w:keepLines w:val="0"/>
                    <w:suppressLineNumbers w:val="0"/>
                    <w:bidi w:val="0"/>
                    <w:spacing w:before="0" w:beforeAutospacing="0" w:after="0" w:afterAutospacing="0"/>
                    <w:ind w:left="0" w:right="0"/>
                    <w:rPr>
                      <w:rFonts w:hint="default"/>
                      <w:color w:val="auto"/>
                      <w:highlight w:val="none"/>
                    </w:rPr>
                  </w:pPr>
                </w:p>
                <w:bookmarkEnd w:id="5"/>
              </w:tc>
              <w:tc>
                <w:tcPr>
                  <w:tcW w:w="456" w:type="pct"/>
                  <w:vMerge w:val="continue"/>
                  <w:tcBorders>
                    <w:right w:val="nil"/>
                  </w:tcBorders>
                  <w:shd w:val="clear" w:color="auto" w:fill="FFFFFF"/>
                  <w:vAlign w:val="center"/>
                </w:tcPr>
                <w:p w14:paraId="7E336979">
                  <w:pPr>
                    <w:pStyle w:val="7"/>
                    <w:keepNext w:val="0"/>
                    <w:keepLines w:val="0"/>
                    <w:suppressLineNumbers w:val="0"/>
                    <w:bidi w:val="0"/>
                    <w:spacing w:before="0" w:beforeAutospacing="0" w:after="0" w:afterAutospacing="0"/>
                    <w:ind w:left="0" w:right="0"/>
                    <w:rPr>
                      <w:rFonts w:hint="default"/>
                      <w:color w:val="auto"/>
                      <w:highlight w:val="none"/>
                    </w:rPr>
                  </w:pPr>
                </w:p>
              </w:tc>
            </w:tr>
            <w:tr w14:paraId="47B63142">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0" w:hRule="atLeast"/>
                <w:jc w:val="center"/>
              </w:trPr>
              <w:tc>
                <w:tcPr>
                  <w:tcW w:w="277" w:type="pct"/>
                  <w:shd w:val="clear" w:color="auto" w:fill="FFFFFF"/>
                  <w:vAlign w:val="center"/>
                </w:tcPr>
                <w:p w14:paraId="35CF0E17">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1</w:t>
                  </w:r>
                </w:p>
              </w:tc>
              <w:tc>
                <w:tcPr>
                  <w:tcW w:w="570" w:type="pct"/>
                  <w:shd w:val="clear" w:color="auto" w:fill="FFFFFF"/>
                  <w:vAlign w:val="center"/>
                </w:tcPr>
                <w:p w14:paraId="0F8440D5">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冷却水系统1</w:t>
                  </w:r>
                </w:p>
              </w:tc>
              <w:tc>
                <w:tcPr>
                  <w:tcW w:w="450" w:type="pct"/>
                  <w:shd w:val="clear" w:color="auto" w:fill="FFFFFF"/>
                  <w:vAlign w:val="center"/>
                </w:tcPr>
                <w:p w14:paraId="03FDA188">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87.5</w:t>
                  </w:r>
                </w:p>
              </w:tc>
              <w:tc>
                <w:tcPr>
                  <w:tcW w:w="396" w:type="pct"/>
                  <w:shd w:val="clear" w:color="auto" w:fill="FFFFFF"/>
                  <w:vAlign w:val="center"/>
                </w:tcPr>
                <w:p w14:paraId="77A6A773">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2.4</w:t>
                  </w:r>
                </w:p>
              </w:tc>
              <w:tc>
                <w:tcPr>
                  <w:tcW w:w="404" w:type="pct"/>
                  <w:shd w:val="clear" w:color="auto" w:fill="FFFFFF"/>
                  <w:vAlign w:val="center"/>
                </w:tcPr>
                <w:p w14:paraId="16D82C8F">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1.2</w:t>
                  </w:r>
                </w:p>
              </w:tc>
              <w:tc>
                <w:tcPr>
                  <w:tcW w:w="856" w:type="pct"/>
                  <w:shd w:val="clear" w:color="auto" w:fill="FFFFFF"/>
                  <w:vAlign w:val="center"/>
                </w:tcPr>
                <w:p w14:paraId="44A42D08">
                  <w:pPr>
                    <w:pStyle w:val="7"/>
                    <w:keepNext w:val="0"/>
                    <w:keepLines w:val="0"/>
                    <w:suppressLineNumbers w:val="0"/>
                    <w:bidi w:val="0"/>
                    <w:spacing w:before="0" w:beforeAutospacing="0" w:after="0" w:afterAutospacing="0"/>
                    <w:ind w:left="0" w:right="0"/>
                    <w:rPr>
                      <w:rFonts w:hint="eastAsia" w:eastAsia="宋体"/>
                      <w:color w:val="auto"/>
                      <w:highlight w:val="none"/>
                      <w:lang w:val="en-US" w:eastAsia="zh-CN"/>
                    </w:rPr>
                  </w:pPr>
                  <w:r>
                    <w:rPr>
                      <w:rFonts w:hint="eastAsia"/>
                      <w:color w:val="auto"/>
                      <w:highlight w:val="none"/>
                      <w:lang w:val="en-US" w:eastAsia="zh-CN"/>
                    </w:rPr>
                    <w:t>/</w:t>
                  </w:r>
                </w:p>
              </w:tc>
              <w:tc>
                <w:tcPr>
                  <w:tcW w:w="746" w:type="pct"/>
                  <w:shd w:val="clear" w:color="auto" w:fill="FFFFFF"/>
                  <w:vAlign w:val="center"/>
                </w:tcPr>
                <w:p w14:paraId="0E45EE10">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80</w:t>
                  </w:r>
                </w:p>
              </w:tc>
              <w:tc>
                <w:tcPr>
                  <w:tcW w:w="841" w:type="pct"/>
                  <w:shd w:val="clear" w:color="auto" w:fill="FFFFFF"/>
                  <w:vAlign w:val="center"/>
                </w:tcPr>
                <w:p w14:paraId="154B1EAD">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减振、隔声</w:t>
                  </w:r>
                </w:p>
              </w:tc>
              <w:tc>
                <w:tcPr>
                  <w:tcW w:w="456" w:type="pct"/>
                  <w:tcBorders>
                    <w:right w:val="nil"/>
                  </w:tcBorders>
                  <w:shd w:val="clear" w:color="auto" w:fill="FFFFFF"/>
                  <w:vAlign w:val="center"/>
                </w:tcPr>
                <w:p w14:paraId="3122E311">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24</w:t>
                  </w:r>
                </w:p>
              </w:tc>
            </w:tr>
            <w:tr w14:paraId="62C9E3A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0" w:hRule="atLeast"/>
                <w:jc w:val="center"/>
              </w:trPr>
              <w:tc>
                <w:tcPr>
                  <w:tcW w:w="277" w:type="pct"/>
                  <w:tcBorders>
                    <w:bottom w:val="single" w:color="auto" w:sz="12" w:space="0"/>
                  </w:tcBorders>
                  <w:shd w:val="clear" w:color="auto" w:fill="FFFFFF"/>
                  <w:vAlign w:val="center"/>
                </w:tcPr>
                <w:p w14:paraId="53D7447A">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2</w:t>
                  </w:r>
                </w:p>
              </w:tc>
              <w:tc>
                <w:tcPr>
                  <w:tcW w:w="570" w:type="pct"/>
                  <w:tcBorders>
                    <w:bottom w:val="single" w:color="auto" w:sz="12" w:space="0"/>
                  </w:tcBorders>
                  <w:shd w:val="clear" w:color="auto" w:fill="FFFFFF"/>
                  <w:vAlign w:val="center"/>
                </w:tcPr>
                <w:p w14:paraId="48AE477A">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冷却水系统2</w:t>
                  </w:r>
                </w:p>
              </w:tc>
              <w:tc>
                <w:tcPr>
                  <w:tcW w:w="450" w:type="pct"/>
                  <w:tcBorders>
                    <w:bottom w:val="single" w:color="auto" w:sz="12" w:space="0"/>
                  </w:tcBorders>
                  <w:shd w:val="clear" w:color="auto" w:fill="FFFFFF"/>
                  <w:vAlign w:val="center"/>
                </w:tcPr>
                <w:p w14:paraId="1A19CC74">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78.6</w:t>
                  </w:r>
                </w:p>
              </w:tc>
              <w:tc>
                <w:tcPr>
                  <w:tcW w:w="396" w:type="pct"/>
                  <w:tcBorders>
                    <w:bottom w:val="single" w:color="auto" w:sz="12" w:space="0"/>
                  </w:tcBorders>
                  <w:shd w:val="clear" w:color="auto" w:fill="FFFFFF"/>
                  <w:vAlign w:val="center"/>
                </w:tcPr>
                <w:p w14:paraId="3B4A4D6D">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0.2</w:t>
                  </w:r>
                </w:p>
              </w:tc>
              <w:tc>
                <w:tcPr>
                  <w:tcW w:w="404" w:type="pct"/>
                  <w:tcBorders>
                    <w:bottom w:val="single" w:color="auto" w:sz="12" w:space="0"/>
                  </w:tcBorders>
                  <w:shd w:val="clear" w:color="auto" w:fill="FFFFFF"/>
                  <w:vAlign w:val="center"/>
                </w:tcPr>
                <w:p w14:paraId="66D96842">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1.2</w:t>
                  </w:r>
                </w:p>
              </w:tc>
              <w:tc>
                <w:tcPr>
                  <w:tcW w:w="856" w:type="pct"/>
                  <w:tcBorders>
                    <w:bottom w:val="single" w:color="auto" w:sz="12" w:space="0"/>
                  </w:tcBorders>
                  <w:shd w:val="clear" w:color="auto" w:fill="FFFFFF"/>
                  <w:vAlign w:val="center"/>
                </w:tcPr>
                <w:p w14:paraId="723C2F29">
                  <w:pPr>
                    <w:pStyle w:val="7"/>
                    <w:keepNext w:val="0"/>
                    <w:keepLines w:val="0"/>
                    <w:suppressLineNumbers w:val="0"/>
                    <w:bidi w:val="0"/>
                    <w:spacing w:before="0" w:beforeAutospacing="0" w:after="0" w:afterAutospacing="0"/>
                    <w:ind w:left="0" w:right="0"/>
                    <w:rPr>
                      <w:rFonts w:hint="eastAsia" w:eastAsia="宋体"/>
                      <w:color w:val="auto"/>
                      <w:highlight w:val="none"/>
                      <w:lang w:val="en-US" w:eastAsia="zh-CN"/>
                    </w:rPr>
                  </w:pPr>
                  <w:r>
                    <w:rPr>
                      <w:rFonts w:hint="eastAsia"/>
                      <w:color w:val="auto"/>
                      <w:highlight w:val="none"/>
                      <w:lang w:val="en-US" w:eastAsia="zh-CN"/>
                    </w:rPr>
                    <w:t>/</w:t>
                  </w:r>
                </w:p>
              </w:tc>
              <w:tc>
                <w:tcPr>
                  <w:tcW w:w="746" w:type="pct"/>
                  <w:tcBorders>
                    <w:bottom w:val="single" w:color="auto" w:sz="12" w:space="0"/>
                  </w:tcBorders>
                  <w:shd w:val="clear" w:color="auto" w:fill="FFFFFF"/>
                  <w:vAlign w:val="center"/>
                </w:tcPr>
                <w:p w14:paraId="6BC85AF8">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80</w:t>
                  </w:r>
                </w:p>
              </w:tc>
              <w:tc>
                <w:tcPr>
                  <w:tcW w:w="841" w:type="pct"/>
                  <w:tcBorders>
                    <w:bottom w:val="single" w:color="auto" w:sz="12" w:space="0"/>
                  </w:tcBorders>
                  <w:shd w:val="clear" w:color="auto" w:fill="FFFFFF"/>
                  <w:vAlign w:val="center"/>
                </w:tcPr>
                <w:p w14:paraId="4C0F842A">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减振、隔声</w:t>
                  </w:r>
                </w:p>
              </w:tc>
              <w:tc>
                <w:tcPr>
                  <w:tcW w:w="456" w:type="pct"/>
                  <w:tcBorders>
                    <w:bottom w:val="single" w:color="auto" w:sz="12" w:space="0"/>
                    <w:right w:val="nil"/>
                  </w:tcBorders>
                  <w:shd w:val="clear" w:color="auto" w:fill="FFFFFF"/>
                  <w:vAlign w:val="center"/>
                </w:tcPr>
                <w:p w14:paraId="6EB13DBE">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24</w:t>
                  </w:r>
                </w:p>
              </w:tc>
            </w:tr>
          </w:tbl>
          <w:p w14:paraId="7E78ABEF">
            <w:pPr>
              <w:pStyle w:val="8"/>
              <w:keepLines w:val="0"/>
              <w:suppressLineNumbers w:val="0"/>
              <w:bidi w:val="0"/>
              <w:spacing w:before="0" w:beforeAutospacing="0" w:after="0" w:afterAutospacing="0"/>
              <w:ind w:left="0" w:right="0"/>
              <w:rPr>
                <w:rFonts w:hint="default"/>
                <w:color w:val="auto"/>
                <w:highlight w:val="none"/>
                <w:lang w:eastAsia="zh-CN"/>
              </w:rPr>
            </w:pPr>
            <w:r>
              <w:rPr>
                <w:rFonts w:hint="eastAsia"/>
                <w:color w:val="auto"/>
                <w:highlight w:val="none"/>
                <w:lang w:val="en-US" w:eastAsia="zh-CN"/>
              </w:rPr>
              <w:t xml:space="preserve">表4-8        </w:t>
            </w:r>
            <w:r>
              <w:rPr>
                <w:rFonts w:hint="default"/>
                <w:color w:val="auto"/>
                <w:highlight w:val="none"/>
                <w:lang w:eastAsia="zh-CN"/>
              </w:rPr>
              <w:t>工业企业噪声源强调查清单（室内声源）</w:t>
            </w:r>
          </w:p>
          <w:tbl>
            <w:tblPr>
              <w:tblStyle w:val="30"/>
              <w:tblW w:w="482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13"/>
              <w:gridCol w:w="413"/>
              <w:gridCol w:w="872"/>
              <w:gridCol w:w="586"/>
              <w:gridCol w:w="413"/>
              <w:gridCol w:w="297"/>
              <w:gridCol w:w="297"/>
              <w:gridCol w:w="222"/>
              <w:gridCol w:w="242"/>
              <w:gridCol w:w="242"/>
              <w:gridCol w:w="242"/>
              <w:gridCol w:w="252"/>
              <w:gridCol w:w="242"/>
              <w:gridCol w:w="242"/>
              <w:gridCol w:w="242"/>
              <w:gridCol w:w="252"/>
              <w:gridCol w:w="413"/>
              <w:gridCol w:w="244"/>
              <w:gridCol w:w="244"/>
              <w:gridCol w:w="244"/>
              <w:gridCol w:w="254"/>
              <w:gridCol w:w="242"/>
              <w:gridCol w:w="244"/>
              <w:gridCol w:w="245"/>
              <w:gridCol w:w="245"/>
              <w:gridCol w:w="224"/>
            </w:tblGrid>
            <w:tr w14:paraId="0135E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vMerge w:val="restart"/>
                  <w:tcBorders>
                    <w:tl2br w:val="nil"/>
                    <w:tr2bl w:val="nil"/>
                  </w:tcBorders>
                  <w:shd w:val="clear" w:color="auto" w:fill="auto"/>
                  <w:vAlign w:val="center"/>
                </w:tcPr>
                <w:p w14:paraId="46D93073">
                  <w:pPr>
                    <w:pStyle w:val="7"/>
                    <w:keepNext w:val="0"/>
                    <w:keepLines w:val="0"/>
                    <w:suppressLineNumbers w:val="0"/>
                    <w:bidi w:val="0"/>
                    <w:spacing w:before="0" w:beforeAutospacing="0" w:after="0" w:afterAutospacing="0"/>
                    <w:ind w:left="0" w:right="0"/>
                    <w:rPr>
                      <w:rFonts w:hint="default"/>
                      <w:color w:val="auto"/>
                      <w:highlight w:val="none"/>
                    </w:rPr>
                  </w:pPr>
                  <w:bookmarkStart w:id="6" w:name="PT_6"/>
                  <w:r>
                    <w:rPr>
                      <w:rFonts w:hint="default"/>
                      <w:color w:val="auto"/>
                      <w:highlight w:val="none"/>
                    </w:rPr>
                    <w:t>序号</w:t>
                  </w:r>
                </w:p>
              </w:tc>
              <w:tc>
                <w:tcPr>
                  <w:tcW w:w="256" w:type="pct"/>
                  <w:vMerge w:val="restart"/>
                  <w:tcBorders>
                    <w:tl2br w:val="nil"/>
                    <w:tr2bl w:val="nil"/>
                  </w:tcBorders>
                  <w:shd w:val="clear" w:color="auto" w:fill="auto"/>
                  <w:vAlign w:val="center"/>
                </w:tcPr>
                <w:p w14:paraId="6741561C">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建筑物名称</w:t>
                  </w:r>
                </w:p>
              </w:tc>
              <w:tc>
                <w:tcPr>
                  <w:tcW w:w="540" w:type="pct"/>
                  <w:vMerge w:val="restart"/>
                  <w:tcBorders>
                    <w:tl2br w:val="nil"/>
                    <w:tr2bl w:val="nil"/>
                  </w:tcBorders>
                  <w:shd w:val="clear" w:color="auto" w:fill="auto"/>
                  <w:vAlign w:val="center"/>
                </w:tcPr>
                <w:p w14:paraId="69102373">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声源名称</w:t>
                  </w:r>
                </w:p>
              </w:tc>
              <w:tc>
                <w:tcPr>
                  <w:tcW w:w="363" w:type="pct"/>
                  <w:tcBorders>
                    <w:tl2br w:val="nil"/>
                    <w:tr2bl w:val="nil"/>
                  </w:tcBorders>
                  <w:shd w:val="clear" w:color="auto" w:fill="auto"/>
                  <w:vAlign w:val="center"/>
                </w:tcPr>
                <w:p w14:paraId="25358A58">
                  <w:pPr>
                    <w:pStyle w:val="7"/>
                    <w:keepNext w:val="0"/>
                    <w:keepLines w:val="0"/>
                    <w:suppressLineNumbers w:val="0"/>
                    <w:bidi w:val="0"/>
                    <w:spacing w:before="0" w:beforeAutospacing="0" w:after="0" w:afterAutospacing="0"/>
                    <w:ind w:left="0" w:right="0"/>
                    <w:rPr>
                      <w:rFonts w:hint="default"/>
                      <w:color w:val="auto"/>
                      <w:highlight w:val="none"/>
                      <w:lang w:eastAsia="zh-CN"/>
                    </w:rPr>
                  </w:pPr>
                  <w:r>
                    <w:rPr>
                      <w:rFonts w:hint="default"/>
                      <w:color w:val="auto"/>
                      <w:highlight w:val="none"/>
                      <w:lang w:eastAsia="zh-CN"/>
                    </w:rPr>
                    <w:t>声源源强</w:t>
                  </w:r>
                </w:p>
              </w:tc>
              <w:tc>
                <w:tcPr>
                  <w:tcW w:w="256" w:type="pct"/>
                  <w:vMerge w:val="restart"/>
                  <w:tcBorders>
                    <w:tl2br w:val="nil"/>
                    <w:tr2bl w:val="nil"/>
                  </w:tcBorders>
                  <w:shd w:val="clear" w:color="auto" w:fill="auto"/>
                  <w:vAlign w:val="center"/>
                </w:tcPr>
                <w:p w14:paraId="60220494">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声源控制措施</w:t>
                  </w:r>
                </w:p>
              </w:tc>
              <w:tc>
                <w:tcPr>
                  <w:tcW w:w="505" w:type="pct"/>
                  <w:gridSpan w:val="3"/>
                  <w:tcBorders>
                    <w:tl2br w:val="nil"/>
                    <w:tr2bl w:val="nil"/>
                  </w:tcBorders>
                  <w:shd w:val="clear" w:color="auto" w:fill="auto"/>
                  <w:vAlign w:val="center"/>
                </w:tcPr>
                <w:p w14:paraId="1228C9F0">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空间相对位置/m</w:t>
                  </w:r>
                </w:p>
              </w:tc>
              <w:tc>
                <w:tcPr>
                  <w:tcW w:w="606" w:type="pct"/>
                  <w:gridSpan w:val="4"/>
                  <w:tcBorders>
                    <w:tl2br w:val="nil"/>
                    <w:tr2bl w:val="nil"/>
                  </w:tcBorders>
                  <w:shd w:val="clear" w:color="auto" w:fill="auto"/>
                  <w:vAlign w:val="center"/>
                </w:tcPr>
                <w:p w14:paraId="4C0E2224">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距室内边界距离/m</w:t>
                  </w:r>
                </w:p>
              </w:tc>
              <w:tc>
                <w:tcPr>
                  <w:tcW w:w="606" w:type="pct"/>
                  <w:gridSpan w:val="4"/>
                  <w:tcBorders>
                    <w:tl2br w:val="nil"/>
                    <w:tr2bl w:val="nil"/>
                  </w:tcBorders>
                  <w:shd w:val="clear" w:color="auto" w:fill="auto"/>
                  <w:vAlign w:val="center"/>
                </w:tcPr>
                <w:p w14:paraId="214A6D48">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室内边界声级/dB(A)</w:t>
                  </w:r>
                </w:p>
              </w:tc>
              <w:tc>
                <w:tcPr>
                  <w:tcW w:w="256" w:type="pct"/>
                  <w:vMerge w:val="restart"/>
                  <w:tcBorders>
                    <w:tl2br w:val="nil"/>
                    <w:tr2bl w:val="nil"/>
                  </w:tcBorders>
                  <w:shd w:val="clear" w:color="auto" w:fill="auto"/>
                  <w:vAlign w:val="center"/>
                </w:tcPr>
                <w:p w14:paraId="327983CC">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运行时段</w:t>
                  </w:r>
                </w:p>
              </w:tc>
              <w:tc>
                <w:tcPr>
                  <w:tcW w:w="610" w:type="pct"/>
                  <w:gridSpan w:val="4"/>
                  <w:tcBorders>
                    <w:tl2br w:val="nil"/>
                    <w:tr2bl w:val="nil"/>
                  </w:tcBorders>
                  <w:shd w:val="clear" w:color="auto" w:fill="auto"/>
                  <w:vAlign w:val="center"/>
                </w:tcPr>
                <w:p w14:paraId="56FD017A">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建筑物插入损失 / dB(A)</w:t>
                  </w:r>
                  <w:bookmarkStart w:id="7" w:name="PT_10"/>
                  <w:bookmarkEnd w:id="7"/>
                </w:p>
              </w:tc>
              <w:tc>
                <w:tcPr>
                  <w:tcW w:w="741" w:type="pct"/>
                  <w:gridSpan w:val="5"/>
                  <w:tcBorders>
                    <w:tl2br w:val="nil"/>
                    <w:tr2bl w:val="nil"/>
                  </w:tcBorders>
                  <w:shd w:val="clear" w:color="auto" w:fill="auto"/>
                  <w:vAlign w:val="center"/>
                </w:tcPr>
                <w:p w14:paraId="21D92408">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建筑物外噪声声压级/dB(A)</w:t>
                  </w:r>
                </w:p>
              </w:tc>
            </w:tr>
            <w:tr w14:paraId="225615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vMerge w:val="continue"/>
                  <w:tcBorders>
                    <w:tl2br w:val="nil"/>
                    <w:tr2bl w:val="nil"/>
                  </w:tcBorders>
                  <w:shd w:val="clear" w:color="auto" w:fill="auto"/>
                  <w:tcMar>
                    <w:top w:w="0" w:type="dxa"/>
                    <w:left w:w="0" w:type="dxa"/>
                    <w:bottom w:w="0" w:type="dxa"/>
                    <w:right w:w="0" w:type="dxa"/>
                  </w:tcMar>
                  <w:vAlign w:val="center"/>
                </w:tcPr>
                <w:p w14:paraId="6006779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p>
              </w:tc>
              <w:tc>
                <w:tcPr>
                  <w:tcW w:w="256" w:type="pct"/>
                  <w:vMerge w:val="continue"/>
                  <w:tcBorders>
                    <w:tl2br w:val="nil"/>
                    <w:tr2bl w:val="nil"/>
                  </w:tcBorders>
                  <w:shd w:val="clear" w:color="auto" w:fill="auto"/>
                  <w:tcMar>
                    <w:top w:w="0" w:type="dxa"/>
                    <w:left w:w="0" w:type="dxa"/>
                    <w:bottom w:w="0" w:type="dxa"/>
                    <w:right w:w="0" w:type="dxa"/>
                  </w:tcMar>
                  <w:vAlign w:val="center"/>
                </w:tcPr>
                <w:p w14:paraId="260C0FC5">
                  <w:pPr>
                    <w:pStyle w:val="7"/>
                    <w:keepNext w:val="0"/>
                    <w:keepLines w:val="0"/>
                    <w:suppressLineNumbers w:val="0"/>
                    <w:bidi w:val="0"/>
                    <w:spacing w:before="0" w:beforeAutospacing="0" w:after="0" w:afterAutospacing="0"/>
                    <w:ind w:left="0" w:right="0"/>
                    <w:rPr>
                      <w:rFonts w:hint="default"/>
                      <w:color w:val="auto"/>
                      <w:highlight w:val="none"/>
                    </w:rPr>
                  </w:pPr>
                </w:p>
              </w:tc>
              <w:tc>
                <w:tcPr>
                  <w:tcW w:w="540" w:type="pct"/>
                  <w:vMerge w:val="continue"/>
                  <w:tcBorders>
                    <w:tl2br w:val="nil"/>
                    <w:tr2bl w:val="nil"/>
                  </w:tcBorders>
                  <w:shd w:val="clear" w:color="auto" w:fill="auto"/>
                  <w:tcMar>
                    <w:top w:w="0" w:type="dxa"/>
                    <w:left w:w="0" w:type="dxa"/>
                    <w:bottom w:w="0" w:type="dxa"/>
                    <w:right w:w="0" w:type="dxa"/>
                  </w:tcMar>
                  <w:vAlign w:val="center"/>
                </w:tcPr>
                <w:p w14:paraId="396D617A">
                  <w:pPr>
                    <w:pStyle w:val="7"/>
                    <w:keepNext w:val="0"/>
                    <w:keepLines w:val="0"/>
                    <w:suppressLineNumbers w:val="0"/>
                    <w:bidi w:val="0"/>
                    <w:spacing w:before="0" w:beforeAutospacing="0" w:after="0" w:afterAutospacing="0"/>
                    <w:ind w:left="0" w:right="0"/>
                    <w:rPr>
                      <w:rFonts w:hint="default"/>
                      <w:color w:val="auto"/>
                      <w:highlight w:val="none"/>
                    </w:rPr>
                  </w:pPr>
                </w:p>
              </w:tc>
              <w:tc>
                <w:tcPr>
                  <w:tcW w:w="363" w:type="pct"/>
                  <w:tcBorders>
                    <w:tl2br w:val="nil"/>
                    <w:tr2bl w:val="nil"/>
                  </w:tcBorders>
                  <w:shd w:val="clear" w:color="auto" w:fill="auto"/>
                  <w:tcMar>
                    <w:top w:w="0" w:type="dxa"/>
                    <w:left w:w="0" w:type="dxa"/>
                    <w:bottom w:w="0" w:type="dxa"/>
                    <w:right w:w="0" w:type="dxa"/>
                  </w:tcMar>
                  <w:vAlign w:val="center"/>
                </w:tcPr>
                <w:p w14:paraId="123943F4">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声功率级/dB(A)</w:t>
                  </w:r>
                </w:p>
              </w:tc>
              <w:tc>
                <w:tcPr>
                  <w:tcW w:w="256" w:type="pct"/>
                  <w:vMerge w:val="continue"/>
                  <w:tcBorders>
                    <w:tl2br w:val="nil"/>
                    <w:tr2bl w:val="nil"/>
                  </w:tcBorders>
                  <w:shd w:val="clear" w:color="auto" w:fill="auto"/>
                  <w:tcMar>
                    <w:top w:w="0" w:type="dxa"/>
                    <w:left w:w="0" w:type="dxa"/>
                    <w:bottom w:w="0" w:type="dxa"/>
                    <w:right w:w="0" w:type="dxa"/>
                  </w:tcMar>
                  <w:vAlign w:val="center"/>
                </w:tcPr>
                <w:p w14:paraId="539A9C57">
                  <w:pPr>
                    <w:pStyle w:val="7"/>
                    <w:keepNext w:val="0"/>
                    <w:keepLines w:val="0"/>
                    <w:suppressLineNumbers w:val="0"/>
                    <w:bidi w:val="0"/>
                    <w:spacing w:before="0" w:beforeAutospacing="0" w:after="0" w:afterAutospacing="0"/>
                    <w:ind w:left="0" w:right="0"/>
                    <w:rPr>
                      <w:rFonts w:hint="default"/>
                      <w:color w:val="auto"/>
                      <w:highlight w:val="none"/>
                    </w:rPr>
                  </w:pPr>
                </w:p>
              </w:tc>
              <w:tc>
                <w:tcPr>
                  <w:tcW w:w="184" w:type="pct"/>
                  <w:tcBorders>
                    <w:tl2br w:val="nil"/>
                    <w:tr2bl w:val="nil"/>
                  </w:tcBorders>
                  <w:shd w:val="clear" w:color="auto" w:fill="auto"/>
                  <w:tcMar>
                    <w:top w:w="0" w:type="dxa"/>
                    <w:left w:w="0" w:type="dxa"/>
                    <w:bottom w:w="0" w:type="dxa"/>
                    <w:right w:w="0" w:type="dxa"/>
                  </w:tcMar>
                  <w:vAlign w:val="center"/>
                </w:tcPr>
                <w:p w14:paraId="78A51DE6">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X</w:t>
                  </w:r>
                </w:p>
              </w:tc>
              <w:tc>
                <w:tcPr>
                  <w:tcW w:w="184" w:type="pct"/>
                  <w:tcBorders>
                    <w:tl2br w:val="nil"/>
                    <w:tr2bl w:val="nil"/>
                  </w:tcBorders>
                  <w:shd w:val="clear" w:color="auto" w:fill="auto"/>
                  <w:tcMar>
                    <w:top w:w="0" w:type="dxa"/>
                    <w:left w:w="0" w:type="dxa"/>
                    <w:bottom w:w="0" w:type="dxa"/>
                    <w:right w:w="0" w:type="dxa"/>
                  </w:tcMar>
                  <w:vAlign w:val="center"/>
                </w:tcPr>
                <w:p w14:paraId="075E71F9">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Y</w:t>
                  </w:r>
                </w:p>
              </w:tc>
              <w:tc>
                <w:tcPr>
                  <w:tcW w:w="136" w:type="pct"/>
                  <w:tcBorders>
                    <w:tl2br w:val="nil"/>
                    <w:tr2bl w:val="nil"/>
                  </w:tcBorders>
                  <w:shd w:val="clear" w:color="auto" w:fill="auto"/>
                  <w:tcMar>
                    <w:top w:w="0" w:type="dxa"/>
                    <w:left w:w="0" w:type="dxa"/>
                    <w:bottom w:w="0" w:type="dxa"/>
                    <w:right w:w="0" w:type="dxa"/>
                  </w:tcMar>
                  <w:vAlign w:val="center"/>
                </w:tcPr>
                <w:p w14:paraId="62DF6965">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Z</w:t>
                  </w:r>
                </w:p>
              </w:tc>
              <w:tc>
                <w:tcPr>
                  <w:tcW w:w="150" w:type="pct"/>
                  <w:tcBorders>
                    <w:tl2br w:val="nil"/>
                    <w:tr2bl w:val="nil"/>
                  </w:tcBorders>
                  <w:shd w:val="clear" w:color="auto" w:fill="auto"/>
                  <w:tcMar>
                    <w:top w:w="0" w:type="dxa"/>
                    <w:left w:w="0" w:type="dxa"/>
                    <w:bottom w:w="0" w:type="dxa"/>
                    <w:right w:w="0" w:type="dxa"/>
                  </w:tcMar>
                  <w:vAlign w:val="center"/>
                </w:tcPr>
                <w:p w14:paraId="2B4B24EC">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东</w:t>
                  </w:r>
                </w:p>
              </w:tc>
              <w:tc>
                <w:tcPr>
                  <w:tcW w:w="150" w:type="pct"/>
                  <w:tcBorders>
                    <w:tl2br w:val="nil"/>
                    <w:tr2bl w:val="nil"/>
                  </w:tcBorders>
                  <w:shd w:val="clear" w:color="auto" w:fill="auto"/>
                  <w:tcMar>
                    <w:top w:w="0" w:type="dxa"/>
                    <w:left w:w="0" w:type="dxa"/>
                    <w:bottom w:w="0" w:type="dxa"/>
                    <w:right w:w="0" w:type="dxa"/>
                  </w:tcMar>
                  <w:vAlign w:val="center"/>
                </w:tcPr>
                <w:p w14:paraId="36A06DF0">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南</w:t>
                  </w:r>
                </w:p>
              </w:tc>
              <w:tc>
                <w:tcPr>
                  <w:tcW w:w="150" w:type="pct"/>
                  <w:tcBorders>
                    <w:tl2br w:val="nil"/>
                    <w:tr2bl w:val="nil"/>
                  </w:tcBorders>
                  <w:shd w:val="clear" w:color="auto" w:fill="auto"/>
                  <w:tcMar>
                    <w:top w:w="0" w:type="dxa"/>
                    <w:left w:w="0" w:type="dxa"/>
                    <w:bottom w:w="0" w:type="dxa"/>
                    <w:right w:w="0" w:type="dxa"/>
                  </w:tcMar>
                  <w:vAlign w:val="center"/>
                </w:tcPr>
                <w:p w14:paraId="783254E6">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西</w:t>
                  </w:r>
                </w:p>
              </w:tc>
              <w:tc>
                <w:tcPr>
                  <w:tcW w:w="156" w:type="pct"/>
                  <w:tcBorders>
                    <w:tl2br w:val="nil"/>
                    <w:tr2bl w:val="nil"/>
                  </w:tcBorders>
                  <w:shd w:val="clear" w:color="auto" w:fill="auto"/>
                  <w:tcMar>
                    <w:top w:w="0" w:type="dxa"/>
                    <w:left w:w="0" w:type="dxa"/>
                    <w:bottom w:w="0" w:type="dxa"/>
                    <w:right w:w="0" w:type="dxa"/>
                  </w:tcMar>
                  <w:vAlign w:val="center"/>
                </w:tcPr>
                <w:p w14:paraId="269333AB">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北</w:t>
                  </w:r>
                </w:p>
              </w:tc>
              <w:tc>
                <w:tcPr>
                  <w:tcW w:w="150" w:type="pct"/>
                  <w:tcBorders>
                    <w:tl2br w:val="nil"/>
                    <w:tr2bl w:val="nil"/>
                  </w:tcBorders>
                  <w:shd w:val="clear" w:color="auto" w:fill="auto"/>
                  <w:tcMar>
                    <w:top w:w="0" w:type="dxa"/>
                    <w:left w:w="0" w:type="dxa"/>
                    <w:bottom w:w="0" w:type="dxa"/>
                    <w:right w:w="0" w:type="dxa"/>
                  </w:tcMar>
                  <w:vAlign w:val="center"/>
                </w:tcPr>
                <w:p w14:paraId="2F0E30F0">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东</w:t>
                  </w:r>
                </w:p>
              </w:tc>
              <w:tc>
                <w:tcPr>
                  <w:tcW w:w="150" w:type="pct"/>
                  <w:tcBorders>
                    <w:tl2br w:val="nil"/>
                    <w:tr2bl w:val="nil"/>
                  </w:tcBorders>
                  <w:shd w:val="clear" w:color="auto" w:fill="auto"/>
                  <w:tcMar>
                    <w:top w:w="0" w:type="dxa"/>
                    <w:left w:w="0" w:type="dxa"/>
                    <w:bottom w:w="0" w:type="dxa"/>
                    <w:right w:w="0" w:type="dxa"/>
                  </w:tcMar>
                  <w:vAlign w:val="center"/>
                </w:tcPr>
                <w:p w14:paraId="0B8A73C9">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南</w:t>
                  </w:r>
                </w:p>
              </w:tc>
              <w:tc>
                <w:tcPr>
                  <w:tcW w:w="150" w:type="pct"/>
                  <w:tcBorders>
                    <w:tl2br w:val="nil"/>
                    <w:tr2bl w:val="nil"/>
                  </w:tcBorders>
                  <w:shd w:val="clear" w:color="auto" w:fill="auto"/>
                  <w:tcMar>
                    <w:top w:w="0" w:type="dxa"/>
                    <w:left w:w="0" w:type="dxa"/>
                    <w:bottom w:w="0" w:type="dxa"/>
                    <w:right w:w="0" w:type="dxa"/>
                  </w:tcMar>
                  <w:vAlign w:val="center"/>
                </w:tcPr>
                <w:p w14:paraId="3D52AADD">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西</w:t>
                  </w:r>
                </w:p>
              </w:tc>
              <w:tc>
                <w:tcPr>
                  <w:tcW w:w="156" w:type="pct"/>
                  <w:tcBorders>
                    <w:tl2br w:val="nil"/>
                    <w:tr2bl w:val="nil"/>
                  </w:tcBorders>
                  <w:shd w:val="clear" w:color="auto" w:fill="auto"/>
                  <w:tcMar>
                    <w:top w:w="0" w:type="dxa"/>
                    <w:left w:w="0" w:type="dxa"/>
                    <w:bottom w:w="0" w:type="dxa"/>
                    <w:right w:w="0" w:type="dxa"/>
                  </w:tcMar>
                  <w:vAlign w:val="center"/>
                </w:tcPr>
                <w:p w14:paraId="239A254D">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北</w:t>
                  </w:r>
                </w:p>
              </w:tc>
              <w:tc>
                <w:tcPr>
                  <w:tcW w:w="256" w:type="pct"/>
                  <w:vMerge w:val="continue"/>
                  <w:tcBorders>
                    <w:tl2br w:val="nil"/>
                    <w:tr2bl w:val="nil"/>
                  </w:tcBorders>
                  <w:shd w:val="clear" w:color="auto" w:fill="auto"/>
                  <w:tcMar>
                    <w:top w:w="0" w:type="dxa"/>
                    <w:left w:w="0" w:type="dxa"/>
                    <w:bottom w:w="0" w:type="dxa"/>
                    <w:right w:w="0" w:type="dxa"/>
                  </w:tcMar>
                  <w:vAlign w:val="center"/>
                </w:tcPr>
                <w:p w14:paraId="1FF856C3">
                  <w:pPr>
                    <w:pStyle w:val="7"/>
                    <w:keepNext w:val="0"/>
                    <w:keepLines w:val="0"/>
                    <w:suppressLineNumbers w:val="0"/>
                    <w:bidi w:val="0"/>
                    <w:spacing w:before="0" w:beforeAutospacing="0" w:after="0" w:afterAutospacing="0"/>
                    <w:ind w:left="0" w:right="0"/>
                    <w:rPr>
                      <w:rFonts w:hint="default"/>
                      <w:color w:val="auto"/>
                      <w:highlight w:val="none"/>
                    </w:rPr>
                  </w:pPr>
                </w:p>
              </w:tc>
              <w:tc>
                <w:tcPr>
                  <w:tcW w:w="151" w:type="pct"/>
                  <w:tcBorders>
                    <w:tl2br w:val="nil"/>
                    <w:tr2bl w:val="nil"/>
                  </w:tcBorders>
                  <w:shd w:val="clear" w:color="auto" w:fill="auto"/>
                  <w:tcMar>
                    <w:top w:w="0" w:type="dxa"/>
                    <w:left w:w="0" w:type="dxa"/>
                    <w:bottom w:w="0" w:type="dxa"/>
                    <w:right w:w="0" w:type="dxa"/>
                  </w:tcMar>
                  <w:vAlign w:val="center"/>
                </w:tcPr>
                <w:p w14:paraId="2B4E02BE">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东</w:t>
                  </w:r>
                </w:p>
              </w:tc>
              <w:tc>
                <w:tcPr>
                  <w:tcW w:w="151" w:type="pct"/>
                  <w:tcBorders>
                    <w:tl2br w:val="nil"/>
                    <w:tr2bl w:val="nil"/>
                  </w:tcBorders>
                  <w:shd w:val="clear" w:color="auto" w:fill="auto"/>
                  <w:tcMar>
                    <w:top w:w="0" w:type="dxa"/>
                    <w:left w:w="0" w:type="dxa"/>
                    <w:bottom w:w="0" w:type="dxa"/>
                    <w:right w:w="0" w:type="dxa"/>
                  </w:tcMar>
                  <w:vAlign w:val="center"/>
                </w:tcPr>
                <w:p w14:paraId="3EF9694B">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南</w:t>
                  </w:r>
                </w:p>
              </w:tc>
              <w:tc>
                <w:tcPr>
                  <w:tcW w:w="151" w:type="pct"/>
                  <w:tcBorders>
                    <w:tl2br w:val="nil"/>
                    <w:tr2bl w:val="nil"/>
                  </w:tcBorders>
                  <w:shd w:val="clear" w:color="auto" w:fill="auto"/>
                  <w:tcMar>
                    <w:top w:w="0" w:type="dxa"/>
                    <w:left w:w="0" w:type="dxa"/>
                    <w:bottom w:w="0" w:type="dxa"/>
                    <w:right w:w="0" w:type="dxa"/>
                  </w:tcMar>
                  <w:vAlign w:val="center"/>
                </w:tcPr>
                <w:p w14:paraId="448010A6">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西</w:t>
                  </w:r>
                </w:p>
              </w:tc>
              <w:tc>
                <w:tcPr>
                  <w:tcW w:w="156" w:type="pct"/>
                  <w:tcBorders>
                    <w:tl2br w:val="nil"/>
                    <w:tr2bl w:val="nil"/>
                  </w:tcBorders>
                  <w:shd w:val="clear" w:color="auto" w:fill="auto"/>
                  <w:tcMar>
                    <w:top w:w="0" w:type="dxa"/>
                    <w:left w:w="0" w:type="dxa"/>
                    <w:bottom w:w="0" w:type="dxa"/>
                    <w:right w:w="0" w:type="dxa"/>
                  </w:tcMar>
                  <w:vAlign w:val="center"/>
                </w:tcPr>
                <w:p w14:paraId="62C2BB2C">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北</w:t>
                  </w:r>
                </w:p>
              </w:tc>
              <w:tc>
                <w:tcPr>
                  <w:tcW w:w="150" w:type="pct"/>
                  <w:tcBorders>
                    <w:tl2br w:val="nil"/>
                    <w:tr2bl w:val="nil"/>
                  </w:tcBorders>
                  <w:shd w:val="clear" w:color="auto" w:fill="auto"/>
                  <w:tcMar>
                    <w:top w:w="0" w:type="dxa"/>
                    <w:left w:w="0" w:type="dxa"/>
                    <w:bottom w:w="0" w:type="dxa"/>
                    <w:right w:w="0" w:type="dxa"/>
                  </w:tcMar>
                  <w:vAlign w:val="center"/>
                </w:tcPr>
                <w:p w14:paraId="47400171">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东</w:t>
                  </w:r>
                </w:p>
              </w:tc>
              <w:tc>
                <w:tcPr>
                  <w:tcW w:w="151" w:type="pct"/>
                  <w:tcBorders>
                    <w:tl2br w:val="nil"/>
                    <w:tr2bl w:val="nil"/>
                  </w:tcBorders>
                  <w:shd w:val="clear" w:color="auto" w:fill="auto"/>
                  <w:tcMar>
                    <w:top w:w="0" w:type="dxa"/>
                    <w:left w:w="0" w:type="dxa"/>
                    <w:bottom w:w="0" w:type="dxa"/>
                    <w:right w:w="0" w:type="dxa"/>
                  </w:tcMar>
                  <w:vAlign w:val="center"/>
                </w:tcPr>
                <w:p w14:paraId="6645B306">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南</w:t>
                  </w:r>
                </w:p>
              </w:tc>
              <w:tc>
                <w:tcPr>
                  <w:tcW w:w="151" w:type="pct"/>
                  <w:tcBorders>
                    <w:tl2br w:val="nil"/>
                    <w:tr2bl w:val="nil"/>
                  </w:tcBorders>
                  <w:shd w:val="clear" w:color="auto" w:fill="auto"/>
                  <w:tcMar>
                    <w:top w:w="0" w:type="dxa"/>
                    <w:left w:w="0" w:type="dxa"/>
                    <w:bottom w:w="0" w:type="dxa"/>
                    <w:right w:w="0" w:type="dxa"/>
                  </w:tcMar>
                  <w:vAlign w:val="center"/>
                </w:tcPr>
                <w:p w14:paraId="387515D0">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西</w:t>
                  </w:r>
                </w:p>
              </w:tc>
              <w:tc>
                <w:tcPr>
                  <w:tcW w:w="151" w:type="pct"/>
                  <w:tcBorders>
                    <w:tl2br w:val="nil"/>
                    <w:tr2bl w:val="nil"/>
                  </w:tcBorders>
                  <w:shd w:val="clear" w:color="auto" w:fill="auto"/>
                  <w:tcMar>
                    <w:top w:w="0" w:type="dxa"/>
                    <w:left w:w="0" w:type="dxa"/>
                    <w:bottom w:w="0" w:type="dxa"/>
                    <w:right w:w="0" w:type="dxa"/>
                  </w:tcMar>
                  <w:vAlign w:val="center"/>
                </w:tcPr>
                <w:p w14:paraId="7748ADB7">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北</w:t>
                  </w:r>
                </w:p>
              </w:tc>
              <w:tc>
                <w:tcPr>
                  <w:tcW w:w="136" w:type="pct"/>
                  <w:tcBorders>
                    <w:tl2br w:val="nil"/>
                    <w:tr2bl w:val="nil"/>
                  </w:tcBorders>
                  <w:shd w:val="clear" w:color="auto" w:fill="auto"/>
                  <w:tcMar>
                    <w:top w:w="0" w:type="dxa"/>
                    <w:left w:w="0" w:type="dxa"/>
                    <w:bottom w:w="0" w:type="dxa"/>
                    <w:right w:w="0" w:type="dxa"/>
                  </w:tcMar>
                  <w:vAlign w:val="center"/>
                </w:tcPr>
                <w:p w14:paraId="61DC9430">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建筑物外距离</w:t>
                  </w:r>
                </w:p>
              </w:tc>
            </w:tr>
            <w:tr w14:paraId="74DDB9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tcBorders>
                    <w:tl2br w:val="nil"/>
                    <w:tr2bl w:val="nil"/>
                  </w:tcBorders>
                  <w:shd w:val="clear" w:color="auto" w:fill="auto"/>
                  <w:tcMar>
                    <w:top w:w="0" w:type="dxa"/>
                    <w:left w:w="0" w:type="dxa"/>
                    <w:bottom w:w="0" w:type="dxa"/>
                    <w:right w:w="0" w:type="dxa"/>
                  </w:tcMar>
                  <w:vAlign w:val="center"/>
                </w:tcPr>
                <w:p w14:paraId="67883E27">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1</w:t>
                  </w:r>
                </w:p>
              </w:tc>
              <w:tc>
                <w:tcPr>
                  <w:tcW w:w="256" w:type="pct"/>
                  <w:tcBorders>
                    <w:tl2br w:val="nil"/>
                    <w:tr2bl w:val="nil"/>
                  </w:tcBorders>
                  <w:shd w:val="clear" w:color="auto" w:fill="FFFFFF"/>
                  <w:tcMar>
                    <w:top w:w="0" w:type="dxa"/>
                    <w:left w:w="0" w:type="dxa"/>
                    <w:bottom w:w="0" w:type="dxa"/>
                    <w:right w:w="0" w:type="dxa"/>
                  </w:tcMar>
                  <w:vAlign w:val="center"/>
                </w:tcPr>
                <w:p w14:paraId="1B30ABF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镀膜车间</w:t>
                  </w:r>
                </w:p>
              </w:tc>
              <w:tc>
                <w:tcPr>
                  <w:tcW w:w="540" w:type="pct"/>
                  <w:tcBorders>
                    <w:tl2br w:val="nil"/>
                    <w:tr2bl w:val="nil"/>
                  </w:tcBorders>
                  <w:shd w:val="clear" w:color="auto" w:fill="FFFFFF"/>
                  <w:tcMar>
                    <w:top w:w="0" w:type="dxa"/>
                    <w:left w:w="0" w:type="dxa"/>
                    <w:bottom w:w="0" w:type="dxa"/>
                    <w:right w:w="0" w:type="dxa"/>
                  </w:tcMar>
                  <w:vAlign w:val="center"/>
                </w:tcPr>
                <w:p w14:paraId="6F9F3D1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清洗机</w:t>
                  </w:r>
                </w:p>
              </w:tc>
              <w:tc>
                <w:tcPr>
                  <w:tcW w:w="363" w:type="pct"/>
                  <w:tcBorders>
                    <w:tl2br w:val="nil"/>
                    <w:tr2bl w:val="nil"/>
                  </w:tcBorders>
                  <w:shd w:val="clear" w:color="auto" w:fill="FFFFFF"/>
                  <w:tcMar>
                    <w:top w:w="0" w:type="dxa"/>
                    <w:left w:w="0" w:type="dxa"/>
                    <w:bottom w:w="0" w:type="dxa"/>
                    <w:right w:w="0" w:type="dxa"/>
                  </w:tcMar>
                  <w:vAlign w:val="center"/>
                </w:tcPr>
                <w:p w14:paraId="29151C9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80</w:t>
                  </w:r>
                </w:p>
              </w:tc>
              <w:tc>
                <w:tcPr>
                  <w:tcW w:w="256" w:type="pct"/>
                  <w:tcBorders>
                    <w:tl2br w:val="nil"/>
                    <w:tr2bl w:val="nil"/>
                  </w:tcBorders>
                  <w:shd w:val="clear" w:color="auto" w:fill="FFFFFF"/>
                  <w:tcMar>
                    <w:top w:w="0" w:type="dxa"/>
                    <w:left w:w="0" w:type="dxa"/>
                    <w:bottom w:w="0" w:type="dxa"/>
                    <w:right w:w="0" w:type="dxa"/>
                  </w:tcMar>
                  <w:vAlign w:val="center"/>
                </w:tcPr>
                <w:p w14:paraId="38D6791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减振、隔声</w:t>
                  </w:r>
                </w:p>
              </w:tc>
              <w:tc>
                <w:tcPr>
                  <w:tcW w:w="184" w:type="pct"/>
                  <w:tcBorders>
                    <w:tl2br w:val="nil"/>
                    <w:tr2bl w:val="nil"/>
                  </w:tcBorders>
                  <w:shd w:val="clear" w:color="auto" w:fill="FFFFFF"/>
                  <w:tcMar>
                    <w:top w:w="0" w:type="dxa"/>
                    <w:left w:w="0" w:type="dxa"/>
                    <w:bottom w:w="0" w:type="dxa"/>
                    <w:right w:w="0" w:type="dxa"/>
                  </w:tcMar>
                  <w:vAlign w:val="center"/>
                </w:tcPr>
                <w:p w14:paraId="22B7165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-120.8</w:t>
                  </w:r>
                </w:p>
              </w:tc>
              <w:tc>
                <w:tcPr>
                  <w:tcW w:w="184" w:type="pct"/>
                  <w:tcBorders>
                    <w:tl2br w:val="nil"/>
                    <w:tr2bl w:val="nil"/>
                  </w:tcBorders>
                  <w:shd w:val="clear" w:color="auto" w:fill="FFFFFF"/>
                  <w:tcMar>
                    <w:top w:w="0" w:type="dxa"/>
                    <w:left w:w="0" w:type="dxa"/>
                    <w:bottom w:w="0" w:type="dxa"/>
                    <w:right w:w="0" w:type="dxa"/>
                  </w:tcMar>
                  <w:vAlign w:val="center"/>
                </w:tcPr>
                <w:p w14:paraId="1A4DCF3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-4.2</w:t>
                  </w:r>
                </w:p>
              </w:tc>
              <w:tc>
                <w:tcPr>
                  <w:tcW w:w="136" w:type="pct"/>
                  <w:tcBorders>
                    <w:tl2br w:val="nil"/>
                    <w:tr2bl w:val="nil"/>
                  </w:tcBorders>
                  <w:shd w:val="clear" w:color="auto" w:fill="FFFFFF"/>
                  <w:tcMar>
                    <w:top w:w="0" w:type="dxa"/>
                    <w:left w:w="0" w:type="dxa"/>
                    <w:bottom w:w="0" w:type="dxa"/>
                    <w:right w:w="0" w:type="dxa"/>
                  </w:tcMar>
                  <w:vAlign w:val="center"/>
                </w:tcPr>
                <w:p w14:paraId="67769AB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150" w:type="pct"/>
                  <w:tcBorders>
                    <w:tl2br w:val="nil"/>
                    <w:tr2bl w:val="nil"/>
                  </w:tcBorders>
                  <w:shd w:val="clear" w:color="auto" w:fill="FFFFFF"/>
                  <w:tcMar>
                    <w:top w:w="0" w:type="dxa"/>
                    <w:left w:w="0" w:type="dxa"/>
                    <w:bottom w:w="0" w:type="dxa"/>
                    <w:right w:w="0" w:type="dxa"/>
                  </w:tcMar>
                  <w:vAlign w:val="center"/>
                </w:tcPr>
                <w:p w14:paraId="38A8739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330.7</w:t>
                  </w:r>
                </w:p>
              </w:tc>
              <w:tc>
                <w:tcPr>
                  <w:tcW w:w="150" w:type="pct"/>
                  <w:tcBorders>
                    <w:tl2br w:val="nil"/>
                    <w:tr2bl w:val="nil"/>
                  </w:tcBorders>
                  <w:shd w:val="clear" w:color="auto" w:fill="FFFFFF"/>
                  <w:tcMar>
                    <w:top w:w="0" w:type="dxa"/>
                    <w:left w:w="0" w:type="dxa"/>
                    <w:bottom w:w="0" w:type="dxa"/>
                    <w:right w:w="0" w:type="dxa"/>
                  </w:tcMar>
                  <w:vAlign w:val="center"/>
                </w:tcPr>
                <w:p w14:paraId="46F975D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22.5</w:t>
                  </w:r>
                </w:p>
              </w:tc>
              <w:tc>
                <w:tcPr>
                  <w:tcW w:w="150" w:type="pct"/>
                  <w:tcBorders>
                    <w:tl2br w:val="nil"/>
                    <w:tr2bl w:val="nil"/>
                  </w:tcBorders>
                  <w:shd w:val="clear" w:color="auto" w:fill="FFFFFF"/>
                  <w:tcMar>
                    <w:top w:w="0" w:type="dxa"/>
                    <w:left w:w="0" w:type="dxa"/>
                    <w:bottom w:w="0" w:type="dxa"/>
                    <w:right w:w="0" w:type="dxa"/>
                  </w:tcMar>
                  <w:vAlign w:val="center"/>
                </w:tcPr>
                <w:p w14:paraId="517B841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113.7</w:t>
                  </w:r>
                </w:p>
              </w:tc>
              <w:tc>
                <w:tcPr>
                  <w:tcW w:w="156" w:type="pct"/>
                  <w:tcBorders>
                    <w:tl2br w:val="nil"/>
                    <w:tr2bl w:val="nil"/>
                  </w:tcBorders>
                  <w:shd w:val="clear" w:color="auto" w:fill="FFFFFF"/>
                  <w:tcMar>
                    <w:top w:w="0" w:type="dxa"/>
                    <w:left w:w="0" w:type="dxa"/>
                    <w:bottom w:w="0" w:type="dxa"/>
                    <w:right w:w="0" w:type="dxa"/>
                  </w:tcMar>
                  <w:vAlign w:val="center"/>
                </w:tcPr>
                <w:p w14:paraId="14C9A7E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14.5</w:t>
                  </w:r>
                </w:p>
              </w:tc>
              <w:tc>
                <w:tcPr>
                  <w:tcW w:w="150" w:type="pct"/>
                  <w:tcBorders>
                    <w:tl2br w:val="nil"/>
                    <w:tr2bl w:val="nil"/>
                  </w:tcBorders>
                  <w:shd w:val="clear" w:color="auto" w:fill="FFFFFF"/>
                  <w:tcMar>
                    <w:top w:w="0" w:type="dxa"/>
                    <w:left w:w="0" w:type="dxa"/>
                    <w:bottom w:w="0" w:type="dxa"/>
                    <w:right w:w="0" w:type="dxa"/>
                  </w:tcMar>
                  <w:vAlign w:val="center"/>
                </w:tcPr>
                <w:p w14:paraId="597EA60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37.9</w:t>
                  </w:r>
                </w:p>
              </w:tc>
              <w:tc>
                <w:tcPr>
                  <w:tcW w:w="150" w:type="pct"/>
                  <w:tcBorders>
                    <w:tl2br w:val="nil"/>
                    <w:tr2bl w:val="nil"/>
                  </w:tcBorders>
                  <w:shd w:val="clear" w:color="auto" w:fill="FFFFFF"/>
                  <w:tcMar>
                    <w:top w:w="0" w:type="dxa"/>
                    <w:left w:w="0" w:type="dxa"/>
                    <w:bottom w:w="0" w:type="dxa"/>
                    <w:right w:w="0" w:type="dxa"/>
                  </w:tcMar>
                  <w:vAlign w:val="center"/>
                </w:tcPr>
                <w:p w14:paraId="3B0A8DB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38.0</w:t>
                  </w:r>
                </w:p>
              </w:tc>
              <w:tc>
                <w:tcPr>
                  <w:tcW w:w="150" w:type="pct"/>
                  <w:tcBorders>
                    <w:tl2br w:val="nil"/>
                    <w:tr2bl w:val="nil"/>
                  </w:tcBorders>
                  <w:shd w:val="clear" w:color="auto" w:fill="FFFFFF"/>
                  <w:tcMar>
                    <w:top w:w="0" w:type="dxa"/>
                    <w:left w:w="0" w:type="dxa"/>
                    <w:bottom w:w="0" w:type="dxa"/>
                    <w:right w:w="0" w:type="dxa"/>
                  </w:tcMar>
                  <w:vAlign w:val="center"/>
                </w:tcPr>
                <w:p w14:paraId="32793E3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37.9</w:t>
                  </w:r>
                </w:p>
              </w:tc>
              <w:tc>
                <w:tcPr>
                  <w:tcW w:w="156" w:type="pct"/>
                  <w:tcBorders>
                    <w:tl2br w:val="nil"/>
                    <w:tr2bl w:val="nil"/>
                  </w:tcBorders>
                  <w:shd w:val="clear" w:color="auto" w:fill="FFFFFF"/>
                  <w:tcMar>
                    <w:top w:w="0" w:type="dxa"/>
                    <w:left w:w="0" w:type="dxa"/>
                    <w:bottom w:w="0" w:type="dxa"/>
                    <w:right w:w="0" w:type="dxa"/>
                  </w:tcMar>
                  <w:vAlign w:val="center"/>
                </w:tcPr>
                <w:p w14:paraId="648FC5E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38.2</w:t>
                  </w:r>
                </w:p>
              </w:tc>
              <w:tc>
                <w:tcPr>
                  <w:tcW w:w="256" w:type="pct"/>
                  <w:tcBorders>
                    <w:tl2br w:val="nil"/>
                    <w:tr2bl w:val="nil"/>
                  </w:tcBorders>
                  <w:shd w:val="clear" w:color="auto" w:fill="FFFFFF"/>
                  <w:tcMar>
                    <w:top w:w="0" w:type="dxa"/>
                    <w:left w:w="0" w:type="dxa"/>
                    <w:bottom w:w="0" w:type="dxa"/>
                    <w:right w:w="0" w:type="dxa"/>
                  </w:tcMar>
                  <w:vAlign w:val="center"/>
                </w:tcPr>
                <w:p w14:paraId="69073E7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w:t>
                  </w:r>
                </w:p>
              </w:tc>
              <w:tc>
                <w:tcPr>
                  <w:tcW w:w="151" w:type="pct"/>
                  <w:tcBorders>
                    <w:tl2br w:val="nil"/>
                    <w:tr2bl w:val="nil"/>
                  </w:tcBorders>
                  <w:shd w:val="clear" w:color="auto" w:fill="FFFFFF"/>
                  <w:tcMar>
                    <w:top w:w="0" w:type="dxa"/>
                    <w:left w:w="0" w:type="dxa"/>
                    <w:bottom w:w="0" w:type="dxa"/>
                    <w:right w:w="0" w:type="dxa"/>
                  </w:tcMar>
                  <w:vAlign w:val="center"/>
                </w:tcPr>
                <w:p w14:paraId="2D04663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tcBorders>
                    <w:tl2br w:val="nil"/>
                    <w:tr2bl w:val="nil"/>
                  </w:tcBorders>
                  <w:shd w:val="clear" w:color="auto" w:fill="FFFFFF"/>
                  <w:tcMar>
                    <w:top w:w="0" w:type="dxa"/>
                    <w:left w:w="0" w:type="dxa"/>
                    <w:bottom w:w="0" w:type="dxa"/>
                    <w:right w:w="0" w:type="dxa"/>
                  </w:tcMar>
                  <w:vAlign w:val="center"/>
                </w:tcPr>
                <w:p w14:paraId="1E6145C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tcBorders>
                    <w:tl2br w:val="nil"/>
                    <w:tr2bl w:val="nil"/>
                  </w:tcBorders>
                  <w:shd w:val="clear" w:color="auto" w:fill="FFFFFF"/>
                  <w:tcMar>
                    <w:top w:w="0" w:type="dxa"/>
                    <w:left w:w="0" w:type="dxa"/>
                    <w:bottom w:w="0" w:type="dxa"/>
                    <w:right w:w="0" w:type="dxa"/>
                  </w:tcMar>
                  <w:vAlign w:val="center"/>
                </w:tcPr>
                <w:p w14:paraId="73F4B1A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6" w:type="pct"/>
                  <w:tcBorders>
                    <w:tl2br w:val="nil"/>
                    <w:tr2bl w:val="nil"/>
                  </w:tcBorders>
                  <w:shd w:val="clear" w:color="auto" w:fill="FFFFFF"/>
                  <w:tcMar>
                    <w:top w:w="0" w:type="dxa"/>
                    <w:left w:w="0" w:type="dxa"/>
                    <w:bottom w:w="0" w:type="dxa"/>
                    <w:right w:w="0" w:type="dxa"/>
                  </w:tcMar>
                  <w:vAlign w:val="center"/>
                </w:tcPr>
                <w:p w14:paraId="06E49BA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0" w:type="pct"/>
                  <w:tcBorders>
                    <w:tl2br w:val="nil"/>
                    <w:tr2bl w:val="nil"/>
                  </w:tcBorders>
                  <w:shd w:val="clear" w:color="auto" w:fill="FFFFFF"/>
                  <w:tcMar>
                    <w:top w:w="0" w:type="dxa"/>
                    <w:left w:w="0" w:type="dxa"/>
                    <w:bottom w:w="0" w:type="dxa"/>
                    <w:right w:w="0" w:type="dxa"/>
                  </w:tcMar>
                  <w:vAlign w:val="center"/>
                </w:tcPr>
                <w:p w14:paraId="4058EDC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11.9</w:t>
                  </w:r>
                </w:p>
              </w:tc>
              <w:tc>
                <w:tcPr>
                  <w:tcW w:w="151" w:type="pct"/>
                  <w:tcBorders>
                    <w:tl2br w:val="nil"/>
                    <w:tr2bl w:val="nil"/>
                  </w:tcBorders>
                  <w:shd w:val="clear" w:color="auto" w:fill="FFFFFF"/>
                  <w:tcMar>
                    <w:top w:w="0" w:type="dxa"/>
                    <w:left w:w="0" w:type="dxa"/>
                    <w:bottom w:w="0" w:type="dxa"/>
                    <w:right w:w="0" w:type="dxa"/>
                  </w:tcMar>
                  <w:vAlign w:val="center"/>
                </w:tcPr>
                <w:p w14:paraId="2C23C2A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12.0</w:t>
                  </w:r>
                </w:p>
              </w:tc>
              <w:tc>
                <w:tcPr>
                  <w:tcW w:w="151" w:type="pct"/>
                  <w:tcBorders>
                    <w:tl2br w:val="nil"/>
                    <w:tr2bl w:val="nil"/>
                  </w:tcBorders>
                  <w:shd w:val="clear" w:color="auto" w:fill="FFFFFF"/>
                  <w:tcMar>
                    <w:top w:w="0" w:type="dxa"/>
                    <w:left w:w="0" w:type="dxa"/>
                    <w:bottom w:w="0" w:type="dxa"/>
                    <w:right w:w="0" w:type="dxa"/>
                  </w:tcMar>
                  <w:vAlign w:val="center"/>
                </w:tcPr>
                <w:p w14:paraId="5965A68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11.9</w:t>
                  </w:r>
                </w:p>
              </w:tc>
              <w:tc>
                <w:tcPr>
                  <w:tcW w:w="151" w:type="pct"/>
                  <w:tcBorders>
                    <w:tl2br w:val="nil"/>
                    <w:tr2bl w:val="nil"/>
                  </w:tcBorders>
                  <w:shd w:val="clear" w:color="auto" w:fill="FFFFFF"/>
                  <w:tcMar>
                    <w:top w:w="0" w:type="dxa"/>
                    <w:left w:w="0" w:type="dxa"/>
                    <w:bottom w:w="0" w:type="dxa"/>
                    <w:right w:w="0" w:type="dxa"/>
                  </w:tcMar>
                  <w:vAlign w:val="center"/>
                </w:tcPr>
                <w:p w14:paraId="4FB3EF1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12.2</w:t>
                  </w:r>
                </w:p>
              </w:tc>
              <w:tc>
                <w:tcPr>
                  <w:tcW w:w="136" w:type="pct"/>
                  <w:tcBorders>
                    <w:tl2br w:val="nil"/>
                    <w:tr2bl w:val="nil"/>
                  </w:tcBorders>
                  <w:shd w:val="clear" w:color="auto" w:fill="FFFFFF"/>
                  <w:tcMar>
                    <w:top w:w="0" w:type="dxa"/>
                    <w:left w:w="0" w:type="dxa"/>
                    <w:bottom w:w="0" w:type="dxa"/>
                    <w:right w:w="0" w:type="dxa"/>
                  </w:tcMar>
                  <w:vAlign w:val="center"/>
                </w:tcPr>
                <w:p w14:paraId="16A60F34">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1</w:t>
                  </w:r>
                </w:p>
              </w:tc>
            </w:tr>
            <w:tr w14:paraId="73E2FF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tcBorders>
                    <w:tl2br w:val="nil"/>
                    <w:tr2bl w:val="nil"/>
                  </w:tcBorders>
                  <w:shd w:val="clear" w:color="auto" w:fill="auto"/>
                  <w:tcMar>
                    <w:top w:w="0" w:type="dxa"/>
                    <w:left w:w="0" w:type="dxa"/>
                    <w:bottom w:w="0" w:type="dxa"/>
                    <w:right w:w="0" w:type="dxa"/>
                  </w:tcMar>
                  <w:vAlign w:val="center"/>
                </w:tcPr>
                <w:p w14:paraId="0A149637">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2</w:t>
                  </w:r>
                </w:p>
              </w:tc>
              <w:tc>
                <w:tcPr>
                  <w:tcW w:w="256" w:type="pct"/>
                  <w:tcBorders>
                    <w:tl2br w:val="nil"/>
                    <w:tr2bl w:val="nil"/>
                  </w:tcBorders>
                  <w:shd w:val="clear" w:color="auto" w:fill="FFFFFF"/>
                  <w:tcMar>
                    <w:top w:w="0" w:type="dxa"/>
                    <w:left w:w="0" w:type="dxa"/>
                    <w:bottom w:w="0" w:type="dxa"/>
                    <w:right w:w="0" w:type="dxa"/>
                  </w:tcMar>
                  <w:vAlign w:val="center"/>
                </w:tcPr>
                <w:p w14:paraId="1DC064A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镀膜车间</w:t>
                  </w:r>
                </w:p>
              </w:tc>
              <w:tc>
                <w:tcPr>
                  <w:tcW w:w="540" w:type="pct"/>
                  <w:tcBorders>
                    <w:tl2br w:val="nil"/>
                    <w:tr2bl w:val="nil"/>
                  </w:tcBorders>
                  <w:shd w:val="clear" w:color="auto" w:fill="FFFFFF"/>
                  <w:tcMar>
                    <w:top w:w="0" w:type="dxa"/>
                    <w:left w:w="0" w:type="dxa"/>
                    <w:bottom w:w="0" w:type="dxa"/>
                    <w:right w:w="0" w:type="dxa"/>
                  </w:tcMar>
                  <w:vAlign w:val="center"/>
                </w:tcPr>
                <w:p w14:paraId="2E33B3A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自动上下片</w:t>
                  </w:r>
                  <w:r>
                    <w:rPr>
                      <w:rFonts w:hint="eastAsia"/>
                      <w:color w:val="auto"/>
                      <w:highlight w:val="none"/>
                      <w:lang w:eastAsia="zh-CN"/>
                    </w:rPr>
                    <w:t>，</w:t>
                  </w:r>
                  <w:r>
                    <w:rPr>
                      <w:rFonts w:hint="default"/>
                      <w:color w:val="auto"/>
                      <w:highlight w:val="none"/>
                    </w:rPr>
                    <w:t>4台（按点声源组预测）</w:t>
                  </w:r>
                </w:p>
              </w:tc>
              <w:tc>
                <w:tcPr>
                  <w:tcW w:w="363" w:type="pct"/>
                  <w:tcBorders>
                    <w:tl2br w:val="nil"/>
                    <w:tr2bl w:val="nil"/>
                  </w:tcBorders>
                  <w:shd w:val="clear" w:color="auto" w:fill="FFFFFF"/>
                  <w:tcMar>
                    <w:top w:w="0" w:type="dxa"/>
                    <w:left w:w="0" w:type="dxa"/>
                    <w:bottom w:w="0" w:type="dxa"/>
                    <w:right w:w="0" w:type="dxa"/>
                  </w:tcMar>
                  <w:vAlign w:val="center"/>
                </w:tcPr>
                <w:p w14:paraId="21C9DD5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65（等效后：71.0)</w:t>
                  </w:r>
                </w:p>
              </w:tc>
              <w:tc>
                <w:tcPr>
                  <w:tcW w:w="256" w:type="pct"/>
                  <w:tcBorders>
                    <w:tl2br w:val="nil"/>
                    <w:tr2bl w:val="nil"/>
                  </w:tcBorders>
                  <w:shd w:val="clear" w:color="auto" w:fill="FFFFFF"/>
                  <w:tcMar>
                    <w:top w:w="0" w:type="dxa"/>
                    <w:left w:w="0" w:type="dxa"/>
                    <w:bottom w:w="0" w:type="dxa"/>
                    <w:right w:w="0" w:type="dxa"/>
                  </w:tcMar>
                  <w:vAlign w:val="center"/>
                </w:tcPr>
                <w:p w14:paraId="6DE9CC6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减振</w:t>
                  </w:r>
                </w:p>
              </w:tc>
              <w:tc>
                <w:tcPr>
                  <w:tcW w:w="184" w:type="pct"/>
                  <w:tcBorders>
                    <w:tl2br w:val="nil"/>
                    <w:tr2bl w:val="nil"/>
                  </w:tcBorders>
                  <w:shd w:val="clear" w:color="auto" w:fill="FFFFFF"/>
                  <w:tcMar>
                    <w:top w:w="0" w:type="dxa"/>
                    <w:left w:w="0" w:type="dxa"/>
                    <w:bottom w:w="0" w:type="dxa"/>
                    <w:right w:w="0" w:type="dxa"/>
                  </w:tcMar>
                  <w:vAlign w:val="center"/>
                </w:tcPr>
                <w:p w14:paraId="5BFB2B9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-80</w:t>
                  </w:r>
                </w:p>
              </w:tc>
              <w:tc>
                <w:tcPr>
                  <w:tcW w:w="184" w:type="pct"/>
                  <w:tcBorders>
                    <w:tl2br w:val="nil"/>
                    <w:tr2bl w:val="nil"/>
                  </w:tcBorders>
                  <w:shd w:val="clear" w:color="auto" w:fill="FFFFFF"/>
                  <w:tcMar>
                    <w:top w:w="0" w:type="dxa"/>
                    <w:left w:w="0" w:type="dxa"/>
                    <w:bottom w:w="0" w:type="dxa"/>
                    <w:right w:w="0" w:type="dxa"/>
                  </w:tcMar>
                  <w:vAlign w:val="center"/>
                </w:tcPr>
                <w:p w14:paraId="27C34E8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-8.9</w:t>
                  </w:r>
                </w:p>
              </w:tc>
              <w:tc>
                <w:tcPr>
                  <w:tcW w:w="136" w:type="pct"/>
                  <w:tcBorders>
                    <w:tl2br w:val="nil"/>
                    <w:tr2bl w:val="nil"/>
                  </w:tcBorders>
                  <w:shd w:val="clear" w:color="auto" w:fill="FFFFFF"/>
                  <w:tcMar>
                    <w:top w:w="0" w:type="dxa"/>
                    <w:left w:w="0" w:type="dxa"/>
                    <w:bottom w:w="0" w:type="dxa"/>
                    <w:right w:w="0" w:type="dxa"/>
                  </w:tcMar>
                  <w:vAlign w:val="center"/>
                </w:tcPr>
                <w:p w14:paraId="12448FC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150" w:type="pct"/>
                  <w:tcBorders>
                    <w:tl2br w:val="nil"/>
                    <w:tr2bl w:val="nil"/>
                  </w:tcBorders>
                  <w:shd w:val="clear" w:color="auto" w:fill="FFFFFF"/>
                  <w:tcMar>
                    <w:top w:w="0" w:type="dxa"/>
                    <w:left w:w="0" w:type="dxa"/>
                    <w:bottom w:w="0" w:type="dxa"/>
                    <w:right w:w="0" w:type="dxa"/>
                  </w:tcMar>
                  <w:vAlign w:val="center"/>
                </w:tcPr>
                <w:p w14:paraId="6B7CA6D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291.7</w:t>
                  </w:r>
                </w:p>
              </w:tc>
              <w:tc>
                <w:tcPr>
                  <w:tcW w:w="150" w:type="pct"/>
                  <w:tcBorders>
                    <w:tl2br w:val="nil"/>
                    <w:tr2bl w:val="nil"/>
                  </w:tcBorders>
                  <w:shd w:val="clear" w:color="auto" w:fill="FFFFFF"/>
                  <w:tcMar>
                    <w:top w:w="0" w:type="dxa"/>
                    <w:left w:w="0" w:type="dxa"/>
                    <w:bottom w:w="0" w:type="dxa"/>
                    <w:right w:w="0" w:type="dxa"/>
                  </w:tcMar>
                  <w:vAlign w:val="center"/>
                </w:tcPr>
                <w:p w14:paraId="4094A1E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11.6</w:t>
                  </w:r>
                </w:p>
              </w:tc>
              <w:tc>
                <w:tcPr>
                  <w:tcW w:w="150" w:type="pct"/>
                  <w:tcBorders>
                    <w:tl2br w:val="nil"/>
                    <w:tr2bl w:val="nil"/>
                  </w:tcBorders>
                  <w:shd w:val="clear" w:color="auto" w:fill="FFFFFF"/>
                  <w:tcMar>
                    <w:top w:w="0" w:type="dxa"/>
                    <w:left w:w="0" w:type="dxa"/>
                    <w:bottom w:w="0" w:type="dxa"/>
                    <w:right w:w="0" w:type="dxa"/>
                  </w:tcMar>
                  <w:vAlign w:val="center"/>
                </w:tcPr>
                <w:p w14:paraId="62B0648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74.1</w:t>
                  </w:r>
                </w:p>
              </w:tc>
              <w:tc>
                <w:tcPr>
                  <w:tcW w:w="156" w:type="pct"/>
                  <w:tcBorders>
                    <w:tl2br w:val="nil"/>
                    <w:tr2bl w:val="nil"/>
                  </w:tcBorders>
                  <w:shd w:val="clear" w:color="auto" w:fill="FFFFFF"/>
                  <w:tcMar>
                    <w:top w:w="0" w:type="dxa"/>
                    <w:left w:w="0" w:type="dxa"/>
                    <w:bottom w:w="0" w:type="dxa"/>
                    <w:right w:w="0" w:type="dxa"/>
                  </w:tcMar>
                  <w:vAlign w:val="center"/>
                </w:tcPr>
                <w:p w14:paraId="0F622C6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24.4</w:t>
                  </w:r>
                </w:p>
              </w:tc>
              <w:tc>
                <w:tcPr>
                  <w:tcW w:w="150" w:type="pct"/>
                  <w:tcBorders>
                    <w:tl2br w:val="nil"/>
                    <w:tr2bl w:val="nil"/>
                  </w:tcBorders>
                  <w:shd w:val="clear" w:color="auto" w:fill="FFFFFF"/>
                  <w:tcMar>
                    <w:top w:w="0" w:type="dxa"/>
                    <w:left w:w="0" w:type="dxa"/>
                    <w:bottom w:w="0" w:type="dxa"/>
                    <w:right w:w="0" w:type="dxa"/>
                  </w:tcMar>
                  <w:vAlign w:val="center"/>
                </w:tcPr>
                <w:p w14:paraId="6BFF134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38.9</w:t>
                  </w:r>
                </w:p>
              </w:tc>
              <w:tc>
                <w:tcPr>
                  <w:tcW w:w="150" w:type="pct"/>
                  <w:tcBorders>
                    <w:tl2br w:val="nil"/>
                    <w:tr2bl w:val="nil"/>
                  </w:tcBorders>
                  <w:shd w:val="clear" w:color="auto" w:fill="FFFFFF"/>
                  <w:tcMar>
                    <w:top w:w="0" w:type="dxa"/>
                    <w:left w:w="0" w:type="dxa"/>
                    <w:bottom w:w="0" w:type="dxa"/>
                    <w:right w:w="0" w:type="dxa"/>
                  </w:tcMar>
                  <w:vAlign w:val="center"/>
                </w:tcPr>
                <w:p w14:paraId="1961C11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39.3</w:t>
                  </w:r>
                </w:p>
              </w:tc>
              <w:tc>
                <w:tcPr>
                  <w:tcW w:w="150" w:type="pct"/>
                  <w:tcBorders>
                    <w:tl2br w:val="nil"/>
                    <w:tr2bl w:val="nil"/>
                  </w:tcBorders>
                  <w:shd w:val="clear" w:color="auto" w:fill="FFFFFF"/>
                  <w:tcMar>
                    <w:top w:w="0" w:type="dxa"/>
                    <w:left w:w="0" w:type="dxa"/>
                    <w:bottom w:w="0" w:type="dxa"/>
                    <w:right w:w="0" w:type="dxa"/>
                  </w:tcMar>
                  <w:vAlign w:val="center"/>
                </w:tcPr>
                <w:p w14:paraId="07A1B4A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38.9</w:t>
                  </w:r>
                </w:p>
              </w:tc>
              <w:tc>
                <w:tcPr>
                  <w:tcW w:w="156" w:type="pct"/>
                  <w:tcBorders>
                    <w:tl2br w:val="nil"/>
                    <w:tr2bl w:val="nil"/>
                  </w:tcBorders>
                  <w:shd w:val="clear" w:color="auto" w:fill="FFFFFF"/>
                  <w:tcMar>
                    <w:top w:w="0" w:type="dxa"/>
                    <w:left w:w="0" w:type="dxa"/>
                    <w:bottom w:w="0" w:type="dxa"/>
                    <w:right w:w="0" w:type="dxa"/>
                  </w:tcMar>
                  <w:vAlign w:val="center"/>
                </w:tcPr>
                <w:p w14:paraId="586D962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39.0</w:t>
                  </w:r>
                </w:p>
              </w:tc>
              <w:tc>
                <w:tcPr>
                  <w:tcW w:w="256" w:type="pct"/>
                  <w:tcBorders>
                    <w:tl2br w:val="nil"/>
                    <w:tr2bl w:val="nil"/>
                  </w:tcBorders>
                  <w:shd w:val="clear" w:color="auto" w:fill="FFFFFF"/>
                  <w:tcMar>
                    <w:top w:w="0" w:type="dxa"/>
                    <w:left w:w="0" w:type="dxa"/>
                    <w:bottom w:w="0" w:type="dxa"/>
                    <w:right w:w="0" w:type="dxa"/>
                  </w:tcMar>
                  <w:vAlign w:val="center"/>
                </w:tcPr>
                <w:p w14:paraId="7177F89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w:t>
                  </w:r>
                </w:p>
              </w:tc>
              <w:tc>
                <w:tcPr>
                  <w:tcW w:w="151" w:type="pct"/>
                  <w:tcBorders>
                    <w:tl2br w:val="nil"/>
                    <w:tr2bl w:val="nil"/>
                  </w:tcBorders>
                  <w:shd w:val="clear" w:color="auto" w:fill="FFFFFF"/>
                  <w:tcMar>
                    <w:top w:w="0" w:type="dxa"/>
                    <w:left w:w="0" w:type="dxa"/>
                    <w:bottom w:w="0" w:type="dxa"/>
                    <w:right w:w="0" w:type="dxa"/>
                  </w:tcMar>
                  <w:vAlign w:val="center"/>
                </w:tcPr>
                <w:p w14:paraId="3172232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tcBorders>
                    <w:tl2br w:val="nil"/>
                    <w:tr2bl w:val="nil"/>
                  </w:tcBorders>
                  <w:shd w:val="clear" w:color="auto" w:fill="FFFFFF"/>
                  <w:tcMar>
                    <w:top w:w="0" w:type="dxa"/>
                    <w:left w:w="0" w:type="dxa"/>
                    <w:bottom w:w="0" w:type="dxa"/>
                    <w:right w:w="0" w:type="dxa"/>
                  </w:tcMar>
                  <w:vAlign w:val="center"/>
                </w:tcPr>
                <w:p w14:paraId="028B5CF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tcBorders>
                    <w:tl2br w:val="nil"/>
                    <w:tr2bl w:val="nil"/>
                  </w:tcBorders>
                  <w:shd w:val="clear" w:color="auto" w:fill="FFFFFF"/>
                  <w:tcMar>
                    <w:top w:w="0" w:type="dxa"/>
                    <w:left w:w="0" w:type="dxa"/>
                    <w:bottom w:w="0" w:type="dxa"/>
                    <w:right w:w="0" w:type="dxa"/>
                  </w:tcMar>
                  <w:vAlign w:val="center"/>
                </w:tcPr>
                <w:p w14:paraId="464D4BD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6" w:type="pct"/>
                  <w:tcBorders>
                    <w:tl2br w:val="nil"/>
                    <w:tr2bl w:val="nil"/>
                  </w:tcBorders>
                  <w:shd w:val="clear" w:color="auto" w:fill="FFFFFF"/>
                  <w:tcMar>
                    <w:top w:w="0" w:type="dxa"/>
                    <w:left w:w="0" w:type="dxa"/>
                    <w:bottom w:w="0" w:type="dxa"/>
                    <w:right w:w="0" w:type="dxa"/>
                  </w:tcMar>
                  <w:vAlign w:val="center"/>
                </w:tcPr>
                <w:p w14:paraId="1B797F4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0" w:type="pct"/>
                  <w:tcBorders>
                    <w:tl2br w:val="nil"/>
                    <w:tr2bl w:val="nil"/>
                  </w:tcBorders>
                  <w:shd w:val="clear" w:color="auto" w:fill="FFFFFF"/>
                  <w:tcMar>
                    <w:top w:w="0" w:type="dxa"/>
                    <w:left w:w="0" w:type="dxa"/>
                    <w:bottom w:w="0" w:type="dxa"/>
                    <w:right w:w="0" w:type="dxa"/>
                  </w:tcMar>
                  <w:vAlign w:val="center"/>
                </w:tcPr>
                <w:p w14:paraId="44FE317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12.9</w:t>
                  </w:r>
                </w:p>
              </w:tc>
              <w:tc>
                <w:tcPr>
                  <w:tcW w:w="151" w:type="pct"/>
                  <w:tcBorders>
                    <w:tl2br w:val="nil"/>
                    <w:tr2bl w:val="nil"/>
                  </w:tcBorders>
                  <w:shd w:val="clear" w:color="auto" w:fill="FFFFFF"/>
                  <w:tcMar>
                    <w:top w:w="0" w:type="dxa"/>
                    <w:left w:w="0" w:type="dxa"/>
                    <w:bottom w:w="0" w:type="dxa"/>
                    <w:right w:w="0" w:type="dxa"/>
                  </w:tcMar>
                  <w:vAlign w:val="center"/>
                </w:tcPr>
                <w:p w14:paraId="7330D32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13.3</w:t>
                  </w:r>
                </w:p>
              </w:tc>
              <w:tc>
                <w:tcPr>
                  <w:tcW w:w="151" w:type="pct"/>
                  <w:tcBorders>
                    <w:tl2br w:val="nil"/>
                    <w:tr2bl w:val="nil"/>
                  </w:tcBorders>
                  <w:shd w:val="clear" w:color="auto" w:fill="FFFFFF"/>
                  <w:tcMar>
                    <w:top w:w="0" w:type="dxa"/>
                    <w:left w:w="0" w:type="dxa"/>
                    <w:bottom w:w="0" w:type="dxa"/>
                    <w:right w:w="0" w:type="dxa"/>
                  </w:tcMar>
                  <w:vAlign w:val="center"/>
                </w:tcPr>
                <w:p w14:paraId="24DA9E2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12.9</w:t>
                  </w:r>
                </w:p>
              </w:tc>
              <w:tc>
                <w:tcPr>
                  <w:tcW w:w="151" w:type="pct"/>
                  <w:tcBorders>
                    <w:tl2br w:val="nil"/>
                    <w:tr2bl w:val="nil"/>
                  </w:tcBorders>
                  <w:shd w:val="clear" w:color="auto" w:fill="FFFFFF"/>
                  <w:tcMar>
                    <w:top w:w="0" w:type="dxa"/>
                    <w:left w:w="0" w:type="dxa"/>
                    <w:bottom w:w="0" w:type="dxa"/>
                    <w:right w:w="0" w:type="dxa"/>
                  </w:tcMar>
                  <w:vAlign w:val="center"/>
                </w:tcPr>
                <w:p w14:paraId="26044D0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13.0</w:t>
                  </w:r>
                </w:p>
              </w:tc>
              <w:tc>
                <w:tcPr>
                  <w:tcW w:w="136" w:type="pct"/>
                  <w:tcBorders>
                    <w:tl2br w:val="nil"/>
                    <w:tr2bl w:val="nil"/>
                  </w:tcBorders>
                  <w:shd w:val="clear" w:color="auto" w:fill="FFFFFF"/>
                  <w:tcMar>
                    <w:top w:w="0" w:type="dxa"/>
                    <w:left w:w="0" w:type="dxa"/>
                    <w:bottom w:w="0" w:type="dxa"/>
                    <w:right w:w="0" w:type="dxa"/>
                  </w:tcMar>
                  <w:vAlign w:val="center"/>
                </w:tcPr>
                <w:p w14:paraId="020A10B0">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1</w:t>
                  </w:r>
                </w:p>
              </w:tc>
            </w:tr>
            <w:tr w14:paraId="388C96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tcBorders>
                    <w:tl2br w:val="nil"/>
                    <w:tr2bl w:val="nil"/>
                  </w:tcBorders>
                  <w:shd w:val="clear" w:color="auto" w:fill="auto"/>
                  <w:tcMar>
                    <w:top w:w="0" w:type="dxa"/>
                    <w:left w:w="0" w:type="dxa"/>
                    <w:bottom w:w="0" w:type="dxa"/>
                    <w:right w:w="0" w:type="dxa"/>
                  </w:tcMar>
                  <w:vAlign w:val="center"/>
                </w:tcPr>
                <w:p w14:paraId="65514737">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3</w:t>
                  </w:r>
                </w:p>
              </w:tc>
              <w:tc>
                <w:tcPr>
                  <w:tcW w:w="256" w:type="pct"/>
                  <w:tcBorders>
                    <w:tl2br w:val="nil"/>
                    <w:tr2bl w:val="nil"/>
                  </w:tcBorders>
                  <w:shd w:val="clear" w:color="auto" w:fill="FFFFFF"/>
                  <w:tcMar>
                    <w:top w:w="0" w:type="dxa"/>
                    <w:left w:w="0" w:type="dxa"/>
                    <w:bottom w:w="0" w:type="dxa"/>
                    <w:right w:w="0" w:type="dxa"/>
                  </w:tcMar>
                  <w:vAlign w:val="center"/>
                </w:tcPr>
                <w:p w14:paraId="0DCC8E5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镀膜车间</w:t>
                  </w:r>
                </w:p>
              </w:tc>
              <w:tc>
                <w:tcPr>
                  <w:tcW w:w="540" w:type="pct"/>
                  <w:tcBorders>
                    <w:tl2br w:val="nil"/>
                    <w:tr2bl w:val="nil"/>
                  </w:tcBorders>
                  <w:shd w:val="clear" w:color="auto" w:fill="FFFFFF"/>
                  <w:tcMar>
                    <w:top w:w="0" w:type="dxa"/>
                    <w:left w:w="0" w:type="dxa"/>
                    <w:bottom w:w="0" w:type="dxa"/>
                    <w:right w:w="0" w:type="dxa"/>
                  </w:tcMar>
                  <w:vAlign w:val="center"/>
                </w:tcPr>
                <w:p w14:paraId="67ED804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喷砂机</w:t>
                  </w:r>
                </w:p>
              </w:tc>
              <w:tc>
                <w:tcPr>
                  <w:tcW w:w="363" w:type="pct"/>
                  <w:tcBorders>
                    <w:tl2br w:val="nil"/>
                    <w:tr2bl w:val="nil"/>
                  </w:tcBorders>
                  <w:shd w:val="clear" w:color="auto" w:fill="FFFFFF"/>
                  <w:tcMar>
                    <w:top w:w="0" w:type="dxa"/>
                    <w:left w:w="0" w:type="dxa"/>
                    <w:bottom w:w="0" w:type="dxa"/>
                    <w:right w:w="0" w:type="dxa"/>
                  </w:tcMar>
                  <w:vAlign w:val="center"/>
                </w:tcPr>
                <w:p w14:paraId="7D08792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85</w:t>
                  </w:r>
                </w:p>
              </w:tc>
              <w:tc>
                <w:tcPr>
                  <w:tcW w:w="256" w:type="pct"/>
                  <w:tcBorders>
                    <w:tl2br w:val="nil"/>
                    <w:tr2bl w:val="nil"/>
                  </w:tcBorders>
                  <w:shd w:val="clear" w:color="auto" w:fill="FFFFFF"/>
                  <w:tcMar>
                    <w:top w:w="0" w:type="dxa"/>
                    <w:left w:w="0" w:type="dxa"/>
                    <w:bottom w:w="0" w:type="dxa"/>
                    <w:right w:w="0" w:type="dxa"/>
                  </w:tcMar>
                  <w:vAlign w:val="center"/>
                </w:tcPr>
                <w:p w14:paraId="024EA20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减振、隔声</w:t>
                  </w:r>
                </w:p>
              </w:tc>
              <w:tc>
                <w:tcPr>
                  <w:tcW w:w="184" w:type="pct"/>
                  <w:tcBorders>
                    <w:tl2br w:val="nil"/>
                    <w:tr2bl w:val="nil"/>
                  </w:tcBorders>
                  <w:shd w:val="clear" w:color="auto" w:fill="FFFFFF"/>
                  <w:tcMar>
                    <w:top w:w="0" w:type="dxa"/>
                    <w:left w:w="0" w:type="dxa"/>
                    <w:bottom w:w="0" w:type="dxa"/>
                    <w:right w:w="0" w:type="dxa"/>
                  </w:tcMar>
                  <w:vAlign w:val="center"/>
                </w:tcPr>
                <w:p w14:paraId="3BC8E53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174.8</w:t>
                  </w:r>
                </w:p>
              </w:tc>
              <w:tc>
                <w:tcPr>
                  <w:tcW w:w="184" w:type="pct"/>
                  <w:tcBorders>
                    <w:tl2br w:val="nil"/>
                    <w:tr2bl w:val="nil"/>
                  </w:tcBorders>
                  <w:shd w:val="clear" w:color="auto" w:fill="FFFFFF"/>
                  <w:tcMar>
                    <w:top w:w="0" w:type="dxa"/>
                    <w:left w:w="0" w:type="dxa"/>
                    <w:bottom w:w="0" w:type="dxa"/>
                    <w:right w:w="0" w:type="dxa"/>
                  </w:tcMar>
                  <w:vAlign w:val="center"/>
                </w:tcPr>
                <w:p w14:paraId="4CA2181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33.4</w:t>
                  </w:r>
                </w:p>
              </w:tc>
              <w:tc>
                <w:tcPr>
                  <w:tcW w:w="136" w:type="pct"/>
                  <w:tcBorders>
                    <w:tl2br w:val="nil"/>
                    <w:tr2bl w:val="nil"/>
                  </w:tcBorders>
                  <w:shd w:val="clear" w:color="auto" w:fill="FFFFFF"/>
                  <w:tcMar>
                    <w:top w:w="0" w:type="dxa"/>
                    <w:left w:w="0" w:type="dxa"/>
                    <w:bottom w:w="0" w:type="dxa"/>
                    <w:right w:w="0" w:type="dxa"/>
                  </w:tcMar>
                  <w:vAlign w:val="center"/>
                </w:tcPr>
                <w:p w14:paraId="723E5EA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150" w:type="pct"/>
                  <w:tcBorders>
                    <w:tl2br w:val="nil"/>
                    <w:tr2bl w:val="nil"/>
                  </w:tcBorders>
                  <w:shd w:val="clear" w:color="auto" w:fill="FFFFFF"/>
                  <w:tcMar>
                    <w:top w:w="0" w:type="dxa"/>
                    <w:left w:w="0" w:type="dxa"/>
                    <w:bottom w:w="0" w:type="dxa"/>
                    <w:right w:w="0" w:type="dxa"/>
                  </w:tcMar>
                  <w:vAlign w:val="center"/>
                </w:tcPr>
                <w:p w14:paraId="263E8EA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33.9</w:t>
                  </w:r>
                </w:p>
              </w:tc>
              <w:tc>
                <w:tcPr>
                  <w:tcW w:w="150" w:type="pct"/>
                  <w:tcBorders>
                    <w:tl2br w:val="nil"/>
                    <w:tr2bl w:val="nil"/>
                  </w:tcBorders>
                  <w:shd w:val="clear" w:color="auto" w:fill="FFFFFF"/>
                  <w:tcMar>
                    <w:top w:w="0" w:type="dxa"/>
                    <w:left w:w="0" w:type="dxa"/>
                    <w:bottom w:w="0" w:type="dxa"/>
                    <w:right w:w="0" w:type="dxa"/>
                  </w:tcMar>
                  <w:vAlign w:val="center"/>
                </w:tcPr>
                <w:p w14:paraId="24CBFBC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14.5</w:t>
                  </w:r>
                </w:p>
              </w:tc>
              <w:tc>
                <w:tcPr>
                  <w:tcW w:w="150" w:type="pct"/>
                  <w:tcBorders>
                    <w:tl2br w:val="nil"/>
                    <w:tr2bl w:val="nil"/>
                  </w:tcBorders>
                  <w:shd w:val="clear" w:color="auto" w:fill="FFFFFF"/>
                  <w:tcMar>
                    <w:top w:w="0" w:type="dxa"/>
                    <w:left w:w="0" w:type="dxa"/>
                    <w:bottom w:w="0" w:type="dxa"/>
                    <w:right w:w="0" w:type="dxa"/>
                  </w:tcMar>
                  <w:vAlign w:val="center"/>
                </w:tcPr>
                <w:p w14:paraId="2F01272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183.9</w:t>
                  </w:r>
                </w:p>
              </w:tc>
              <w:tc>
                <w:tcPr>
                  <w:tcW w:w="156" w:type="pct"/>
                  <w:tcBorders>
                    <w:tl2br w:val="nil"/>
                    <w:tr2bl w:val="nil"/>
                  </w:tcBorders>
                  <w:shd w:val="clear" w:color="auto" w:fill="FFFFFF"/>
                  <w:tcMar>
                    <w:top w:w="0" w:type="dxa"/>
                    <w:left w:w="0" w:type="dxa"/>
                    <w:bottom w:w="0" w:type="dxa"/>
                    <w:right w:w="0" w:type="dxa"/>
                  </w:tcMar>
                  <w:vAlign w:val="center"/>
                </w:tcPr>
                <w:p w14:paraId="431AC2A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15.2</w:t>
                  </w:r>
                </w:p>
              </w:tc>
              <w:tc>
                <w:tcPr>
                  <w:tcW w:w="150" w:type="pct"/>
                  <w:tcBorders>
                    <w:tl2br w:val="nil"/>
                    <w:tr2bl w:val="nil"/>
                  </w:tcBorders>
                  <w:shd w:val="clear" w:color="auto" w:fill="FFFFFF"/>
                  <w:tcMar>
                    <w:top w:w="0" w:type="dxa"/>
                    <w:left w:w="0" w:type="dxa"/>
                    <w:bottom w:w="0" w:type="dxa"/>
                    <w:right w:w="0" w:type="dxa"/>
                  </w:tcMar>
                  <w:vAlign w:val="center"/>
                </w:tcPr>
                <w:p w14:paraId="67BF35F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43.0</w:t>
                  </w:r>
                </w:p>
              </w:tc>
              <w:tc>
                <w:tcPr>
                  <w:tcW w:w="150" w:type="pct"/>
                  <w:tcBorders>
                    <w:tl2br w:val="nil"/>
                    <w:tr2bl w:val="nil"/>
                  </w:tcBorders>
                  <w:shd w:val="clear" w:color="auto" w:fill="FFFFFF"/>
                  <w:tcMar>
                    <w:top w:w="0" w:type="dxa"/>
                    <w:left w:w="0" w:type="dxa"/>
                    <w:bottom w:w="0" w:type="dxa"/>
                    <w:right w:w="0" w:type="dxa"/>
                  </w:tcMar>
                  <w:vAlign w:val="center"/>
                </w:tcPr>
                <w:p w14:paraId="4D4F37A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43.2</w:t>
                  </w:r>
                </w:p>
              </w:tc>
              <w:tc>
                <w:tcPr>
                  <w:tcW w:w="150" w:type="pct"/>
                  <w:tcBorders>
                    <w:tl2br w:val="nil"/>
                    <w:tr2bl w:val="nil"/>
                  </w:tcBorders>
                  <w:shd w:val="clear" w:color="auto" w:fill="FFFFFF"/>
                  <w:tcMar>
                    <w:top w:w="0" w:type="dxa"/>
                    <w:left w:w="0" w:type="dxa"/>
                    <w:bottom w:w="0" w:type="dxa"/>
                    <w:right w:w="0" w:type="dxa"/>
                  </w:tcMar>
                  <w:vAlign w:val="center"/>
                </w:tcPr>
                <w:p w14:paraId="2BDD41C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42.9</w:t>
                  </w:r>
                </w:p>
              </w:tc>
              <w:tc>
                <w:tcPr>
                  <w:tcW w:w="156" w:type="pct"/>
                  <w:tcBorders>
                    <w:tl2br w:val="nil"/>
                    <w:tr2bl w:val="nil"/>
                  </w:tcBorders>
                  <w:shd w:val="clear" w:color="auto" w:fill="FFFFFF"/>
                  <w:tcMar>
                    <w:top w:w="0" w:type="dxa"/>
                    <w:left w:w="0" w:type="dxa"/>
                    <w:bottom w:w="0" w:type="dxa"/>
                    <w:right w:w="0" w:type="dxa"/>
                  </w:tcMar>
                  <w:vAlign w:val="center"/>
                </w:tcPr>
                <w:p w14:paraId="3948129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43.2</w:t>
                  </w:r>
                </w:p>
              </w:tc>
              <w:tc>
                <w:tcPr>
                  <w:tcW w:w="256" w:type="pct"/>
                  <w:tcBorders>
                    <w:tl2br w:val="nil"/>
                    <w:tr2bl w:val="nil"/>
                  </w:tcBorders>
                  <w:shd w:val="clear" w:color="auto" w:fill="FFFFFF"/>
                  <w:tcMar>
                    <w:top w:w="0" w:type="dxa"/>
                    <w:left w:w="0" w:type="dxa"/>
                    <w:bottom w:w="0" w:type="dxa"/>
                    <w:right w:w="0" w:type="dxa"/>
                  </w:tcMar>
                  <w:vAlign w:val="center"/>
                </w:tcPr>
                <w:p w14:paraId="6460F45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w:t>
                  </w:r>
                </w:p>
              </w:tc>
              <w:tc>
                <w:tcPr>
                  <w:tcW w:w="151" w:type="pct"/>
                  <w:tcBorders>
                    <w:tl2br w:val="nil"/>
                    <w:tr2bl w:val="nil"/>
                  </w:tcBorders>
                  <w:shd w:val="clear" w:color="auto" w:fill="FFFFFF"/>
                  <w:tcMar>
                    <w:top w:w="0" w:type="dxa"/>
                    <w:left w:w="0" w:type="dxa"/>
                    <w:bottom w:w="0" w:type="dxa"/>
                    <w:right w:w="0" w:type="dxa"/>
                  </w:tcMar>
                  <w:vAlign w:val="center"/>
                </w:tcPr>
                <w:p w14:paraId="506F730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tcBorders>
                    <w:tl2br w:val="nil"/>
                    <w:tr2bl w:val="nil"/>
                  </w:tcBorders>
                  <w:shd w:val="clear" w:color="auto" w:fill="FFFFFF"/>
                  <w:tcMar>
                    <w:top w:w="0" w:type="dxa"/>
                    <w:left w:w="0" w:type="dxa"/>
                    <w:bottom w:w="0" w:type="dxa"/>
                    <w:right w:w="0" w:type="dxa"/>
                  </w:tcMar>
                  <w:vAlign w:val="center"/>
                </w:tcPr>
                <w:p w14:paraId="5567AA9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tcBorders>
                    <w:tl2br w:val="nil"/>
                    <w:tr2bl w:val="nil"/>
                  </w:tcBorders>
                  <w:shd w:val="clear" w:color="auto" w:fill="FFFFFF"/>
                  <w:tcMar>
                    <w:top w:w="0" w:type="dxa"/>
                    <w:left w:w="0" w:type="dxa"/>
                    <w:bottom w:w="0" w:type="dxa"/>
                    <w:right w:w="0" w:type="dxa"/>
                  </w:tcMar>
                  <w:vAlign w:val="center"/>
                </w:tcPr>
                <w:p w14:paraId="40F6D5B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6" w:type="pct"/>
                  <w:tcBorders>
                    <w:tl2br w:val="nil"/>
                    <w:tr2bl w:val="nil"/>
                  </w:tcBorders>
                  <w:shd w:val="clear" w:color="auto" w:fill="FFFFFF"/>
                  <w:tcMar>
                    <w:top w:w="0" w:type="dxa"/>
                    <w:left w:w="0" w:type="dxa"/>
                    <w:bottom w:w="0" w:type="dxa"/>
                    <w:right w:w="0" w:type="dxa"/>
                  </w:tcMar>
                  <w:vAlign w:val="center"/>
                </w:tcPr>
                <w:p w14:paraId="220A662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0" w:type="pct"/>
                  <w:tcBorders>
                    <w:tl2br w:val="nil"/>
                    <w:tr2bl w:val="nil"/>
                  </w:tcBorders>
                  <w:shd w:val="clear" w:color="auto" w:fill="FFFFFF"/>
                  <w:tcMar>
                    <w:top w:w="0" w:type="dxa"/>
                    <w:left w:w="0" w:type="dxa"/>
                    <w:bottom w:w="0" w:type="dxa"/>
                    <w:right w:w="0" w:type="dxa"/>
                  </w:tcMar>
                  <w:vAlign w:val="center"/>
                </w:tcPr>
                <w:p w14:paraId="6DD51AA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17.0</w:t>
                  </w:r>
                </w:p>
              </w:tc>
              <w:tc>
                <w:tcPr>
                  <w:tcW w:w="151" w:type="pct"/>
                  <w:tcBorders>
                    <w:tl2br w:val="nil"/>
                    <w:tr2bl w:val="nil"/>
                  </w:tcBorders>
                  <w:shd w:val="clear" w:color="auto" w:fill="FFFFFF"/>
                  <w:tcMar>
                    <w:top w:w="0" w:type="dxa"/>
                    <w:left w:w="0" w:type="dxa"/>
                    <w:bottom w:w="0" w:type="dxa"/>
                    <w:right w:w="0" w:type="dxa"/>
                  </w:tcMar>
                  <w:vAlign w:val="center"/>
                </w:tcPr>
                <w:p w14:paraId="7F775D8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17.2</w:t>
                  </w:r>
                </w:p>
              </w:tc>
              <w:tc>
                <w:tcPr>
                  <w:tcW w:w="151" w:type="pct"/>
                  <w:tcBorders>
                    <w:tl2br w:val="nil"/>
                    <w:tr2bl w:val="nil"/>
                  </w:tcBorders>
                  <w:shd w:val="clear" w:color="auto" w:fill="FFFFFF"/>
                  <w:tcMar>
                    <w:top w:w="0" w:type="dxa"/>
                    <w:left w:w="0" w:type="dxa"/>
                    <w:bottom w:w="0" w:type="dxa"/>
                    <w:right w:w="0" w:type="dxa"/>
                  </w:tcMar>
                  <w:vAlign w:val="center"/>
                </w:tcPr>
                <w:p w14:paraId="5A84F35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16.9</w:t>
                  </w:r>
                </w:p>
              </w:tc>
              <w:tc>
                <w:tcPr>
                  <w:tcW w:w="151" w:type="pct"/>
                  <w:tcBorders>
                    <w:tl2br w:val="nil"/>
                    <w:tr2bl w:val="nil"/>
                  </w:tcBorders>
                  <w:shd w:val="clear" w:color="auto" w:fill="FFFFFF"/>
                  <w:tcMar>
                    <w:top w:w="0" w:type="dxa"/>
                    <w:left w:w="0" w:type="dxa"/>
                    <w:bottom w:w="0" w:type="dxa"/>
                    <w:right w:w="0" w:type="dxa"/>
                  </w:tcMar>
                  <w:vAlign w:val="center"/>
                </w:tcPr>
                <w:p w14:paraId="0678428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17.2</w:t>
                  </w:r>
                </w:p>
              </w:tc>
              <w:tc>
                <w:tcPr>
                  <w:tcW w:w="136" w:type="pct"/>
                  <w:tcBorders>
                    <w:tl2br w:val="nil"/>
                    <w:tr2bl w:val="nil"/>
                  </w:tcBorders>
                  <w:shd w:val="clear" w:color="auto" w:fill="FFFFFF"/>
                  <w:tcMar>
                    <w:top w:w="0" w:type="dxa"/>
                    <w:left w:w="0" w:type="dxa"/>
                    <w:bottom w:w="0" w:type="dxa"/>
                    <w:right w:w="0" w:type="dxa"/>
                  </w:tcMar>
                  <w:vAlign w:val="center"/>
                </w:tcPr>
                <w:p w14:paraId="6219AD0A">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1</w:t>
                  </w:r>
                </w:p>
              </w:tc>
            </w:tr>
            <w:tr w14:paraId="46F7B2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tcBorders>
                    <w:tl2br w:val="nil"/>
                    <w:tr2bl w:val="nil"/>
                  </w:tcBorders>
                  <w:shd w:val="clear" w:color="auto" w:fill="auto"/>
                  <w:tcMar>
                    <w:top w:w="0" w:type="dxa"/>
                    <w:left w:w="0" w:type="dxa"/>
                    <w:bottom w:w="0" w:type="dxa"/>
                    <w:right w:w="0" w:type="dxa"/>
                  </w:tcMar>
                  <w:vAlign w:val="center"/>
                </w:tcPr>
                <w:p w14:paraId="28C242E0">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4</w:t>
                  </w:r>
                </w:p>
              </w:tc>
              <w:tc>
                <w:tcPr>
                  <w:tcW w:w="256" w:type="pct"/>
                  <w:tcBorders>
                    <w:tl2br w:val="nil"/>
                    <w:tr2bl w:val="nil"/>
                  </w:tcBorders>
                  <w:shd w:val="clear" w:color="auto" w:fill="FFFFFF"/>
                  <w:tcMar>
                    <w:top w:w="0" w:type="dxa"/>
                    <w:left w:w="0" w:type="dxa"/>
                    <w:bottom w:w="0" w:type="dxa"/>
                    <w:right w:w="0" w:type="dxa"/>
                  </w:tcMar>
                  <w:vAlign w:val="center"/>
                </w:tcPr>
                <w:p w14:paraId="297DDBF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镀膜车间</w:t>
                  </w:r>
                </w:p>
              </w:tc>
              <w:tc>
                <w:tcPr>
                  <w:tcW w:w="540" w:type="pct"/>
                  <w:tcBorders>
                    <w:tl2br w:val="nil"/>
                    <w:tr2bl w:val="nil"/>
                  </w:tcBorders>
                  <w:shd w:val="clear" w:color="auto" w:fill="FFFFFF"/>
                  <w:tcMar>
                    <w:top w:w="0" w:type="dxa"/>
                    <w:left w:w="0" w:type="dxa"/>
                    <w:bottom w:w="0" w:type="dxa"/>
                    <w:right w:w="0" w:type="dxa"/>
                  </w:tcMar>
                  <w:vAlign w:val="center"/>
                </w:tcPr>
                <w:p w14:paraId="1FCB4D4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超纯水制备系统</w:t>
                  </w:r>
                </w:p>
              </w:tc>
              <w:tc>
                <w:tcPr>
                  <w:tcW w:w="363" w:type="pct"/>
                  <w:tcBorders>
                    <w:tl2br w:val="nil"/>
                    <w:tr2bl w:val="nil"/>
                  </w:tcBorders>
                  <w:shd w:val="clear" w:color="auto" w:fill="FFFFFF"/>
                  <w:tcMar>
                    <w:top w:w="0" w:type="dxa"/>
                    <w:left w:w="0" w:type="dxa"/>
                    <w:bottom w:w="0" w:type="dxa"/>
                    <w:right w:w="0" w:type="dxa"/>
                  </w:tcMar>
                  <w:vAlign w:val="center"/>
                </w:tcPr>
                <w:p w14:paraId="61FDEDE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70</w:t>
                  </w:r>
                </w:p>
              </w:tc>
              <w:tc>
                <w:tcPr>
                  <w:tcW w:w="256" w:type="pct"/>
                  <w:tcBorders>
                    <w:tl2br w:val="nil"/>
                    <w:tr2bl w:val="nil"/>
                  </w:tcBorders>
                  <w:shd w:val="clear" w:color="auto" w:fill="FFFFFF"/>
                  <w:tcMar>
                    <w:top w:w="0" w:type="dxa"/>
                    <w:left w:w="0" w:type="dxa"/>
                    <w:bottom w:w="0" w:type="dxa"/>
                    <w:right w:w="0" w:type="dxa"/>
                  </w:tcMar>
                  <w:vAlign w:val="center"/>
                </w:tcPr>
                <w:p w14:paraId="342DCEA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减振、隔声</w:t>
                  </w:r>
                </w:p>
              </w:tc>
              <w:tc>
                <w:tcPr>
                  <w:tcW w:w="184" w:type="pct"/>
                  <w:tcBorders>
                    <w:tl2br w:val="nil"/>
                    <w:tr2bl w:val="nil"/>
                  </w:tcBorders>
                  <w:shd w:val="clear" w:color="auto" w:fill="FFFFFF"/>
                  <w:tcMar>
                    <w:top w:w="0" w:type="dxa"/>
                    <w:left w:w="0" w:type="dxa"/>
                    <w:bottom w:w="0" w:type="dxa"/>
                    <w:right w:w="0" w:type="dxa"/>
                  </w:tcMar>
                  <w:vAlign w:val="center"/>
                </w:tcPr>
                <w:p w14:paraId="434FB6C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-129.2</w:t>
                  </w:r>
                </w:p>
              </w:tc>
              <w:tc>
                <w:tcPr>
                  <w:tcW w:w="184" w:type="pct"/>
                  <w:tcBorders>
                    <w:tl2br w:val="nil"/>
                    <w:tr2bl w:val="nil"/>
                  </w:tcBorders>
                  <w:shd w:val="clear" w:color="auto" w:fill="FFFFFF"/>
                  <w:tcMar>
                    <w:top w:w="0" w:type="dxa"/>
                    <w:left w:w="0" w:type="dxa"/>
                    <w:bottom w:w="0" w:type="dxa"/>
                    <w:right w:w="0" w:type="dxa"/>
                  </w:tcMar>
                  <w:vAlign w:val="center"/>
                </w:tcPr>
                <w:p w14:paraId="4BD5894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-11.6</w:t>
                  </w:r>
                </w:p>
              </w:tc>
              <w:tc>
                <w:tcPr>
                  <w:tcW w:w="136" w:type="pct"/>
                  <w:tcBorders>
                    <w:tl2br w:val="nil"/>
                    <w:tr2bl w:val="nil"/>
                  </w:tcBorders>
                  <w:shd w:val="clear" w:color="auto" w:fill="FFFFFF"/>
                  <w:tcMar>
                    <w:top w:w="0" w:type="dxa"/>
                    <w:left w:w="0" w:type="dxa"/>
                    <w:bottom w:w="0" w:type="dxa"/>
                    <w:right w:w="0" w:type="dxa"/>
                  </w:tcMar>
                  <w:vAlign w:val="center"/>
                </w:tcPr>
                <w:p w14:paraId="79B7410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150" w:type="pct"/>
                  <w:tcBorders>
                    <w:tl2br w:val="nil"/>
                    <w:tr2bl w:val="nil"/>
                  </w:tcBorders>
                  <w:shd w:val="clear" w:color="auto" w:fill="FFFFFF"/>
                  <w:tcMar>
                    <w:top w:w="0" w:type="dxa"/>
                    <w:left w:w="0" w:type="dxa"/>
                    <w:bottom w:w="0" w:type="dxa"/>
                    <w:right w:w="0" w:type="dxa"/>
                  </w:tcMar>
                  <w:vAlign w:val="center"/>
                </w:tcPr>
                <w:p w14:paraId="3959FB9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340.4</w:t>
                  </w:r>
                </w:p>
              </w:tc>
              <w:tc>
                <w:tcPr>
                  <w:tcW w:w="150" w:type="pct"/>
                  <w:tcBorders>
                    <w:tl2br w:val="nil"/>
                    <w:tr2bl w:val="nil"/>
                  </w:tcBorders>
                  <w:shd w:val="clear" w:color="auto" w:fill="FFFFFF"/>
                  <w:tcMar>
                    <w:top w:w="0" w:type="dxa"/>
                    <w:left w:w="0" w:type="dxa"/>
                    <w:bottom w:w="0" w:type="dxa"/>
                    <w:right w:w="0" w:type="dxa"/>
                  </w:tcMar>
                  <w:vAlign w:val="center"/>
                </w:tcPr>
                <w:p w14:paraId="659E45C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16.5</w:t>
                  </w:r>
                </w:p>
              </w:tc>
              <w:tc>
                <w:tcPr>
                  <w:tcW w:w="150" w:type="pct"/>
                  <w:tcBorders>
                    <w:tl2br w:val="nil"/>
                    <w:tr2bl w:val="nil"/>
                  </w:tcBorders>
                  <w:shd w:val="clear" w:color="auto" w:fill="FFFFFF"/>
                  <w:tcMar>
                    <w:top w:w="0" w:type="dxa"/>
                    <w:left w:w="0" w:type="dxa"/>
                    <w:bottom w:w="0" w:type="dxa"/>
                    <w:right w:w="0" w:type="dxa"/>
                  </w:tcMar>
                  <w:vAlign w:val="center"/>
                </w:tcPr>
                <w:p w14:paraId="58BCD4D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123.1</w:t>
                  </w:r>
                </w:p>
              </w:tc>
              <w:tc>
                <w:tcPr>
                  <w:tcW w:w="156" w:type="pct"/>
                  <w:tcBorders>
                    <w:tl2br w:val="nil"/>
                    <w:tr2bl w:val="nil"/>
                  </w:tcBorders>
                  <w:shd w:val="clear" w:color="auto" w:fill="FFFFFF"/>
                  <w:tcMar>
                    <w:top w:w="0" w:type="dxa"/>
                    <w:left w:w="0" w:type="dxa"/>
                    <w:bottom w:w="0" w:type="dxa"/>
                    <w:right w:w="0" w:type="dxa"/>
                  </w:tcMar>
                  <w:vAlign w:val="center"/>
                </w:tcPr>
                <w:p w14:paraId="51A1A91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20.8</w:t>
                  </w:r>
                </w:p>
              </w:tc>
              <w:tc>
                <w:tcPr>
                  <w:tcW w:w="150" w:type="pct"/>
                  <w:tcBorders>
                    <w:tl2br w:val="nil"/>
                    <w:tr2bl w:val="nil"/>
                  </w:tcBorders>
                  <w:shd w:val="clear" w:color="auto" w:fill="FFFFFF"/>
                  <w:tcMar>
                    <w:top w:w="0" w:type="dxa"/>
                    <w:left w:w="0" w:type="dxa"/>
                    <w:bottom w:w="0" w:type="dxa"/>
                    <w:right w:w="0" w:type="dxa"/>
                  </w:tcMar>
                  <w:vAlign w:val="center"/>
                </w:tcPr>
                <w:p w14:paraId="6EFBE60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27.9</w:t>
                  </w:r>
                </w:p>
              </w:tc>
              <w:tc>
                <w:tcPr>
                  <w:tcW w:w="150" w:type="pct"/>
                  <w:tcBorders>
                    <w:tl2br w:val="nil"/>
                    <w:tr2bl w:val="nil"/>
                  </w:tcBorders>
                  <w:shd w:val="clear" w:color="auto" w:fill="FFFFFF"/>
                  <w:tcMar>
                    <w:top w:w="0" w:type="dxa"/>
                    <w:left w:w="0" w:type="dxa"/>
                    <w:bottom w:w="0" w:type="dxa"/>
                    <w:right w:w="0" w:type="dxa"/>
                  </w:tcMar>
                  <w:vAlign w:val="center"/>
                </w:tcPr>
                <w:p w14:paraId="3308457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28.1</w:t>
                  </w:r>
                </w:p>
              </w:tc>
              <w:tc>
                <w:tcPr>
                  <w:tcW w:w="150" w:type="pct"/>
                  <w:tcBorders>
                    <w:tl2br w:val="nil"/>
                    <w:tr2bl w:val="nil"/>
                  </w:tcBorders>
                  <w:shd w:val="clear" w:color="auto" w:fill="FFFFFF"/>
                  <w:tcMar>
                    <w:top w:w="0" w:type="dxa"/>
                    <w:left w:w="0" w:type="dxa"/>
                    <w:bottom w:w="0" w:type="dxa"/>
                    <w:right w:w="0" w:type="dxa"/>
                  </w:tcMar>
                  <w:vAlign w:val="center"/>
                </w:tcPr>
                <w:p w14:paraId="4FED4FD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27.9</w:t>
                  </w:r>
                </w:p>
              </w:tc>
              <w:tc>
                <w:tcPr>
                  <w:tcW w:w="156" w:type="pct"/>
                  <w:tcBorders>
                    <w:tl2br w:val="nil"/>
                    <w:tr2bl w:val="nil"/>
                  </w:tcBorders>
                  <w:shd w:val="clear" w:color="auto" w:fill="FFFFFF"/>
                  <w:tcMar>
                    <w:top w:w="0" w:type="dxa"/>
                    <w:left w:w="0" w:type="dxa"/>
                    <w:bottom w:w="0" w:type="dxa"/>
                    <w:right w:w="0" w:type="dxa"/>
                  </w:tcMar>
                  <w:vAlign w:val="center"/>
                </w:tcPr>
                <w:p w14:paraId="765666E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28.0</w:t>
                  </w:r>
                </w:p>
              </w:tc>
              <w:tc>
                <w:tcPr>
                  <w:tcW w:w="256" w:type="pct"/>
                  <w:tcBorders>
                    <w:tl2br w:val="nil"/>
                    <w:tr2bl w:val="nil"/>
                  </w:tcBorders>
                  <w:shd w:val="clear" w:color="auto" w:fill="FFFFFF"/>
                  <w:tcMar>
                    <w:top w:w="0" w:type="dxa"/>
                    <w:left w:w="0" w:type="dxa"/>
                    <w:bottom w:w="0" w:type="dxa"/>
                    <w:right w:w="0" w:type="dxa"/>
                  </w:tcMar>
                  <w:vAlign w:val="center"/>
                </w:tcPr>
                <w:p w14:paraId="5D722A9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w:t>
                  </w:r>
                </w:p>
              </w:tc>
              <w:tc>
                <w:tcPr>
                  <w:tcW w:w="151" w:type="pct"/>
                  <w:tcBorders>
                    <w:tl2br w:val="nil"/>
                    <w:tr2bl w:val="nil"/>
                  </w:tcBorders>
                  <w:shd w:val="clear" w:color="auto" w:fill="FFFFFF"/>
                  <w:tcMar>
                    <w:top w:w="0" w:type="dxa"/>
                    <w:left w:w="0" w:type="dxa"/>
                    <w:bottom w:w="0" w:type="dxa"/>
                    <w:right w:w="0" w:type="dxa"/>
                  </w:tcMar>
                  <w:vAlign w:val="center"/>
                </w:tcPr>
                <w:p w14:paraId="086EE1C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tcBorders>
                    <w:tl2br w:val="nil"/>
                    <w:tr2bl w:val="nil"/>
                  </w:tcBorders>
                  <w:shd w:val="clear" w:color="auto" w:fill="FFFFFF"/>
                  <w:tcMar>
                    <w:top w:w="0" w:type="dxa"/>
                    <w:left w:w="0" w:type="dxa"/>
                    <w:bottom w:w="0" w:type="dxa"/>
                    <w:right w:w="0" w:type="dxa"/>
                  </w:tcMar>
                  <w:vAlign w:val="center"/>
                </w:tcPr>
                <w:p w14:paraId="093C53C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tcBorders>
                    <w:tl2br w:val="nil"/>
                    <w:tr2bl w:val="nil"/>
                  </w:tcBorders>
                  <w:shd w:val="clear" w:color="auto" w:fill="FFFFFF"/>
                  <w:tcMar>
                    <w:top w:w="0" w:type="dxa"/>
                    <w:left w:w="0" w:type="dxa"/>
                    <w:bottom w:w="0" w:type="dxa"/>
                    <w:right w:w="0" w:type="dxa"/>
                  </w:tcMar>
                  <w:vAlign w:val="center"/>
                </w:tcPr>
                <w:p w14:paraId="2A33403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6" w:type="pct"/>
                  <w:tcBorders>
                    <w:tl2br w:val="nil"/>
                    <w:tr2bl w:val="nil"/>
                  </w:tcBorders>
                  <w:shd w:val="clear" w:color="auto" w:fill="FFFFFF"/>
                  <w:tcMar>
                    <w:top w:w="0" w:type="dxa"/>
                    <w:left w:w="0" w:type="dxa"/>
                    <w:bottom w:w="0" w:type="dxa"/>
                    <w:right w:w="0" w:type="dxa"/>
                  </w:tcMar>
                  <w:vAlign w:val="center"/>
                </w:tcPr>
                <w:p w14:paraId="7CA1B97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0" w:type="pct"/>
                  <w:tcBorders>
                    <w:tl2br w:val="nil"/>
                    <w:tr2bl w:val="nil"/>
                  </w:tcBorders>
                  <w:shd w:val="clear" w:color="auto" w:fill="FFFFFF"/>
                  <w:tcMar>
                    <w:top w:w="0" w:type="dxa"/>
                    <w:left w:w="0" w:type="dxa"/>
                    <w:bottom w:w="0" w:type="dxa"/>
                    <w:right w:w="0" w:type="dxa"/>
                  </w:tcMar>
                  <w:vAlign w:val="center"/>
                </w:tcPr>
                <w:p w14:paraId="7779A62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1.9</w:t>
                  </w:r>
                </w:p>
              </w:tc>
              <w:tc>
                <w:tcPr>
                  <w:tcW w:w="151" w:type="pct"/>
                  <w:tcBorders>
                    <w:tl2br w:val="nil"/>
                    <w:tr2bl w:val="nil"/>
                  </w:tcBorders>
                  <w:shd w:val="clear" w:color="auto" w:fill="FFFFFF"/>
                  <w:tcMar>
                    <w:top w:w="0" w:type="dxa"/>
                    <w:left w:w="0" w:type="dxa"/>
                    <w:bottom w:w="0" w:type="dxa"/>
                    <w:right w:w="0" w:type="dxa"/>
                  </w:tcMar>
                  <w:vAlign w:val="center"/>
                </w:tcPr>
                <w:p w14:paraId="05408B7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2.1</w:t>
                  </w:r>
                </w:p>
              </w:tc>
              <w:tc>
                <w:tcPr>
                  <w:tcW w:w="151" w:type="pct"/>
                  <w:tcBorders>
                    <w:tl2br w:val="nil"/>
                    <w:tr2bl w:val="nil"/>
                  </w:tcBorders>
                  <w:shd w:val="clear" w:color="auto" w:fill="FFFFFF"/>
                  <w:tcMar>
                    <w:top w:w="0" w:type="dxa"/>
                    <w:left w:w="0" w:type="dxa"/>
                    <w:bottom w:w="0" w:type="dxa"/>
                    <w:right w:w="0" w:type="dxa"/>
                  </w:tcMar>
                  <w:vAlign w:val="center"/>
                </w:tcPr>
                <w:p w14:paraId="0525B97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1.9</w:t>
                  </w:r>
                </w:p>
              </w:tc>
              <w:tc>
                <w:tcPr>
                  <w:tcW w:w="151" w:type="pct"/>
                  <w:tcBorders>
                    <w:tl2br w:val="nil"/>
                    <w:tr2bl w:val="nil"/>
                  </w:tcBorders>
                  <w:shd w:val="clear" w:color="auto" w:fill="FFFFFF"/>
                  <w:tcMar>
                    <w:top w:w="0" w:type="dxa"/>
                    <w:left w:w="0" w:type="dxa"/>
                    <w:bottom w:w="0" w:type="dxa"/>
                    <w:right w:w="0" w:type="dxa"/>
                  </w:tcMar>
                  <w:vAlign w:val="center"/>
                </w:tcPr>
                <w:p w14:paraId="538E900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2.0</w:t>
                  </w:r>
                </w:p>
              </w:tc>
              <w:tc>
                <w:tcPr>
                  <w:tcW w:w="136" w:type="pct"/>
                  <w:tcBorders>
                    <w:tl2br w:val="nil"/>
                    <w:tr2bl w:val="nil"/>
                  </w:tcBorders>
                  <w:shd w:val="clear" w:color="auto" w:fill="FFFFFF"/>
                  <w:tcMar>
                    <w:top w:w="0" w:type="dxa"/>
                    <w:left w:w="0" w:type="dxa"/>
                    <w:bottom w:w="0" w:type="dxa"/>
                    <w:right w:w="0" w:type="dxa"/>
                  </w:tcMar>
                  <w:vAlign w:val="center"/>
                </w:tcPr>
                <w:p w14:paraId="7AC6EABF">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1</w:t>
                  </w:r>
                </w:p>
              </w:tc>
            </w:tr>
            <w:bookmarkEnd w:id="6"/>
            <w:tr w14:paraId="160BA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shd w:val="clear" w:color="auto" w:fill="auto"/>
                  <w:vAlign w:val="center"/>
                </w:tcPr>
                <w:p w14:paraId="0C18DA82">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5</w:t>
                  </w:r>
                </w:p>
              </w:tc>
              <w:tc>
                <w:tcPr>
                  <w:tcW w:w="256" w:type="pct"/>
                  <w:shd w:val="clear" w:color="auto" w:fill="FFFFFF"/>
                  <w:vAlign w:val="center"/>
                </w:tcPr>
                <w:p w14:paraId="111C122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镀膜车间</w:t>
                  </w:r>
                </w:p>
              </w:tc>
              <w:tc>
                <w:tcPr>
                  <w:tcW w:w="540" w:type="pct"/>
                  <w:shd w:val="clear" w:color="auto" w:fill="FFFFFF"/>
                  <w:vAlign w:val="center"/>
                </w:tcPr>
                <w:p w14:paraId="522EB28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覆膜机</w:t>
                  </w:r>
                </w:p>
              </w:tc>
              <w:tc>
                <w:tcPr>
                  <w:tcW w:w="363" w:type="pct"/>
                  <w:shd w:val="clear" w:color="auto" w:fill="FFFFFF"/>
                  <w:vAlign w:val="center"/>
                </w:tcPr>
                <w:p w14:paraId="10C786D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70</w:t>
                  </w:r>
                </w:p>
              </w:tc>
              <w:tc>
                <w:tcPr>
                  <w:tcW w:w="256" w:type="pct"/>
                  <w:shd w:val="clear" w:color="auto" w:fill="FFFFFF"/>
                  <w:vAlign w:val="center"/>
                </w:tcPr>
                <w:p w14:paraId="326B88A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减振、隔声</w:t>
                  </w:r>
                </w:p>
              </w:tc>
              <w:tc>
                <w:tcPr>
                  <w:tcW w:w="184" w:type="pct"/>
                  <w:shd w:val="clear" w:color="auto" w:fill="FFFFFF"/>
                  <w:vAlign w:val="center"/>
                </w:tcPr>
                <w:p w14:paraId="1F990E6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90.2</w:t>
                  </w:r>
                </w:p>
              </w:tc>
              <w:tc>
                <w:tcPr>
                  <w:tcW w:w="184" w:type="pct"/>
                  <w:shd w:val="clear" w:color="auto" w:fill="FFFFFF"/>
                  <w:vAlign w:val="center"/>
                </w:tcPr>
                <w:p w14:paraId="3E663CC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22</w:t>
                  </w:r>
                </w:p>
              </w:tc>
              <w:tc>
                <w:tcPr>
                  <w:tcW w:w="136" w:type="pct"/>
                  <w:shd w:val="clear" w:color="auto" w:fill="FFFFFF"/>
                  <w:vAlign w:val="center"/>
                </w:tcPr>
                <w:p w14:paraId="52E78AA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150" w:type="pct"/>
                  <w:shd w:val="clear" w:color="auto" w:fill="FFFFFF"/>
                  <w:vAlign w:val="center"/>
                </w:tcPr>
                <w:p w14:paraId="1924F5A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118.9</w:t>
                  </w:r>
                </w:p>
              </w:tc>
              <w:tc>
                <w:tcPr>
                  <w:tcW w:w="150" w:type="pct"/>
                  <w:shd w:val="clear" w:color="auto" w:fill="FFFFFF"/>
                  <w:vAlign w:val="center"/>
                </w:tcPr>
                <w:p w14:paraId="4706F07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16.2</w:t>
                  </w:r>
                </w:p>
              </w:tc>
              <w:tc>
                <w:tcPr>
                  <w:tcW w:w="150" w:type="pct"/>
                  <w:shd w:val="clear" w:color="auto" w:fill="FFFFFF"/>
                  <w:vAlign w:val="center"/>
                </w:tcPr>
                <w:p w14:paraId="59CCD07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98.7</w:t>
                  </w:r>
                </w:p>
              </w:tc>
              <w:tc>
                <w:tcPr>
                  <w:tcW w:w="156" w:type="pct"/>
                  <w:shd w:val="clear" w:color="auto" w:fill="FFFFFF"/>
                  <w:vAlign w:val="center"/>
                </w:tcPr>
                <w:p w14:paraId="75891CC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15.6</w:t>
                  </w:r>
                </w:p>
              </w:tc>
              <w:tc>
                <w:tcPr>
                  <w:tcW w:w="150" w:type="pct"/>
                  <w:shd w:val="clear" w:color="auto" w:fill="FFFFFF"/>
                  <w:vAlign w:val="center"/>
                </w:tcPr>
                <w:p w14:paraId="4869032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27.9</w:t>
                  </w:r>
                </w:p>
              </w:tc>
              <w:tc>
                <w:tcPr>
                  <w:tcW w:w="150" w:type="pct"/>
                  <w:shd w:val="clear" w:color="auto" w:fill="FFFFFF"/>
                  <w:vAlign w:val="center"/>
                </w:tcPr>
                <w:p w14:paraId="24549AA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28.1</w:t>
                  </w:r>
                </w:p>
              </w:tc>
              <w:tc>
                <w:tcPr>
                  <w:tcW w:w="150" w:type="pct"/>
                  <w:shd w:val="clear" w:color="auto" w:fill="FFFFFF"/>
                  <w:vAlign w:val="center"/>
                </w:tcPr>
                <w:p w14:paraId="22CEC44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27.9</w:t>
                  </w:r>
                </w:p>
              </w:tc>
              <w:tc>
                <w:tcPr>
                  <w:tcW w:w="156" w:type="pct"/>
                  <w:shd w:val="clear" w:color="auto" w:fill="FFFFFF"/>
                  <w:vAlign w:val="center"/>
                </w:tcPr>
                <w:p w14:paraId="07AB885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28.1</w:t>
                  </w:r>
                </w:p>
              </w:tc>
              <w:tc>
                <w:tcPr>
                  <w:tcW w:w="256" w:type="pct"/>
                  <w:shd w:val="clear" w:color="auto" w:fill="FFFFFF"/>
                  <w:vAlign w:val="center"/>
                </w:tcPr>
                <w:p w14:paraId="38D5BC5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w:t>
                  </w:r>
                </w:p>
              </w:tc>
              <w:tc>
                <w:tcPr>
                  <w:tcW w:w="151" w:type="pct"/>
                  <w:shd w:val="clear" w:color="auto" w:fill="FFFFFF"/>
                  <w:vAlign w:val="center"/>
                </w:tcPr>
                <w:p w14:paraId="2DDC693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shd w:val="clear" w:color="auto" w:fill="FFFFFF"/>
                  <w:vAlign w:val="center"/>
                </w:tcPr>
                <w:p w14:paraId="4AF69D4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shd w:val="clear" w:color="auto" w:fill="FFFFFF"/>
                  <w:vAlign w:val="center"/>
                </w:tcPr>
                <w:p w14:paraId="3D3CE11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6" w:type="pct"/>
                  <w:shd w:val="clear" w:color="auto" w:fill="FFFFFF"/>
                  <w:vAlign w:val="center"/>
                </w:tcPr>
                <w:p w14:paraId="299B8AA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0" w:type="pct"/>
                  <w:shd w:val="clear" w:color="auto" w:fill="FFFFFF"/>
                  <w:vAlign w:val="center"/>
                </w:tcPr>
                <w:p w14:paraId="17494D7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1.9</w:t>
                  </w:r>
                </w:p>
              </w:tc>
              <w:tc>
                <w:tcPr>
                  <w:tcW w:w="151" w:type="pct"/>
                  <w:shd w:val="clear" w:color="auto" w:fill="FFFFFF"/>
                  <w:vAlign w:val="center"/>
                </w:tcPr>
                <w:p w14:paraId="730E69C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2.1</w:t>
                  </w:r>
                </w:p>
              </w:tc>
              <w:tc>
                <w:tcPr>
                  <w:tcW w:w="151" w:type="pct"/>
                  <w:shd w:val="clear" w:color="auto" w:fill="FFFFFF"/>
                  <w:vAlign w:val="center"/>
                </w:tcPr>
                <w:p w14:paraId="60C991E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1.9</w:t>
                  </w:r>
                </w:p>
              </w:tc>
              <w:tc>
                <w:tcPr>
                  <w:tcW w:w="151" w:type="pct"/>
                  <w:shd w:val="clear" w:color="auto" w:fill="FFFFFF"/>
                  <w:vAlign w:val="center"/>
                </w:tcPr>
                <w:p w14:paraId="3F06189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2.1</w:t>
                  </w:r>
                </w:p>
              </w:tc>
              <w:tc>
                <w:tcPr>
                  <w:tcW w:w="136" w:type="pct"/>
                  <w:shd w:val="clear" w:color="auto" w:fill="FFFFFF"/>
                  <w:vAlign w:val="center"/>
                </w:tcPr>
                <w:p w14:paraId="6ADD92BB">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1</w:t>
                  </w:r>
                </w:p>
              </w:tc>
            </w:tr>
            <w:tr w14:paraId="618D22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shd w:val="clear" w:color="auto" w:fill="auto"/>
                  <w:vAlign w:val="center"/>
                </w:tcPr>
                <w:p w14:paraId="66BFF5A6">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6</w:t>
                  </w:r>
                </w:p>
              </w:tc>
              <w:tc>
                <w:tcPr>
                  <w:tcW w:w="256" w:type="pct"/>
                  <w:shd w:val="clear" w:color="auto" w:fill="FFFFFF"/>
                  <w:vAlign w:val="center"/>
                </w:tcPr>
                <w:p w14:paraId="24FFAA2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镀膜车间</w:t>
                  </w:r>
                </w:p>
              </w:tc>
              <w:tc>
                <w:tcPr>
                  <w:tcW w:w="540" w:type="pct"/>
                  <w:shd w:val="clear" w:color="auto" w:fill="FFFFFF"/>
                  <w:vAlign w:val="center"/>
                </w:tcPr>
                <w:p w14:paraId="7CD472B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空压机1</w:t>
                  </w:r>
                </w:p>
              </w:tc>
              <w:tc>
                <w:tcPr>
                  <w:tcW w:w="363" w:type="pct"/>
                  <w:shd w:val="clear" w:color="auto" w:fill="FFFFFF"/>
                  <w:vAlign w:val="center"/>
                </w:tcPr>
                <w:p w14:paraId="74AA923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90</w:t>
                  </w:r>
                </w:p>
              </w:tc>
              <w:tc>
                <w:tcPr>
                  <w:tcW w:w="256" w:type="pct"/>
                  <w:shd w:val="clear" w:color="auto" w:fill="FFFFFF"/>
                  <w:vAlign w:val="center"/>
                </w:tcPr>
                <w:p w14:paraId="1EB3909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减振、隔声</w:t>
                  </w:r>
                </w:p>
              </w:tc>
              <w:tc>
                <w:tcPr>
                  <w:tcW w:w="184" w:type="pct"/>
                  <w:shd w:val="clear" w:color="auto" w:fill="FFFFFF"/>
                  <w:vAlign w:val="center"/>
                </w:tcPr>
                <w:p w14:paraId="032E53E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-8.2</w:t>
                  </w:r>
                </w:p>
              </w:tc>
              <w:tc>
                <w:tcPr>
                  <w:tcW w:w="184" w:type="pct"/>
                  <w:shd w:val="clear" w:color="auto" w:fill="FFFFFF"/>
                  <w:vAlign w:val="center"/>
                </w:tcPr>
                <w:p w14:paraId="083D32A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3.3</w:t>
                  </w:r>
                </w:p>
              </w:tc>
              <w:tc>
                <w:tcPr>
                  <w:tcW w:w="136" w:type="pct"/>
                  <w:shd w:val="clear" w:color="auto" w:fill="FFFFFF"/>
                  <w:vAlign w:val="center"/>
                </w:tcPr>
                <w:p w14:paraId="0F4179B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150" w:type="pct"/>
                  <w:shd w:val="clear" w:color="auto" w:fill="FFFFFF"/>
                  <w:vAlign w:val="center"/>
                </w:tcPr>
                <w:p w14:paraId="51B6ACD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219.0</w:t>
                  </w:r>
                </w:p>
              </w:tc>
              <w:tc>
                <w:tcPr>
                  <w:tcW w:w="150" w:type="pct"/>
                  <w:shd w:val="clear" w:color="auto" w:fill="FFFFFF"/>
                  <w:vAlign w:val="center"/>
                </w:tcPr>
                <w:p w14:paraId="7FA05B6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12.7</w:t>
                  </w:r>
                </w:p>
              </w:tc>
              <w:tc>
                <w:tcPr>
                  <w:tcW w:w="150" w:type="pct"/>
                  <w:shd w:val="clear" w:color="auto" w:fill="FFFFFF"/>
                  <w:vAlign w:val="center"/>
                </w:tcPr>
                <w:p w14:paraId="72F0DFD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1.3</w:t>
                  </w:r>
                </w:p>
              </w:tc>
              <w:tc>
                <w:tcPr>
                  <w:tcW w:w="156" w:type="pct"/>
                  <w:shd w:val="clear" w:color="auto" w:fill="FFFFFF"/>
                  <w:vAlign w:val="center"/>
                </w:tcPr>
                <w:p w14:paraId="1ED1AD4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21.6</w:t>
                  </w:r>
                </w:p>
              </w:tc>
              <w:tc>
                <w:tcPr>
                  <w:tcW w:w="150" w:type="pct"/>
                  <w:shd w:val="clear" w:color="auto" w:fill="FFFFFF"/>
                  <w:vAlign w:val="center"/>
                </w:tcPr>
                <w:p w14:paraId="67AD5E9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47.9</w:t>
                  </w:r>
                </w:p>
              </w:tc>
              <w:tc>
                <w:tcPr>
                  <w:tcW w:w="150" w:type="pct"/>
                  <w:shd w:val="clear" w:color="auto" w:fill="FFFFFF"/>
                  <w:vAlign w:val="center"/>
                </w:tcPr>
                <w:p w14:paraId="4C6B856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48.3</w:t>
                  </w:r>
                </w:p>
              </w:tc>
              <w:tc>
                <w:tcPr>
                  <w:tcW w:w="150" w:type="pct"/>
                  <w:shd w:val="clear" w:color="auto" w:fill="FFFFFF"/>
                  <w:vAlign w:val="center"/>
                </w:tcPr>
                <w:p w14:paraId="0209945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57.3</w:t>
                  </w:r>
                </w:p>
              </w:tc>
              <w:tc>
                <w:tcPr>
                  <w:tcW w:w="156" w:type="pct"/>
                  <w:shd w:val="clear" w:color="auto" w:fill="FFFFFF"/>
                  <w:vAlign w:val="center"/>
                </w:tcPr>
                <w:p w14:paraId="750946E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48.0</w:t>
                  </w:r>
                </w:p>
              </w:tc>
              <w:tc>
                <w:tcPr>
                  <w:tcW w:w="256" w:type="pct"/>
                  <w:shd w:val="clear" w:color="auto" w:fill="FFFFFF"/>
                  <w:vAlign w:val="center"/>
                </w:tcPr>
                <w:p w14:paraId="57CCD79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w:t>
                  </w:r>
                </w:p>
              </w:tc>
              <w:tc>
                <w:tcPr>
                  <w:tcW w:w="151" w:type="pct"/>
                  <w:shd w:val="clear" w:color="auto" w:fill="FFFFFF"/>
                  <w:vAlign w:val="center"/>
                </w:tcPr>
                <w:p w14:paraId="0F3E53F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shd w:val="clear" w:color="auto" w:fill="FFFFFF"/>
                  <w:vAlign w:val="center"/>
                </w:tcPr>
                <w:p w14:paraId="02507F2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shd w:val="clear" w:color="auto" w:fill="FFFFFF"/>
                  <w:vAlign w:val="center"/>
                </w:tcPr>
                <w:p w14:paraId="6A30057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6" w:type="pct"/>
                  <w:shd w:val="clear" w:color="auto" w:fill="FFFFFF"/>
                  <w:vAlign w:val="center"/>
                </w:tcPr>
                <w:p w14:paraId="4FCB0F5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0" w:type="pct"/>
                  <w:shd w:val="clear" w:color="auto" w:fill="FFFFFF"/>
                  <w:vAlign w:val="center"/>
                </w:tcPr>
                <w:p w14:paraId="3854402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21.9</w:t>
                  </w:r>
                </w:p>
              </w:tc>
              <w:tc>
                <w:tcPr>
                  <w:tcW w:w="151" w:type="pct"/>
                  <w:shd w:val="clear" w:color="auto" w:fill="FFFFFF"/>
                  <w:vAlign w:val="center"/>
                </w:tcPr>
                <w:p w14:paraId="070A321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22.3</w:t>
                  </w:r>
                </w:p>
              </w:tc>
              <w:tc>
                <w:tcPr>
                  <w:tcW w:w="151" w:type="pct"/>
                  <w:shd w:val="clear" w:color="auto" w:fill="FFFFFF"/>
                  <w:vAlign w:val="center"/>
                </w:tcPr>
                <w:p w14:paraId="3897A03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31.3</w:t>
                  </w:r>
                </w:p>
              </w:tc>
              <w:tc>
                <w:tcPr>
                  <w:tcW w:w="151" w:type="pct"/>
                  <w:shd w:val="clear" w:color="auto" w:fill="FFFFFF"/>
                  <w:vAlign w:val="center"/>
                </w:tcPr>
                <w:p w14:paraId="6B3B923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22.0</w:t>
                  </w:r>
                </w:p>
              </w:tc>
              <w:tc>
                <w:tcPr>
                  <w:tcW w:w="136" w:type="pct"/>
                  <w:shd w:val="clear" w:color="auto" w:fill="FFFFFF"/>
                  <w:vAlign w:val="center"/>
                </w:tcPr>
                <w:p w14:paraId="7A5DBCB8">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1</w:t>
                  </w:r>
                </w:p>
              </w:tc>
            </w:tr>
            <w:tr w14:paraId="503A57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shd w:val="clear" w:color="auto" w:fill="auto"/>
                  <w:vAlign w:val="center"/>
                </w:tcPr>
                <w:p w14:paraId="4F15C684">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7</w:t>
                  </w:r>
                </w:p>
              </w:tc>
              <w:tc>
                <w:tcPr>
                  <w:tcW w:w="256" w:type="pct"/>
                  <w:shd w:val="clear" w:color="auto" w:fill="FFFFFF"/>
                  <w:vAlign w:val="center"/>
                </w:tcPr>
                <w:p w14:paraId="6600D86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镀膜车间</w:t>
                  </w:r>
                </w:p>
              </w:tc>
              <w:tc>
                <w:tcPr>
                  <w:tcW w:w="540" w:type="pct"/>
                  <w:shd w:val="clear" w:color="auto" w:fill="FFFFFF"/>
                  <w:vAlign w:val="center"/>
                </w:tcPr>
                <w:p w14:paraId="7F6B5B2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空压机2</w:t>
                  </w:r>
                </w:p>
              </w:tc>
              <w:tc>
                <w:tcPr>
                  <w:tcW w:w="363" w:type="pct"/>
                  <w:shd w:val="clear" w:color="auto" w:fill="FFFFFF"/>
                  <w:vAlign w:val="center"/>
                </w:tcPr>
                <w:p w14:paraId="700CE1F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90</w:t>
                  </w:r>
                </w:p>
              </w:tc>
              <w:tc>
                <w:tcPr>
                  <w:tcW w:w="256" w:type="pct"/>
                  <w:shd w:val="clear" w:color="auto" w:fill="FFFFFF"/>
                  <w:vAlign w:val="center"/>
                </w:tcPr>
                <w:p w14:paraId="60EB5A9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减振、隔声</w:t>
                  </w:r>
                </w:p>
              </w:tc>
              <w:tc>
                <w:tcPr>
                  <w:tcW w:w="184" w:type="pct"/>
                  <w:shd w:val="clear" w:color="auto" w:fill="FFFFFF"/>
                  <w:vAlign w:val="center"/>
                </w:tcPr>
                <w:p w14:paraId="64159AF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11.9</w:t>
                  </w:r>
                </w:p>
              </w:tc>
              <w:tc>
                <w:tcPr>
                  <w:tcW w:w="184" w:type="pct"/>
                  <w:shd w:val="clear" w:color="auto" w:fill="FFFFFF"/>
                  <w:vAlign w:val="center"/>
                </w:tcPr>
                <w:p w14:paraId="5EC0BB0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7.3</w:t>
                  </w:r>
                </w:p>
              </w:tc>
              <w:tc>
                <w:tcPr>
                  <w:tcW w:w="136" w:type="pct"/>
                  <w:shd w:val="clear" w:color="auto" w:fill="FFFFFF"/>
                  <w:vAlign w:val="center"/>
                </w:tcPr>
                <w:p w14:paraId="0B95E81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150" w:type="pct"/>
                  <w:shd w:val="clear" w:color="auto" w:fill="FFFFFF"/>
                  <w:vAlign w:val="center"/>
                </w:tcPr>
                <w:p w14:paraId="063EA87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198.5</w:t>
                  </w:r>
                </w:p>
              </w:tc>
              <w:tc>
                <w:tcPr>
                  <w:tcW w:w="150" w:type="pct"/>
                  <w:shd w:val="clear" w:color="auto" w:fill="FFFFFF"/>
                  <w:vAlign w:val="center"/>
                </w:tcPr>
                <w:p w14:paraId="3909720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13.6</w:t>
                  </w:r>
                </w:p>
              </w:tc>
              <w:tc>
                <w:tcPr>
                  <w:tcW w:w="150" w:type="pct"/>
                  <w:shd w:val="clear" w:color="auto" w:fill="FFFFFF"/>
                  <w:vAlign w:val="center"/>
                </w:tcPr>
                <w:p w14:paraId="431C486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19.1</w:t>
                  </w:r>
                </w:p>
              </w:tc>
              <w:tc>
                <w:tcPr>
                  <w:tcW w:w="156" w:type="pct"/>
                  <w:shd w:val="clear" w:color="auto" w:fill="FFFFFF"/>
                  <w:vAlign w:val="center"/>
                </w:tcPr>
                <w:p w14:paraId="4FB5A71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20.2</w:t>
                  </w:r>
                </w:p>
              </w:tc>
              <w:tc>
                <w:tcPr>
                  <w:tcW w:w="150" w:type="pct"/>
                  <w:shd w:val="clear" w:color="auto" w:fill="FFFFFF"/>
                  <w:vAlign w:val="center"/>
                </w:tcPr>
                <w:p w14:paraId="45E1B57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47.9</w:t>
                  </w:r>
                </w:p>
              </w:tc>
              <w:tc>
                <w:tcPr>
                  <w:tcW w:w="150" w:type="pct"/>
                  <w:shd w:val="clear" w:color="auto" w:fill="FFFFFF"/>
                  <w:vAlign w:val="center"/>
                </w:tcPr>
                <w:p w14:paraId="29B6FD0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48.2</w:t>
                  </w:r>
                </w:p>
              </w:tc>
              <w:tc>
                <w:tcPr>
                  <w:tcW w:w="150" w:type="pct"/>
                  <w:shd w:val="clear" w:color="auto" w:fill="FFFFFF"/>
                  <w:vAlign w:val="center"/>
                </w:tcPr>
                <w:p w14:paraId="577E20E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48.1</w:t>
                  </w:r>
                </w:p>
              </w:tc>
              <w:tc>
                <w:tcPr>
                  <w:tcW w:w="156" w:type="pct"/>
                  <w:shd w:val="clear" w:color="auto" w:fill="FFFFFF"/>
                  <w:vAlign w:val="center"/>
                </w:tcPr>
                <w:p w14:paraId="5929604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48.1</w:t>
                  </w:r>
                </w:p>
              </w:tc>
              <w:tc>
                <w:tcPr>
                  <w:tcW w:w="256" w:type="pct"/>
                  <w:shd w:val="clear" w:color="auto" w:fill="FFFFFF"/>
                  <w:vAlign w:val="center"/>
                </w:tcPr>
                <w:p w14:paraId="6E98859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w:t>
                  </w:r>
                </w:p>
              </w:tc>
              <w:tc>
                <w:tcPr>
                  <w:tcW w:w="151" w:type="pct"/>
                  <w:shd w:val="clear" w:color="auto" w:fill="FFFFFF"/>
                  <w:vAlign w:val="center"/>
                </w:tcPr>
                <w:p w14:paraId="15C60FB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shd w:val="clear" w:color="auto" w:fill="FFFFFF"/>
                  <w:vAlign w:val="center"/>
                </w:tcPr>
                <w:p w14:paraId="1948D29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shd w:val="clear" w:color="auto" w:fill="FFFFFF"/>
                  <w:vAlign w:val="center"/>
                </w:tcPr>
                <w:p w14:paraId="03F6A85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6" w:type="pct"/>
                  <w:shd w:val="clear" w:color="auto" w:fill="FFFFFF"/>
                  <w:vAlign w:val="center"/>
                </w:tcPr>
                <w:p w14:paraId="50D7DF9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0" w:type="pct"/>
                  <w:shd w:val="clear" w:color="auto" w:fill="FFFFFF"/>
                  <w:vAlign w:val="center"/>
                </w:tcPr>
                <w:p w14:paraId="0F8CBD8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21.9</w:t>
                  </w:r>
                </w:p>
              </w:tc>
              <w:tc>
                <w:tcPr>
                  <w:tcW w:w="151" w:type="pct"/>
                  <w:shd w:val="clear" w:color="auto" w:fill="FFFFFF"/>
                  <w:vAlign w:val="center"/>
                </w:tcPr>
                <w:p w14:paraId="5C46584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22.2</w:t>
                  </w:r>
                </w:p>
              </w:tc>
              <w:tc>
                <w:tcPr>
                  <w:tcW w:w="151" w:type="pct"/>
                  <w:shd w:val="clear" w:color="auto" w:fill="FFFFFF"/>
                  <w:vAlign w:val="center"/>
                </w:tcPr>
                <w:p w14:paraId="12F05CB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22.1</w:t>
                  </w:r>
                </w:p>
              </w:tc>
              <w:tc>
                <w:tcPr>
                  <w:tcW w:w="151" w:type="pct"/>
                  <w:shd w:val="clear" w:color="auto" w:fill="FFFFFF"/>
                  <w:vAlign w:val="center"/>
                </w:tcPr>
                <w:p w14:paraId="1467AEB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22.1</w:t>
                  </w:r>
                </w:p>
              </w:tc>
              <w:tc>
                <w:tcPr>
                  <w:tcW w:w="136" w:type="pct"/>
                  <w:shd w:val="clear" w:color="auto" w:fill="FFFFFF"/>
                  <w:vAlign w:val="center"/>
                </w:tcPr>
                <w:p w14:paraId="7AF74D0B">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1</w:t>
                  </w:r>
                </w:p>
              </w:tc>
            </w:tr>
            <w:tr w14:paraId="2ADBC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56" w:type="pct"/>
                  <w:shd w:val="clear" w:color="auto" w:fill="auto"/>
                  <w:vAlign w:val="center"/>
                </w:tcPr>
                <w:p w14:paraId="6BA51588">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8</w:t>
                  </w:r>
                </w:p>
              </w:tc>
              <w:tc>
                <w:tcPr>
                  <w:tcW w:w="256" w:type="pct"/>
                  <w:shd w:val="clear" w:color="auto" w:fill="FFFFFF"/>
                  <w:vAlign w:val="center"/>
                </w:tcPr>
                <w:p w14:paraId="2DCCE50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镀膜车间</w:t>
                  </w:r>
                </w:p>
              </w:tc>
              <w:tc>
                <w:tcPr>
                  <w:tcW w:w="540" w:type="pct"/>
                  <w:shd w:val="clear" w:color="auto" w:fill="FFFFFF"/>
                  <w:vAlign w:val="center"/>
                </w:tcPr>
                <w:p w14:paraId="781B523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喷粉机</w:t>
                  </w:r>
                </w:p>
              </w:tc>
              <w:tc>
                <w:tcPr>
                  <w:tcW w:w="363" w:type="pct"/>
                  <w:shd w:val="clear" w:color="auto" w:fill="FFFFFF"/>
                  <w:vAlign w:val="center"/>
                </w:tcPr>
                <w:p w14:paraId="1676771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80</w:t>
                  </w:r>
                </w:p>
              </w:tc>
              <w:tc>
                <w:tcPr>
                  <w:tcW w:w="256" w:type="pct"/>
                  <w:shd w:val="clear" w:color="auto" w:fill="FFFFFF"/>
                  <w:vAlign w:val="center"/>
                </w:tcPr>
                <w:p w14:paraId="1662955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减振、隔声</w:t>
                  </w:r>
                </w:p>
              </w:tc>
              <w:tc>
                <w:tcPr>
                  <w:tcW w:w="184" w:type="pct"/>
                  <w:shd w:val="clear" w:color="auto" w:fill="FFFFFF"/>
                  <w:vAlign w:val="center"/>
                </w:tcPr>
                <w:p w14:paraId="574F9DC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24.3</w:t>
                  </w:r>
                </w:p>
              </w:tc>
              <w:tc>
                <w:tcPr>
                  <w:tcW w:w="184" w:type="pct"/>
                  <w:shd w:val="clear" w:color="auto" w:fill="FFFFFF"/>
                  <w:vAlign w:val="center"/>
                </w:tcPr>
                <w:p w14:paraId="0C547AF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8.2</w:t>
                  </w:r>
                </w:p>
              </w:tc>
              <w:tc>
                <w:tcPr>
                  <w:tcW w:w="136" w:type="pct"/>
                  <w:shd w:val="clear" w:color="auto" w:fill="FFFFFF"/>
                  <w:vAlign w:val="center"/>
                </w:tcPr>
                <w:p w14:paraId="136A407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150" w:type="pct"/>
                  <w:shd w:val="clear" w:color="auto" w:fill="FFFFFF"/>
                  <w:vAlign w:val="center"/>
                </w:tcPr>
                <w:p w14:paraId="1FB7F3D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186.2</w:t>
                  </w:r>
                </w:p>
              </w:tc>
              <w:tc>
                <w:tcPr>
                  <w:tcW w:w="150" w:type="pct"/>
                  <w:shd w:val="clear" w:color="auto" w:fill="FFFFFF"/>
                  <w:vAlign w:val="center"/>
                </w:tcPr>
                <w:p w14:paraId="7D9FA85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12.6</w:t>
                  </w:r>
                </w:p>
              </w:tc>
              <w:tc>
                <w:tcPr>
                  <w:tcW w:w="150" w:type="pct"/>
                  <w:shd w:val="clear" w:color="auto" w:fill="FFFFFF"/>
                  <w:vAlign w:val="center"/>
                </w:tcPr>
                <w:p w14:paraId="728F080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31.5</w:t>
                  </w:r>
                </w:p>
              </w:tc>
              <w:tc>
                <w:tcPr>
                  <w:tcW w:w="156" w:type="pct"/>
                  <w:shd w:val="clear" w:color="auto" w:fill="FFFFFF"/>
                  <w:vAlign w:val="center"/>
                </w:tcPr>
                <w:p w14:paraId="2195EC8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20.9</w:t>
                  </w:r>
                </w:p>
              </w:tc>
              <w:tc>
                <w:tcPr>
                  <w:tcW w:w="150" w:type="pct"/>
                  <w:shd w:val="clear" w:color="auto" w:fill="FFFFFF"/>
                  <w:vAlign w:val="center"/>
                </w:tcPr>
                <w:p w14:paraId="51DAAA8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37.9</w:t>
                  </w:r>
                </w:p>
              </w:tc>
              <w:tc>
                <w:tcPr>
                  <w:tcW w:w="150" w:type="pct"/>
                  <w:shd w:val="clear" w:color="auto" w:fill="FFFFFF"/>
                  <w:vAlign w:val="center"/>
                </w:tcPr>
                <w:p w14:paraId="6463048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38.3</w:t>
                  </w:r>
                </w:p>
              </w:tc>
              <w:tc>
                <w:tcPr>
                  <w:tcW w:w="150" w:type="pct"/>
                  <w:shd w:val="clear" w:color="auto" w:fill="FFFFFF"/>
                  <w:vAlign w:val="center"/>
                </w:tcPr>
                <w:p w14:paraId="39C353E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38.0</w:t>
                  </w:r>
                </w:p>
              </w:tc>
              <w:tc>
                <w:tcPr>
                  <w:tcW w:w="156" w:type="pct"/>
                  <w:shd w:val="clear" w:color="auto" w:fill="FFFFFF"/>
                  <w:vAlign w:val="center"/>
                </w:tcPr>
                <w:p w14:paraId="309A92D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38.0</w:t>
                  </w:r>
                </w:p>
              </w:tc>
              <w:tc>
                <w:tcPr>
                  <w:tcW w:w="256" w:type="pct"/>
                  <w:shd w:val="clear" w:color="auto" w:fill="FFFFFF"/>
                  <w:vAlign w:val="center"/>
                </w:tcPr>
                <w:p w14:paraId="0067A3D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24</w:t>
                  </w:r>
                </w:p>
              </w:tc>
              <w:tc>
                <w:tcPr>
                  <w:tcW w:w="151" w:type="pct"/>
                  <w:shd w:val="clear" w:color="auto" w:fill="FFFFFF"/>
                  <w:vAlign w:val="center"/>
                </w:tcPr>
                <w:p w14:paraId="54FB848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shd w:val="clear" w:color="auto" w:fill="FFFFFF"/>
                  <w:vAlign w:val="center"/>
                </w:tcPr>
                <w:p w14:paraId="45DB45E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1" w:type="pct"/>
                  <w:shd w:val="clear" w:color="auto" w:fill="FFFFFF"/>
                  <w:vAlign w:val="center"/>
                </w:tcPr>
                <w:p w14:paraId="7C8186C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6" w:type="pct"/>
                  <w:shd w:val="clear" w:color="auto" w:fill="FFFFFF"/>
                  <w:vAlign w:val="center"/>
                </w:tcPr>
                <w:p w14:paraId="37449DD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26.0</w:t>
                  </w:r>
                </w:p>
              </w:tc>
              <w:tc>
                <w:tcPr>
                  <w:tcW w:w="150" w:type="pct"/>
                  <w:shd w:val="clear" w:color="auto" w:fill="FFFFFF"/>
                  <w:vAlign w:val="center"/>
                </w:tcPr>
                <w:p w14:paraId="21F7927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11.9</w:t>
                  </w:r>
                </w:p>
              </w:tc>
              <w:tc>
                <w:tcPr>
                  <w:tcW w:w="151" w:type="pct"/>
                  <w:shd w:val="clear" w:color="auto" w:fill="FFFFFF"/>
                  <w:vAlign w:val="center"/>
                </w:tcPr>
                <w:p w14:paraId="778102A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12.3</w:t>
                  </w:r>
                </w:p>
              </w:tc>
              <w:tc>
                <w:tcPr>
                  <w:tcW w:w="151" w:type="pct"/>
                  <w:shd w:val="clear" w:color="auto" w:fill="FFFFFF"/>
                  <w:vAlign w:val="center"/>
                </w:tcPr>
                <w:p w14:paraId="314FD20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12.0</w:t>
                  </w:r>
                </w:p>
              </w:tc>
              <w:tc>
                <w:tcPr>
                  <w:tcW w:w="151" w:type="pct"/>
                  <w:shd w:val="clear" w:color="auto" w:fill="FFFFFF"/>
                  <w:vAlign w:val="center"/>
                </w:tcPr>
                <w:p w14:paraId="1E8549A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12.0</w:t>
                  </w:r>
                </w:p>
              </w:tc>
              <w:tc>
                <w:tcPr>
                  <w:tcW w:w="136" w:type="pct"/>
                  <w:shd w:val="clear" w:color="auto" w:fill="FFFFFF"/>
                  <w:vAlign w:val="center"/>
                </w:tcPr>
                <w:p w14:paraId="53FDA2CB">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1</w:t>
                  </w:r>
                </w:p>
              </w:tc>
            </w:tr>
          </w:tbl>
          <w:p w14:paraId="5A44573C">
            <w:pPr>
              <w:pStyle w:val="88"/>
              <w:keepNext w:val="0"/>
              <w:keepLines w:val="0"/>
              <w:suppressLineNumbers w:val="0"/>
              <w:spacing w:before="0" w:beforeAutospacing="0" w:after="0" w:afterAutospacing="0"/>
              <w:ind w:left="0" w:right="0"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rPr>
              <w:t>预测结果分析</w:t>
            </w:r>
          </w:p>
          <w:p w14:paraId="37C3C24E">
            <w:pPr>
              <w:keepNext w:val="0"/>
              <w:keepLines w:val="0"/>
              <w:suppressLineNumbers w:val="0"/>
              <w:bidi w:val="0"/>
              <w:spacing w:before="0" w:beforeAutospacing="0" w:after="0" w:afterAutospacing="0"/>
              <w:ind w:left="0" w:right="0"/>
              <w:rPr>
                <w:rFonts w:hint="eastAsia"/>
                <w:color w:val="auto"/>
                <w:highlight w:val="none"/>
                <w:lang w:eastAsia="zh-CN"/>
              </w:rPr>
            </w:pPr>
            <w:r>
              <w:rPr>
                <w:rFonts w:hint="eastAsia"/>
                <w:color w:val="auto"/>
                <w:highlight w:val="none"/>
                <w:lang w:eastAsia="zh-CN"/>
              </w:rPr>
              <w:t>本项目采用基础减振、</w:t>
            </w:r>
            <w:r>
              <w:rPr>
                <w:rFonts w:hint="eastAsia"/>
                <w:color w:val="auto"/>
                <w:highlight w:val="none"/>
                <w:lang w:val="en-US" w:eastAsia="zh-CN"/>
              </w:rPr>
              <w:t>消音等措施</w:t>
            </w:r>
            <w:r>
              <w:rPr>
                <w:rFonts w:hint="eastAsia"/>
                <w:color w:val="auto"/>
                <w:highlight w:val="none"/>
                <w:lang w:eastAsia="zh-CN"/>
              </w:rPr>
              <w:t>，车间门窗隔音及距离衰减等措施治理后，厂界噪声值预测结果见下表4-</w:t>
            </w:r>
            <w:r>
              <w:rPr>
                <w:rFonts w:hint="eastAsia"/>
                <w:color w:val="auto"/>
                <w:highlight w:val="none"/>
                <w:lang w:val="en-US" w:eastAsia="zh-CN"/>
              </w:rPr>
              <w:t>9</w:t>
            </w:r>
            <w:r>
              <w:rPr>
                <w:rFonts w:hint="eastAsia"/>
                <w:color w:val="auto"/>
                <w:highlight w:val="none"/>
                <w:lang w:eastAsia="zh-CN"/>
              </w:rPr>
              <w:t>：</w:t>
            </w:r>
          </w:p>
          <w:p w14:paraId="6345C8D3">
            <w:pPr>
              <w:pStyle w:val="5"/>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表</w:t>
            </w:r>
            <w:r>
              <w:rPr>
                <w:rFonts w:hint="eastAsia"/>
                <w:color w:val="auto"/>
                <w:highlight w:val="none"/>
                <w:lang w:val="en-US" w:eastAsia="zh-CN"/>
              </w:rPr>
              <w:t>4-9</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噪声预测结果          </w:t>
            </w:r>
            <w:r>
              <w:rPr>
                <w:rFonts w:hint="eastAsia"/>
                <w:color w:val="auto"/>
                <w:highlight w:val="none"/>
                <w:lang w:val="en-US" w:eastAsia="zh-CN"/>
              </w:rPr>
              <w:t xml:space="preserve">    </w:t>
            </w:r>
            <w:r>
              <w:rPr>
                <w:rFonts w:hint="eastAsia"/>
                <w:color w:val="auto"/>
                <w:highlight w:val="none"/>
              </w:rPr>
              <w:t xml:space="preserve">           单位：dB(A)</w:t>
            </w:r>
          </w:p>
          <w:tbl>
            <w:tblPr>
              <w:tblStyle w:val="30"/>
              <w:tblW w:w="492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20"/>
              <w:gridCol w:w="872"/>
              <w:gridCol w:w="872"/>
              <w:gridCol w:w="610"/>
              <w:gridCol w:w="1300"/>
              <w:gridCol w:w="1333"/>
              <w:gridCol w:w="1409"/>
              <w:gridCol w:w="920"/>
            </w:tblGrid>
            <w:tr w14:paraId="5AAFC2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PrEx>
              <w:trPr>
                <w:trHeight w:val="590" w:hRule="exact"/>
                <w:jc w:val="center"/>
              </w:trPr>
              <w:tc>
                <w:tcPr>
                  <w:tcW w:w="558" w:type="pct"/>
                  <w:vMerge w:val="restart"/>
                  <w:tcBorders>
                    <w:tl2br w:val="nil"/>
                    <w:tr2bl w:val="nil"/>
                  </w:tcBorders>
                  <w:shd w:val="clear" w:color="auto" w:fill="auto"/>
                  <w:vAlign w:val="center"/>
                </w:tcPr>
                <w:p w14:paraId="5305F7A9">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预测方位</w:t>
                  </w:r>
                </w:p>
              </w:tc>
              <w:tc>
                <w:tcPr>
                  <w:tcW w:w="1428" w:type="pct"/>
                  <w:gridSpan w:val="3"/>
                  <w:tcBorders>
                    <w:tl2br w:val="nil"/>
                    <w:tr2bl w:val="nil"/>
                  </w:tcBorders>
                  <w:shd w:val="clear" w:color="auto" w:fill="auto"/>
                  <w:vAlign w:val="center"/>
                </w:tcPr>
                <w:p w14:paraId="113F2D24">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最大值点</w:t>
                  </w:r>
                  <w:r>
                    <w:rPr>
                      <w:rFonts w:hint="default"/>
                      <w:color w:val="auto"/>
                      <w:highlight w:val="none"/>
                    </w:rPr>
                    <w:t>空间相对位置/m</w:t>
                  </w:r>
                </w:p>
              </w:tc>
              <w:tc>
                <w:tcPr>
                  <w:tcW w:w="789" w:type="pct"/>
                  <w:vMerge w:val="restart"/>
                  <w:tcBorders>
                    <w:tl2br w:val="nil"/>
                    <w:tr2bl w:val="nil"/>
                  </w:tcBorders>
                  <w:shd w:val="clear" w:color="auto" w:fill="auto"/>
                  <w:vAlign w:val="center"/>
                </w:tcPr>
                <w:p w14:paraId="4020C7C3">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时段</w:t>
                  </w:r>
                </w:p>
              </w:tc>
              <w:tc>
                <w:tcPr>
                  <w:tcW w:w="809" w:type="pct"/>
                  <w:vMerge w:val="restart"/>
                  <w:tcBorders>
                    <w:tl2br w:val="nil"/>
                    <w:tr2bl w:val="nil"/>
                  </w:tcBorders>
                  <w:shd w:val="clear" w:color="auto" w:fill="auto"/>
                  <w:vAlign w:val="center"/>
                </w:tcPr>
                <w:p w14:paraId="6E1A10D6">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贡献值</w:t>
                  </w:r>
                  <w:r>
                    <w:rPr>
                      <w:rFonts w:hint="default"/>
                      <w:color w:val="auto"/>
                      <w:highlight w:val="none"/>
                    </w:rPr>
                    <w:t>（dB(A)）</w:t>
                  </w:r>
                </w:p>
              </w:tc>
              <w:tc>
                <w:tcPr>
                  <w:tcW w:w="855" w:type="pct"/>
                  <w:vMerge w:val="restart"/>
                  <w:tcBorders>
                    <w:tl2br w:val="nil"/>
                    <w:tr2bl w:val="nil"/>
                  </w:tcBorders>
                  <w:shd w:val="clear" w:color="auto" w:fill="auto"/>
                  <w:vAlign w:val="center"/>
                </w:tcPr>
                <w:p w14:paraId="385A5E70">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标准限值（dB(A)）</w:t>
                  </w:r>
                </w:p>
              </w:tc>
              <w:tc>
                <w:tcPr>
                  <w:tcW w:w="558" w:type="pct"/>
                  <w:vMerge w:val="restart"/>
                  <w:tcBorders>
                    <w:tl2br w:val="nil"/>
                    <w:tr2bl w:val="nil"/>
                  </w:tcBorders>
                  <w:shd w:val="clear" w:color="auto" w:fill="auto"/>
                  <w:vAlign w:val="center"/>
                </w:tcPr>
                <w:p w14:paraId="4A1FF1C6">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达标情况</w:t>
                  </w:r>
                </w:p>
              </w:tc>
            </w:tr>
            <w:tr w14:paraId="23CD4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atLeast"/>
                <w:jc w:val="center"/>
              </w:trPr>
              <w:tc>
                <w:tcPr>
                  <w:tcW w:w="558" w:type="pct"/>
                  <w:vMerge w:val="continue"/>
                  <w:tcBorders>
                    <w:tl2br w:val="nil"/>
                    <w:tr2bl w:val="nil"/>
                  </w:tcBorders>
                  <w:shd w:val="clear" w:color="auto" w:fill="auto"/>
                  <w:vAlign w:val="center"/>
                </w:tcPr>
                <w:p w14:paraId="73F8258F">
                  <w:pPr>
                    <w:pStyle w:val="7"/>
                    <w:keepNext w:val="0"/>
                    <w:keepLines w:val="0"/>
                    <w:suppressLineNumbers w:val="0"/>
                    <w:bidi w:val="0"/>
                    <w:spacing w:before="0" w:beforeAutospacing="0" w:after="0" w:afterAutospacing="0"/>
                    <w:ind w:left="0" w:right="0"/>
                    <w:rPr>
                      <w:rFonts w:hint="default"/>
                      <w:color w:val="auto"/>
                      <w:highlight w:val="none"/>
                    </w:rPr>
                  </w:pPr>
                </w:p>
              </w:tc>
              <w:tc>
                <w:tcPr>
                  <w:tcW w:w="529" w:type="pct"/>
                  <w:tcBorders>
                    <w:tl2br w:val="nil"/>
                    <w:tr2bl w:val="nil"/>
                  </w:tcBorders>
                  <w:shd w:val="clear" w:color="auto" w:fill="auto"/>
                  <w:vAlign w:val="center"/>
                </w:tcPr>
                <w:p w14:paraId="12C94830">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X</w:t>
                  </w:r>
                </w:p>
              </w:tc>
              <w:tc>
                <w:tcPr>
                  <w:tcW w:w="529" w:type="pct"/>
                  <w:tcBorders>
                    <w:tl2br w:val="nil"/>
                    <w:tr2bl w:val="nil"/>
                  </w:tcBorders>
                  <w:shd w:val="clear" w:color="auto" w:fill="auto"/>
                  <w:vAlign w:val="center"/>
                </w:tcPr>
                <w:p w14:paraId="37CA80DC">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Y</w:t>
                  </w:r>
                </w:p>
              </w:tc>
              <w:tc>
                <w:tcPr>
                  <w:tcW w:w="370" w:type="pct"/>
                  <w:tcBorders>
                    <w:tl2br w:val="nil"/>
                    <w:tr2bl w:val="nil"/>
                  </w:tcBorders>
                  <w:shd w:val="clear" w:color="auto" w:fill="auto"/>
                  <w:vAlign w:val="center"/>
                </w:tcPr>
                <w:p w14:paraId="1B26F79D">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Z</w:t>
                  </w:r>
                </w:p>
              </w:tc>
              <w:tc>
                <w:tcPr>
                  <w:tcW w:w="789" w:type="pct"/>
                  <w:vMerge w:val="continue"/>
                  <w:tcBorders>
                    <w:tl2br w:val="nil"/>
                    <w:tr2bl w:val="nil"/>
                  </w:tcBorders>
                  <w:shd w:val="clear" w:color="auto" w:fill="auto"/>
                  <w:vAlign w:val="center"/>
                </w:tcPr>
                <w:p w14:paraId="5558E04F">
                  <w:pPr>
                    <w:pStyle w:val="7"/>
                    <w:keepNext w:val="0"/>
                    <w:keepLines w:val="0"/>
                    <w:suppressLineNumbers w:val="0"/>
                    <w:bidi w:val="0"/>
                    <w:spacing w:before="0" w:beforeAutospacing="0" w:after="0" w:afterAutospacing="0"/>
                    <w:ind w:left="0" w:right="0"/>
                    <w:rPr>
                      <w:rFonts w:hint="default"/>
                      <w:color w:val="auto"/>
                      <w:highlight w:val="none"/>
                    </w:rPr>
                  </w:pPr>
                </w:p>
              </w:tc>
              <w:tc>
                <w:tcPr>
                  <w:tcW w:w="809" w:type="pct"/>
                  <w:vMerge w:val="continue"/>
                  <w:tcBorders>
                    <w:tl2br w:val="nil"/>
                    <w:tr2bl w:val="nil"/>
                  </w:tcBorders>
                  <w:shd w:val="clear" w:color="auto" w:fill="auto"/>
                  <w:vAlign w:val="center"/>
                </w:tcPr>
                <w:p w14:paraId="2A3F8FD9">
                  <w:pPr>
                    <w:pStyle w:val="7"/>
                    <w:keepNext w:val="0"/>
                    <w:keepLines w:val="0"/>
                    <w:suppressLineNumbers w:val="0"/>
                    <w:bidi w:val="0"/>
                    <w:spacing w:before="0" w:beforeAutospacing="0" w:after="0" w:afterAutospacing="0"/>
                    <w:ind w:left="0" w:right="0"/>
                    <w:rPr>
                      <w:rFonts w:hint="default"/>
                      <w:color w:val="auto"/>
                      <w:highlight w:val="none"/>
                    </w:rPr>
                  </w:pPr>
                </w:p>
              </w:tc>
              <w:tc>
                <w:tcPr>
                  <w:tcW w:w="855" w:type="pct"/>
                  <w:vMerge w:val="continue"/>
                  <w:tcBorders>
                    <w:tl2br w:val="nil"/>
                    <w:tr2bl w:val="nil"/>
                  </w:tcBorders>
                  <w:shd w:val="clear" w:color="auto" w:fill="auto"/>
                  <w:vAlign w:val="center"/>
                </w:tcPr>
                <w:p w14:paraId="77C94D6B">
                  <w:pPr>
                    <w:pStyle w:val="7"/>
                    <w:keepNext w:val="0"/>
                    <w:keepLines w:val="0"/>
                    <w:suppressLineNumbers w:val="0"/>
                    <w:bidi w:val="0"/>
                    <w:spacing w:before="0" w:beforeAutospacing="0" w:after="0" w:afterAutospacing="0"/>
                    <w:ind w:left="0" w:right="0"/>
                    <w:rPr>
                      <w:rFonts w:hint="default"/>
                      <w:color w:val="auto"/>
                      <w:highlight w:val="none"/>
                    </w:rPr>
                  </w:pPr>
                </w:p>
              </w:tc>
              <w:tc>
                <w:tcPr>
                  <w:tcW w:w="558" w:type="pct"/>
                  <w:vMerge w:val="continue"/>
                  <w:tcBorders>
                    <w:tl2br w:val="nil"/>
                    <w:tr2bl w:val="nil"/>
                  </w:tcBorders>
                  <w:shd w:val="clear" w:color="auto" w:fill="auto"/>
                  <w:vAlign w:val="center"/>
                </w:tcPr>
                <w:p w14:paraId="4435FEBC">
                  <w:pPr>
                    <w:pStyle w:val="7"/>
                    <w:keepNext w:val="0"/>
                    <w:keepLines w:val="0"/>
                    <w:suppressLineNumbers w:val="0"/>
                    <w:bidi w:val="0"/>
                    <w:spacing w:before="0" w:beforeAutospacing="0" w:after="0" w:afterAutospacing="0"/>
                    <w:ind w:left="0" w:right="0"/>
                    <w:rPr>
                      <w:rFonts w:hint="default"/>
                      <w:color w:val="auto"/>
                      <w:highlight w:val="none"/>
                    </w:rPr>
                  </w:pPr>
                </w:p>
              </w:tc>
            </w:tr>
            <w:tr w14:paraId="213748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558" w:type="pct"/>
                  <w:vMerge w:val="restart"/>
                  <w:tcBorders>
                    <w:tl2br w:val="nil"/>
                    <w:tr2bl w:val="nil"/>
                  </w:tcBorders>
                  <w:shd w:val="clear" w:color="auto" w:fill="auto"/>
                  <w:vAlign w:val="center"/>
                </w:tcPr>
                <w:p w14:paraId="2FADAEB6">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东侧</w:t>
                  </w:r>
                </w:p>
              </w:tc>
              <w:tc>
                <w:tcPr>
                  <w:tcW w:w="529" w:type="pct"/>
                  <w:tcBorders>
                    <w:tl2br w:val="nil"/>
                    <w:tr2bl w:val="nil"/>
                  </w:tcBorders>
                  <w:shd w:val="clear" w:color="auto" w:fill="FFFFFF"/>
                  <w:vAlign w:val="center"/>
                </w:tcPr>
                <w:p w14:paraId="10D05FB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209</w:t>
                  </w:r>
                </w:p>
              </w:tc>
              <w:tc>
                <w:tcPr>
                  <w:tcW w:w="529" w:type="pct"/>
                  <w:tcBorders>
                    <w:tl2br w:val="nil"/>
                    <w:tr2bl w:val="nil"/>
                  </w:tcBorders>
                  <w:shd w:val="clear" w:color="auto" w:fill="FFFFFF"/>
                  <w:vAlign w:val="center"/>
                </w:tcPr>
                <w:p w14:paraId="385AB17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39.6</w:t>
                  </w:r>
                </w:p>
              </w:tc>
              <w:tc>
                <w:tcPr>
                  <w:tcW w:w="370" w:type="pct"/>
                  <w:tcBorders>
                    <w:tl2br w:val="nil"/>
                    <w:tr2bl w:val="nil"/>
                  </w:tcBorders>
                  <w:shd w:val="clear" w:color="auto" w:fill="FFFFFF"/>
                  <w:vAlign w:val="center"/>
                </w:tcPr>
                <w:p w14:paraId="10DEB5A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789" w:type="pct"/>
                  <w:tcBorders>
                    <w:tl2br w:val="nil"/>
                    <w:tr2bl w:val="nil"/>
                  </w:tcBorders>
                  <w:shd w:val="clear" w:color="auto" w:fill="auto"/>
                  <w:vAlign w:val="center"/>
                </w:tcPr>
                <w:p w14:paraId="2F721529">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809" w:type="pct"/>
                  <w:tcBorders>
                    <w:tl2br w:val="nil"/>
                    <w:tr2bl w:val="nil"/>
                  </w:tcBorders>
                  <w:shd w:val="clear" w:color="auto" w:fill="auto"/>
                  <w:vAlign w:val="center"/>
                </w:tcPr>
                <w:p w14:paraId="25A4094E">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28</w:t>
                  </w:r>
                </w:p>
              </w:tc>
              <w:tc>
                <w:tcPr>
                  <w:tcW w:w="855" w:type="pct"/>
                  <w:tcBorders>
                    <w:tl2br w:val="nil"/>
                    <w:tr2bl w:val="nil"/>
                  </w:tcBorders>
                  <w:shd w:val="clear" w:color="auto" w:fill="auto"/>
                  <w:vAlign w:val="center"/>
                </w:tcPr>
                <w:p w14:paraId="36516D06">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65</w:t>
                  </w:r>
                </w:p>
              </w:tc>
              <w:tc>
                <w:tcPr>
                  <w:tcW w:w="558" w:type="pct"/>
                  <w:tcBorders>
                    <w:tl2br w:val="nil"/>
                    <w:tr2bl w:val="nil"/>
                  </w:tcBorders>
                  <w:shd w:val="clear" w:color="auto" w:fill="auto"/>
                  <w:vAlign w:val="center"/>
                </w:tcPr>
                <w:p w14:paraId="5FD9B2E0">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w:t>
                  </w:r>
                </w:p>
              </w:tc>
            </w:tr>
            <w:tr w14:paraId="21108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558" w:type="pct"/>
                  <w:vMerge w:val="continue"/>
                  <w:tcBorders>
                    <w:tl2br w:val="nil"/>
                    <w:tr2bl w:val="nil"/>
                  </w:tcBorders>
                  <w:shd w:val="clear" w:color="auto" w:fill="auto"/>
                  <w:vAlign w:val="center"/>
                </w:tcPr>
                <w:p w14:paraId="226ED030">
                  <w:pPr>
                    <w:pStyle w:val="7"/>
                    <w:keepNext w:val="0"/>
                    <w:keepLines w:val="0"/>
                    <w:suppressLineNumbers w:val="0"/>
                    <w:bidi w:val="0"/>
                    <w:spacing w:before="0" w:beforeAutospacing="0" w:after="0" w:afterAutospacing="0"/>
                    <w:ind w:left="0" w:right="0"/>
                    <w:rPr>
                      <w:rFonts w:hint="default"/>
                      <w:color w:val="auto"/>
                      <w:highlight w:val="none"/>
                    </w:rPr>
                  </w:pPr>
                </w:p>
              </w:tc>
              <w:tc>
                <w:tcPr>
                  <w:tcW w:w="529" w:type="pct"/>
                  <w:tcBorders>
                    <w:tl2br w:val="nil"/>
                    <w:tr2bl w:val="nil"/>
                  </w:tcBorders>
                  <w:shd w:val="clear" w:color="auto" w:fill="FFFFFF"/>
                  <w:vAlign w:val="center"/>
                </w:tcPr>
                <w:p w14:paraId="70FF4E0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209</w:t>
                  </w:r>
                </w:p>
              </w:tc>
              <w:tc>
                <w:tcPr>
                  <w:tcW w:w="529" w:type="pct"/>
                  <w:tcBorders>
                    <w:tl2br w:val="nil"/>
                    <w:tr2bl w:val="nil"/>
                  </w:tcBorders>
                  <w:shd w:val="clear" w:color="auto" w:fill="FFFFFF"/>
                  <w:vAlign w:val="center"/>
                </w:tcPr>
                <w:p w14:paraId="74036F4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39.6</w:t>
                  </w:r>
                </w:p>
              </w:tc>
              <w:tc>
                <w:tcPr>
                  <w:tcW w:w="370" w:type="pct"/>
                  <w:tcBorders>
                    <w:tl2br w:val="nil"/>
                    <w:tr2bl w:val="nil"/>
                  </w:tcBorders>
                  <w:shd w:val="clear" w:color="auto" w:fill="FFFFFF"/>
                  <w:vAlign w:val="center"/>
                </w:tcPr>
                <w:p w14:paraId="3D9AA3C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789" w:type="pct"/>
                  <w:tcBorders>
                    <w:tl2br w:val="nil"/>
                    <w:tr2bl w:val="nil"/>
                  </w:tcBorders>
                  <w:shd w:val="clear" w:color="auto" w:fill="auto"/>
                  <w:vAlign w:val="center"/>
                </w:tcPr>
                <w:p w14:paraId="189634E9">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809" w:type="pct"/>
                  <w:tcBorders>
                    <w:tl2br w:val="nil"/>
                    <w:tr2bl w:val="nil"/>
                  </w:tcBorders>
                  <w:shd w:val="clear" w:color="auto" w:fill="auto"/>
                  <w:vAlign w:val="center"/>
                </w:tcPr>
                <w:p w14:paraId="125F1AEC">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28</w:t>
                  </w:r>
                </w:p>
              </w:tc>
              <w:tc>
                <w:tcPr>
                  <w:tcW w:w="855" w:type="pct"/>
                  <w:tcBorders>
                    <w:tl2br w:val="nil"/>
                    <w:tr2bl w:val="nil"/>
                  </w:tcBorders>
                  <w:shd w:val="clear" w:color="auto" w:fill="auto"/>
                  <w:vAlign w:val="center"/>
                </w:tcPr>
                <w:p w14:paraId="07E30ABD">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p>
              </w:tc>
              <w:tc>
                <w:tcPr>
                  <w:tcW w:w="558" w:type="pct"/>
                  <w:tcBorders>
                    <w:tl2br w:val="nil"/>
                    <w:tr2bl w:val="nil"/>
                  </w:tcBorders>
                  <w:shd w:val="clear" w:color="auto" w:fill="auto"/>
                  <w:vAlign w:val="center"/>
                </w:tcPr>
                <w:p w14:paraId="38F4FAA6">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w:t>
                  </w:r>
                </w:p>
              </w:tc>
            </w:tr>
            <w:tr w14:paraId="2A554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558" w:type="pct"/>
                  <w:vMerge w:val="restart"/>
                  <w:tcBorders>
                    <w:tl2br w:val="nil"/>
                    <w:tr2bl w:val="nil"/>
                  </w:tcBorders>
                  <w:shd w:val="clear" w:color="auto" w:fill="auto"/>
                  <w:vAlign w:val="center"/>
                </w:tcPr>
                <w:p w14:paraId="0F8C3811">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南侧</w:t>
                  </w:r>
                </w:p>
              </w:tc>
              <w:tc>
                <w:tcPr>
                  <w:tcW w:w="529" w:type="pct"/>
                  <w:tcBorders>
                    <w:tl2br w:val="nil"/>
                    <w:tr2bl w:val="nil"/>
                  </w:tcBorders>
                  <w:shd w:val="clear" w:color="auto" w:fill="FFFFFF"/>
                  <w:vAlign w:val="center"/>
                </w:tcPr>
                <w:p w14:paraId="4B2BB8A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176.8</w:t>
                  </w:r>
                </w:p>
              </w:tc>
              <w:tc>
                <w:tcPr>
                  <w:tcW w:w="529" w:type="pct"/>
                  <w:tcBorders>
                    <w:tl2br w:val="nil"/>
                    <w:tr2bl w:val="nil"/>
                  </w:tcBorders>
                  <w:shd w:val="clear" w:color="auto" w:fill="FFFFFF"/>
                  <w:vAlign w:val="center"/>
                </w:tcPr>
                <w:p w14:paraId="4B31321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18.3</w:t>
                  </w:r>
                </w:p>
              </w:tc>
              <w:tc>
                <w:tcPr>
                  <w:tcW w:w="370" w:type="pct"/>
                  <w:tcBorders>
                    <w:tl2br w:val="nil"/>
                    <w:tr2bl w:val="nil"/>
                  </w:tcBorders>
                  <w:shd w:val="clear" w:color="auto" w:fill="FFFFFF"/>
                  <w:vAlign w:val="center"/>
                </w:tcPr>
                <w:p w14:paraId="20990EC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789" w:type="pct"/>
                  <w:tcBorders>
                    <w:tl2br w:val="nil"/>
                    <w:tr2bl w:val="nil"/>
                  </w:tcBorders>
                  <w:shd w:val="clear" w:color="auto" w:fill="auto"/>
                  <w:vAlign w:val="center"/>
                </w:tcPr>
                <w:p w14:paraId="14B5EE94">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809" w:type="pct"/>
                  <w:tcBorders>
                    <w:tl2br w:val="nil"/>
                    <w:tr2bl w:val="nil"/>
                  </w:tcBorders>
                  <w:shd w:val="clear" w:color="auto" w:fill="auto"/>
                  <w:vAlign w:val="center"/>
                </w:tcPr>
                <w:p w14:paraId="082943EE">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40</w:t>
                  </w:r>
                </w:p>
              </w:tc>
              <w:tc>
                <w:tcPr>
                  <w:tcW w:w="855" w:type="pct"/>
                  <w:tcBorders>
                    <w:tl2br w:val="nil"/>
                    <w:tr2bl w:val="nil"/>
                  </w:tcBorders>
                  <w:shd w:val="clear" w:color="auto" w:fill="auto"/>
                  <w:vAlign w:val="center"/>
                </w:tcPr>
                <w:p w14:paraId="198AF7BC">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65</w:t>
                  </w:r>
                </w:p>
              </w:tc>
              <w:tc>
                <w:tcPr>
                  <w:tcW w:w="558" w:type="pct"/>
                  <w:tcBorders>
                    <w:tl2br w:val="nil"/>
                    <w:tr2bl w:val="nil"/>
                  </w:tcBorders>
                  <w:shd w:val="clear" w:color="auto" w:fill="auto"/>
                  <w:vAlign w:val="center"/>
                </w:tcPr>
                <w:p w14:paraId="047939A4">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w:t>
                  </w:r>
                </w:p>
              </w:tc>
            </w:tr>
            <w:tr w14:paraId="32CD58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558" w:type="pct"/>
                  <w:vMerge w:val="continue"/>
                  <w:tcBorders>
                    <w:tl2br w:val="nil"/>
                    <w:tr2bl w:val="nil"/>
                  </w:tcBorders>
                  <w:shd w:val="clear" w:color="auto" w:fill="auto"/>
                  <w:vAlign w:val="center"/>
                </w:tcPr>
                <w:p w14:paraId="415A992E">
                  <w:pPr>
                    <w:pStyle w:val="7"/>
                    <w:keepNext w:val="0"/>
                    <w:keepLines w:val="0"/>
                    <w:suppressLineNumbers w:val="0"/>
                    <w:bidi w:val="0"/>
                    <w:spacing w:before="0" w:beforeAutospacing="0" w:after="0" w:afterAutospacing="0"/>
                    <w:ind w:left="0" w:right="0"/>
                    <w:rPr>
                      <w:rFonts w:hint="default"/>
                      <w:color w:val="auto"/>
                      <w:highlight w:val="none"/>
                    </w:rPr>
                  </w:pPr>
                </w:p>
              </w:tc>
              <w:tc>
                <w:tcPr>
                  <w:tcW w:w="529" w:type="pct"/>
                  <w:tcBorders>
                    <w:tl2br w:val="nil"/>
                    <w:tr2bl w:val="nil"/>
                  </w:tcBorders>
                  <w:shd w:val="clear" w:color="auto" w:fill="FFFFFF"/>
                  <w:vAlign w:val="center"/>
                </w:tcPr>
                <w:p w14:paraId="04890FE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176.8</w:t>
                  </w:r>
                </w:p>
              </w:tc>
              <w:tc>
                <w:tcPr>
                  <w:tcW w:w="529" w:type="pct"/>
                  <w:tcBorders>
                    <w:tl2br w:val="nil"/>
                    <w:tr2bl w:val="nil"/>
                  </w:tcBorders>
                  <w:shd w:val="clear" w:color="auto" w:fill="FFFFFF"/>
                  <w:vAlign w:val="center"/>
                </w:tcPr>
                <w:p w14:paraId="709A9D2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18.3</w:t>
                  </w:r>
                </w:p>
              </w:tc>
              <w:tc>
                <w:tcPr>
                  <w:tcW w:w="370" w:type="pct"/>
                  <w:tcBorders>
                    <w:tl2br w:val="nil"/>
                    <w:tr2bl w:val="nil"/>
                  </w:tcBorders>
                  <w:shd w:val="clear" w:color="auto" w:fill="FFFFFF"/>
                  <w:vAlign w:val="center"/>
                </w:tcPr>
                <w:p w14:paraId="5DEF529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789" w:type="pct"/>
                  <w:tcBorders>
                    <w:tl2br w:val="nil"/>
                    <w:tr2bl w:val="nil"/>
                  </w:tcBorders>
                  <w:shd w:val="clear" w:color="auto" w:fill="auto"/>
                  <w:vAlign w:val="center"/>
                </w:tcPr>
                <w:p w14:paraId="6124035D">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809" w:type="pct"/>
                  <w:tcBorders>
                    <w:tl2br w:val="nil"/>
                    <w:tr2bl w:val="nil"/>
                  </w:tcBorders>
                  <w:shd w:val="clear" w:color="auto" w:fill="auto"/>
                  <w:vAlign w:val="center"/>
                </w:tcPr>
                <w:p w14:paraId="54AAF14E">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40</w:t>
                  </w:r>
                </w:p>
              </w:tc>
              <w:tc>
                <w:tcPr>
                  <w:tcW w:w="855" w:type="pct"/>
                  <w:tcBorders>
                    <w:tl2br w:val="nil"/>
                    <w:tr2bl w:val="nil"/>
                  </w:tcBorders>
                  <w:shd w:val="clear" w:color="auto" w:fill="auto"/>
                  <w:vAlign w:val="center"/>
                </w:tcPr>
                <w:p w14:paraId="65FEF7E5">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p>
              </w:tc>
              <w:tc>
                <w:tcPr>
                  <w:tcW w:w="558" w:type="pct"/>
                  <w:tcBorders>
                    <w:tl2br w:val="nil"/>
                    <w:tr2bl w:val="nil"/>
                  </w:tcBorders>
                  <w:shd w:val="clear" w:color="auto" w:fill="auto"/>
                  <w:vAlign w:val="center"/>
                </w:tcPr>
                <w:p w14:paraId="74E783E6">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w:t>
                  </w:r>
                </w:p>
              </w:tc>
            </w:tr>
            <w:tr w14:paraId="150125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558" w:type="pct"/>
                  <w:vMerge w:val="restart"/>
                  <w:tcBorders>
                    <w:tl2br w:val="nil"/>
                    <w:tr2bl w:val="nil"/>
                  </w:tcBorders>
                  <w:shd w:val="clear" w:color="auto" w:fill="auto"/>
                  <w:vAlign w:val="center"/>
                </w:tcPr>
                <w:p w14:paraId="44906D00">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西侧</w:t>
                  </w:r>
                </w:p>
              </w:tc>
              <w:tc>
                <w:tcPr>
                  <w:tcW w:w="529" w:type="pct"/>
                  <w:tcBorders>
                    <w:tl2br w:val="nil"/>
                    <w:tr2bl w:val="nil"/>
                  </w:tcBorders>
                  <w:shd w:val="clear" w:color="auto" w:fill="FFFFFF"/>
                  <w:vAlign w:val="center"/>
                </w:tcPr>
                <w:p w14:paraId="1114011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-3.6</w:t>
                  </w:r>
                </w:p>
              </w:tc>
              <w:tc>
                <w:tcPr>
                  <w:tcW w:w="529" w:type="pct"/>
                  <w:tcBorders>
                    <w:tl2br w:val="nil"/>
                    <w:tr2bl w:val="nil"/>
                  </w:tcBorders>
                  <w:shd w:val="clear" w:color="auto" w:fill="FFFFFF"/>
                  <w:vAlign w:val="center"/>
                </w:tcPr>
                <w:p w14:paraId="3DC98A6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-12.9</w:t>
                  </w:r>
                </w:p>
              </w:tc>
              <w:tc>
                <w:tcPr>
                  <w:tcW w:w="370" w:type="pct"/>
                  <w:tcBorders>
                    <w:tl2br w:val="nil"/>
                    <w:tr2bl w:val="nil"/>
                  </w:tcBorders>
                  <w:shd w:val="clear" w:color="auto" w:fill="FFFFFF"/>
                  <w:vAlign w:val="center"/>
                </w:tcPr>
                <w:p w14:paraId="5B36F01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789" w:type="pct"/>
                  <w:tcBorders>
                    <w:tl2br w:val="nil"/>
                    <w:tr2bl w:val="nil"/>
                  </w:tcBorders>
                  <w:shd w:val="clear" w:color="auto" w:fill="auto"/>
                  <w:vAlign w:val="center"/>
                </w:tcPr>
                <w:p w14:paraId="7C6D0928">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809" w:type="pct"/>
                  <w:tcBorders>
                    <w:tl2br w:val="nil"/>
                    <w:tr2bl w:val="nil"/>
                  </w:tcBorders>
                  <w:shd w:val="clear" w:color="auto" w:fill="auto"/>
                  <w:vAlign w:val="center"/>
                </w:tcPr>
                <w:p w14:paraId="79E32CEC">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41</w:t>
                  </w:r>
                </w:p>
              </w:tc>
              <w:tc>
                <w:tcPr>
                  <w:tcW w:w="855" w:type="pct"/>
                  <w:tcBorders>
                    <w:tl2br w:val="nil"/>
                    <w:tr2bl w:val="nil"/>
                  </w:tcBorders>
                  <w:shd w:val="clear" w:color="auto" w:fill="auto"/>
                  <w:vAlign w:val="center"/>
                </w:tcPr>
                <w:p w14:paraId="7415F8B4">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65</w:t>
                  </w:r>
                </w:p>
              </w:tc>
              <w:tc>
                <w:tcPr>
                  <w:tcW w:w="558" w:type="pct"/>
                  <w:tcBorders>
                    <w:tl2br w:val="nil"/>
                    <w:tr2bl w:val="nil"/>
                  </w:tcBorders>
                  <w:shd w:val="clear" w:color="auto" w:fill="auto"/>
                  <w:vAlign w:val="center"/>
                </w:tcPr>
                <w:p w14:paraId="4E408CE4">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w:t>
                  </w:r>
                </w:p>
              </w:tc>
            </w:tr>
            <w:tr w14:paraId="32CE7C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558" w:type="pct"/>
                  <w:vMerge w:val="continue"/>
                  <w:tcBorders>
                    <w:tl2br w:val="nil"/>
                    <w:tr2bl w:val="nil"/>
                  </w:tcBorders>
                  <w:shd w:val="clear" w:color="auto" w:fill="auto"/>
                  <w:vAlign w:val="center"/>
                </w:tcPr>
                <w:p w14:paraId="5C892670">
                  <w:pPr>
                    <w:pStyle w:val="7"/>
                    <w:keepNext w:val="0"/>
                    <w:keepLines w:val="0"/>
                    <w:suppressLineNumbers w:val="0"/>
                    <w:bidi w:val="0"/>
                    <w:spacing w:before="0" w:beforeAutospacing="0" w:after="0" w:afterAutospacing="0"/>
                    <w:ind w:left="0" w:right="0"/>
                    <w:rPr>
                      <w:rFonts w:hint="default"/>
                      <w:color w:val="auto"/>
                      <w:highlight w:val="none"/>
                    </w:rPr>
                  </w:pPr>
                </w:p>
              </w:tc>
              <w:tc>
                <w:tcPr>
                  <w:tcW w:w="529" w:type="pct"/>
                  <w:tcBorders>
                    <w:tl2br w:val="nil"/>
                    <w:tr2bl w:val="nil"/>
                  </w:tcBorders>
                  <w:shd w:val="clear" w:color="auto" w:fill="FFFFFF"/>
                  <w:vAlign w:val="center"/>
                </w:tcPr>
                <w:p w14:paraId="1E712BA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-3.6</w:t>
                  </w:r>
                </w:p>
              </w:tc>
              <w:tc>
                <w:tcPr>
                  <w:tcW w:w="529" w:type="pct"/>
                  <w:tcBorders>
                    <w:tl2br w:val="nil"/>
                    <w:tr2bl w:val="nil"/>
                  </w:tcBorders>
                  <w:shd w:val="clear" w:color="auto" w:fill="FFFFFF"/>
                  <w:vAlign w:val="center"/>
                </w:tcPr>
                <w:p w14:paraId="5B928F6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-12.9</w:t>
                  </w:r>
                </w:p>
              </w:tc>
              <w:tc>
                <w:tcPr>
                  <w:tcW w:w="370" w:type="pct"/>
                  <w:tcBorders>
                    <w:tl2br w:val="nil"/>
                    <w:tr2bl w:val="nil"/>
                  </w:tcBorders>
                  <w:shd w:val="clear" w:color="auto" w:fill="FFFFFF"/>
                  <w:vAlign w:val="center"/>
                </w:tcPr>
                <w:p w14:paraId="5A82DFC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789" w:type="pct"/>
                  <w:tcBorders>
                    <w:tl2br w:val="nil"/>
                    <w:tr2bl w:val="nil"/>
                  </w:tcBorders>
                  <w:shd w:val="clear" w:color="auto" w:fill="auto"/>
                  <w:vAlign w:val="center"/>
                </w:tcPr>
                <w:p w14:paraId="717E1A40">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809" w:type="pct"/>
                  <w:tcBorders>
                    <w:tl2br w:val="nil"/>
                    <w:tr2bl w:val="nil"/>
                  </w:tcBorders>
                  <w:shd w:val="clear" w:color="auto" w:fill="auto"/>
                  <w:vAlign w:val="center"/>
                </w:tcPr>
                <w:p w14:paraId="66B30137">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41</w:t>
                  </w:r>
                </w:p>
              </w:tc>
              <w:tc>
                <w:tcPr>
                  <w:tcW w:w="855" w:type="pct"/>
                  <w:tcBorders>
                    <w:tl2br w:val="nil"/>
                    <w:tr2bl w:val="nil"/>
                  </w:tcBorders>
                  <w:shd w:val="clear" w:color="auto" w:fill="auto"/>
                  <w:vAlign w:val="center"/>
                </w:tcPr>
                <w:p w14:paraId="7066D665">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55</w:t>
                  </w:r>
                </w:p>
              </w:tc>
              <w:tc>
                <w:tcPr>
                  <w:tcW w:w="558" w:type="pct"/>
                  <w:tcBorders>
                    <w:tl2br w:val="nil"/>
                    <w:tr2bl w:val="nil"/>
                  </w:tcBorders>
                  <w:shd w:val="clear" w:color="auto" w:fill="auto"/>
                  <w:vAlign w:val="center"/>
                </w:tcPr>
                <w:p w14:paraId="0473FE84">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w:t>
                  </w:r>
                </w:p>
              </w:tc>
            </w:tr>
            <w:tr w14:paraId="4D6EB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558" w:type="pct"/>
                  <w:vMerge w:val="restart"/>
                  <w:tcBorders>
                    <w:tl2br w:val="nil"/>
                    <w:tr2bl w:val="nil"/>
                  </w:tcBorders>
                  <w:shd w:val="clear" w:color="auto" w:fill="auto"/>
                  <w:vAlign w:val="center"/>
                </w:tcPr>
                <w:p w14:paraId="6C25F105">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北侧</w:t>
                  </w:r>
                </w:p>
              </w:tc>
              <w:tc>
                <w:tcPr>
                  <w:tcW w:w="529" w:type="pct"/>
                  <w:tcBorders>
                    <w:tl2br w:val="nil"/>
                    <w:tr2bl w:val="nil"/>
                  </w:tcBorders>
                  <w:shd w:val="clear" w:color="auto" w:fill="FFFFFF"/>
                  <w:vAlign w:val="center"/>
                </w:tcPr>
                <w:p w14:paraId="6EF8F61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9.7</w:t>
                  </w:r>
                </w:p>
              </w:tc>
              <w:tc>
                <w:tcPr>
                  <w:tcW w:w="529" w:type="pct"/>
                  <w:tcBorders>
                    <w:tl2br w:val="nil"/>
                    <w:tr2bl w:val="nil"/>
                  </w:tcBorders>
                  <w:shd w:val="clear" w:color="auto" w:fill="FFFFFF"/>
                  <w:vAlign w:val="center"/>
                </w:tcPr>
                <w:p w14:paraId="336D1E9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28.3</w:t>
                  </w:r>
                </w:p>
              </w:tc>
              <w:tc>
                <w:tcPr>
                  <w:tcW w:w="370" w:type="pct"/>
                  <w:tcBorders>
                    <w:tl2br w:val="nil"/>
                    <w:tr2bl w:val="nil"/>
                  </w:tcBorders>
                  <w:shd w:val="clear" w:color="auto" w:fill="FFFFFF"/>
                  <w:vAlign w:val="center"/>
                </w:tcPr>
                <w:p w14:paraId="330246A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789" w:type="pct"/>
                  <w:tcBorders>
                    <w:tl2br w:val="nil"/>
                    <w:tr2bl w:val="nil"/>
                  </w:tcBorders>
                  <w:shd w:val="clear" w:color="auto" w:fill="auto"/>
                  <w:vAlign w:val="center"/>
                </w:tcPr>
                <w:p w14:paraId="2D942777">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809" w:type="pct"/>
                  <w:tcBorders>
                    <w:tl2br w:val="nil"/>
                    <w:tr2bl w:val="nil"/>
                  </w:tcBorders>
                  <w:shd w:val="clear" w:color="auto" w:fill="auto"/>
                  <w:vAlign w:val="center"/>
                </w:tcPr>
                <w:p w14:paraId="595FB7B5">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41</w:t>
                  </w:r>
                </w:p>
              </w:tc>
              <w:tc>
                <w:tcPr>
                  <w:tcW w:w="855" w:type="pct"/>
                  <w:tcBorders>
                    <w:tl2br w:val="nil"/>
                    <w:tr2bl w:val="nil"/>
                  </w:tcBorders>
                  <w:shd w:val="clear" w:color="auto" w:fill="auto"/>
                  <w:vAlign w:val="center"/>
                </w:tcPr>
                <w:p w14:paraId="41BA5DF9">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65</w:t>
                  </w:r>
                </w:p>
              </w:tc>
              <w:tc>
                <w:tcPr>
                  <w:tcW w:w="558" w:type="pct"/>
                  <w:tcBorders>
                    <w:tl2br w:val="nil"/>
                    <w:tr2bl w:val="nil"/>
                  </w:tcBorders>
                  <w:shd w:val="clear" w:color="auto" w:fill="auto"/>
                  <w:vAlign w:val="center"/>
                </w:tcPr>
                <w:p w14:paraId="1198BE92">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w:t>
                  </w:r>
                </w:p>
              </w:tc>
            </w:tr>
            <w:tr w14:paraId="700771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558" w:type="pct"/>
                  <w:vMerge w:val="continue"/>
                  <w:tcBorders>
                    <w:tl2br w:val="nil"/>
                    <w:tr2bl w:val="nil"/>
                  </w:tcBorders>
                  <w:shd w:val="clear" w:color="auto" w:fill="auto"/>
                  <w:vAlign w:val="center"/>
                </w:tcPr>
                <w:p w14:paraId="5D62A0F9">
                  <w:pPr>
                    <w:pStyle w:val="7"/>
                    <w:keepNext w:val="0"/>
                    <w:keepLines w:val="0"/>
                    <w:suppressLineNumbers w:val="0"/>
                    <w:bidi w:val="0"/>
                    <w:spacing w:before="0" w:beforeAutospacing="0" w:after="0" w:afterAutospacing="0"/>
                    <w:ind w:left="0" w:right="0"/>
                    <w:rPr>
                      <w:rFonts w:hint="default"/>
                      <w:color w:val="auto"/>
                      <w:highlight w:val="none"/>
                    </w:rPr>
                  </w:pPr>
                </w:p>
              </w:tc>
              <w:tc>
                <w:tcPr>
                  <w:tcW w:w="529" w:type="pct"/>
                  <w:tcBorders>
                    <w:tl2br w:val="nil"/>
                    <w:tr2bl w:val="nil"/>
                  </w:tcBorders>
                  <w:shd w:val="clear" w:color="auto" w:fill="FFFFFF"/>
                  <w:vAlign w:val="center"/>
                </w:tcPr>
                <w:p w14:paraId="774A53D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9.7</w:t>
                  </w:r>
                </w:p>
              </w:tc>
              <w:tc>
                <w:tcPr>
                  <w:tcW w:w="529" w:type="pct"/>
                  <w:tcBorders>
                    <w:tl2br w:val="nil"/>
                    <w:tr2bl w:val="nil"/>
                  </w:tcBorders>
                  <w:shd w:val="clear" w:color="auto" w:fill="FFFFFF"/>
                  <w:vAlign w:val="center"/>
                </w:tcPr>
                <w:p w14:paraId="735C87F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28.3</w:t>
                  </w:r>
                </w:p>
              </w:tc>
              <w:tc>
                <w:tcPr>
                  <w:tcW w:w="370" w:type="pct"/>
                  <w:tcBorders>
                    <w:tl2br w:val="nil"/>
                    <w:tr2bl w:val="nil"/>
                  </w:tcBorders>
                  <w:shd w:val="clear" w:color="auto" w:fill="FFFFFF"/>
                  <w:vAlign w:val="center"/>
                </w:tcPr>
                <w:p w14:paraId="5215B61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1.2</w:t>
                  </w:r>
                </w:p>
              </w:tc>
              <w:tc>
                <w:tcPr>
                  <w:tcW w:w="789" w:type="pct"/>
                  <w:tcBorders>
                    <w:tl2br w:val="nil"/>
                    <w:tr2bl w:val="nil"/>
                  </w:tcBorders>
                  <w:shd w:val="clear" w:color="auto" w:fill="auto"/>
                  <w:vAlign w:val="center"/>
                </w:tcPr>
                <w:p w14:paraId="181F1CC2">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809" w:type="pct"/>
                  <w:tcBorders>
                    <w:tl2br w:val="nil"/>
                    <w:tr2bl w:val="nil"/>
                  </w:tcBorders>
                  <w:shd w:val="clear" w:color="auto" w:fill="auto"/>
                  <w:vAlign w:val="center"/>
                </w:tcPr>
                <w:p w14:paraId="3EEBE7FC">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41</w:t>
                  </w:r>
                </w:p>
              </w:tc>
              <w:tc>
                <w:tcPr>
                  <w:tcW w:w="855" w:type="pct"/>
                  <w:tcBorders>
                    <w:tl2br w:val="nil"/>
                    <w:tr2bl w:val="nil"/>
                  </w:tcBorders>
                  <w:shd w:val="clear" w:color="auto" w:fill="auto"/>
                  <w:vAlign w:val="center"/>
                </w:tcPr>
                <w:p w14:paraId="5E3F48A4">
                  <w:pPr>
                    <w:pStyle w:val="7"/>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55</w:t>
                  </w:r>
                </w:p>
              </w:tc>
              <w:tc>
                <w:tcPr>
                  <w:tcW w:w="558" w:type="pct"/>
                  <w:tcBorders>
                    <w:tl2br w:val="nil"/>
                    <w:tr2bl w:val="nil"/>
                  </w:tcBorders>
                  <w:shd w:val="clear" w:color="auto" w:fill="auto"/>
                  <w:vAlign w:val="center"/>
                </w:tcPr>
                <w:p w14:paraId="0BD50B33">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达标</w:t>
                  </w:r>
                </w:p>
              </w:tc>
            </w:tr>
          </w:tbl>
          <w:p w14:paraId="08ADCDF6">
            <w:pPr>
              <w:keepNext w:val="0"/>
              <w:keepLines w:val="0"/>
              <w:suppressLineNumbers w:val="0"/>
              <w:bidi w:val="0"/>
              <w:spacing w:before="0" w:beforeAutospacing="0" w:after="0" w:afterAutospacing="0"/>
              <w:ind w:left="0" w:right="0"/>
              <w:rPr>
                <w:rFonts w:hint="eastAsia"/>
                <w:color w:val="auto"/>
                <w:highlight w:val="none"/>
                <w:lang w:eastAsia="zh-CN"/>
              </w:rPr>
            </w:pPr>
            <w:r>
              <w:rPr>
                <w:rFonts w:hint="eastAsia"/>
                <w:color w:val="auto"/>
                <w:highlight w:val="none"/>
              </w:rPr>
              <w:t>由表</w:t>
            </w:r>
            <w:r>
              <w:rPr>
                <w:rFonts w:hint="eastAsia"/>
                <w:color w:val="auto"/>
                <w:highlight w:val="none"/>
                <w:lang w:val="en-US" w:eastAsia="zh-CN"/>
              </w:rPr>
              <w:t>4-9</w:t>
            </w:r>
            <w:r>
              <w:rPr>
                <w:rFonts w:hint="eastAsia"/>
                <w:color w:val="auto"/>
                <w:highlight w:val="none"/>
              </w:rPr>
              <w:t>可以看出，厂界的噪声贡献值为</w:t>
            </w:r>
            <w:r>
              <w:rPr>
                <w:rFonts w:hint="eastAsia"/>
                <w:color w:val="auto"/>
                <w:highlight w:val="none"/>
                <w:lang w:val="en-US" w:eastAsia="zh-CN"/>
              </w:rPr>
              <w:t>28-41</w:t>
            </w:r>
            <w:r>
              <w:rPr>
                <w:rFonts w:hint="eastAsia"/>
                <w:color w:val="auto"/>
                <w:highlight w:val="none"/>
              </w:rPr>
              <w:t>dB(A)，</w:t>
            </w:r>
            <w:r>
              <w:rPr>
                <w:rFonts w:hint="eastAsia"/>
                <w:color w:val="auto"/>
                <w:highlight w:val="none"/>
                <w:lang w:val="en-US" w:eastAsia="zh-CN"/>
              </w:rPr>
              <w:t>各厂界噪声贡献值可以达到《工业企业厂界环境噪声排放标准》（</w:t>
            </w:r>
            <w:r>
              <w:rPr>
                <w:rFonts w:hint="default"/>
                <w:color w:val="auto"/>
                <w:highlight w:val="none"/>
                <w:lang w:val="en-US" w:eastAsia="zh-CN"/>
              </w:rPr>
              <w:t>GB12348-2008</w:t>
            </w:r>
            <w:r>
              <w:rPr>
                <w:rFonts w:hint="eastAsia"/>
                <w:color w:val="auto"/>
                <w:highlight w:val="none"/>
                <w:lang w:val="en-US" w:eastAsia="zh-CN"/>
              </w:rPr>
              <w:t>）</w:t>
            </w:r>
            <w:r>
              <w:rPr>
                <w:rFonts w:hint="default"/>
                <w:color w:val="auto"/>
                <w:highlight w:val="none"/>
                <w:lang w:val="en-US" w:eastAsia="zh-CN"/>
              </w:rPr>
              <w:t>3</w:t>
            </w:r>
            <w:r>
              <w:rPr>
                <w:rFonts w:hint="eastAsia"/>
                <w:color w:val="auto"/>
                <w:highlight w:val="none"/>
                <w:lang w:val="en-US" w:eastAsia="zh-CN"/>
              </w:rPr>
              <w:t>类区标准限值，不会对周围环境产生明显影响。</w:t>
            </w:r>
          </w:p>
          <w:p w14:paraId="4D856388">
            <w:pPr>
              <w:pStyle w:val="3"/>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3.2</w:t>
            </w:r>
            <w:r>
              <w:rPr>
                <w:rFonts w:hint="eastAsia"/>
                <w:color w:val="auto"/>
                <w:highlight w:val="none"/>
              </w:rPr>
              <w:t>降噪措施</w:t>
            </w:r>
          </w:p>
          <w:p w14:paraId="6E46F983">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color w:val="auto"/>
                <w:highlight w:val="none"/>
              </w:rPr>
            </w:pPr>
            <w:r>
              <w:rPr>
                <w:rFonts w:hint="eastAsia"/>
                <w:color w:val="auto"/>
                <w:highlight w:val="none"/>
                <w:lang w:val="en-US" w:eastAsia="zh-CN"/>
              </w:rPr>
              <w:t>为减少噪声对周边环境的影响，提出噪声治理措施如下：</w:t>
            </w:r>
          </w:p>
          <w:p w14:paraId="269C2C20">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color w:val="auto"/>
                <w:highlight w:val="none"/>
              </w:rPr>
            </w:pPr>
            <w:r>
              <w:rPr>
                <w:rFonts w:hint="eastAsia"/>
                <w:color w:val="auto"/>
                <w:highlight w:val="none"/>
                <w:lang w:val="en-US" w:eastAsia="zh-CN"/>
              </w:rPr>
              <w:t>（</w:t>
            </w:r>
            <w:r>
              <w:rPr>
                <w:rFonts w:hint="default"/>
                <w:color w:val="auto"/>
                <w:highlight w:val="none"/>
                <w:lang w:val="en-US" w:eastAsia="zh-CN"/>
              </w:rPr>
              <w:t>1</w:t>
            </w:r>
            <w:r>
              <w:rPr>
                <w:rFonts w:hint="eastAsia"/>
                <w:color w:val="auto"/>
                <w:highlight w:val="none"/>
                <w:lang w:val="en-US" w:eastAsia="zh-CN"/>
              </w:rPr>
              <w:t>）对噪声的防治采用综合治理方法，首先从声源上加以控制，在设备选型上，尽量选用低噪声设备或振动小的设备；对振动大的设备在主体与基础之间安装减振装置；</w:t>
            </w:r>
          </w:p>
          <w:p w14:paraId="61C3FB06">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）加强生产设备的日常维护、更新，确保所有设备尤其是噪声污染防治设备处于正常工况；</w:t>
            </w:r>
          </w:p>
          <w:p w14:paraId="37D42537">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（3）定期对设备噪声进行检查，掌握其变化规律；</w:t>
            </w:r>
          </w:p>
          <w:p w14:paraId="23451E14">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w:t>
            </w:r>
            <w:r>
              <w:rPr>
                <w:rFonts w:hint="eastAsia"/>
                <w:color w:val="auto"/>
                <w:highlight w:val="none"/>
                <w:lang w:val="en-US" w:eastAsia="zh-CN"/>
              </w:rPr>
              <w:t>4</w:t>
            </w:r>
            <w:r>
              <w:rPr>
                <w:rFonts w:hint="default"/>
                <w:color w:val="auto"/>
                <w:highlight w:val="none"/>
                <w:lang w:val="en-US" w:eastAsia="zh-CN"/>
              </w:rPr>
              <w:t>）生产车间墙、门和窗采取隔音措施</w:t>
            </w:r>
            <w:r>
              <w:rPr>
                <w:rFonts w:hint="eastAsia"/>
                <w:color w:val="auto"/>
                <w:highlight w:val="none"/>
                <w:lang w:eastAsia="zh-CN"/>
              </w:rPr>
              <w:t>。</w:t>
            </w:r>
          </w:p>
          <w:p w14:paraId="2325EEB8">
            <w:pPr>
              <w:pStyle w:val="3"/>
              <w:suppressLineNumbers w:val="0"/>
              <w:bidi w:val="0"/>
              <w:spacing w:before="0" w:beforeAutospacing="0" w:after="0" w:afterAutospacing="0"/>
              <w:ind w:left="0" w:right="0"/>
              <w:rPr>
                <w:rFonts w:hint="eastAsia"/>
                <w:color w:val="auto"/>
                <w:highlight w:val="none"/>
              </w:rPr>
            </w:pPr>
            <w:r>
              <w:rPr>
                <w:rFonts w:hint="default"/>
                <w:color w:val="auto"/>
                <w:highlight w:val="none"/>
              </w:rPr>
              <w:t>3.</w:t>
            </w:r>
            <w:r>
              <w:rPr>
                <w:rFonts w:hint="eastAsia"/>
                <w:color w:val="auto"/>
                <w:highlight w:val="none"/>
                <w:lang w:val="en-US" w:eastAsia="zh-CN"/>
              </w:rPr>
              <w:t>3</w:t>
            </w:r>
            <w:r>
              <w:rPr>
                <w:rFonts w:hint="eastAsia"/>
                <w:color w:val="auto"/>
                <w:highlight w:val="none"/>
              </w:rPr>
              <w:t>监测计划</w:t>
            </w:r>
          </w:p>
          <w:p w14:paraId="51224A0C">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color w:val="auto"/>
                <w:highlight w:val="none"/>
              </w:rPr>
            </w:pPr>
            <w:r>
              <w:rPr>
                <w:rFonts w:hint="eastAsia"/>
                <w:color w:val="auto"/>
                <w:highlight w:val="none"/>
                <w:lang w:val="en-US" w:eastAsia="zh-CN"/>
              </w:rPr>
              <w:t>本项目运营后监测计划如下表4-10：</w:t>
            </w:r>
          </w:p>
          <w:p w14:paraId="1970FB07">
            <w:pPr>
              <w:pStyle w:val="5"/>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表</w:t>
            </w:r>
            <w:r>
              <w:rPr>
                <w:rFonts w:hint="eastAsia"/>
                <w:color w:val="auto"/>
                <w:highlight w:val="none"/>
                <w:lang w:val="en-US" w:eastAsia="zh-CN"/>
              </w:rPr>
              <w:t>4-10</w:t>
            </w:r>
            <w:r>
              <w:rPr>
                <w:rFonts w:hint="default"/>
                <w:color w:val="auto"/>
                <w:highlight w:val="none"/>
              </w:rPr>
              <w:t xml:space="preserve">                      </w:t>
            </w:r>
            <w:r>
              <w:rPr>
                <w:rFonts w:hint="eastAsia"/>
                <w:color w:val="auto"/>
                <w:highlight w:val="none"/>
              </w:rPr>
              <w:t>声环境监测计划</w:t>
            </w:r>
          </w:p>
          <w:tbl>
            <w:tblPr>
              <w:tblStyle w:val="30"/>
              <w:tblW w:w="8148" w:type="dxa"/>
              <w:tblInd w:w="108" w:type="dxa"/>
              <w:tblBorders>
                <w:top w:val="single" w:color="000000" w:sz="12" w:space="0"/>
                <w:left w:val="none" w:color="auto" w:sz="6" w:space="0"/>
                <w:bottom w:val="single" w:color="000000" w:sz="12" w:space="0"/>
                <w:right w:val="none" w:color="auto" w:sz="6"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857"/>
              <w:gridCol w:w="1260"/>
              <w:gridCol w:w="1650"/>
              <w:gridCol w:w="1020"/>
              <w:gridCol w:w="3361"/>
            </w:tblGrid>
            <w:tr w14:paraId="6BB98506">
              <w:tblPrEx>
                <w:tblBorders>
                  <w:top w:val="single" w:color="000000" w:sz="12" w:space="0"/>
                  <w:left w:val="none" w:color="auto" w:sz="6" w:space="0"/>
                  <w:bottom w:val="single" w:color="000000" w:sz="12" w:space="0"/>
                  <w:right w:val="none" w:color="auto" w:sz="6" w:space="0"/>
                  <w:insideH w:val="single" w:color="000000" w:sz="4" w:space="0"/>
                  <w:insideV w:val="single" w:color="000000" w:sz="4" w:space="0"/>
                </w:tblBorders>
                <w:tblCellMar>
                  <w:top w:w="0" w:type="dxa"/>
                  <w:left w:w="0" w:type="dxa"/>
                  <w:bottom w:w="0" w:type="dxa"/>
                  <w:right w:w="0" w:type="dxa"/>
                </w:tblCellMar>
              </w:tblPrEx>
              <w:tc>
                <w:tcPr>
                  <w:tcW w:w="857" w:type="dxa"/>
                  <w:tcBorders>
                    <w:top w:val="single" w:color="000000" w:sz="12" w:space="0"/>
                    <w:left w:val="nil"/>
                    <w:bottom w:val="single" w:color="000000" w:sz="4" w:space="0"/>
                    <w:right w:val="single" w:color="000000" w:sz="4" w:space="0"/>
                  </w:tcBorders>
                  <w:shd w:val="clear" w:color="auto" w:fill="auto"/>
                  <w:vAlign w:val="center"/>
                </w:tcPr>
                <w:p w14:paraId="748275DC">
                  <w:pPr>
                    <w:pStyle w:val="7"/>
                    <w:keepNext w:val="0"/>
                    <w:keepLines w:val="0"/>
                    <w:suppressLineNumbers w:val="0"/>
                    <w:bidi w:val="0"/>
                    <w:spacing w:before="0" w:beforeAutospacing="0" w:after="0" w:afterAutospacing="0"/>
                    <w:ind w:left="0" w:right="0" w:firstLine="0"/>
                    <w:rPr>
                      <w:rFonts w:hint="default"/>
                      <w:color w:val="auto"/>
                      <w:highlight w:val="none"/>
                      <w:lang w:val="en-US" w:eastAsia="zh-CN"/>
                    </w:rPr>
                  </w:pPr>
                  <w:r>
                    <w:rPr>
                      <w:rFonts w:hint="eastAsia"/>
                      <w:color w:val="auto"/>
                      <w:highlight w:val="none"/>
                      <w:lang w:val="en-US" w:eastAsia="zh-CN"/>
                    </w:rPr>
                    <w:t>项目</w:t>
                  </w:r>
                </w:p>
              </w:tc>
              <w:tc>
                <w:tcPr>
                  <w:tcW w:w="1260"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29B7CFF3">
                  <w:pPr>
                    <w:pStyle w:val="7"/>
                    <w:keepNext w:val="0"/>
                    <w:keepLines w:val="0"/>
                    <w:suppressLineNumbers w:val="0"/>
                    <w:bidi w:val="0"/>
                    <w:spacing w:before="0" w:beforeAutospacing="0" w:after="0" w:afterAutospacing="0"/>
                    <w:ind w:left="0" w:right="0" w:firstLine="0"/>
                    <w:rPr>
                      <w:rFonts w:hint="default"/>
                      <w:color w:val="auto"/>
                      <w:highlight w:val="none"/>
                      <w:lang w:val="en-US" w:eastAsia="zh-CN"/>
                    </w:rPr>
                  </w:pPr>
                  <w:r>
                    <w:rPr>
                      <w:rFonts w:hint="eastAsia"/>
                      <w:color w:val="auto"/>
                      <w:highlight w:val="none"/>
                      <w:lang w:val="en-US" w:eastAsia="zh-CN"/>
                    </w:rPr>
                    <w:t>监测点位</w:t>
                  </w:r>
                </w:p>
              </w:tc>
              <w:tc>
                <w:tcPr>
                  <w:tcW w:w="1650"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28F4EFDA">
                  <w:pPr>
                    <w:pStyle w:val="7"/>
                    <w:keepNext w:val="0"/>
                    <w:keepLines w:val="0"/>
                    <w:suppressLineNumbers w:val="0"/>
                    <w:bidi w:val="0"/>
                    <w:spacing w:before="0" w:beforeAutospacing="0" w:after="0" w:afterAutospacing="0"/>
                    <w:ind w:left="0" w:right="0" w:firstLine="0"/>
                    <w:rPr>
                      <w:rFonts w:hint="default"/>
                      <w:color w:val="auto"/>
                      <w:highlight w:val="none"/>
                      <w:lang w:val="en-US" w:eastAsia="zh-CN"/>
                    </w:rPr>
                  </w:pPr>
                  <w:r>
                    <w:rPr>
                      <w:rFonts w:hint="eastAsia"/>
                      <w:color w:val="auto"/>
                      <w:highlight w:val="none"/>
                      <w:lang w:val="en-US" w:eastAsia="zh-CN"/>
                    </w:rPr>
                    <w:t>监测项目</w:t>
                  </w:r>
                </w:p>
              </w:tc>
              <w:tc>
                <w:tcPr>
                  <w:tcW w:w="1020"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2AB7013B">
                  <w:pPr>
                    <w:pStyle w:val="7"/>
                    <w:keepNext w:val="0"/>
                    <w:keepLines w:val="0"/>
                    <w:suppressLineNumbers w:val="0"/>
                    <w:bidi w:val="0"/>
                    <w:spacing w:before="0" w:beforeAutospacing="0" w:after="0" w:afterAutospacing="0"/>
                    <w:ind w:left="0" w:right="0" w:firstLine="0"/>
                    <w:rPr>
                      <w:rFonts w:hint="default"/>
                      <w:color w:val="auto"/>
                      <w:highlight w:val="none"/>
                      <w:lang w:val="en-US" w:eastAsia="zh-CN"/>
                    </w:rPr>
                  </w:pPr>
                  <w:r>
                    <w:rPr>
                      <w:rFonts w:hint="eastAsia"/>
                      <w:color w:val="auto"/>
                      <w:highlight w:val="none"/>
                      <w:lang w:val="en-US" w:eastAsia="zh-CN"/>
                    </w:rPr>
                    <w:t>监测频率</w:t>
                  </w:r>
                </w:p>
              </w:tc>
              <w:tc>
                <w:tcPr>
                  <w:tcW w:w="3361" w:type="dxa"/>
                  <w:tcBorders>
                    <w:top w:val="single" w:color="000000" w:sz="12" w:space="0"/>
                    <w:left w:val="single" w:color="000000" w:sz="4" w:space="0"/>
                    <w:bottom w:val="single" w:color="000000" w:sz="4" w:space="0"/>
                    <w:right w:val="nil"/>
                  </w:tcBorders>
                  <w:shd w:val="clear" w:color="auto" w:fill="auto"/>
                  <w:vAlign w:val="center"/>
                </w:tcPr>
                <w:p w14:paraId="1B98EA35">
                  <w:pPr>
                    <w:pStyle w:val="7"/>
                    <w:keepNext w:val="0"/>
                    <w:keepLines w:val="0"/>
                    <w:suppressLineNumbers w:val="0"/>
                    <w:bidi w:val="0"/>
                    <w:spacing w:before="0" w:beforeAutospacing="0" w:after="0" w:afterAutospacing="0"/>
                    <w:ind w:left="0" w:right="0" w:firstLine="0"/>
                    <w:rPr>
                      <w:rFonts w:hint="default"/>
                      <w:color w:val="auto"/>
                      <w:highlight w:val="none"/>
                      <w:lang w:val="en-US" w:eastAsia="zh-CN"/>
                    </w:rPr>
                  </w:pPr>
                  <w:r>
                    <w:rPr>
                      <w:rFonts w:hint="eastAsia"/>
                      <w:color w:val="auto"/>
                      <w:highlight w:val="none"/>
                      <w:lang w:val="en-US" w:eastAsia="zh-CN"/>
                    </w:rPr>
                    <w:t>排放标准</w:t>
                  </w:r>
                </w:p>
              </w:tc>
            </w:tr>
            <w:tr w14:paraId="5DBA4ED2">
              <w:tblPrEx>
                <w:tblBorders>
                  <w:top w:val="single" w:color="000000" w:sz="12" w:space="0"/>
                  <w:left w:val="none" w:color="auto" w:sz="6" w:space="0"/>
                  <w:bottom w:val="single" w:color="000000" w:sz="12" w:space="0"/>
                  <w:right w:val="none" w:color="auto" w:sz="6" w:space="0"/>
                  <w:insideH w:val="single" w:color="000000" w:sz="4" w:space="0"/>
                  <w:insideV w:val="single" w:color="000000" w:sz="4" w:space="0"/>
                </w:tblBorders>
                <w:tblCellMar>
                  <w:top w:w="0" w:type="dxa"/>
                  <w:left w:w="0" w:type="dxa"/>
                  <w:bottom w:w="0" w:type="dxa"/>
                  <w:right w:w="0" w:type="dxa"/>
                </w:tblCellMar>
              </w:tblPrEx>
              <w:tc>
                <w:tcPr>
                  <w:tcW w:w="857" w:type="dxa"/>
                  <w:tcBorders>
                    <w:top w:val="single" w:color="000000" w:sz="4" w:space="0"/>
                    <w:left w:val="nil"/>
                    <w:bottom w:val="single" w:color="000000" w:sz="12" w:space="0"/>
                    <w:right w:val="single" w:color="000000" w:sz="4" w:space="0"/>
                  </w:tcBorders>
                  <w:shd w:val="clear" w:color="auto" w:fill="auto"/>
                  <w:vAlign w:val="center"/>
                </w:tcPr>
                <w:p w14:paraId="30F75A34">
                  <w:pPr>
                    <w:pStyle w:val="7"/>
                    <w:keepNext w:val="0"/>
                    <w:keepLines w:val="0"/>
                    <w:suppressLineNumbers w:val="0"/>
                    <w:bidi w:val="0"/>
                    <w:spacing w:before="0" w:beforeAutospacing="0" w:after="0" w:afterAutospacing="0"/>
                    <w:ind w:left="0" w:right="0" w:firstLine="0"/>
                    <w:rPr>
                      <w:rFonts w:hint="default"/>
                      <w:color w:val="auto"/>
                      <w:highlight w:val="none"/>
                      <w:lang w:val="en-US" w:eastAsia="zh-CN"/>
                    </w:rPr>
                  </w:pPr>
                  <w:r>
                    <w:rPr>
                      <w:rFonts w:hint="eastAsia"/>
                      <w:color w:val="auto"/>
                      <w:highlight w:val="none"/>
                      <w:lang w:val="en-US" w:eastAsia="zh-CN"/>
                    </w:rPr>
                    <w:t>噪声</w:t>
                  </w:r>
                </w:p>
              </w:tc>
              <w:tc>
                <w:tcPr>
                  <w:tcW w:w="1260"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1841FC74">
                  <w:pPr>
                    <w:pStyle w:val="7"/>
                    <w:keepNext w:val="0"/>
                    <w:keepLines w:val="0"/>
                    <w:suppressLineNumbers w:val="0"/>
                    <w:bidi w:val="0"/>
                    <w:spacing w:before="0" w:beforeAutospacing="0" w:after="0" w:afterAutospacing="0"/>
                    <w:ind w:left="0" w:right="0" w:firstLine="0"/>
                    <w:rPr>
                      <w:rFonts w:hint="default"/>
                      <w:color w:val="auto"/>
                      <w:highlight w:val="none"/>
                      <w:lang w:val="en-US" w:eastAsia="zh-CN"/>
                    </w:rPr>
                  </w:pPr>
                  <w:r>
                    <w:rPr>
                      <w:rFonts w:hint="eastAsia"/>
                      <w:color w:val="auto"/>
                      <w:highlight w:val="none"/>
                      <w:lang w:val="en-US" w:eastAsia="zh-CN"/>
                    </w:rPr>
                    <w:t>厂界</w:t>
                  </w:r>
                </w:p>
              </w:tc>
              <w:tc>
                <w:tcPr>
                  <w:tcW w:w="1650"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34A1FF68">
                  <w:pPr>
                    <w:pStyle w:val="7"/>
                    <w:keepNext w:val="0"/>
                    <w:keepLines w:val="0"/>
                    <w:suppressLineNumbers w:val="0"/>
                    <w:bidi w:val="0"/>
                    <w:spacing w:before="0" w:beforeAutospacing="0" w:after="0" w:afterAutospacing="0"/>
                    <w:ind w:left="0" w:right="0" w:firstLine="0"/>
                    <w:rPr>
                      <w:rFonts w:hint="default"/>
                      <w:color w:val="auto"/>
                      <w:highlight w:val="none"/>
                      <w:lang w:val="en-US" w:eastAsia="zh-CN"/>
                    </w:rPr>
                  </w:pPr>
                  <w:r>
                    <w:rPr>
                      <w:rFonts w:hint="eastAsia"/>
                      <w:color w:val="auto"/>
                      <w:highlight w:val="none"/>
                      <w:lang w:val="en-US" w:eastAsia="zh-CN"/>
                    </w:rPr>
                    <w:t>等效连续</w:t>
                  </w:r>
                  <w:r>
                    <w:rPr>
                      <w:rFonts w:hint="default"/>
                      <w:color w:val="auto"/>
                      <w:highlight w:val="none"/>
                      <w:lang w:val="en-US" w:eastAsia="zh-CN"/>
                    </w:rPr>
                    <w:t>A</w:t>
                  </w:r>
                  <w:r>
                    <w:rPr>
                      <w:rFonts w:hint="eastAsia"/>
                      <w:color w:val="auto"/>
                      <w:highlight w:val="none"/>
                      <w:lang w:val="en-US" w:eastAsia="zh-CN"/>
                    </w:rPr>
                    <w:t>声级</w:t>
                  </w:r>
                </w:p>
              </w:tc>
              <w:tc>
                <w:tcPr>
                  <w:tcW w:w="1020"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5EE86C86">
                  <w:pPr>
                    <w:pStyle w:val="7"/>
                    <w:keepNext w:val="0"/>
                    <w:keepLines w:val="0"/>
                    <w:suppressLineNumbers w:val="0"/>
                    <w:bidi w:val="0"/>
                    <w:spacing w:before="0" w:beforeAutospacing="0" w:after="0" w:afterAutospacing="0"/>
                    <w:ind w:left="0" w:right="0" w:firstLine="0"/>
                    <w:rPr>
                      <w:rFonts w:hint="eastAsia"/>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次</w:t>
                  </w:r>
                  <w:r>
                    <w:rPr>
                      <w:rFonts w:hint="default"/>
                      <w:color w:val="auto"/>
                      <w:highlight w:val="none"/>
                      <w:lang w:val="en-US" w:eastAsia="zh-CN"/>
                    </w:rPr>
                    <w:t>/</w:t>
                  </w:r>
                  <w:r>
                    <w:rPr>
                      <w:rFonts w:hint="eastAsia"/>
                      <w:color w:val="auto"/>
                      <w:highlight w:val="none"/>
                      <w:lang w:val="en-US" w:eastAsia="zh-CN"/>
                    </w:rPr>
                    <w:t>季</w:t>
                  </w:r>
                </w:p>
              </w:tc>
              <w:tc>
                <w:tcPr>
                  <w:tcW w:w="3361" w:type="dxa"/>
                  <w:tcBorders>
                    <w:top w:val="single" w:color="000000" w:sz="4" w:space="0"/>
                    <w:left w:val="single" w:color="000000" w:sz="4" w:space="0"/>
                    <w:bottom w:val="single" w:color="000000" w:sz="12" w:space="0"/>
                    <w:right w:val="nil"/>
                  </w:tcBorders>
                  <w:shd w:val="clear" w:color="auto" w:fill="auto"/>
                  <w:vAlign w:val="center"/>
                </w:tcPr>
                <w:p w14:paraId="629EC43B">
                  <w:pPr>
                    <w:pStyle w:val="7"/>
                    <w:keepNext w:val="0"/>
                    <w:keepLines w:val="0"/>
                    <w:suppressLineNumbers w:val="0"/>
                    <w:bidi w:val="0"/>
                    <w:spacing w:before="0" w:beforeAutospacing="0" w:after="0" w:afterAutospacing="0"/>
                    <w:ind w:left="0" w:right="0" w:firstLine="0"/>
                    <w:rPr>
                      <w:rFonts w:hint="eastAsia"/>
                      <w:color w:val="auto"/>
                      <w:highlight w:val="none"/>
                      <w:lang w:val="en-US" w:eastAsia="zh-CN"/>
                    </w:rPr>
                  </w:pPr>
                  <w:r>
                    <w:rPr>
                      <w:rFonts w:hint="eastAsia"/>
                      <w:color w:val="auto"/>
                      <w:highlight w:val="none"/>
                      <w:lang w:val="en-US" w:eastAsia="zh-CN"/>
                    </w:rPr>
                    <w:t>《工业企业厂界环境噪声排放标准》（</w:t>
                  </w:r>
                  <w:r>
                    <w:rPr>
                      <w:rFonts w:hint="default"/>
                      <w:color w:val="auto"/>
                      <w:highlight w:val="none"/>
                      <w:lang w:val="en-US" w:eastAsia="zh-CN"/>
                    </w:rPr>
                    <w:t>GB12348-2008</w:t>
                  </w:r>
                  <w:r>
                    <w:rPr>
                      <w:rFonts w:hint="eastAsia"/>
                      <w:color w:val="auto"/>
                      <w:highlight w:val="none"/>
                      <w:lang w:val="en-US" w:eastAsia="zh-CN"/>
                    </w:rPr>
                    <w:t>）3类区排放标准</w:t>
                  </w:r>
                </w:p>
              </w:tc>
            </w:tr>
          </w:tbl>
          <w:p w14:paraId="503F4E0E">
            <w:pPr>
              <w:pStyle w:val="3"/>
              <w:suppressLineNumbers w:val="0"/>
              <w:bidi w:val="0"/>
              <w:spacing w:before="0" w:beforeAutospacing="0" w:after="0" w:afterAutospacing="0"/>
              <w:ind w:left="0" w:right="0"/>
              <w:rPr>
                <w:rFonts w:hint="eastAsia"/>
                <w:color w:val="auto"/>
                <w:highlight w:val="none"/>
              </w:rPr>
            </w:pPr>
            <w:r>
              <w:rPr>
                <w:rFonts w:hint="default"/>
                <w:color w:val="auto"/>
                <w:highlight w:val="none"/>
              </w:rPr>
              <w:t>4</w:t>
            </w:r>
            <w:r>
              <w:rPr>
                <w:rFonts w:hint="eastAsia"/>
                <w:color w:val="auto"/>
                <w:highlight w:val="none"/>
              </w:rPr>
              <w:t>、固体废物</w:t>
            </w:r>
          </w:p>
          <w:p w14:paraId="50B7B508">
            <w:pPr>
              <w:pStyle w:val="3"/>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4.1生活垃圾</w:t>
            </w:r>
          </w:p>
          <w:p w14:paraId="23014870">
            <w:pPr>
              <w:keepNext w:val="0"/>
              <w:keepLines w:val="0"/>
              <w:suppressLineNumbers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劳动定员40人，按每人每天产生生活垃圾0.5kg计算，年生产300天，生活垃圾产生量约6t/a，生活垃圾集中收集后，交由环卫部门定期清运。根据《固体废物分类与代码目录》可知，生活垃圾代码为</w:t>
            </w:r>
            <w:r>
              <w:rPr>
                <w:rFonts w:hint="eastAsia"/>
                <w:color w:val="auto"/>
                <w:sz w:val="21"/>
                <w:szCs w:val="21"/>
                <w:highlight w:val="none"/>
                <w:lang w:val="en-US" w:eastAsia="zh-CN"/>
              </w:rPr>
              <w:t>900-099-S64</w:t>
            </w:r>
            <w:r>
              <w:rPr>
                <w:rFonts w:hint="eastAsia"/>
                <w:color w:val="auto"/>
                <w:highlight w:val="none"/>
                <w:lang w:val="en-US" w:eastAsia="zh-CN"/>
              </w:rPr>
              <w:t>。</w:t>
            </w:r>
          </w:p>
          <w:p w14:paraId="3A540D00">
            <w:pPr>
              <w:pStyle w:val="3"/>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4.2一般工业固废</w:t>
            </w:r>
          </w:p>
          <w:p w14:paraId="0EADE7BA">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（1）废玻璃：经检测不合格玻璃及实验室样品集中收集后可外售新疆光耀玻璃科技有限公司，根据业主提供资料，年产生量约500t，根据《固体废物分类与代码目录》可知，废玻璃废物代码为：900-004-S62。</w:t>
            </w:r>
          </w:p>
          <w:p w14:paraId="09929706">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2）废靶材：镀膜工序产生的废靶材主要残余为银、镍-铬、锌铝、硅铝等金属合金，生产过程中真空密闭腔体内，未沾染危险化学品，年产生量约3t。由靶材供应商回收，重新熔炼制备，实现综合利用。根据《固体废物分类与代码目录》可知，废靶材代码为900-099-S59。</w:t>
            </w:r>
          </w:p>
          <w:p w14:paraId="3E520ACC">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（3）喷砂除尘灰：根据废气源强核算可知，收集粉尘量0.85t/a，集中收集后由靶材供应商回收，重新熔炼制备，实现综合利用。根据《固体废物分类与代码目录》可知，喷砂除尘灰代码为900-099-S59。</w:t>
            </w:r>
          </w:p>
          <w:p w14:paraId="6BEF698D">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（4）沉淀污泥：</w:t>
            </w:r>
            <w:r>
              <w:rPr>
                <w:rFonts w:hint="default"/>
                <w:color w:val="auto"/>
                <w:highlight w:val="none"/>
                <w:lang w:val="en-US" w:eastAsia="zh-CN"/>
              </w:rPr>
              <w:t>玻璃清洗污水处理工艺</w:t>
            </w:r>
            <w:r>
              <w:rPr>
                <w:rFonts w:hint="eastAsia"/>
                <w:color w:val="auto"/>
                <w:highlight w:val="none"/>
                <w:lang w:val="en-US" w:eastAsia="zh-CN"/>
              </w:rPr>
              <w:t>中，</w:t>
            </w:r>
            <w:r>
              <w:rPr>
                <w:rFonts w:hint="default"/>
                <w:color w:val="auto"/>
                <w:highlight w:val="none"/>
                <w:lang w:val="en-US" w:eastAsia="zh-CN"/>
              </w:rPr>
              <w:t>反应沉淀、气浮、二沉池</w:t>
            </w:r>
            <w:r>
              <w:rPr>
                <w:rFonts w:hint="eastAsia"/>
                <w:color w:val="auto"/>
                <w:highlight w:val="none"/>
                <w:lang w:val="en-US" w:eastAsia="zh-CN"/>
              </w:rPr>
              <w:t>过程中会产生污泥固废，主要成分为玻璃微粉，经压滤后年产生量约2.5t，集中后外售建材厂商。根据《固体废物分类与代码目录》可知，沉淀污泥代码为900-099-S07。</w:t>
            </w:r>
          </w:p>
          <w:p w14:paraId="3CE6B19A">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5）废过滤材料：软化水制备系统中RO膜2-3年更换一次，产生量约0.35t/3年，厂家可回收；废石英砂2-3年更换一次，产生量约0.4t/3年，可外售综合利用。根据《固体废物分类与代码目录》可知，废过滤材料代码为900-009-S59。</w:t>
            </w:r>
          </w:p>
          <w:p w14:paraId="0C9FEA49">
            <w:pPr>
              <w:pStyle w:val="3"/>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4.3固废管理要求</w:t>
            </w:r>
          </w:p>
          <w:p w14:paraId="3049B2B8">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依据2026年8月15日施行的《中华人民共和国生态环境法典》相关规定，本项目一般工业固体废物贮存区域落实防扬散、防流失、防渗漏措施，设置规范标识标牌，固废分类分区存放。企业建立工业固体废物管理台账，完整记录固废种类、产生量、流向、贮存、利用、处置信息，实现固废全过程可追溯，</w:t>
            </w:r>
            <w:r>
              <w:rPr>
                <w:rFonts w:hint="default"/>
                <w:color w:val="auto"/>
                <w:highlight w:val="none"/>
              </w:rPr>
              <w:t>台账保存不少于5年</w:t>
            </w:r>
            <w:r>
              <w:rPr>
                <w:rFonts w:hint="eastAsia"/>
                <w:color w:val="auto"/>
                <w:highlight w:val="none"/>
                <w:lang w:val="en-US" w:eastAsia="zh-CN"/>
              </w:rPr>
              <w:t>。对不能综合利用的固体废物，委托具备相应能力的单位处置，禁止擅自处置；按规定完成年度固体废物申报登记。委托外部单位运输、利用、处置固废前，对受托方主体资格、技术能力进行核实，签订书面合同并明确污染防治责任。</w:t>
            </w:r>
          </w:p>
          <w:p w14:paraId="27ADB6DC">
            <w:pPr>
              <w:pStyle w:val="3"/>
              <w:suppressLineNumbers w:val="0"/>
              <w:bidi w:val="0"/>
              <w:spacing w:before="0" w:beforeAutospacing="0" w:after="0" w:afterAutospacing="0"/>
              <w:ind w:left="0" w:right="0"/>
              <w:rPr>
                <w:rFonts w:hint="default"/>
                <w:color w:val="auto"/>
                <w:highlight w:val="none"/>
              </w:rPr>
            </w:pPr>
            <w:r>
              <w:rPr>
                <w:rFonts w:hint="default"/>
                <w:color w:val="auto"/>
                <w:highlight w:val="none"/>
              </w:rPr>
              <w:t>4.</w:t>
            </w:r>
            <w:r>
              <w:rPr>
                <w:rFonts w:hint="eastAsia"/>
                <w:color w:val="auto"/>
                <w:highlight w:val="none"/>
                <w:lang w:val="en-US" w:eastAsia="zh-CN"/>
              </w:rPr>
              <w:t>4</w:t>
            </w:r>
            <w:r>
              <w:rPr>
                <w:rFonts w:hint="eastAsia"/>
                <w:color w:val="auto"/>
                <w:highlight w:val="none"/>
              </w:rPr>
              <w:t>固体废物汇总</w:t>
            </w:r>
          </w:p>
          <w:p w14:paraId="4F359695">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en-US" w:eastAsia="zh-CN"/>
              </w:rPr>
              <w:t>本项目固体废物产生情况见表4-11。</w:t>
            </w:r>
          </w:p>
          <w:p w14:paraId="69DEEB74">
            <w:pPr>
              <w:pStyle w:val="5"/>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表4-11</w:t>
            </w:r>
            <w:r>
              <w:rPr>
                <w:rFonts w:hint="default"/>
                <w:color w:val="auto"/>
                <w:highlight w:val="none"/>
                <w:lang w:val="en-US" w:eastAsia="zh-CN"/>
              </w:rPr>
              <w:t xml:space="preserve">      </w:t>
            </w:r>
            <w:r>
              <w:rPr>
                <w:rFonts w:hint="eastAsia"/>
                <w:color w:val="auto"/>
                <w:highlight w:val="none"/>
                <w:lang w:val="en-US" w:eastAsia="zh-CN"/>
              </w:rPr>
              <w:t xml:space="preserve">      </w:t>
            </w:r>
            <w:r>
              <w:rPr>
                <w:rFonts w:hint="default"/>
                <w:color w:val="auto"/>
                <w:highlight w:val="none"/>
                <w:lang w:val="en-US" w:eastAsia="zh-CN"/>
              </w:rPr>
              <w:t xml:space="preserve"> </w:t>
            </w:r>
            <w:r>
              <w:rPr>
                <w:rFonts w:hint="eastAsia"/>
                <w:color w:val="auto"/>
                <w:highlight w:val="none"/>
                <w:lang w:val="en-US" w:eastAsia="zh-CN"/>
              </w:rPr>
              <w:t xml:space="preserve">   </w:t>
            </w:r>
            <w:r>
              <w:rPr>
                <w:rFonts w:hint="default"/>
                <w:color w:val="auto"/>
                <w:highlight w:val="none"/>
                <w:lang w:val="en-US" w:eastAsia="zh-CN"/>
              </w:rPr>
              <w:t xml:space="preserve"> </w:t>
            </w:r>
            <w:r>
              <w:rPr>
                <w:rFonts w:hint="eastAsia"/>
                <w:color w:val="auto"/>
                <w:highlight w:val="none"/>
                <w:lang w:val="en-US" w:eastAsia="zh-CN"/>
              </w:rPr>
              <w:t>本项目固体废物分析结果汇总表</w:t>
            </w:r>
          </w:p>
          <w:tbl>
            <w:tblPr>
              <w:tblStyle w:val="30"/>
              <w:tblW w:w="4995"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shd w:val="clear" w:color="auto" w:fill="auto"/>
              <w:tblLayout w:type="fixed"/>
              <w:tblCellMar>
                <w:top w:w="0" w:type="dxa"/>
                <w:left w:w="108" w:type="dxa"/>
                <w:bottom w:w="0" w:type="dxa"/>
                <w:right w:w="108" w:type="dxa"/>
              </w:tblCellMar>
            </w:tblPr>
            <w:tblGrid>
              <w:gridCol w:w="583"/>
              <w:gridCol w:w="546"/>
              <w:gridCol w:w="1414"/>
              <w:gridCol w:w="1008"/>
              <w:gridCol w:w="635"/>
              <w:gridCol w:w="889"/>
              <w:gridCol w:w="749"/>
              <w:gridCol w:w="556"/>
              <w:gridCol w:w="693"/>
              <w:gridCol w:w="525"/>
              <w:gridCol w:w="749"/>
            </w:tblGrid>
            <w:tr w14:paraId="57B807C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shd w:val="clear" w:color="auto" w:fill="auto"/>
                <w:tblCellMar>
                  <w:top w:w="0" w:type="dxa"/>
                  <w:left w:w="108" w:type="dxa"/>
                  <w:bottom w:w="0" w:type="dxa"/>
                  <w:right w:w="108" w:type="dxa"/>
                </w:tblCellMar>
              </w:tblPrEx>
              <w:trPr>
                <w:jc w:val="center"/>
              </w:trPr>
              <w:tc>
                <w:tcPr>
                  <w:tcW w:w="349" w:type="pct"/>
                  <w:tcBorders>
                    <w:tl2br w:val="nil"/>
                    <w:tr2bl w:val="nil"/>
                  </w:tcBorders>
                  <w:shd w:val="clear" w:color="auto" w:fill="auto"/>
                  <w:vAlign w:val="center"/>
                </w:tcPr>
                <w:p w14:paraId="60C7BD24">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废物名称</w:t>
                  </w:r>
                </w:p>
              </w:tc>
              <w:tc>
                <w:tcPr>
                  <w:tcW w:w="327" w:type="pct"/>
                  <w:tcBorders>
                    <w:tl2br w:val="nil"/>
                    <w:tr2bl w:val="nil"/>
                  </w:tcBorders>
                  <w:shd w:val="clear" w:color="auto" w:fill="auto"/>
                  <w:vAlign w:val="center"/>
                </w:tcPr>
                <w:p w14:paraId="4FEF73F8">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废物类别</w:t>
                  </w:r>
                </w:p>
              </w:tc>
              <w:tc>
                <w:tcPr>
                  <w:tcW w:w="846" w:type="pct"/>
                  <w:tcBorders>
                    <w:right w:val="single" w:color="auto" w:sz="4" w:space="0"/>
                    <w:tl2br w:val="nil"/>
                    <w:tr2bl w:val="nil"/>
                  </w:tcBorders>
                  <w:shd w:val="clear" w:color="auto" w:fill="auto"/>
                  <w:vAlign w:val="center"/>
                </w:tcPr>
                <w:p w14:paraId="4358CF19">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废物代码</w:t>
                  </w:r>
                </w:p>
              </w:tc>
              <w:tc>
                <w:tcPr>
                  <w:tcW w:w="603" w:type="pct"/>
                  <w:tcBorders>
                    <w:right w:val="single" w:color="auto" w:sz="4" w:space="0"/>
                    <w:tl2br w:val="nil"/>
                    <w:tr2bl w:val="nil"/>
                  </w:tcBorders>
                  <w:shd w:val="clear" w:color="auto" w:fill="auto"/>
                  <w:vAlign w:val="center"/>
                </w:tcPr>
                <w:p w14:paraId="08B0E661">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产生量</w:t>
                  </w:r>
                  <w:r>
                    <w:rPr>
                      <w:rFonts w:hint="eastAsia"/>
                      <w:color w:val="auto"/>
                      <w:highlight w:val="none"/>
                      <w:lang w:val="en-US" w:eastAsia="zh-CN"/>
                    </w:rPr>
                    <w:t>（</w:t>
                  </w:r>
                  <w:r>
                    <w:rPr>
                      <w:rFonts w:hint="default"/>
                      <w:color w:val="auto"/>
                      <w:highlight w:val="none"/>
                      <w:lang w:val="en-US" w:eastAsia="zh-CN"/>
                    </w:rPr>
                    <w:t>t/a</w:t>
                  </w:r>
                  <w:r>
                    <w:rPr>
                      <w:rFonts w:hint="eastAsia"/>
                      <w:color w:val="auto"/>
                      <w:highlight w:val="none"/>
                      <w:lang w:val="en-US" w:eastAsia="zh-CN"/>
                    </w:rPr>
                    <w:t>）</w:t>
                  </w:r>
                </w:p>
              </w:tc>
              <w:tc>
                <w:tcPr>
                  <w:tcW w:w="380" w:type="pct"/>
                  <w:tcBorders>
                    <w:left w:val="single" w:color="auto" w:sz="4" w:space="0"/>
                    <w:tl2br w:val="nil"/>
                    <w:tr2bl w:val="nil"/>
                  </w:tcBorders>
                  <w:shd w:val="clear" w:color="auto" w:fill="auto"/>
                  <w:vAlign w:val="center"/>
                </w:tcPr>
                <w:p w14:paraId="3D24ED4E">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lang w:val="en-US" w:eastAsia="zh-CN"/>
                    </w:rPr>
                    <w:t>产生工序及装置</w:t>
                  </w:r>
                </w:p>
              </w:tc>
              <w:tc>
                <w:tcPr>
                  <w:tcW w:w="532" w:type="pct"/>
                  <w:tcBorders>
                    <w:right w:val="single" w:color="auto" w:sz="4" w:space="0"/>
                    <w:tl2br w:val="nil"/>
                    <w:tr2bl w:val="nil"/>
                  </w:tcBorders>
                  <w:shd w:val="clear" w:color="auto" w:fill="auto"/>
                  <w:vAlign w:val="center"/>
                </w:tcPr>
                <w:p w14:paraId="417F23BA">
                  <w:pPr>
                    <w:pStyle w:val="7"/>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形态</w:t>
                  </w:r>
                </w:p>
              </w:tc>
              <w:tc>
                <w:tcPr>
                  <w:tcW w:w="448" w:type="pct"/>
                  <w:tcBorders>
                    <w:left w:val="single" w:color="auto" w:sz="4" w:space="0"/>
                    <w:right w:val="single" w:color="auto" w:sz="4" w:space="0"/>
                    <w:tl2br w:val="nil"/>
                    <w:tr2bl w:val="nil"/>
                  </w:tcBorders>
                  <w:shd w:val="clear" w:color="auto" w:fill="auto"/>
                  <w:vAlign w:val="center"/>
                </w:tcPr>
                <w:p w14:paraId="7BF8C099">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lang w:val="en-US" w:eastAsia="zh-CN"/>
                    </w:rPr>
                    <w:t>主要成分</w:t>
                  </w:r>
                </w:p>
              </w:tc>
              <w:tc>
                <w:tcPr>
                  <w:tcW w:w="333" w:type="pct"/>
                  <w:tcBorders>
                    <w:left w:val="single" w:color="auto" w:sz="4" w:space="0"/>
                    <w:tl2br w:val="nil"/>
                    <w:tr2bl w:val="nil"/>
                  </w:tcBorders>
                  <w:shd w:val="clear" w:color="auto" w:fill="auto"/>
                  <w:vAlign w:val="center"/>
                </w:tcPr>
                <w:p w14:paraId="01398180">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lang w:val="en-US" w:eastAsia="zh-CN"/>
                    </w:rPr>
                    <w:t>有害成分</w:t>
                  </w:r>
                </w:p>
              </w:tc>
              <w:tc>
                <w:tcPr>
                  <w:tcW w:w="415" w:type="pct"/>
                  <w:tcBorders>
                    <w:right w:val="single" w:color="auto" w:sz="4" w:space="0"/>
                    <w:tl2br w:val="nil"/>
                    <w:tr2bl w:val="nil"/>
                  </w:tcBorders>
                  <w:shd w:val="clear" w:color="auto" w:fill="auto"/>
                  <w:vAlign w:val="center"/>
                </w:tcPr>
                <w:p w14:paraId="79606643">
                  <w:pPr>
                    <w:pStyle w:val="7"/>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清运</w:t>
                  </w:r>
                  <w:r>
                    <w:rPr>
                      <w:rFonts w:hint="default"/>
                      <w:color w:val="auto"/>
                      <w:highlight w:val="none"/>
                      <w:lang w:val="en-US" w:eastAsia="zh-CN"/>
                    </w:rPr>
                    <w:t>周期</w:t>
                  </w:r>
                </w:p>
              </w:tc>
              <w:tc>
                <w:tcPr>
                  <w:tcW w:w="314" w:type="pct"/>
                  <w:tcBorders>
                    <w:left w:val="single" w:color="auto" w:sz="4" w:space="0"/>
                    <w:tl2br w:val="nil"/>
                    <w:tr2bl w:val="nil"/>
                  </w:tcBorders>
                  <w:shd w:val="clear" w:color="auto" w:fill="auto"/>
                  <w:vAlign w:val="center"/>
                </w:tcPr>
                <w:p w14:paraId="1C75FA3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危废特性</w:t>
                  </w:r>
                </w:p>
              </w:tc>
              <w:tc>
                <w:tcPr>
                  <w:tcW w:w="448" w:type="pct"/>
                  <w:tcBorders>
                    <w:left w:val="single" w:color="auto" w:sz="4" w:space="0"/>
                    <w:tl2br w:val="nil"/>
                    <w:tr2bl w:val="nil"/>
                  </w:tcBorders>
                  <w:shd w:val="clear" w:color="auto" w:fill="auto"/>
                  <w:vAlign w:val="center"/>
                </w:tcPr>
                <w:p w14:paraId="11598822">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lang w:val="en-US" w:eastAsia="zh-CN"/>
                    </w:rPr>
                    <w:t>污染防治措施</w:t>
                  </w:r>
                </w:p>
              </w:tc>
            </w:tr>
            <w:tr w14:paraId="317A9BD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jc w:val="center"/>
              </w:trPr>
              <w:tc>
                <w:tcPr>
                  <w:tcW w:w="349" w:type="pct"/>
                  <w:tcBorders>
                    <w:tl2br w:val="nil"/>
                    <w:tr2bl w:val="nil"/>
                  </w:tcBorders>
                  <w:shd w:val="clear" w:color="auto" w:fill="auto"/>
                  <w:vAlign w:val="center"/>
                </w:tcPr>
                <w:p w14:paraId="303E6BE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生活垃圾</w:t>
                  </w:r>
                </w:p>
              </w:tc>
              <w:tc>
                <w:tcPr>
                  <w:tcW w:w="327" w:type="pct"/>
                  <w:tcBorders>
                    <w:tl2br w:val="nil"/>
                    <w:tr2bl w:val="nil"/>
                  </w:tcBorders>
                  <w:shd w:val="clear" w:color="auto" w:fill="auto"/>
                  <w:vAlign w:val="center"/>
                </w:tcPr>
                <w:p w14:paraId="78C3303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生活垃圾</w:t>
                  </w:r>
                </w:p>
              </w:tc>
              <w:tc>
                <w:tcPr>
                  <w:tcW w:w="846" w:type="pct"/>
                  <w:tcBorders>
                    <w:right w:val="single" w:color="auto" w:sz="4" w:space="0"/>
                    <w:tl2br w:val="nil"/>
                    <w:tr2bl w:val="nil"/>
                  </w:tcBorders>
                  <w:shd w:val="clear" w:color="auto" w:fill="auto"/>
                  <w:vAlign w:val="center"/>
                </w:tcPr>
                <w:p w14:paraId="42F999D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900-099-S64</w:t>
                  </w:r>
                </w:p>
              </w:tc>
              <w:tc>
                <w:tcPr>
                  <w:tcW w:w="603" w:type="pct"/>
                  <w:tcBorders>
                    <w:right w:val="single" w:color="auto" w:sz="4" w:space="0"/>
                    <w:tl2br w:val="nil"/>
                    <w:tr2bl w:val="nil"/>
                  </w:tcBorders>
                  <w:shd w:val="clear" w:color="auto" w:fill="auto"/>
                  <w:vAlign w:val="center"/>
                </w:tcPr>
                <w:p w14:paraId="63B5C9B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6</w:t>
                  </w:r>
                </w:p>
              </w:tc>
              <w:tc>
                <w:tcPr>
                  <w:tcW w:w="380" w:type="pct"/>
                  <w:tcBorders>
                    <w:left w:val="single" w:color="auto" w:sz="4" w:space="0"/>
                    <w:tl2br w:val="nil"/>
                    <w:tr2bl w:val="nil"/>
                  </w:tcBorders>
                  <w:shd w:val="clear" w:color="auto" w:fill="auto"/>
                  <w:vAlign w:val="center"/>
                </w:tcPr>
                <w:p w14:paraId="205BB58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日常活动</w:t>
                  </w:r>
                </w:p>
              </w:tc>
              <w:tc>
                <w:tcPr>
                  <w:tcW w:w="532" w:type="pct"/>
                  <w:tcBorders>
                    <w:right w:val="single" w:color="auto" w:sz="4" w:space="0"/>
                    <w:tl2br w:val="nil"/>
                    <w:tr2bl w:val="nil"/>
                  </w:tcBorders>
                  <w:shd w:val="clear" w:color="auto" w:fill="auto"/>
                  <w:vAlign w:val="center"/>
                </w:tcPr>
                <w:p w14:paraId="6411E16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固态</w:t>
                  </w:r>
                </w:p>
              </w:tc>
              <w:tc>
                <w:tcPr>
                  <w:tcW w:w="448" w:type="pct"/>
                  <w:tcBorders>
                    <w:left w:val="single" w:color="auto" w:sz="4" w:space="0"/>
                    <w:right w:val="single" w:color="auto" w:sz="4" w:space="0"/>
                    <w:tl2br w:val="nil"/>
                    <w:tr2bl w:val="nil"/>
                  </w:tcBorders>
                  <w:shd w:val="clear" w:color="auto" w:fill="auto"/>
                  <w:vAlign w:val="center"/>
                </w:tcPr>
                <w:p w14:paraId="6AB745E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塑料、纸屑</w:t>
                  </w:r>
                </w:p>
              </w:tc>
              <w:tc>
                <w:tcPr>
                  <w:tcW w:w="333" w:type="pct"/>
                  <w:tcBorders>
                    <w:left w:val="single" w:color="auto" w:sz="4" w:space="0"/>
                    <w:tl2br w:val="nil"/>
                    <w:tr2bl w:val="nil"/>
                  </w:tcBorders>
                  <w:shd w:val="clear" w:color="auto" w:fill="auto"/>
                  <w:vAlign w:val="center"/>
                </w:tcPr>
                <w:p w14:paraId="6A93C80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w:t>
                  </w:r>
                </w:p>
              </w:tc>
              <w:tc>
                <w:tcPr>
                  <w:tcW w:w="415" w:type="pct"/>
                  <w:tcBorders>
                    <w:right w:val="single" w:color="auto" w:sz="4" w:space="0"/>
                    <w:tl2br w:val="nil"/>
                    <w:tr2bl w:val="nil"/>
                  </w:tcBorders>
                  <w:shd w:val="clear" w:color="auto" w:fill="auto"/>
                  <w:vAlign w:val="center"/>
                </w:tcPr>
                <w:p w14:paraId="689CED0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一次/月</w:t>
                  </w:r>
                </w:p>
              </w:tc>
              <w:tc>
                <w:tcPr>
                  <w:tcW w:w="314" w:type="pct"/>
                  <w:tcBorders>
                    <w:left w:val="single" w:color="auto" w:sz="4" w:space="0"/>
                    <w:tl2br w:val="nil"/>
                    <w:tr2bl w:val="nil"/>
                  </w:tcBorders>
                  <w:shd w:val="clear" w:color="auto" w:fill="auto"/>
                  <w:vAlign w:val="center"/>
                </w:tcPr>
                <w:p w14:paraId="2413602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无</w:t>
                  </w:r>
                </w:p>
              </w:tc>
              <w:tc>
                <w:tcPr>
                  <w:tcW w:w="448" w:type="pct"/>
                  <w:tcBorders>
                    <w:left w:val="single" w:color="auto" w:sz="4" w:space="0"/>
                    <w:tl2br w:val="nil"/>
                    <w:tr2bl w:val="nil"/>
                  </w:tcBorders>
                  <w:shd w:val="clear" w:color="auto" w:fill="auto"/>
                  <w:vAlign w:val="center"/>
                </w:tcPr>
                <w:p w14:paraId="624BC2F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收集至垃圾箱内，由环卫部门清运</w:t>
                  </w:r>
                </w:p>
              </w:tc>
            </w:tr>
            <w:tr w14:paraId="5AAF182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jc w:val="center"/>
              </w:trPr>
              <w:tc>
                <w:tcPr>
                  <w:tcW w:w="349" w:type="pct"/>
                  <w:tcBorders>
                    <w:tl2br w:val="nil"/>
                    <w:tr2bl w:val="nil"/>
                  </w:tcBorders>
                  <w:shd w:val="clear" w:color="auto" w:fill="auto"/>
                  <w:vAlign w:val="center"/>
                </w:tcPr>
                <w:p w14:paraId="1EC39E7B">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废玻璃</w:t>
                  </w:r>
                </w:p>
              </w:tc>
              <w:tc>
                <w:tcPr>
                  <w:tcW w:w="327" w:type="pct"/>
                  <w:tcBorders>
                    <w:tl2br w:val="nil"/>
                    <w:tr2bl w:val="nil"/>
                  </w:tcBorders>
                  <w:shd w:val="clear" w:color="auto" w:fill="auto"/>
                  <w:vAlign w:val="center"/>
                </w:tcPr>
                <w:p w14:paraId="712C527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一般工业固废</w:t>
                  </w:r>
                </w:p>
              </w:tc>
              <w:tc>
                <w:tcPr>
                  <w:tcW w:w="846" w:type="pct"/>
                  <w:tcBorders>
                    <w:right w:val="single" w:color="auto" w:sz="4" w:space="0"/>
                    <w:tl2br w:val="nil"/>
                    <w:tr2bl w:val="nil"/>
                  </w:tcBorders>
                  <w:shd w:val="clear" w:color="auto" w:fill="auto"/>
                  <w:vAlign w:val="center"/>
                </w:tcPr>
                <w:p w14:paraId="1D332BF5">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900-004-S62</w:t>
                  </w:r>
                </w:p>
              </w:tc>
              <w:tc>
                <w:tcPr>
                  <w:tcW w:w="603" w:type="pct"/>
                  <w:tcBorders>
                    <w:right w:val="single" w:color="auto" w:sz="4" w:space="0"/>
                    <w:tl2br w:val="nil"/>
                    <w:tr2bl w:val="nil"/>
                  </w:tcBorders>
                  <w:shd w:val="clear" w:color="auto" w:fill="auto"/>
                  <w:vAlign w:val="center"/>
                </w:tcPr>
                <w:p w14:paraId="336D9CAB">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500</w:t>
                  </w:r>
                </w:p>
              </w:tc>
              <w:tc>
                <w:tcPr>
                  <w:tcW w:w="380" w:type="pct"/>
                  <w:tcBorders>
                    <w:left w:val="single" w:color="auto" w:sz="4" w:space="0"/>
                    <w:tl2br w:val="nil"/>
                    <w:tr2bl w:val="nil"/>
                  </w:tcBorders>
                  <w:shd w:val="clear" w:color="auto" w:fill="auto"/>
                  <w:vAlign w:val="center"/>
                </w:tcPr>
                <w:p w14:paraId="2857ED0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检测</w:t>
                  </w:r>
                </w:p>
              </w:tc>
              <w:tc>
                <w:tcPr>
                  <w:tcW w:w="532" w:type="pct"/>
                  <w:tcBorders>
                    <w:right w:val="single" w:color="auto" w:sz="4" w:space="0"/>
                    <w:tl2br w:val="nil"/>
                    <w:tr2bl w:val="nil"/>
                  </w:tcBorders>
                  <w:shd w:val="clear" w:color="auto" w:fill="auto"/>
                  <w:vAlign w:val="center"/>
                </w:tcPr>
                <w:p w14:paraId="3452362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固态</w:t>
                  </w:r>
                </w:p>
              </w:tc>
              <w:tc>
                <w:tcPr>
                  <w:tcW w:w="448" w:type="pct"/>
                  <w:tcBorders>
                    <w:left w:val="single" w:color="auto" w:sz="4" w:space="0"/>
                    <w:right w:val="single" w:color="auto" w:sz="4" w:space="0"/>
                    <w:tl2br w:val="nil"/>
                    <w:tr2bl w:val="nil"/>
                  </w:tcBorders>
                  <w:shd w:val="clear" w:color="auto" w:fill="auto"/>
                  <w:vAlign w:val="center"/>
                </w:tcPr>
                <w:p w14:paraId="3047B82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钠钙硅玻璃</w:t>
                  </w:r>
                </w:p>
              </w:tc>
              <w:tc>
                <w:tcPr>
                  <w:tcW w:w="333" w:type="pct"/>
                  <w:tcBorders>
                    <w:left w:val="single" w:color="auto" w:sz="4" w:space="0"/>
                    <w:tl2br w:val="nil"/>
                    <w:tr2bl w:val="nil"/>
                  </w:tcBorders>
                  <w:shd w:val="clear" w:color="auto" w:fill="auto"/>
                  <w:vAlign w:val="center"/>
                </w:tcPr>
                <w:p w14:paraId="5B6ECD9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w:t>
                  </w:r>
                </w:p>
              </w:tc>
              <w:tc>
                <w:tcPr>
                  <w:tcW w:w="415" w:type="pct"/>
                  <w:tcBorders>
                    <w:right w:val="single" w:color="auto" w:sz="4" w:space="0"/>
                    <w:tl2br w:val="nil"/>
                    <w:tr2bl w:val="nil"/>
                  </w:tcBorders>
                  <w:shd w:val="clear" w:color="auto" w:fill="auto"/>
                  <w:vAlign w:val="center"/>
                </w:tcPr>
                <w:p w14:paraId="1488CDE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每日</w:t>
                  </w:r>
                </w:p>
              </w:tc>
              <w:tc>
                <w:tcPr>
                  <w:tcW w:w="314" w:type="pct"/>
                  <w:tcBorders>
                    <w:left w:val="single" w:color="auto" w:sz="4" w:space="0"/>
                    <w:tl2br w:val="nil"/>
                    <w:tr2bl w:val="nil"/>
                  </w:tcBorders>
                  <w:shd w:val="clear" w:color="auto" w:fill="auto"/>
                  <w:vAlign w:val="center"/>
                </w:tcPr>
                <w:p w14:paraId="5381DB2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无</w:t>
                  </w:r>
                </w:p>
              </w:tc>
              <w:tc>
                <w:tcPr>
                  <w:tcW w:w="448" w:type="pct"/>
                  <w:tcBorders>
                    <w:left w:val="single" w:color="auto" w:sz="4" w:space="0"/>
                    <w:tl2br w:val="nil"/>
                    <w:tr2bl w:val="nil"/>
                  </w:tcBorders>
                  <w:shd w:val="clear" w:color="auto" w:fill="auto"/>
                  <w:vAlign w:val="center"/>
                </w:tcPr>
                <w:p w14:paraId="3F7EB15E">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外售新疆光耀玻璃科技有限公司</w:t>
                  </w:r>
                </w:p>
              </w:tc>
            </w:tr>
            <w:tr w14:paraId="521349C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jc w:val="center"/>
              </w:trPr>
              <w:tc>
                <w:tcPr>
                  <w:tcW w:w="349" w:type="pct"/>
                  <w:tcBorders>
                    <w:tl2br w:val="nil"/>
                    <w:tr2bl w:val="nil"/>
                  </w:tcBorders>
                  <w:shd w:val="clear" w:color="auto" w:fill="auto"/>
                  <w:vAlign w:val="center"/>
                </w:tcPr>
                <w:p w14:paraId="1F4AF4F0">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废靶材</w:t>
                  </w:r>
                </w:p>
              </w:tc>
              <w:tc>
                <w:tcPr>
                  <w:tcW w:w="327" w:type="pct"/>
                  <w:tcBorders>
                    <w:tl2br w:val="nil"/>
                    <w:tr2bl w:val="nil"/>
                  </w:tcBorders>
                  <w:shd w:val="clear" w:color="auto" w:fill="auto"/>
                  <w:vAlign w:val="center"/>
                </w:tcPr>
                <w:p w14:paraId="37F2FCD7">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一般工业固废</w:t>
                  </w:r>
                </w:p>
              </w:tc>
              <w:tc>
                <w:tcPr>
                  <w:tcW w:w="846" w:type="pct"/>
                  <w:tcBorders>
                    <w:right w:val="single" w:color="auto" w:sz="4" w:space="0"/>
                    <w:tl2br w:val="nil"/>
                    <w:tr2bl w:val="nil"/>
                  </w:tcBorders>
                  <w:shd w:val="clear" w:color="auto" w:fill="auto"/>
                  <w:vAlign w:val="center"/>
                </w:tcPr>
                <w:p w14:paraId="59003200">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900-099-S59</w:t>
                  </w:r>
                </w:p>
              </w:tc>
              <w:tc>
                <w:tcPr>
                  <w:tcW w:w="603" w:type="pct"/>
                  <w:tcBorders>
                    <w:right w:val="single" w:color="auto" w:sz="4" w:space="0"/>
                    <w:tl2br w:val="nil"/>
                    <w:tr2bl w:val="nil"/>
                  </w:tcBorders>
                  <w:shd w:val="clear" w:color="auto" w:fill="auto"/>
                  <w:vAlign w:val="center"/>
                </w:tcPr>
                <w:p w14:paraId="3E680588">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3</w:t>
                  </w:r>
                </w:p>
              </w:tc>
              <w:tc>
                <w:tcPr>
                  <w:tcW w:w="380" w:type="pct"/>
                  <w:tcBorders>
                    <w:left w:val="single" w:color="auto" w:sz="4" w:space="0"/>
                    <w:tl2br w:val="nil"/>
                    <w:tr2bl w:val="nil"/>
                  </w:tcBorders>
                  <w:shd w:val="clear" w:color="auto" w:fill="auto"/>
                  <w:vAlign w:val="center"/>
                </w:tcPr>
                <w:p w14:paraId="0FEC341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镀膜</w:t>
                  </w:r>
                </w:p>
              </w:tc>
              <w:tc>
                <w:tcPr>
                  <w:tcW w:w="532" w:type="pct"/>
                  <w:tcBorders>
                    <w:right w:val="single" w:color="auto" w:sz="4" w:space="0"/>
                    <w:tl2br w:val="nil"/>
                    <w:tr2bl w:val="nil"/>
                  </w:tcBorders>
                  <w:shd w:val="clear" w:color="auto" w:fill="auto"/>
                  <w:vAlign w:val="center"/>
                </w:tcPr>
                <w:p w14:paraId="4961D3D8">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lang w:val="en-US" w:eastAsia="zh-CN"/>
                    </w:rPr>
                    <w:t>固态</w:t>
                  </w:r>
                </w:p>
              </w:tc>
              <w:tc>
                <w:tcPr>
                  <w:tcW w:w="448" w:type="pct"/>
                  <w:tcBorders>
                    <w:left w:val="single" w:color="auto" w:sz="4" w:space="0"/>
                    <w:right w:val="single" w:color="auto" w:sz="4" w:space="0"/>
                    <w:tl2br w:val="nil"/>
                    <w:tr2bl w:val="nil"/>
                  </w:tcBorders>
                  <w:shd w:val="clear" w:color="auto" w:fill="auto"/>
                  <w:vAlign w:val="center"/>
                </w:tcPr>
                <w:p w14:paraId="5C236D71">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银、镍-铬、锌铝、硅铝等金属合金</w:t>
                  </w:r>
                </w:p>
              </w:tc>
              <w:tc>
                <w:tcPr>
                  <w:tcW w:w="333" w:type="pct"/>
                  <w:tcBorders>
                    <w:left w:val="single" w:color="auto" w:sz="4" w:space="0"/>
                    <w:tl2br w:val="nil"/>
                    <w:tr2bl w:val="nil"/>
                  </w:tcBorders>
                  <w:shd w:val="clear" w:color="auto" w:fill="auto"/>
                  <w:vAlign w:val="center"/>
                </w:tcPr>
                <w:p w14:paraId="4BC568A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含金属</w:t>
                  </w:r>
                </w:p>
              </w:tc>
              <w:tc>
                <w:tcPr>
                  <w:tcW w:w="415" w:type="pct"/>
                  <w:tcBorders>
                    <w:right w:val="single" w:color="auto" w:sz="4" w:space="0"/>
                    <w:tl2br w:val="nil"/>
                    <w:tr2bl w:val="nil"/>
                  </w:tcBorders>
                  <w:shd w:val="clear" w:color="auto" w:fill="auto"/>
                  <w:vAlign w:val="center"/>
                </w:tcPr>
                <w:p w14:paraId="1BB118A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一次/年</w:t>
                  </w:r>
                </w:p>
              </w:tc>
              <w:tc>
                <w:tcPr>
                  <w:tcW w:w="314" w:type="pct"/>
                  <w:tcBorders>
                    <w:left w:val="single" w:color="auto" w:sz="4" w:space="0"/>
                    <w:tl2br w:val="nil"/>
                    <w:tr2bl w:val="nil"/>
                  </w:tcBorders>
                  <w:shd w:val="clear" w:color="auto" w:fill="auto"/>
                  <w:vAlign w:val="center"/>
                </w:tcPr>
                <w:p w14:paraId="637F029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无</w:t>
                  </w:r>
                </w:p>
              </w:tc>
              <w:tc>
                <w:tcPr>
                  <w:tcW w:w="448" w:type="pct"/>
                  <w:tcBorders>
                    <w:left w:val="single" w:color="auto" w:sz="4" w:space="0"/>
                    <w:tl2br w:val="nil"/>
                    <w:tr2bl w:val="nil"/>
                  </w:tcBorders>
                  <w:shd w:val="clear" w:color="auto" w:fill="auto"/>
                  <w:vAlign w:val="center"/>
                </w:tcPr>
                <w:p w14:paraId="06CAEB9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厂家回收</w:t>
                  </w:r>
                </w:p>
              </w:tc>
            </w:tr>
            <w:tr w14:paraId="40C95B9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jc w:val="center"/>
              </w:trPr>
              <w:tc>
                <w:tcPr>
                  <w:tcW w:w="349" w:type="pct"/>
                  <w:tcBorders>
                    <w:tl2br w:val="nil"/>
                    <w:tr2bl w:val="nil"/>
                  </w:tcBorders>
                  <w:shd w:val="clear" w:color="auto" w:fill="auto"/>
                  <w:vAlign w:val="center"/>
                </w:tcPr>
                <w:p w14:paraId="2980838A">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喷砂除尘灰</w:t>
                  </w:r>
                </w:p>
              </w:tc>
              <w:tc>
                <w:tcPr>
                  <w:tcW w:w="327" w:type="pct"/>
                  <w:tcBorders>
                    <w:tl2br w:val="nil"/>
                    <w:tr2bl w:val="nil"/>
                  </w:tcBorders>
                  <w:shd w:val="clear" w:color="auto" w:fill="auto"/>
                  <w:vAlign w:val="center"/>
                </w:tcPr>
                <w:p w14:paraId="5E47A2B3">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一般工业固废</w:t>
                  </w:r>
                </w:p>
              </w:tc>
              <w:tc>
                <w:tcPr>
                  <w:tcW w:w="846" w:type="pct"/>
                  <w:tcBorders>
                    <w:right w:val="single" w:color="auto" w:sz="4" w:space="0"/>
                    <w:tl2br w:val="nil"/>
                    <w:tr2bl w:val="nil"/>
                  </w:tcBorders>
                  <w:shd w:val="clear" w:color="auto" w:fill="auto"/>
                  <w:vAlign w:val="center"/>
                </w:tcPr>
                <w:p w14:paraId="76219B02">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900-099-S59</w:t>
                  </w:r>
                </w:p>
              </w:tc>
              <w:tc>
                <w:tcPr>
                  <w:tcW w:w="603" w:type="pct"/>
                  <w:tcBorders>
                    <w:right w:val="single" w:color="auto" w:sz="4" w:space="0"/>
                    <w:tl2br w:val="nil"/>
                    <w:tr2bl w:val="nil"/>
                  </w:tcBorders>
                  <w:shd w:val="clear" w:color="auto" w:fill="auto"/>
                  <w:vAlign w:val="center"/>
                </w:tcPr>
                <w:p w14:paraId="4F7BCFE8">
                  <w:pPr>
                    <w:pStyle w:val="7"/>
                    <w:keepNext w:val="0"/>
                    <w:keepLines w:val="0"/>
                    <w:suppressLineNumbers w:val="0"/>
                    <w:bidi w:val="0"/>
                    <w:spacing w:before="0" w:beforeAutospacing="0" w:after="0" w:afterAutospacing="0"/>
                    <w:ind w:left="0" w:right="0"/>
                    <w:rPr>
                      <w:rFonts w:hint="default" w:eastAsia="宋体"/>
                      <w:color w:val="auto"/>
                      <w:highlight w:val="none"/>
                      <w:lang w:val="en-US" w:eastAsia="zh-CN"/>
                    </w:rPr>
                  </w:pPr>
                  <w:r>
                    <w:rPr>
                      <w:rFonts w:hint="eastAsia"/>
                      <w:color w:val="auto"/>
                      <w:highlight w:val="none"/>
                      <w:lang w:val="en-US" w:eastAsia="zh-CN"/>
                    </w:rPr>
                    <w:t>0.85</w:t>
                  </w:r>
                </w:p>
              </w:tc>
              <w:tc>
                <w:tcPr>
                  <w:tcW w:w="380" w:type="pct"/>
                  <w:tcBorders>
                    <w:left w:val="single" w:color="auto" w:sz="4" w:space="0"/>
                    <w:tl2br w:val="nil"/>
                    <w:tr2bl w:val="nil"/>
                  </w:tcBorders>
                  <w:shd w:val="clear" w:color="auto" w:fill="auto"/>
                  <w:vAlign w:val="center"/>
                </w:tcPr>
                <w:p w14:paraId="170B1A4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喷砂</w:t>
                  </w:r>
                </w:p>
              </w:tc>
              <w:tc>
                <w:tcPr>
                  <w:tcW w:w="532" w:type="pct"/>
                  <w:tcBorders>
                    <w:right w:val="single" w:color="auto" w:sz="4" w:space="0"/>
                    <w:tl2br w:val="nil"/>
                    <w:tr2bl w:val="nil"/>
                  </w:tcBorders>
                  <w:shd w:val="clear" w:color="auto" w:fill="auto"/>
                  <w:vAlign w:val="center"/>
                </w:tcPr>
                <w:p w14:paraId="44866910">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lang w:val="en-US" w:eastAsia="zh-CN"/>
                    </w:rPr>
                    <w:t>固态</w:t>
                  </w:r>
                </w:p>
              </w:tc>
              <w:tc>
                <w:tcPr>
                  <w:tcW w:w="448" w:type="pct"/>
                  <w:tcBorders>
                    <w:left w:val="single" w:color="auto" w:sz="4" w:space="0"/>
                    <w:right w:val="single" w:color="auto" w:sz="4" w:space="0"/>
                    <w:tl2br w:val="nil"/>
                    <w:tr2bl w:val="nil"/>
                  </w:tcBorders>
                  <w:shd w:val="clear" w:color="auto" w:fill="auto"/>
                  <w:vAlign w:val="center"/>
                </w:tcPr>
                <w:p w14:paraId="01FD58E1">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银、镍-铬、锌铝、硅铝等金属合金</w:t>
                  </w:r>
                </w:p>
              </w:tc>
              <w:tc>
                <w:tcPr>
                  <w:tcW w:w="333" w:type="pct"/>
                  <w:tcBorders>
                    <w:left w:val="single" w:color="auto" w:sz="4" w:space="0"/>
                    <w:tl2br w:val="nil"/>
                    <w:tr2bl w:val="nil"/>
                  </w:tcBorders>
                  <w:shd w:val="clear" w:color="auto" w:fill="auto"/>
                  <w:vAlign w:val="center"/>
                </w:tcPr>
                <w:p w14:paraId="50C7E560">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含金属</w:t>
                  </w:r>
                </w:p>
              </w:tc>
              <w:tc>
                <w:tcPr>
                  <w:tcW w:w="415" w:type="pct"/>
                  <w:tcBorders>
                    <w:right w:val="single" w:color="auto" w:sz="4" w:space="0"/>
                    <w:tl2br w:val="nil"/>
                    <w:tr2bl w:val="nil"/>
                  </w:tcBorders>
                  <w:shd w:val="clear" w:color="auto" w:fill="auto"/>
                  <w:vAlign w:val="center"/>
                </w:tcPr>
                <w:p w14:paraId="60109F56">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一次/年</w:t>
                  </w:r>
                </w:p>
              </w:tc>
              <w:tc>
                <w:tcPr>
                  <w:tcW w:w="314" w:type="pct"/>
                  <w:tcBorders>
                    <w:left w:val="single" w:color="auto" w:sz="4" w:space="0"/>
                    <w:tl2br w:val="nil"/>
                    <w:tr2bl w:val="nil"/>
                  </w:tcBorders>
                  <w:shd w:val="clear" w:color="auto" w:fill="auto"/>
                  <w:vAlign w:val="center"/>
                </w:tcPr>
                <w:p w14:paraId="10CC2305">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无</w:t>
                  </w:r>
                </w:p>
              </w:tc>
              <w:tc>
                <w:tcPr>
                  <w:tcW w:w="448" w:type="pct"/>
                  <w:tcBorders>
                    <w:left w:val="single" w:color="auto" w:sz="4" w:space="0"/>
                    <w:tl2br w:val="nil"/>
                    <w:tr2bl w:val="nil"/>
                  </w:tcBorders>
                  <w:shd w:val="clear" w:color="auto" w:fill="auto"/>
                  <w:vAlign w:val="center"/>
                </w:tcPr>
                <w:p w14:paraId="023B69DE">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厂家回收</w:t>
                  </w:r>
                </w:p>
              </w:tc>
            </w:tr>
            <w:tr w14:paraId="3F859C1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shd w:val="clear" w:color="auto" w:fill="auto"/>
                <w:tblCellMar>
                  <w:top w:w="0" w:type="dxa"/>
                  <w:left w:w="108" w:type="dxa"/>
                  <w:bottom w:w="0" w:type="dxa"/>
                  <w:right w:w="108" w:type="dxa"/>
                </w:tblCellMar>
              </w:tblPrEx>
              <w:trPr>
                <w:jc w:val="center"/>
              </w:trPr>
              <w:tc>
                <w:tcPr>
                  <w:tcW w:w="349" w:type="pct"/>
                  <w:tcBorders>
                    <w:tl2br w:val="nil"/>
                    <w:tr2bl w:val="nil"/>
                  </w:tcBorders>
                  <w:shd w:val="clear" w:color="auto" w:fill="auto"/>
                  <w:vAlign w:val="center"/>
                </w:tcPr>
                <w:p w14:paraId="1BAF628A">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沉淀污泥</w:t>
                  </w:r>
                </w:p>
              </w:tc>
              <w:tc>
                <w:tcPr>
                  <w:tcW w:w="327" w:type="pct"/>
                  <w:tcBorders>
                    <w:tl2br w:val="nil"/>
                    <w:tr2bl w:val="nil"/>
                  </w:tcBorders>
                  <w:shd w:val="clear" w:color="auto" w:fill="auto"/>
                  <w:vAlign w:val="center"/>
                </w:tcPr>
                <w:p w14:paraId="05CFBA3A">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一般工业固废</w:t>
                  </w:r>
                </w:p>
              </w:tc>
              <w:tc>
                <w:tcPr>
                  <w:tcW w:w="846" w:type="pct"/>
                  <w:tcBorders>
                    <w:right w:val="single" w:color="auto" w:sz="4" w:space="0"/>
                    <w:tl2br w:val="nil"/>
                    <w:tr2bl w:val="nil"/>
                  </w:tcBorders>
                  <w:shd w:val="clear" w:color="auto" w:fill="auto"/>
                  <w:vAlign w:val="center"/>
                </w:tcPr>
                <w:p w14:paraId="3292958C">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900-099-S07</w:t>
                  </w:r>
                </w:p>
              </w:tc>
              <w:tc>
                <w:tcPr>
                  <w:tcW w:w="603" w:type="pct"/>
                  <w:tcBorders>
                    <w:right w:val="single" w:color="auto" w:sz="4" w:space="0"/>
                    <w:tl2br w:val="nil"/>
                    <w:tr2bl w:val="nil"/>
                  </w:tcBorders>
                  <w:shd w:val="clear" w:color="auto" w:fill="auto"/>
                  <w:vAlign w:val="center"/>
                </w:tcPr>
                <w:p w14:paraId="1034D3C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2.5</w:t>
                  </w:r>
                </w:p>
              </w:tc>
              <w:tc>
                <w:tcPr>
                  <w:tcW w:w="380" w:type="pct"/>
                  <w:tcBorders>
                    <w:left w:val="single" w:color="auto" w:sz="4" w:space="0"/>
                    <w:tl2br w:val="nil"/>
                    <w:tr2bl w:val="nil"/>
                  </w:tcBorders>
                  <w:shd w:val="clear" w:color="auto" w:fill="auto"/>
                  <w:vAlign w:val="center"/>
                </w:tcPr>
                <w:p w14:paraId="40C21AC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污水处理</w:t>
                  </w:r>
                </w:p>
              </w:tc>
              <w:tc>
                <w:tcPr>
                  <w:tcW w:w="532" w:type="pct"/>
                  <w:tcBorders>
                    <w:right w:val="single" w:color="auto" w:sz="4" w:space="0"/>
                    <w:tl2br w:val="nil"/>
                    <w:tr2bl w:val="nil"/>
                  </w:tcBorders>
                  <w:shd w:val="clear" w:color="auto" w:fill="auto"/>
                  <w:vAlign w:val="center"/>
                </w:tcPr>
                <w:p w14:paraId="4068D590">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lang w:val="en-US" w:eastAsia="zh-CN"/>
                    </w:rPr>
                    <w:t>固态</w:t>
                  </w:r>
                </w:p>
              </w:tc>
              <w:tc>
                <w:tcPr>
                  <w:tcW w:w="448" w:type="pct"/>
                  <w:tcBorders>
                    <w:left w:val="single" w:color="auto" w:sz="4" w:space="0"/>
                    <w:right w:val="single" w:color="auto" w:sz="4" w:space="0"/>
                    <w:tl2br w:val="nil"/>
                    <w:tr2bl w:val="nil"/>
                  </w:tcBorders>
                  <w:shd w:val="clear" w:color="auto" w:fill="auto"/>
                  <w:vAlign w:val="center"/>
                </w:tcPr>
                <w:p w14:paraId="1B670B4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rPr>
                    <w:t>防霉隔离粉</w:t>
                  </w:r>
                  <w:r>
                    <w:rPr>
                      <w:rFonts w:hint="eastAsia"/>
                      <w:color w:val="auto"/>
                      <w:highlight w:val="none"/>
                      <w:lang w:eastAsia="zh-CN"/>
                    </w:rPr>
                    <w:t>，</w:t>
                  </w:r>
                  <w:r>
                    <w:rPr>
                      <w:rFonts w:hint="eastAsia"/>
                      <w:color w:val="auto"/>
                      <w:highlight w:val="none"/>
                      <w:lang w:val="en-US" w:eastAsia="zh-CN"/>
                    </w:rPr>
                    <w:t>椰壳粉</w:t>
                  </w:r>
                </w:p>
              </w:tc>
              <w:tc>
                <w:tcPr>
                  <w:tcW w:w="333" w:type="pct"/>
                  <w:tcBorders>
                    <w:left w:val="single" w:color="auto" w:sz="4" w:space="0"/>
                    <w:tl2br w:val="nil"/>
                    <w:tr2bl w:val="nil"/>
                  </w:tcBorders>
                  <w:shd w:val="clear" w:color="auto" w:fill="auto"/>
                  <w:vAlign w:val="center"/>
                </w:tcPr>
                <w:p w14:paraId="6FE40D3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无</w:t>
                  </w:r>
                </w:p>
              </w:tc>
              <w:tc>
                <w:tcPr>
                  <w:tcW w:w="415" w:type="pct"/>
                  <w:tcBorders>
                    <w:right w:val="single" w:color="auto" w:sz="4" w:space="0"/>
                    <w:tl2br w:val="nil"/>
                    <w:tr2bl w:val="nil"/>
                  </w:tcBorders>
                  <w:shd w:val="clear" w:color="auto" w:fill="auto"/>
                  <w:vAlign w:val="center"/>
                </w:tcPr>
                <w:p w14:paraId="7B39D3B0">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一次/年</w:t>
                  </w:r>
                </w:p>
              </w:tc>
              <w:tc>
                <w:tcPr>
                  <w:tcW w:w="314" w:type="pct"/>
                  <w:tcBorders>
                    <w:left w:val="single" w:color="auto" w:sz="4" w:space="0"/>
                    <w:tl2br w:val="nil"/>
                    <w:tr2bl w:val="nil"/>
                  </w:tcBorders>
                  <w:shd w:val="clear" w:color="auto" w:fill="auto"/>
                  <w:vAlign w:val="center"/>
                </w:tcPr>
                <w:p w14:paraId="6B8498CC">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无</w:t>
                  </w:r>
                </w:p>
              </w:tc>
              <w:tc>
                <w:tcPr>
                  <w:tcW w:w="448" w:type="pct"/>
                  <w:tcBorders>
                    <w:left w:val="single" w:color="auto" w:sz="4" w:space="0"/>
                    <w:tl2br w:val="nil"/>
                    <w:tr2bl w:val="nil"/>
                  </w:tcBorders>
                  <w:shd w:val="clear" w:color="auto" w:fill="auto"/>
                  <w:vAlign w:val="center"/>
                </w:tcPr>
                <w:p w14:paraId="5A8B491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外售建材公司</w:t>
                  </w:r>
                </w:p>
              </w:tc>
            </w:tr>
            <w:tr w14:paraId="036AE1B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shd w:val="clear" w:color="auto" w:fill="auto"/>
                <w:tblCellMar>
                  <w:top w:w="0" w:type="dxa"/>
                  <w:left w:w="108" w:type="dxa"/>
                  <w:bottom w:w="0" w:type="dxa"/>
                  <w:right w:w="108" w:type="dxa"/>
                </w:tblCellMar>
              </w:tblPrEx>
              <w:trPr>
                <w:jc w:val="center"/>
              </w:trPr>
              <w:tc>
                <w:tcPr>
                  <w:tcW w:w="349" w:type="pct"/>
                  <w:tcBorders>
                    <w:tl2br w:val="nil"/>
                    <w:tr2bl w:val="nil"/>
                  </w:tcBorders>
                  <w:shd w:val="clear" w:color="auto" w:fill="auto"/>
                  <w:vAlign w:val="center"/>
                </w:tcPr>
                <w:p w14:paraId="4AC72016">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废过滤材料</w:t>
                  </w:r>
                </w:p>
              </w:tc>
              <w:tc>
                <w:tcPr>
                  <w:tcW w:w="327" w:type="pct"/>
                  <w:tcBorders>
                    <w:tl2br w:val="nil"/>
                    <w:tr2bl w:val="nil"/>
                  </w:tcBorders>
                  <w:shd w:val="clear" w:color="auto" w:fill="auto"/>
                  <w:vAlign w:val="center"/>
                </w:tcPr>
                <w:p w14:paraId="2A9D6078">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一般工业固废</w:t>
                  </w:r>
                </w:p>
              </w:tc>
              <w:tc>
                <w:tcPr>
                  <w:tcW w:w="846" w:type="pct"/>
                  <w:tcBorders>
                    <w:right w:val="single" w:color="auto" w:sz="4" w:space="0"/>
                    <w:tl2br w:val="nil"/>
                    <w:tr2bl w:val="nil"/>
                  </w:tcBorders>
                  <w:shd w:val="clear" w:color="auto" w:fill="auto"/>
                  <w:vAlign w:val="center"/>
                </w:tcPr>
                <w:p w14:paraId="7033DC1C">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900-009-S59</w:t>
                  </w:r>
                </w:p>
              </w:tc>
              <w:tc>
                <w:tcPr>
                  <w:tcW w:w="603" w:type="pct"/>
                  <w:tcBorders>
                    <w:right w:val="single" w:color="auto" w:sz="4" w:space="0"/>
                    <w:tl2br w:val="nil"/>
                    <w:tr2bl w:val="nil"/>
                  </w:tcBorders>
                  <w:shd w:val="clear" w:color="auto" w:fill="auto"/>
                  <w:vAlign w:val="center"/>
                </w:tcPr>
                <w:p w14:paraId="0F84C6B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0.75t/3a</w:t>
                  </w:r>
                </w:p>
              </w:tc>
              <w:tc>
                <w:tcPr>
                  <w:tcW w:w="380" w:type="pct"/>
                  <w:tcBorders>
                    <w:left w:val="single" w:color="auto" w:sz="4" w:space="0"/>
                    <w:tl2br w:val="nil"/>
                    <w:tr2bl w:val="nil"/>
                  </w:tcBorders>
                  <w:shd w:val="clear" w:color="auto" w:fill="auto"/>
                  <w:vAlign w:val="center"/>
                </w:tcPr>
                <w:p w14:paraId="26515FDF">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污水处理</w:t>
                  </w:r>
                </w:p>
              </w:tc>
              <w:tc>
                <w:tcPr>
                  <w:tcW w:w="532" w:type="pct"/>
                  <w:tcBorders>
                    <w:right w:val="single" w:color="auto" w:sz="4" w:space="0"/>
                    <w:tl2br w:val="nil"/>
                    <w:tr2bl w:val="nil"/>
                  </w:tcBorders>
                  <w:shd w:val="clear" w:color="auto" w:fill="auto"/>
                  <w:vAlign w:val="center"/>
                </w:tcPr>
                <w:p w14:paraId="52D4FD4A">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lang w:val="en-US" w:eastAsia="zh-CN"/>
                    </w:rPr>
                    <w:t>固态</w:t>
                  </w:r>
                </w:p>
              </w:tc>
              <w:tc>
                <w:tcPr>
                  <w:tcW w:w="448" w:type="pct"/>
                  <w:tcBorders>
                    <w:left w:val="single" w:color="auto" w:sz="4" w:space="0"/>
                    <w:right w:val="single" w:color="auto" w:sz="4" w:space="0"/>
                    <w:tl2br w:val="nil"/>
                    <w:tr2bl w:val="nil"/>
                  </w:tcBorders>
                  <w:shd w:val="clear" w:color="auto" w:fill="auto"/>
                  <w:vAlign w:val="center"/>
                </w:tcPr>
                <w:p w14:paraId="49108E6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聚酰胺膜片、玻璃钢；石英砂、</w:t>
                  </w:r>
                  <w:r>
                    <w:rPr>
                      <w:rFonts w:hint="eastAsia"/>
                      <w:color w:val="auto"/>
                      <w:highlight w:val="none"/>
                    </w:rPr>
                    <w:t>防霉隔离粉</w:t>
                  </w:r>
                </w:p>
              </w:tc>
              <w:tc>
                <w:tcPr>
                  <w:tcW w:w="333" w:type="pct"/>
                  <w:tcBorders>
                    <w:left w:val="single" w:color="auto" w:sz="4" w:space="0"/>
                    <w:tl2br w:val="nil"/>
                    <w:tr2bl w:val="nil"/>
                  </w:tcBorders>
                  <w:shd w:val="clear" w:color="auto" w:fill="auto"/>
                  <w:vAlign w:val="center"/>
                </w:tcPr>
                <w:p w14:paraId="07A34B7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无</w:t>
                  </w:r>
                </w:p>
              </w:tc>
              <w:tc>
                <w:tcPr>
                  <w:tcW w:w="415" w:type="pct"/>
                  <w:tcBorders>
                    <w:right w:val="single" w:color="auto" w:sz="4" w:space="0"/>
                    <w:tl2br w:val="nil"/>
                    <w:tr2bl w:val="nil"/>
                  </w:tcBorders>
                  <w:shd w:val="clear" w:color="auto" w:fill="auto"/>
                  <w:vAlign w:val="center"/>
                </w:tcPr>
                <w:p w14:paraId="5B43417E">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一次/3年</w:t>
                  </w:r>
                </w:p>
              </w:tc>
              <w:tc>
                <w:tcPr>
                  <w:tcW w:w="314" w:type="pct"/>
                  <w:tcBorders>
                    <w:left w:val="single" w:color="auto" w:sz="4" w:space="0"/>
                    <w:tl2br w:val="nil"/>
                    <w:tr2bl w:val="nil"/>
                  </w:tcBorders>
                  <w:shd w:val="clear" w:color="auto" w:fill="auto"/>
                  <w:vAlign w:val="center"/>
                </w:tcPr>
                <w:p w14:paraId="2C2F19D2">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无</w:t>
                  </w:r>
                </w:p>
              </w:tc>
              <w:tc>
                <w:tcPr>
                  <w:tcW w:w="448" w:type="pct"/>
                  <w:tcBorders>
                    <w:left w:val="single" w:color="auto" w:sz="4" w:space="0"/>
                    <w:tl2br w:val="nil"/>
                    <w:tr2bl w:val="nil"/>
                  </w:tcBorders>
                  <w:shd w:val="clear" w:color="auto" w:fill="auto"/>
                  <w:vAlign w:val="center"/>
                </w:tcPr>
                <w:p w14:paraId="75EAD364">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废RO膜厂家回收，废石英砂外售综合利用</w:t>
                  </w:r>
                </w:p>
              </w:tc>
            </w:tr>
          </w:tbl>
          <w:p w14:paraId="52F03CD0">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color w:val="auto"/>
                <w:highlight w:val="none"/>
              </w:rPr>
            </w:pPr>
            <w:r>
              <w:rPr>
                <w:rFonts w:hint="eastAsia"/>
                <w:color w:val="auto"/>
                <w:highlight w:val="none"/>
                <w:lang w:val="en-US" w:eastAsia="zh-CN"/>
              </w:rPr>
              <w:t>综上所述，项目营运期产生的固体废物采取上述利用方式进行综合利用，对环境的影响较小。</w:t>
            </w:r>
          </w:p>
          <w:p w14:paraId="231A49AB">
            <w:pPr>
              <w:pStyle w:val="3"/>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5、</w:t>
            </w:r>
            <w:r>
              <w:rPr>
                <w:rFonts w:hint="eastAsia"/>
                <w:color w:val="auto"/>
                <w:highlight w:val="none"/>
              </w:rPr>
              <w:t>地下水</w:t>
            </w:r>
            <w:r>
              <w:rPr>
                <w:rFonts w:hint="eastAsia"/>
                <w:color w:val="auto"/>
                <w:highlight w:val="none"/>
                <w:lang w:eastAsia="zh-CN"/>
              </w:rPr>
              <w:t>、土壤</w:t>
            </w:r>
            <w:r>
              <w:rPr>
                <w:rFonts w:hint="eastAsia"/>
                <w:color w:val="auto"/>
                <w:highlight w:val="none"/>
              </w:rPr>
              <w:t>的影响分析</w:t>
            </w:r>
          </w:p>
          <w:p w14:paraId="38285D20">
            <w:pPr>
              <w:pStyle w:val="91"/>
              <w:keepNext w:val="0"/>
              <w:keepLines w:val="0"/>
              <w:suppressLineNumbers w:val="0"/>
              <w:bidi w:val="0"/>
              <w:spacing w:before="0" w:beforeAutospacing="0" w:after="0" w:afterAutospacing="0" w:line="360" w:lineRule="auto"/>
              <w:ind w:left="0" w:right="0"/>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5.1污染源及污染途径</w:t>
            </w:r>
          </w:p>
          <w:p w14:paraId="59B15A34">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项目运营期</w:t>
            </w:r>
            <w:r>
              <w:rPr>
                <w:rFonts w:hint="eastAsia"/>
                <w:color w:val="auto"/>
                <w:highlight w:val="none"/>
                <w:lang w:val="en-US" w:eastAsia="zh-CN"/>
              </w:rPr>
              <w:t>正常生产情况下无</w:t>
            </w:r>
            <w:r>
              <w:rPr>
                <w:rFonts w:hint="default"/>
                <w:color w:val="auto"/>
                <w:highlight w:val="none"/>
                <w:lang w:val="en-US" w:eastAsia="zh-CN"/>
              </w:rPr>
              <w:t>地下水及土壤的</w:t>
            </w:r>
            <w:r>
              <w:rPr>
                <w:rFonts w:hint="eastAsia"/>
                <w:color w:val="auto"/>
                <w:highlight w:val="none"/>
                <w:lang w:val="en-US" w:eastAsia="zh-CN"/>
              </w:rPr>
              <w:t>污染途径，在非正常情况下</w:t>
            </w:r>
            <w:r>
              <w:rPr>
                <w:rFonts w:hint="default"/>
                <w:color w:val="auto"/>
                <w:highlight w:val="none"/>
                <w:lang w:val="en-US" w:eastAsia="zh-CN"/>
              </w:rPr>
              <w:t>污染源主要为</w:t>
            </w:r>
            <w:r>
              <w:rPr>
                <w:rFonts w:hint="eastAsia"/>
                <w:color w:val="auto"/>
                <w:highlight w:val="none"/>
                <w:lang w:val="en-US" w:eastAsia="zh-CN"/>
              </w:rPr>
              <w:t>工业废水，</w:t>
            </w:r>
            <w:r>
              <w:rPr>
                <w:rFonts w:hint="default"/>
                <w:color w:val="auto"/>
                <w:highlight w:val="none"/>
                <w:lang w:val="en-US" w:eastAsia="zh-CN"/>
              </w:rPr>
              <w:t>对地下水</w:t>
            </w:r>
            <w:r>
              <w:rPr>
                <w:rFonts w:hint="eastAsia"/>
                <w:color w:val="auto"/>
                <w:highlight w:val="none"/>
                <w:lang w:val="en-US" w:eastAsia="zh-CN"/>
              </w:rPr>
              <w:t>、土壤</w:t>
            </w:r>
            <w:r>
              <w:rPr>
                <w:rFonts w:hint="default"/>
                <w:color w:val="auto"/>
                <w:highlight w:val="none"/>
                <w:lang w:val="en-US" w:eastAsia="zh-CN"/>
              </w:rPr>
              <w:t>的主要污染途径为下渗：</w:t>
            </w:r>
            <w:r>
              <w:rPr>
                <w:rFonts w:hint="eastAsia"/>
                <w:color w:val="auto"/>
                <w:highlight w:val="none"/>
                <w:lang w:val="en-US" w:eastAsia="zh-CN"/>
              </w:rPr>
              <w:t>①一般工业固废雨水淋溶废靶材、废过滤材料析出锌、镍等组分；②工业污水处理设施</w:t>
            </w:r>
            <w:r>
              <w:rPr>
                <w:rFonts w:hint="default"/>
                <w:color w:val="auto"/>
                <w:highlight w:val="none"/>
              </w:rPr>
              <w:t>管道破损</w:t>
            </w:r>
            <w:r>
              <w:rPr>
                <w:rFonts w:hint="eastAsia"/>
                <w:color w:val="auto"/>
                <w:highlight w:val="none"/>
                <w:lang w:eastAsia="zh-CN"/>
              </w:rPr>
              <w:t>、</w:t>
            </w:r>
            <w:r>
              <w:rPr>
                <w:rFonts w:hint="eastAsia"/>
                <w:color w:val="auto"/>
                <w:highlight w:val="none"/>
                <w:lang w:val="en-US" w:eastAsia="zh-CN"/>
              </w:rPr>
              <w:t>溢流</w:t>
            </w:r>
            <w:r>
              <w:rPr>
                <w:rFonts w:hint="default"/>
                <w:color w:val="auto"/>
                <w:highlight w:val="none"/>
              </w:rPr>
              <w:t>等发生泄漏</w:t>
            </w:r>
            <w:r>
              <w:rPr>
                <w:rFonts w:hint="eastAsia"/>
                <w:color w:val="auto"/>
                <w:highlight w:val="none"/>
                <w:lang w:eastAsia="zh-CN"/>
              </w:rPr>
              <w:t>，</w:t>
            </w:r>
            <w:r>
              <w:rPr>
                <w:rFonts w:hint="eastAsia"/>
                <w:color w:val="auto"/>
                <w:highlight w:val="none"/>
                <w:lang w:val="en-US" w:eastAsia="zh-CN"/>
              </w:rPr>
              <w:t>防渗</w:t>
            </w:r>
            <w:r>
              <w:rPr>
                <w:rFonts w:hint="default"/>
                <w:color w:val="auto"/>
                <w:highlight w:val="none"/>
                <w:lang w:val="en-US" w:eastAsia="zh-CN"/>
              </w:rPr>
              <w:t>破裂造成污水下渗污染地下水及土壤。</w:t>
            </w:r>
            <w:r>
              <w:rPr>
                <w:rFonts w:hint="eastAsia"/>
                <w:color w:val="auto"/>
                <w:highlight w:val="none"/>
                <w:lang w:val="en-US" w:eastAsia="zh-CN"/>
              </w:rPr>
              <w:t xml:space="preserve"> </w:t>
            </w:r>
            <w:r>
              <w:rPr>
                <w:rFonts w:hint="default"/>
                <w:color w:val="auto"/>
                <w:highlight w:val="none"/>
                <w:lang w:val="en-US" w:eastAsia="zh-CN"/>
              </w:rPr>
              <w:t xml:space="preserve"> </w:t>
            </w:r>
          </w:p>
          <w:p w14:paraId="634EBA6E">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主要污染途径为垂直下渗，泄漏的液态污染物</w:t>
            </w:r>
            <w:r>
              <w:rPr>
                <w:rFonts w:hint="eastAsia"/>
                <w:color w:val="auto"/>
                <w:highlight w:val="none"/>
                <w:lang w:val="en-US" w:eastAsia="zh-CN"/>
              </w:rPr>
              <w:t>土壤</w:t>
            </w:r>
            <w:r>
              <w:rPr>
                <w:rFonts w:hint="default"/>
                <w:color w:val="auto"/>
                <w:highlight w:val="none"/>
                <w:lang w:val="en-US" w:eastAsia="zh-CN"/>
              </w:rPr>
              <w:t>，在重力作用下向土壤深层渗透，被土壤颗粒吸附、截留，造成土壤污染；部分轻质、易迁移组分可继续向下迁移，进一步威胁地下水。</w:t>
            </w:r>
          </w:p>
          <w:p w14:paraId="0FA8DDE9">
            <w:pPr>
              <w:pStyle w:val="91"/>
              <w:keepNext w:val="0"/>
              <w:keepLines w:val="0"/>
              <w:suppressLineNumbers w:val="0"/>
              <w:bidi w:val="0"/>
              <w:spacing w:before="0" w:beforeAutospacing="0" w:after="0" w:afterAutospacing="0" w:line="360" w:lineRule="auto"/>
              <w:ind w:left="0" w:right="0"/>
              <w:rPr>
                <w:rFonts w:hint="default" w:ascii="Times New Roman" w:hAnsi="Times New Roman" w:eastAsia="宋体" w:cs="Times New Roman"/>
                <w:b/>
                <w:bCs w:val="0"/>
                <w:color w:val="auto"/>
                <w:sz w:val="24"/>
                <w:szCs w:val="24"/>
                <w:highlight w:val="none"/>
                <w:lang w:eastAsia="zh-CN"/>
              </w:rPr>
            </w:pPr>
            <w:r>
              <w:rPr>
                <w:rFonts w:hint="default" w:ascii="Times New Roman" w:hAnsi="Times New Roman" w:eastAsia="宋体" w:cs="Times New Roman"/>
                <w:b/>
                <w:bCs w:val="0"/>
                <w:color w:val="auto"/>
                <w:sz w:val="24"/>
                <w:szCs w:val="24"/>
                <w:highlight w:val="none"/>
                <w:lang w:val="en-US" w:eastAsia="zh-CN"/>
              </w:rPr>
              <w:t>5.2防控措施</w:t>
            </w:r>
          </w:p>
          <w:p w14:paraId="60C16D99">
            <w:pPr>
              <w:pStyle w:val="91"/>
              <w:keepNext w:val="0"/>
              <w:keepLines w:val="0"/>
              <w:suppressLineNumbers w:val="0"/>
              <w:bidi w:val="0"/>
              <w:spacing w:before="0" w:beforeAutospacing="0" w:after="0" w:afterAutospacing="0" w:line="36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（1）预防措施 </w:t>
            </w:r>
          </w:p>
          <w:p w14:paraId="72542609">
            <w:pPr>
              <w:pStyle w:val="91"/>
              <w:keepNext w:val="0"/>
              <w:keepLines w:val="0"/>
              <w:suppressLineNumbers w:val="0"/>
              <w:bidi w:val="0"/>
              <w:spacing w:before="0" w:beforeAutospacing="0" w:after="0" w:afterAutospacing="0" w:line="36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预防措施主要是在本项目工程设计、施工时，应严把设计、施工质量关，杜绝因材质、制管、防腐涂层、焊接缺陷及运行失误造成的管线泄漏，生产运行过程中，必须严格控制生产装置的无组织泄漏，强化监控手段，定期检查，杜绝厂区存在长期事故排放点源的现象保护厂址区域地下水资源。 </w:t>
            </w:r>
          </w:p>
          <w:p w14:paraId="231F1259">
            <w:pPr>
              <w:pStyle w:val="91"/>
              <w:keepNext w:val="0"/>
              <w:keepLines w:val="0"/>
              <w:suppressLineNumbers w:val="0"/>
              <w:bidi w:val="0"/>
              <w:spacing w:before="0" w:beforeAutospacing="0" w:after="0" w:afterAutospacing="0" w:line="36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（2）防渗分区措施</w:t>
            </w:r>
          </w:p>
          <w:p w14:paraId="076AA8ED">
            <w:pPr>
              <w:pStyle w:val="91"/>
              <w:keepNext w:val="0"/>
              <w:keepLines w:val="0"/>
              <w:suppressLineNumbers w:val="0"/>
              <w:bidi w:val="0"/>
              <w:spacing w:before="0" w:beforeAutospacing="0" w:after="0" w:afterAutospacing="0" w:line="36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为有效预防地下水污染，本项目采取分区防渗措施。本项目按</w:t>
            </w:r>
            <w:r>
              <w:rPr>
                <w:rFonts w:hint="eastAsia" w:cs="Times New Roman"/>
                <w:color w:val="auto"/>
                <w:sz w:val="24"/>
                <w:szCs w:val="24"/>
                <w:highlight w:val="none"/>
                <w:lang w:val="en-US" w:eastAsia="zh-CN"/>
              </w:rPr>
              <w:t>一般防渗区</w:t>
            </w:r>
            <w:r>
              <w:rPr>
                <w:rFonts w:hint="default" w:ascii="Times New Roman" w:hAnsi="Times New Roman" w:eastAsia="宋体" w:cs="Times New Roman"/>
                <w:color w:val="auto"/>
                <w:sz w:val="24"/>
                <w:szCs w:val="24"/>
                <w:highlight w:val="none"/>
                <w:lang w:val="en-US" w:eastAsia="zh-CN"/>
              </w:rPr>
              <w:t xml:space="preserve">和简单防渗区分区域进行防渗处理。 </w:t>
            </w:r>
          </w:p>
          <w:p w14:paraId="6099A767">
            <w:pPr>
              <w:pStyle w:val="91"/>
              <w:keepNext w:val="0"/>
              <w:keepLines w:val="0"/>
              <w:suppressLineNumbers w:val="0"/>
              <w:bidi w:val="0"/>
              <w:spacing w:before="0" w:beforeAutospacing="0" w:after="0" w:afterAutospacing="0" w:line="360" w:lineRule="auto"/>
              <w:ind w:left="0" w:right="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一般防渗</w:t>
            </w:r>
            <w:r>
              <w:rPr>
                <w:rFonts w:hint="default" w:ascii="Times New Roman" w:hAnsi="Times New Roman" w:eastAsia="宋体" w:cs="Times New Roman"/>
                <w:color w:val="auto"/>
                <w:sz w:val="24"/>
                <w:szCs w:val="24"/>
                <w:highlight w:val="none"/>
                <w:lang w:val="en-US" w:eastAsia="zh-CN"/>
              </w:rPr>
              <w:t>区包括</w:t>
            </w:r>
            <w:r>
              <w:rPr>
                <w:rFonts w:hint="eastAsia" w:cs="Times New Roman"/>
                <w:color w:val="auto"/>
                <w:sz w:val="24"/>
                <w:szCs w:val="24"/>
                <w:highlight w:val="none"/>
                <w:lang w:val="en-US" w:eastAsia="zh-CN"/>
              </w:rPr>
              <w:t>一般工业固废储存区、污水处理设施区域、生产车间，</w:t>
            </w:r>
            <w:r>
              <w:rPr>
                <w:rFonts w:hint="default" w:ascii="Times New Roman" w:hAnsi="Times New Roman" w:eastAsia="宋体" w:cs="Times New Roman"/>
                <w:color w:val="auto"/>
                <w:sz w:val="24"/>
                <w:szCs w:val="24"/>
                <w:highlight w:val="none"/>
                <w:lang w:val="en-US" w:eastAsia="zh-CN"/>
              </w:rPr>
              <w:t>其他生产设施为</w:t>
            </w:r>
            <w:r>
              <w:rPr>
                <w:rFonts w:hint="eastAsia" w:cs="Times New Roman"/>
                <w:color w:val="auto"/>
                <w:sz w:val="24"/>
                <w:szCs w:val="24"/>
                <w:highlight w:val="none"/>
                <w:lang w:val="en-US" w:eastAsia="zh-CN"/>
              </w:rPr>
              <w:t>简单防渗区</w:t>
            </w:r>
            <w:r>
              <w:rPr>
                <w:rFonts w:hint="default" w:ascii="Times New Roman" w:hAnsi="Times New Roman" w:eastAsia="宋体" w:cs="Times New Roman"/>
                <w:color w:val="auto"/>
                <w:sz w:val="24"/>
                <w:szCs w:val="24"/>
                <w:highlight w:val="none"/>
                <w:lang w:val="en-US" w:eastAsia="zh-CN"/>
              </w:rPr>
              <w:t>。</w:t>
            </w:r>
          </w:p>
          <w:p w14:paraId="0012ED6F">
            <w:pPr>
              <w:pStyle w:val="9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422" w:firstLineChars="200"/>
              <w:textAlignment w:val="auto"/>
              <w:rPr>
                <w:rFonts w:hint="eastAsia" w:ascii="宋体" w:hAnsi="宋体" w:eastAsia="宋体" w:cs="宋体"/>
                <w:b/>
                <w:bCs w:val="0"/>
                <w:color w:val="auto"/>
                <w:sz w:val="24"/>
                <w:szCs w:val="24"/>
                <w:highlight w:val="none"/>
              </w:rPr>
            </w:pPr>
            <w:r>
              <w:rPr>
                <w:rFonts w:hint="default" w:ascii="Times New Roman" w:hAnsi="Times New Roman" w:eastAsia="宋体" w:cs="Times New Roman"/>
                <w:b/>
                <w:bCs w:val="0"/>
                <w:color w:val="auto"/>
                <w:sz w:val="21"/>
                <w:szCs w:val="21"/>
                <w:highlight w:val="none"/>
              </w:rPr>
              <w:t>表</w:t>
            </w:r>
            <w:r>
              <w:rPr>
                <w:rFonts w:hint="eastAsia" w:cs="Times New Roman"/>
                <w:b/>
                <w:bCs w:val="0"/>
                <w:color w:val="auto"/>
                <w:sz w:val="21"/>
                <w:szCs w:val="21"/>
                <w:highlight w:val="none"/>
                <w:lang w:val="en-US" w:eastAsia="zh-CN"/>
              </w:rPr>
              <w:t>4-12</w:t>
            </w:r>
            <w:r>
              <w:rPr>
                <w:rFonts w:hint="default" w:ascii="Times New Roman" w:hAnsi="Times New Roman" w:eastAsia="宋体" w:cs="Times New Roman"/>
                <w:b/>
                <w:bCs w:val="0"/>
                <w:color w:val="auto"/>
                <w:sz w:val="21"/>
                <w:szCs w:val="21"/>
                <w:highlight w:val="none"/>
              </w:rPr>
              <w:t xml:space="preserve">    </w:t>
            </w:r>
            <w:r>
              <w:rPr>
                <w:rFonts w:hint="default" w:ascii="Times New Roman" w:hAnsi="Times New Roman" w:eastAsia="宋体" w:cs="Times New Roman"/>
                <w:b/>
                <w:bCs w:val="0"/>
                <w:color w:val="auto"/>
                <w:sz w:val="21"/>
                <w:szCs w:val="21"/>
                <w:highlight w:val="none"/>
                <w:lang w:val="en-US" w:eastAsia="zh-CN"/>
              </w:rPr>
              <w:t xml:space="preserve">      </w:t>
            </w:r>
            <w:r>
              <w:rPr>
                <w:rFonts w:hint="default" w:ascii="Times New Roman" w:hAnsi="Times New Roman" w:eastAsia="宋体" w:cs="Times New Roman"/>
                <w:b/>
                <w:bCs w:val="0"/>
                <w:color w:val="auto"/>
                <w:sz w:val="21"/>
                <w:szCs w:val="21"/>
                <w:highlight w:val="none"/>
              </w:rPr>
              <w:t>项目污染地下水途径及防治措施一览表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92"/>
              <w:gridCol w:w="1244"/>
              <w:gridCol w:w="2171"/>
              <w:gridCol w:w="4245"/>
            </w:tblGrid>
            <w:tr w14:paraId="5E14D5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tcBorders>
                    <w:tl2br w:val="nil"/>
                    <w:tr2bl w:val="nil"/>
                  </w:tcBorders>
                  <w:noWrap w:val="0"/>
                  <w:vAlign w:val="center"/>
                </w:tcPr>
                <w:p w14:paraId="254C66B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序号</w:t>
                  </w:r>
                </w:p>
              </w:tc>
              <w:tc>
                <w:tcPr>
                  <w:tcW w:w="744" w:type="pct"/>
                  <w:tcBorders>
                    <w:tl2br w:val="nil"/>
                    <w:tr2bl w:val="nil"/>
                  </w:tcBorders>
                  <w:noWrap w:val="0"/>
                  <w:vAlign w:val="center"/>
                </w:tcPr>
                <w:p w14:paraId="133B683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类别</w:t>
                  </w:r>
                </w:p>
              </w:tc>
              <w:tc>
                <w:tcPr>
                  <w:tcW w:w="1299" w:type="pct"/>
                  <w:tcBorders>
                    <w:tl2br w:val="nil"/>
                    <w:tr2bl w:val="nil"/>
                  </w:tcBorders>
                  <w:noWrap w:val="0"/>
                  <w:vAlign w:val="center"/>
                </w:tcPr>
                <w:p w14:paraId="56FA9DA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项目</w:t>
                  </w:r>
                </w:p>
              </w:tc>
              <w:tc>
                <w:tcPr>
                  <w:tcW w:w="2540" w:type="pct"/>
                  <w:tcBorders>
                    <w:tl2br w:val="nil"/>
                    <w:tr2bl w:val="nil"/>
                  </w:tcBorders>
                  <w:noWrap w:val="0"/>
                  <w:vAlign w:val="center"/>
                </w:tcPr>
                <w:p w14:paraId="5AF1C07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保护措施</w:t>
                  </w:r>
                </w:p>
              </w:tc>
            </w:tr>
            <w:tr w14:paraId="7230FB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tcBorders>
                    <w:tl2br w:val="nil"/>
                    <w:tr2bl w:val="nil"/>
                  </w:tcBorders>
                  <w:noWrap w:val="0"/>
                  <w:vAlign w:val="center"/>
                </w:tcPr>
                <w:p w14:paraId="04A465D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w:t>
                  </w:r>
                </w:p>
              </w:tc>
              <w:tc>
                <w:tcPr>
                  <w:tcW w:w="744" w:type="pct"/>
                  <w:tcBorders>
                    <w:tl2br w:val="nil"/>
                    <w:tr2bl w:val="nil"/>
                  </w:tcBorders>
                  <w:noWrap w:val="0"/>
                  <w:vAlign w:val="center"/>
                </w:tcPr>
                <w:p w14:paraId="28F3A9C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一般防渗区</w:t>
                  </w:r>
                </w:p>
              </w:tc>
              <w:tc>
                <w:tcPr>
                  <w:tcW w:w="1299" w:type="pct"/>
                  <w:tcBorders>
                    <w:tl2br w:val="nil"/>
                    <w:tr2bl w:val="nil"/>
                  </w:tcBorders>
                  <w:noWrap w:val="0"/>
                  <w:vAlign w:val="center"/>
                </w:tcPr>
                <w:p w14:paraId="6D1A38D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一般工业固废储存区、污水处理设施区域、镀膜车间、监测室</w:t>
                  </w:r>
                </w:p>
              </w:tc>
              <w:tc>
                <w:tcPr>
                  <w:tcW w:w="2540" w:type="pct"/>
                  <w:tcBorders>
                    <w:tl2br w:val="nil"/>
                    <w:tr2bl w:val="nil"/>
                  </w:tcBorders>
                  <w:noWrap w:val="0"/>
                  <w:vAlign w:val="center"/>
                </w:tcPr>
                <w:p w14:paraId="2DBB05A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等效黏土防渗层Mb≥1.5m，K≤1</w:t>
                  </w:r>
                  <w:r>
                    <w:rPr>
                      <w:rFonts w:hint="default"/>
                      <w:color w:val="auto"/>
                      <w:highlight w:val="none"/>
                      <w:lang w:val="en-US" w:eastAsia="zh-CN"/>
                    </w:rPr>
                    <w:t>×10</w:t>
                  </w:r>
                  <w:r>
                    <w:rPr>
                      <w:rFonts w:hint="eastAsia"/>
                      <w:color w:val="auto"/>
                      <w:highlight w:val="none"/>
                      <w:vertAlign w:val="superscript"/>
                      <w:lang w:val="en-US" w:eastAsia="zh-CN"/>
                    </w:rPr>
                    <w:t>-7</w:t>
                  </w:r>
                  <w:r>
                    <w:rPr>
                      <w:rFonts w:hint="default"/>
                      <w:color w:val="auto"/>
                      <w:highlight w:val="none"/>
                      <w:lang w:val="en-US" w:eastAsia="zh-CN"/>
                    </w:rPr>
                    <w:t xml:space="preserve"> cm/s</w:t>
                  </w:r>
                  <w:r>
                    <w:rPr>
                      <w:rFonts w:hint="eastAsia"/>
                      <w:color w:val="auto"/>
                      <w:highlight w:val="none"/>
                      <w:lang w:val="en-US" w:eastAsia="zh-CN"/>
                    </w:rPr>
                    <w:t>；或参照GB16889执行</w:t>
                  </w:r>
                </w:p>
              </w:tc>
            </w:tr>
            <w:tr w14:paraId="7DC4E0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tcBorders>
                    <w:tl2br w:val="nil"/>
                    <w:tr2bl w:val="nil"/>
                  </w:tcBorders>
                  <w:noWrap w:val="0"/>
                  <w:vAlign w:val="center"/>
                </w:tcPr>
                <w:p w14:paraId="437AF52D">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2</w:t>
                  </w:r>
                </w:p>
              </w:tc>
              <w:tc>
                <w:tcPr>
                  <w:tcW w:w="744" w:type="pct"/>
                  <w:tcBorders>
                    <w:tl2br w:val="nil"/>
                    <w:tr2bl w:val="nil"/>
                  </w:tcBorders>
                  <w:noWrap w:val="0"/>
                  <w:vAlign w:val="center"/>
                </w:tcPr>
                <w:p w14:paraId="0FE47F5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简单防渗区</w:t>
                  </w:r>
                </w:p>
              </w:tc>
              <w:tc>
                <w:tcPr>
                  <w:tcW w:w="1299" w:type="pct"/>
                  <w:tcBorders>
                    <w:tl2br w:val="nil"/>
                    <w:tr2bl w:val="nil"/>
                  </w:tcBorders>
                  <w:noWrap w:val="0"/>
                  <w:vAlign w:val="center"/>
                </w:tcPr>
                <w:p w14:paraId="1659087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其他生产设施</w:t>
                  </w:r>
                </w:p>
              </w:tc>
              <w:tc>
                <w:tcPr>
                  <w:tcW w:w="2540" w:type="pct"/>
                  <w:tcBorders>
                    <w:tl2br w:val="nil"/>
                    <w:tr2bl w:val="nil"/>
                  </w:tcBorders>
                  <w:noWrap w:val="0"/>
                  <w:vAlign w:val="center"/>
                </w:tcPr>
                <w:p w14:paraId="674D030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一般</w:t>
                  </w:r>
                  <w:r>
                    <w:rPr>
                      <w:rFonts w:hint="default"/>
                      <w:color w:val="auto"/>
                      <w:highlight w:val="none"/>
                      <w:lang w:val="en-US" w:eastAsia="zh-CN"/>
                    </w:rPr>
                    <w:t>地面硬化</w:t>
                  </w:r>
                </w:p>
              </w:tc>
            </w:tr>
          </w:tbl>
          <w:p w14:paraId="3DF41AB7">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en-US" w:eastAsia="zh-CN"/>
              </w:rPr>
              <w:t>综上，本项目在采取完善的防渗措施后，可有效阻止污染物下渗，本项目建设运行对地下水、土壤环境影响程度较小。</w:t>
            </w:r>
          </w:p>
          <w:p w14:paraId="569A894A">
            <w:pPr>
              <w:pStyle w:val="3"/>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6、风险</w:t>
            </w:r>
          </w:p>
          <w:p w14:paraId="6E2C78F0">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根据《建设项目环境风险评价技术导则》</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 169-2018）附录B，</w:t>
            </w:r>
            <w:r>
              <w:rPr>
                <w:rFonts w:hint="eastAsia" w:ascii="Times New Roman" w:hAnsi="Times New Roman" w:eastAsia="宋体" w:cs="Times New Roman"/>
                <w:color w:val="auto"/>
                <w:sz w:val="24"/>
                <w:szCs w:val="24"/>
                <w:highlight w:val="none"/>
                <w:lang w:val="en-US" w:eastAsia="zh-CN"/>
              </w:rPr>
              <w:t>本项目不涉及环境风险物质，</w:t>
            </w:r>
            <w:r>
              <w:rPr>
                <w:rFonts w:hint="eastAsia"/>
                <w:color w:val="auto"/>
                <w:highlight w:val="none"/>
                <w:lang w:val="en-US" w:eastAsia="zh-CN"/>
              </w:rPr>
              <w:t>不涉及易燃、易爆物质。若发生火灾可能为线路或设备局部火灾，立即组织人员灭火，消防尽量采取干粉灭火，无消防废水产生，对环境影响较小。</w:t>
            </w:r>
          </w:p>
          <w:p w14:paraId="16A1AD21">
            <w:pPr>
              <w:pStyle w:val="3"/>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7、排污口规范化</w:t>
            </w:r>
          </w:p>
          <w:p w14:paraId="75E841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bCs/>
                <w:color w:val="auto"/>
                <w:spacing w:val="0"/>
                <w:kern w:val="0"/>
                <w:sz w:val="24"/>
                <w:szCs w:val="24"/>
                <w:highlight w:val="none"/>
                <w:lang w:val="en-US" w:eastAsia="zh-CN"/>
              </w:rPr>
            </w:pPr>
            <w:r>
              <w:rPr>
                <w:rFonts w:hint="eastAsia"/>
                <w:bCs/>
                <w:color w:val="auto"/>
                <w:spacing w:val="0"/>
                <w:kern w:val="0"/>
                <w:sz w:val="24"/>
                <w:szCs w:val="24"/>
                <w:highlight w:val="none"/>
                <w:lang w:val="en-US" w:eastAsia="zh-CN"/>
              </w:rPr>
              <w:t>（1）排污许可证</w:t>
            </w:r>
          </w:p>
          <w:p w14:paraId="43CACB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bCs/>
                <w:color w:val="auto"/>
                <w:spacing w:val="0"/>
                <w:kern w:val="0"/>
                <w:sz w:val="24"/>
                <w:szCs w:val="24"/>
                <w:highlight w:val="none"/>
                <w:lang w:val="en-US" w:eastAsia="zh-CN"/>
              </w:rPr>
            </w:pPr>
            <w:r>
              <w:rPr>
                <w:rFonts w:hint="default"/>
                <w:bCs/>
                <w:color w:val="auto"/>
                <w:spacing w:val="0"/>
                <w:kern w:val="0"/>
                <w:sz w:val="24"/>
                <w:szCs w:val="24"/>
                <w:highlight w:val="none"/>
                <w:lang w:val="en-US" w:eastAsia="zh-CN"/>
              </w:rPr>
              <w:t>《排污许可管理条例》（中华人民共和国第736号）规定依照法律规定实行排污许可管理的企业事业单位和其他生产经营者（以</w:t>
            </w:r>
            <w:r>
              <w:rPr>
                <w:rFonts w:hint="eastAsia"/>
                <w:bCs/>
                <w:color w:val="auto"/>
                <w:spacing w:val="0"/>
                <w:kern w:val="0"/>
                <w:sz w:val="24"/>
                <w:szCs w:val="24"/>
                <w:highlight w:val="none"/>
                <w:lang w:val="en-US" w:eastAsia="zh-CN"/>
              </w:rPr>
              <w:t>下简</w:t>
            </w:r>
            <w:r>
              <w:rPr>
                <w:rFonts w:hint="default"/>
                <w:bCs/>
                <w:color w:val="auto"/>
                <w:spacing w:val="0"/>
                <w:kern w:val="0"/>
                <w:sz w:val="24"/>
                <w:szCs w:val="24"/>
                <w:highlight w:val="none"/>
                <w:lang w:val="en-US" w:eastAsia="zh-CN"/>
              </w:rPr>
              <w:t>称排污单位），应当依照本条例规定申请取得排污许可证；未取得排污许可证的，不得排放污染物。根据污染物产生量、排放量、对环境的影响程度等因素，对排污单位实行排污许可分类管理：污染物产生量、排放量或者对环境影响程度较大的排污单位，实行排污许可重点管理；污染物产生量、排放量和对环境的影响程度都较小的排污单位，实行排污许可简化管理。</w:t>
            </w:r>
          </w:p>
          <w:p w14:paraId="74A51EA8">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根据《固定污染源排污许可分类管理名录（2019年版）》（</w:t>
            </w:r>
            <w:r>
              <w:rPr>
                <w:rFonts w:hint="eastAsia"/>
                <w:color w:val="auto"/>
                <w:highlight w:val="none"/>
              </w:rPr>
              <w:t>2019年12月20日生态环境部令第11号公布</w:t>
            </w:r>
            <w:r>
              <w:rPr>
                <w:rFonts w:hint="default"/>
                <w:color w:val="auto"/>
                <w:highlight w:val="none"/>
                <w:lang w:val="en-US" w:eastAsia="zh-CN"/>
              </w:rPr>
              <w:t>），本项目为</w:t>
            </w:r>
            <w:r>
              <w:rPr>
                <w:rFonts w:hint="eastAsia"/>
                <w:color w:val="auto"/>
                <w:highlight w:val="none"/>
                <w:lang w:val="en-US" w:eastAsia="zh-CN"/>
              </w:rPr>
              <w:t>“二十七、非金属矿物制品，57玻璃及玻璃制品，其他玻璃制造”</w:t>
            </w:r>
            <w:r>
              <w:rPr>
                <w:rFonts w:hint="default"/>
                <w:color w:val="auto"/>
                <w:highlight w:val="none"/>
                <w:lang w:val="en-US" w:eastAsia="zh-CN"/>
              </w:rPr>
              <w:t>，属于</w:t>
            </w:r>
            <w:r>
              <w:rPr>
                <w:rFonts w:hint="eastAsia"/>
                <w:color w:val="auto"/>
                <w:highlight w:val="none"/>
                <w:lang w:val="en-US" w:eastAsia="zh-CN"/>
              </w:rPr>
              <w:t>登记管理</w:t>
            </w:r>
            <w:r>
              <w:rPr>
                <w:rFonts w:hint="default"/>
                <w:color w:val="auto"/>
                <w:highlight w:val="none"/>
                <w:lang w:val="en-US" w:eastAsia="zh-CN"/>
              </w:rPr>
              <w:t>。本项目在取得环评批复后，在启动生产设施或者发生实际排污之前须在全国排污许可证管理信息平台</w:t>
            </w:r>
            <w:r>
              <w:rPr>
                <w:rFonts w:hint="eastAsia"/>
                <w:color w:val="auto"/>
                <w:highlight w:val="none"/>
                <w:lang w:val="en-US" w:eastAsia="zh-CN"/>
              </w:rPr>
              <w:t>进行排污许可登记</w:t>
            </w:r>
            <w:r>
              <w:rPr>
                <w:rFonts w:hint="default"/>
                <w:color w:val="auto"/>
                <w:highlight w:val="none"/>
                <w:lang w:val="en-US" w:eastAsia="zh-CN"/>
              </w:rPr>
              <w:t>后方能正式投入生产。</w:t>
            </w:r>
          </w:p>
          <w:p w14:paraId="7117CE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bCs/>
                <w:color w:val="auto"/>
                <w:spacing w:val="0"/>
                <w:kern w:val="0"/>
                <w:sz w:val="24"/>
                <w:szCs w:val="24"/>
                <w:highlight w:val="none"/>
                <w:lang w:val="en-US" w:eastAsia="zh-CN"/>
              </w:rPr>
            </w:pPr>
            <w:r>
              <w:rPr>
                <w:rFonts w:hint="default"/>
                <w:bCs/>
                <w:color w:val="auto"/>
                <w:spacing w:val="0"/>
                <w:kern w:val="0"/>
                <w:sz w:val="24"/>
                <w:szCs w:val="24"/>
                <w:highlight w:val="none"/>
                <w:lang w:val="en-US" w:eastAsia="zh-CN"/>
              </w:rPr>
              <w:t>（</w:t>
            </w:r>
            <w:r>
              <w:rPr>
                <w:rFonts w:hint="eastAsia"/>
                <w:bCs/>
                <w:color w:val="auto"/>
                <w:spacing w:val="0"/>
                <w:kern w:val="0"/>
                <w:sz w:val="24"/>
                <w:szCs w:val="24"/>
                <w:highlight w:val="none"/>
                <w:lang w:val="en-US" w:eastAsia="zh-CN"/>
              </w:rPr>
              <w:t>2</w:t>
            </w:r>
            <w:r>
              <w:rPr>
                <w:rFonts w:hint="default"/>
                <w:bCs/>
                <w:color w:val="auto"/>
                <w:spacing w:val="0"/>
                <w:kern w:val="0"/>
                <w:sz w:val="24"/>
                <w:szCs w:val="24"/>
                <w:highlight w:val="none"/>
                <w:lang w:val="en-US" w:eastAsia="zh-CN"/>
              </w:rPr>
              <w:t>）排污口管理</w:t>
            </w:r>
          </w:p>
          <w:p w14:paraId="284F39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bCs/>
                <w:color w:val="auto"/>
                <w:spacing w:val="0"/>
                <w:kern w:val="0"/>
                <w:sz w:val="24"/>
                <w:szCs w:val="24"/>
                <w:highlight w:val="none"/>
                <w:lang w:val="en-US" w:eastAsia="zh-CN"/>
              </w:rPr>
            </w:pPr>
            <w:r>
              <w:rPr>
                <w:rFonts w:hint="default"/>
                <w:bCs/>
                <w:color w:val="auto"/>
                <w:spacing w:val="0"/>
                <w:kern w:val="0"/>
                <w:sz w:val="24"/>
                <w:szCs w:val="24"/>
                <w:highlight w:val="none"/>
                <w:lang w:val="en-US" w:eastAsia="zh-CN"/>
              </w:rPr>
              <w:t>建设单位应在各个排污口</w:t>
            </w:r>
            <w:r>
              <w:rPr>
                <w:rFonts w:hint="eastAsia"/>
                <w:bCs/>
                <w:color w:val="auto"/>
                <w:spacing w:val="0"/>
                <w:kern w:val="0"/>
                <w:sz w:val="24"/>
                <w:szCs w:val="24"/>
                <w:highlight w:val="none"/>
                <w:lang w:val="en-US" w:eastAsia="zh-CN"/>
              </w:rPr>
              <w:t>处竖立</w:t>
            </w:r>
            <w:r>
              <w:rPr>
                <w:rFonts w:hint="default"/>
                <w:bCs/>
                <w:color w:val="auto"/>
                <w:spacing w:val="0"/>
                <w:kern w:val="0"/>
                <w:sz w:val="24"/>
                <w:szCs w:val="24"/>
                <w:highlight w:val="none"/>
                <w:lang w:val="en-US" w:eastAsia="zh-CN"/>
              </w:rPr>
              <w:t>标志牌。环保主管部门和建设单位可分别按以下内容建立排污口管理的专门档案：排污口性质和编号；位置；排放主要污染物种类、数量、浓度；排放去向；达标情况；治理设施运行情况及整改意见。</w:t>
            </w:r>
          </w:p>
          <w:p w14:paraId="2F7C446A">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（3）环境保护图形标志</w:t>
            </w:r>
          </w:p>
          <w:p w14:paraId="07B16EC3">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在固体废物贮存处置场、噪声产生点应设置环境保护图形标志，图形符号分为提示图形和警告图形符号两种，分别按《</w:t>
            </w:r>
            <w:r>
              <w:rPr>
                <w:rFonts w:hint="eastAsia"/>
                <w:color w:val="auto"/>
                <w:highlight w:val="none"/>
                <w:lang w:val="en-US" w:eastAsia="zh-CN"/>
              </w:rPr>
              <w:fldChar w:fldCharType="begin"/>
            </w:r>
            <w:r>
              <w:rPr>
                <w:rFonts w:hint="eastAsia"/>
                <w:color w:val="auto"/>
                <w:highlight w:val="none"/>
                <w:lang w:val="en-US" w:eastAsia="zh-CN"/>
              </w:rPr>
              <w:instrText xml:space="preserve"> HYPERLINK "http://std.sacinfo.org.cn/home/javascript:;" </w:instrText>
            </w:r>
            <w:r>
              <w:rPr>
                <w:rFonts w:hint="eastAsia"/>
                <w:color w:val="auto"/>
                <w:highlight w:val="none"/>
                <w:lang w:val="en-US" w:eastAsia="zh-CN"/>
              </w:rPr>
              <w:fldChar w:fldCharType="separate"/>
            </w:r>
            <w:r>
              <w:rPr>
                <w:rFonts w:hint="eastAsia"/>
                <w:color w:val="auto"/>
                <w:highlight w:val="none"/>
                <w:lang w:val="en-US" w:eastAsia="zh-CN"/>
              </w:rPr>
              <w:t>环境保护图形标志 排放口（源）</w:t>
            </w:r>
            <w:r>
              <w:rPr>
                <w:rFonts w:hint="eastAsia"/>
                <w:color w:val="auto"/>
                <w:highlight w:val="none"/>
                <w:lang w:val="en-US" w:eastAsia="zh-CN"/>
              </w:rPr>
              <w:fldChar w:fldCharType="end"/>
            </w:r>
            <w:r>
              <w:rPr>
                <w:rFonts w:hint="eastAsia"/>
                <w:color w:val="auto"/>
                <w:highlight w:val="none"/>
                <w:lang w:val="en-US" w:eastAsia="zh-CN"/>
              </w:rPr>
              <w:t>》（GB15562.1-1995）及修改单《</w:t>
            </w:r>
            <w:r>
              <w:rPr>
                <w:rFonts w:hint="eastAsia"/>
                <w:color w:val="auto"/>
                <w:highlight w:val="none"/>
                <w:lang w:val="en-US" w:eastAsia="zh-CN"/>
              </w:rPr>
              <w:fldChar w:fldCharType="begin"/>
            </w:r>
            <w:r>
              <w:rPr>
                <w:rFonts w:hint="eastAsia"/>
                <w:color w:val="auto"/>
                <w:highlight w:val="none"/>
                <w:lang w:val="en-US" w:eastAsia="zh-CN"/>
              </w:rPr>
              <w:instrText xml:space="preserve"> HYPERLINK "http://std.sacinfo.org.cn/home/javascript:;" </w:instrText>
            </w:r>
            <w:r>
              <w:rPr>
                <w:rFonts w:hint="eastAsia"/>
                <w:color w:val="auto"/>
                <w:highlight w:val="none"/>
                <w:lang w:val="en-US" w:eastAsia="zh-CN"/>
              </w:rPr>
              <w:fldChar w:fldCharType="separate"/>
            </w:r>
            <w:r>
              <w:rPr>
                <w:rFonts w:hint="eastAsia"/>
                <w:color w:val="auto"/>
                <w:highlight w:val="none"/>
                <w:lang w:val="en-US" w:eastAsia="zh-CN"/>
              </w:rPr>
              <w:t>环境保护图形标志固体废物堆放（填埋）场</w:t>
            </w:r>
            <w:r>
              <w:rPr>
                <w:rFonts w:hint="eastAsia"/>
                <w:color w:val="auto"/>
                <w:highlight w:val="none"/>
                <w:lang w:val="en-US" w:eastAsia="zh-CN"/>
              </w:rPr>
              <w:fldChar w:fldCharType="end"/>
            </w:r>
            <w:r>
              <w:rPr>
                <w:rFonts w:hint="eastAsia"/>
                <w:color w:val="auto"/>
                <w:highlight w:val="none"/>
                <w:lang w:val="en-US" w:eastAsia="zh-CN"/>
              </w:rPr>
              <w:t>》（GB15562.2-1995）《危险废物识别标志设置技术规范》（HJ1276-2022）执行。环境保护图形符号见表4-13。</w:t>
            </w:r>
          </w:p>
          <w:p w14:paraId="7B393920">
            <w:pPr>
              <w:pStyle w:val="5"/>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表4-13                          环境保护图形符号一览表</w:t>
            </w:r>
          </w:p>
          <w:tbl>
            <w:tblPr>
              <w:tblStyle w:val="30"/>
              <w:tblW w:w="0" w:type="auto"/>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48"/>
              <w:gridCol w:w="1771"/>
              <w:gridCol w:w="1840"/>
              <w:gridCol w:w="1480"/>
              <w:gridCol w:w="2775"/>
            </w:tblGrid>
            <w:tr w14:paraId="663231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448" w:type="dxa"/>
                  <w:tcBorders>
                    <w:tl2br w:val="nil"/>
                    <w:tr2bl w:val="nil"/>
                  </w:tcBorders>
                  <w:noWrap w:val="0"/>
                  <w:vAlign w:val="center"/>
                </w:tcPr>
                <w:p w14:paraId="5ED1EF83">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序号</w:t>
                  </w:r>
                </w:p>
              </w:tc>
              <w:tc>
                <w:tcPr>
                  <w:tcW w:w="1771" w:type="dxa"/>
                  <w:tcBorders>
                    <w:tl2br w:val="nil"/>
                    <w:tr2bl w:val="nil"/>
                  </w:tcBorders>
                  <w:noWrap w:val="0"/>
                  <w:vAlign w:val="center"/>
                </w:tcPr>
                <w:p w14:paraId="72AD7E03">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提示图形符号</w:t>
                  </w:r>
                </w:p>
              </w:tc>
              <w:tc>
                <w:tcPr>
                  <w:tcW w:w="1840" w:type="dxa"/>
                  <w:tcBorders>
                    <w:tl2br w:val="nil"/>
                    <w:tr2bl w:val="nil"/>
                  </w:tcBorders>
                  <w:noWrap w:val="0"/>
                  <w:vAlign w:val="center"/>
                </w:tcPr>
                <w:p w14:paraId="090F16BA">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警告图形符号</w:t>
                  </w:r>
                </w:p>
              </w:tc>
              <w:tc>
                <w:tcPr>
                  <w:tcW w:w="1480" w:type="dxa"/>
                  <w:tcBorders>
                    <w:tl2br w:val="nil"/>
                    <w:tr2bl w:val="nil"/>
                  </w:tcBorders>
                  <w:noWrap w:val="0"/>
                  <w:vAlign w:val="center"/>
                </w:tcPr>
                <w:p w14:paraId="663D53EB">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名称</w:t>
                  </w:r>
                </w:p>
              </w:tc>
              <w:tc>
                <w:tcPr>
                  <w:tcW w:w="2775" w:type="dxa"/>
                  <w:tcBorders>
                    <w:tl2br w:val="nil"/>
                    <w:tr2bl w:val="nil"/>
                  </w:tcBorders>
                  <w:noWrap w:val="0"/>
                  <w:vAlign w:val="center"/>
                </w:tcPr>
                <w:p w14:paraId="5BDF8FBF">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功能</w:t>
                  </w:r>
                </w:p>
              </w:tc>
            </w:tr>
            <w:tr w14:paraId="41DA0D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47" w:hRule="atLeast"/>
              </w:trPr>
              <w:tc>
                <w:tcPr>
                  <w:tcW w:w="448" w:type="dxa"/>
                  <w:tcBorders>
                    <w:tl2br w:val="nil"/>
                    <w:tr2bl w:val="nil"/>
                  </w:tcBorders>
                  <w:noWrap w:val="0"/>
                  <w:vAlign w:val="center"/>
                </w:tcPr>
                <w:p w14:paraId="31BD922B">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1</w:t>
                  </w:r>
                </w:p>
              </w:tc>
              <w:tc>
                <w:tcPr>
                  <w:tcW w:w="1771" w:type="dxa"/>
                  <w:tcBorders>
                    <w:tl2br w:val="nil"/>
                    <w:tr2bl w:val="nil"/>
                  </w:tcBorders>
                  <w:noWrap w:val="0"/>
                  <w:vAlign w:val="center"/>
                </w:tcPr>
                <w:p w14:paraId="4756135D">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drawing>
                      <wp:inline distT="0" distB="0" distL="114300" distR="114300">
                        <wp:extent cx="897255" cy="912495"/>
                        <wp:effectExtent l="0" t="0" r="17145" b="190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16"/>
                                <a:stretch>
                                  <a:fillRect/>
                                </a:stretch>
                              </pic:blipFill>
                              <pic:spPr>
                                <a:xfrm>
                                  <a:off x="0" y="0"/>
                                  <a:ext cx="897255" cy="912495"/>
                                </a:xfrm>
                                <a:prstGeom prst="rect">
                                  <a:avLst/>
                                </a:prstGeom>
                                <a:noFill/>
                                <a:ln>
                                  <a:noFill/>
                                </a:ln>
                              </pic:spPr>
                            </pic:pic>
                          </a:graphicData>
                        </a:graphic>
                      </wp:inline>
                    </w:drawing>
                  </w:r>
                </w:p>
              </w:tc>
              <w:tc>
                <w:tcPr>
                  <w:tcW w:w="1840" w:type="dxa"/>
                  <w:tcBorders>
                    <w:tl2br w:val="nil"/>
                    <w:tr2bl w:val="nil"/>
                  </w:tcBorders>
                  <w:noWrap w:val="0"/>
                  <w:vAlign w:val="center"/>
                </w:tcPr>
                <w:p w14:paraId="3B32135B">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drawing>
                      <wp:inline distT="0" distB="0" distL="114300" distR="114300">
                        <wp:extent cx="1035050" cy="877570"/>
                        <wp:effectExtent l="0" t="0" r="12700" b="1778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17"/>
                                <a:stretch>
                                  <a:fillRect/>
                                </a:stretch>
                              </pic:blipFill>
                              <pic:spPr>
                                <a:xfrm>
                                  <a:off x="0" y="0"/>
                                  <a:ext cx="1035050" cy="877570"/>
                                </a:xfrm>
                                <a:prstGeom prst="rect">
                                  <a:avLst/>
                                </a:prstGeom>
                                <a:noFill/>
                                <a:ln>
                                  <a:noFill/>
                                </a:ln>
                              </pic:spPr>
                            </pic:pic>
                          </a:graphicData>
                        </a:graphic>
                      </wp:inline>
                    </w:drawing>
                  </w:r>
                </w:p>
              </w:tc>
              <w:tc>
                <w:tcPr>
                  <w:tcW w:w="1480" w:type="dxa"/>
                  <w:tcBorders>
                    <w:tl2br w:val="nil"/>
                    <w:tr2bl w:val="nil"/>
                  </w:tcBorders>
                  <w:noWrap w:val="0"/>
                  <w:vAlign w:val="center"/>
                </w:tcPr>
                <w:p w14:paraId="71A01207">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污水排放口</w:t>
                  </w:r>
                </w:p>
              </w:tc>
              <w:tc>
                <w:tcPr>
                  <w:tcW w:w="2775" w:type="dxa"/>
                  <w:tcBorders>
                    <w:tl2br w:val="nil"/>
                    <w:tr2bl w:val="nil"/>
                  </w:tcBorders>
                  <w:noWrap w:val="0"/>
                  <w:vAlign w:val="center"/>
                </w:tcPr>
                <w:p w14:paraId="27D49301">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表示污水向外环境排放</w:t>
                  </w:r>
                </w:p>
              </w:tc>
            </w:tr>
            <w:tr w14:paraId="0197C4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90" w:hRule="atLeast"/>
              </w:trPr>
              <w:tc>
                <w:tcPr>
                  <w:tcW w:w="448" w:type="dxa"/>
                  <w:tcBorders>
                    <w:tl2br w:val="nil"/>
                    <w:tr2bl w:val="nil"/>
                  </w:tcBorders>
                  <w:noWrap w:val="0"/>
                  <w:vAlign w:val="center"/>
                </w:tcPr>
                <w:p w14:paraId="4EFA30FA">
                  <w:pPr>
                    <w:pStyle w:val="7"/>
                    <w:keepNext w:val="0"/>
                    <w:keepLines w:val="0"/>
                    <w:suppressLineNumbers w:val="0"/>
                    <w:bidi w:val="0"/>
                    <w:spacing w:before="0" w:beforeAutospacing="0" w:after="0" w:afterAutospacing="0"/>
                    <w:ind w:left="0" w:right="0" w:firstLine="0"/>
                    <w:rPr>
                      <w:rFonts w:hint="eastAsia"/>
                      <w:b w:val="0"/>
                      <w:bCs/>
                      <w:color w:val="auto"/>
                      <w:highlight w:val="none"/>
                      <w:lang w:val="en-US" w:eastAsia="zh-CN"/>
                    </w:rPr>
                  </w:pPr>
                  <w:r>
                    <w:rPr>
                      <w:rFonts w:hint="eastAsia"/>
                      <w:b w:val="0"/>
                      <w:bCs/>
                      <w:color w:val="auto"/>
                      <w:highlight w:val="none"/>
                      <w:lang w:val="en-US" w:eastAsia="zh-CN"/>
                    </w:rPr>
                    <w:t>2</w:t>
                  </w:r>
                </w:p>
              </w:tc>
              <w:tc>
                <w:tcPr>
                  <w:tcW w:w="1771" w:type="dxa"/>
                  <w:tcBorders>
                    <w:tl2br w:val="nil"/>
                    <w:tr2bl w:val="nil"/>
                  </w:tcBorders>
                  <w:noWrap w:val="0"/>
                  <w:vAlign w:val="center"/>
                </w:tcPr>
                <w:p w14:paraId="734E7ABD">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drawing>
                      <wp:inline distT="0" distB="0" distL="114300" distR="114300">
                        <wp:extent cx="1006475" cy="1005840"/>
                        <wp:effectExtent l="0" t="0" r="3175" b="3810"/>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18"/>
                                <a:stretch>
                                  <a:fillRect/>
                                </a:stretch>
                              </pic:blipFill>
                              <pic:spPr>
                                <a:xfrm>
                                  <a:off x="0" y="0"/>
                                  <a:ext cx="1006475" cy="1005840"/>
                                </a:xfrm>
                                <a:prstGeom prst="rect">
                                  <a:avLst/>
                                </a:prstGeom>
                                <a:noFill/>
                                <a:ln>
                                  <a:noFill/>
                                </a:ln>
                              </pic:spPr>
                            </pic:pic>
                          </a:graphicData>
                        </a:graphic>
                      </wp:inline>
                    </w:drawing>
                  </w:r>
                </w:p>
              </w:tc>
              <w:tc>
                <w:tcPr>
                  <w:tcW w:w="1840" w:type="dxa"/>
                  <w:tcBorders>
                    <w:tl2br w:val="nil"/>
                    <w:tr2bl w:val="nil"/>
                  </w:tcBorders>
                  <w:noWrap w:val="0"/>
                  <w:vAlign w:val="center"/>
                </w:tcPr>
                <w:p w14:paraId="2501E6C3">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drawing>
                      <wp:inline distT="0" distB="0" distL="114300" distR="114300">
                        <wp:extent cx="1008380" cy="817880"/>
                        <wp:effectExtent l="0" t="0" r="1270" b="1270"/>
                        <wp:docPr id="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
                                <pic:cNvPicPr>
                                  <a:picLocks noChangeAspect="1"/>
                                </pic:cNvPicPr>
                              </pic:nvPicPr>
                              <pic:blipFill>
                                <a:blip r:embed="rId19"/>
                                <a:stretch>
                                  <a:fillRect/>
                                </a:stretch>
                              </pic:blipFill>
                              <pic:spPr>
                                <a:xfrm>
                                  <a:off x="0" y="0"/>
                                  <a:ext cx="1008380" cy="817880"/>
                                </a:xfrm>
                                <a:prstGeom prst="rect">
                                  <a:avLst/>
                                </a:prstGeom>
                                <a:noFill/>
                                <a:ln>
                                  <a:noFill/>
                                </a:ln>
                              </pic:spPr>
                            </pic:pic>
                          </a:graphicData>
                        </a:graphic>
                      </wp:inline>
                    </w:drawing>
                  </w:r>
                </w:p>
              </w:tc>
              <w:tc>
                <w:tcPr>
                  <w:tcW w:w="1480" w:type="dxa"/>
                  <w:tcBorders>
                    <w:tl2br w:val="nil"/>
                    <w:tr2bl w:val="nil"/>
                  </w:tcBorders>
                  <w:noWrap w:val="0"/>
                  <w:vAlign w:val="center"/>
                </w:tcPr>
                <w:p w14:paraId="5F833C0F">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一般固体废物</w:t>
                  </w:r>
                </w:p>
              </w:tc>
              <w:tc>
                <w:tcPr>
                  <w:tcW w:w="2775" w:type="dxa"/>
                  <w:tcBorders>
                    <w:tl2br w:val="nil"/>
                    <w:tr2bl w:val="nil"/>
                  </w:tcBorders>
                  <w:noWrap w:val="0"/>
                  <w:vAlign w:val="center"/>
                </w:tcPr>
                <w:p w14:paraId="750DE8B0">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表示一般固体废物贮存、处置场</w:t>
                  </w:r>
                </w:p>
              </w:tc>
            </w:tr>
            <w:tr w14:paraId="21E0C8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448" w:type="dxa"/>
                  <w:tcBorders>
                    <w:tl2br w:val="nil"/>
                    <w:tr2bl w:val="nil"/>
                  </w:tcBorders>
                  <w:noWrap w:val="0"/>
                  <w:vAlign w:val="center"/>
                </w:tcPr>
                <w:p w14:paraId="5EBE202F">
                  <w:pPr>
                    <w:pStyle w:val="7"/>
                    <w:keepNext w:val="0"/>
                    <w:keepLines w:val="0"/>
                    <w:suppressLineNumbers w:val="0"/>
                    <w:bidi w:val="0"/>
                    <w:spacing w:before="0" w:beforeAutospacing="0" w:after="0" w:afterAutospacing="0"/>
                    <w:ind w:left="0" w:right="0" w:firstLine="0"/>
                    <w:rPr>
                      <w:rFonts w:hint="eastAsia"/>
                      <w:b w:val="0"/>
                      <w:bCs/>
                      <w:color w:val="auto"/>
                      <w:highlight w:val="none"/>
                      <w:lang w:val="en-US" w:eastAsia="zh-CN"/>
                    </w:rPr>
                  </w:pPr>
                  <w:r>
                    <w:rPr>
                      <w:rFonts w:hint="eastAsia"/>
                      <w:b w:val="0"/>
                      <w:bCs/>
                      <w:color w:val="auto"/>
                      <w:highlight w:val="none"/>
                      <w:lang w:val="en-US" w:eastAsia="zh-CN"/>
                    </w:rPr>
                    <w:t>3</w:t>
                  </w:r>
                </w:p>
              </w:tc>
              <w:tc>
                <w:tcPr>
                  <w:tcW w:w="1771" w:type="dxa"/>
                  <w:tcBorders>
                    <w:tl2br w:val="nil"/>
                    <w:tr2bl w:val="nil"/>
                  </w:tcBorders>
                  <w:noWrap w:val="0"/>
                  <w:vAlign w:val="center"/>
                </w:tcPr>
                <w:p w14:paraId="7A4DADB7">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drawing>
                      <wp:inline distT="0" distB="0" distL="114300" distR="114300">
                        <wp:extent cx="1005840" cy="914400"/>
                        <wp:effectExtent l="0" t="0" r="3810" b="0"/>
                        <wp:docPr id="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
                                <pic:cNvPicPr>
                                  <a:picLocks noChangeAspect="1"/>
                                </pic:cNvPicPr>
                              </pic:nvPicPr>
                              <pic:blipFill>
                                <a:blip r:embed="rId20"/>
                                <a:stretch>
                                  <a:fillRect/>
                                </a:stretch>
                              </pic:blipFill>
                              <pic:spPr>
                                <a:xfrm>
                                  <a:off x="0" y="0"/>
                                  <a:ext cx="1005840" cy="914400"/>
                                </a:xfrm>
                                <a:prstGeom prst="rect">
                                  <a:avLst/>
                                </a:prstGeom>
                                <a:noFill/>
                                <a:ln>
                                  <a:noFill/>
                                </a:ln>
                              </pic:spPr>
                            </pic:pic>
                          </a:graphicData>
                        </a:graphic>
                      </wp:inline>
                    </w:drawing>
                  </w:r>
                </w:p>
              </w:tc>
              <w:tc>
                <w:tcPr>
                  <w:tcW w:w="1840" w:type="dxa"/>
                  <w:tcBorders>
                    <w:tl2br w:val="nil"/>
                    <w:tr2bl w:val="nil"/>
                  </w:tcBorders>
                  <w:noWrap w:val="0"/>
                  <w:vAlign w:val="center"/>
                </w:tcPr>
                <w:p w14:paraId="6D8C3693">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drawing>
                      <wp:inline distT="0" distB="0" distL="114300" distR="114300">
                        <wp:extent cx="1003935" cy="821690"/>
                        <wp:effectExtent l="0" t="0" r="5715" b="16510"/>
                        <wp:docPr id="3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
                                <pic:cNvPicPr>
                                  <a:picLocks noChangeAspect="1"/>
                                </pic:cNvPicPr>
                              </pic:nvPicPr>
                              <pic:blipFill>
                                <a:blip r:embed="rId21"/>
                                <a:stretch>
                                  <a:fillRect/>
                                </a:stretch>
                              </pic:blipFill>
                              <pic:spPr>
                                <a:xfrm>
                                  <a:off x="0" y="0"/>
                                  <a:ext cx="1003935" cy="821690"/>
                                </a:xfrm>
                                <a:prstGeom prst="rect">
                                  <a:avLst/>
                                </a:prstGeom>
                                <a:noFill/>
                                <a:ln>
                                  <a:noFill/>
                                </a:ln>
                              </pic:spPr>
                            </pic:pic>
                          </a:graphicData>
                        </a:graphic>
                      </wp:inline>
                    </w:drawing>
                  </w:r>
                </w:p>
              </w:tc>
              <w:tc>
                <w:tcPr>
                  <w:tcW w:w="1480" w:type="dxa"/>
                  <w:tcBorders>
                    <w:tl2br w:val="nil"/>
                    <w:tr2bl w:val="nil"/>
                  </w:tcBorders>
                  <w:noWrap w:val="0"/>
                  <w:vAlign w:val="center"/>
                </w:tcPr>
                <w:p w14:paraId="3E7AB598">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噪声源</w:t>
                  </w:r>
                </w:p>
              </w:tc>
              <w:tc>
                <w:tcPr>
                  <w:tcW w:w="2775" w:type="dxa"/>
                  <w:tcBorders>
                    <w:tl2br w:val="nil"/>
                    <w:tr2bl w:val="nil"/>
                  </w:tcBorders>
                  <w:noWrap w:val="0"/>
                  <w:vAlign w:val="center"/>
                </w:tcPr>
                <w:p w14:paraId="618B09EE">
                  <w:pPr>
                    <w:pStyle w:val="7"/>
                    <w:keepNext w:val="0"/>
                    <w:keepLines w:val="0"/>
                    <w:suppressLineNumbers w:val="0"/>
                    <w:bidi w:val="0"/>
                    <w:spacing w:before="0" w:beforeAutospacing="0" w:after="0" w:afterAutospacing="0"/>
                    <w:ind w:left="0" w:right="0" w:firstLine="0"/>
                    <w:rPr>
                      <w:rFonts w:hint="default"/>
                      <w:b w:val="0"/>
                      <w:bCs/>
                      <w:color w:val="auto"/>
                      <w:highlight w:val="none"/>
                      <w:lang w:val="en-US" w:eastAsia="zh-CN"/>
                    </w:rPr>
                  </w:pPr>
                  <w:r>
                    <w:rPr>
                      <w:rFonts w:hint="default"/>
                      <w:b w:val="0"/>
                      <w:bCs/>
                      <w:color w:val="auto"/>
                      <w:highlight w:val="none"/>
                      <w:lang w:val="en-US" w:eastAsia="zh-CN"/>
                    </w:rPr>
                    <w:t>表示噪声向外环境排放</w:t>
                  </w:r>
                </w:p>
              </w:tc>
            </w:tr>
            <w:tr w14:paraId="13DF96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448" w:type="dxa"/>
                  <w:tcBorders>
                    <w:tl2br w:val="nil"/>
                    <w:tr2bl w:val="nil"/>
                  </w:tcBorders>
                  <w:noWrap w:val="0"/>
                  <w:vAlign w:val="center"/>
                </w:tcPr>
                <w:p w14:paraId="750DD629">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b w:val="0"/>
                      <w:bCs/>
                      <w:color w:val="auto"/>
                      <w:kern w:val="2"/>
                      <w:sz w:val="21"/>
                      <w:szCs w:val="24"/>
                      <w:highlight w:val="none"/>
                      <w:lang w:val="en-US" w:eastAsia="zh-CN" w:bidi="ar-SA"/>
                    </w:rPr>
                  </w:pPr>
                  <w:r>
                    <w:rPr>
                      <w:rFonts w:hint="eastAsia"/>
                      <w:b w:val="0"/>
                      <w:bCs/>
                      <w:color w:val="auto"/>
                      <w:highlight w:val="none"/>
                      <w:lang w:val="en-US" w:eastAsia="zh-CN"/>
                    </w:rPr>
                    <w:t>4</w:t>
                  </w:r>
                </w:p>
              </w:tc>
              <w:tc>
                <w:tcPr>
                  <w:tcW w:w="1771" w:type="dxa"/>
                  <w:tcBorders>
                    <w:tl2br w:val="nil"/>
                    <w:tr2bl w:val="nil"/>
                  </w:tcBorders>
                  <w:noWrap w:val="0"/>
                  <w:vAlign w:val="center"/>
                </w:tcPr>
                <w:p w14:paraId="5CC6DE40">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color w:val="auto"/>
                      <w:kern w:val="2"/>
                      <w:sz w:val="21"/>
                      <w:szCs w:val="24"/>
                      <w:highlight w:val="none"/>
                      <w:lang w:val="en-US" w:eastAsia="zh-CN" w:bidi="ar-SA"/>
                    </w:rPr>
                  </w:pPr>
                  <w:r>
                    <w:rPr>
                      <w:rFonts w:hint="default"/>
                      <w:b w:val="0"/>
                      <w:bCs/>
                      <w:color w:val="auto"/>
                      <w:highlight w:val="none"/>
                      <w:lang w:val="en-US" w:eastAsia="zh-CN"/>
                    </w:rPr>
                    <w:drawing>
                      <wp:inline distT="0" distB="0" distL="114300" distR="114300">
                        <wp:extent cx="962025" cy="1200150"/>
                        <wp:effectExtent l="0" t="0" r="9525"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22"/>
                                <a:stretch>
                                  <a:fillRect/>
                                </a:stretch>
                              </pic:blipFill>
                              <pic:spPr>
                                <a:xfrm>
                                  <a:off x="0" y="0"/>
                                  <a:ext cx="962025" cy="1200150"/>
                                </a:xfrm>
                                <a:prstGeom prst="rect">
                                  <a:avLst/>
                                </a:prstGeom>
                                <a:noFill/>
                                <a:ln>
                                  <a:noFill/>
                                </a:ln>
                              </pic:spPr>
                            </pic:pic>
                          </a:graphicData>
                        </a:graphic>
                      </wp:inline>
                    </w:drawing>
                  </w:r>
                </w:p>
              </w:tc>
              <w:tc>
                <w:tcPr>
                  <w:tcW w:w="1840" w:type="dxa"/>
                  <w:tcBorders>
                    <w:tl2br w:val="nil"/>
                    <w:tr2bl w:val="nil"/>
                  </w:tcBorders>
                  <w:noWrap w:val="0"/>
                  <w:vAlign w:val="center"/>
                </w:tcPr>
                <w:p w14:paraId="292808DD">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color w:val="auto"/>
                      <w:kern w:val="2"/>
                      <w:sz w:val="21"/>
                      <w:szCs w:val="24"/>
                      <w:highlight w:val="none"/>
                      <w:lang w:val="en-US" w:eastAsia="zh-CN" w:bidi="ar-SA"/>
                    </w:rPr>
                  </w:pPr>
                  <w:r>
                    <w:rPr>
                      <w:rFonts w:hint="default"/>
                      <w:b w:val="0"/>
                      <w:bCs/>
                      <w:color w:val="auto"/>
                      <w:highlight w:val="none"/>
                      <w:lang w:val="en-US" w:eastAsia="zh-CN"/>
                    </w:rPr>
                    <w:drawing>
                      <wp:inline distT="0" distB="0" distL="114300" distR="114300">
                        <wp:extent cx="1019175" cy="1171575"/>
                        <wp:effectExtent l="0" t="0" r="9525" b="952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23"/>
                                <a:stretch>
                                  <a:fillRect/>
                                </a:stretch>
                              </pic:blipFill>
                              <pic:spPr>
                                <a:xfrm>
                                  <a:off x="0" y="0"/>
                                  <a:ext cx="1019175" cy="1171575"/>
                                </a:xfrm>
                                <a:prstGeom prst="rect">
                                  <a:avLst/>
                                </a:prstGeom>
                                <a:noFill/>
                                <a:ln>
                                  <a:noFill/>
                                </a:ln>
                              </pic:spPr>
                            </pic:pic>
                          </a:graphicData>
                        </a:graphic>
                      </wp:inline>
                    </w:drawing>
                  </w:r>
                </w:p>
              </w:tc>
              <w:tc>
                <w:tcPr>
                  <w:tcW w:w="1480" w:type="dxa"/>
                  <w:tcBorders>
                    <w:tl2br w:val="nil"/>
                    <w:tr2bl w:val="nil"/>
                  </w:tcBorders>
                  <w:noWrap w:val="0"/>
                  <w:vAlign w:val="center"/>
                </w:tcPr>
                <w:p w14:paraId="1D4093E9">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color w:val="auto"/>
                      <w:kern w:val="2"/>
                      <w:sz w:val="21"/>
                      <w:szCs w:val="24"/>
                      <w:highlight w:val="none"/>
                      <w:lang w:val="en-US" w:eastAsia="zh-CN" w:bidi="ar-SA"/>
                    </w:rPr>
                  </w:pPr>
                  <w:r>
                    <w:rPr>
                      <w:rFonts w:hint="eastAsia"/>
                      <w:b w:val="0"/>
                      <w:bCs/>
                      <w:color w:val="auto"/>
                      <w:highlight w:val="none"/>
                      <w:lang w:val="en-US" w:eastAsia="zh-CN"/>
                    </w:rPr>
                    <w:t>废气排放口</w:t>
                  </w:r>
                </w:p>
              </w:tc>
              <w:tc>
                <w:tcPr>
                  <w:tcW w:w="2775" w:type="dxa"/>
                  <w:tcBorders>
                    <w:tl2br w:val="nil"/>
                    <w:tr2bl w:val="nil"/>
                  </w:tcBorders>
                  <w:noWrap w:val="0"/>
                  <w:vAlign w:val="center"/>
                </w:tcPr>
                <w:p w14:paraId="1E6986C8">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val="0"/>
                      <w:bCs/>
                      <w:color w:val="auto"/>
                      <w:kern w:val="2"/>
                      <w:sz w:val="21"/>
                      <w:szCs w:val="24"/>
                      <w:highlight w:val="none"/>
                      <w:lang w:val="en-US" w:eastAsia="zh-CN" w:bidi="ar-SA"/>
                    </w:rPr>
                  </w:pPr>
                  <w:r>
                    <w:rPr>
                      <w:rFonts w:hint="default"/>
                      <w:b w:val="0"/>
                      <w:bCs/>
                      <w:color w:val="auto"/>
                      <w:highlight w:val="none"/>
                      <w:lang w:val="en-US" w:eastAsia="zh-CN"/>
                    </w:rPr>
                    <w:t>表示</w:t>
                  </w:r>
                  <w:r>
                    <w:rPr>
                      <w:rFonts w:hint="eastAsia"/>
                      <w:b w:val="0"/>
                      <w:bCs/>
                      <w:color w:val="auto"/>
                      <w:highlight w:val="none"/>
                      <w:lang w:val="en-US" w:eastAsia="zh-CN"/>
                    </w:rPr>
                    <w:t>废气</w:t>
                  </w:r>
                  <w:r>
                    <w:rPr>
                      <w:rFonts w:hint="default"/>
                      <w:b w:val="0"/>
                      <w:bCs/>
                      <w:color w:val="auto"/>
                      <w:highlight w:val="none"/>
                      <w:lang w:val="en-US" w:eastAsia="zh-CN"/>
                    </w:rPr>
                    <w:t>向外环境排放</w:t>
                  </w:r>
                </w:p>
              </w:tc>
            </w:tr>
          </w:tbl>
          <w:p w14:paraId="21B38142">
            <w:pPr>
              <w:pStyle w:val="3"/>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8、环保投资表</w:t>
            </w:r>
          </w:p>
          <w:p w14:paraId="15DDAA09">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本项目总投资11000万元，环保投资70.3万元，占总投资的0.64%。详情见表4-14。</w:t>
            </w:r>
          </w:p>
          <w:p w14:paraId="6121A1B2">
            <w:pPr>
              <w:pStyle w:val="5"/>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 xml:space="preserve">表4-14                   </w:t>
            </w:r>
            <w:r>
              <w:rPr>
                <w:rFonts w:hint="eastAsia"/>
                <w:color w:val="auto"/>
                <w:highlight w:val="none"/>
              </w:rPr>
              <w:t>工程主要环保投资概算</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85"/>
              <w:gridCol w:w="946"/>
              <w:gridCol w:w="5592"/>
              <w:gridCol w:w="1029"/>
            </w:tblGrid>
            <w:tr w14:paraId="51D2BE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470" w:type="pct"/>
                  <w:tcBorders>
                    <w:tl2br w:val="nil"/>
                    <w:tr2bl w:val="nil"/>
                  </w:tcBorders>
                  <w:shd w:val="clear" w:color="auto" w:fill="auto"/>
                  <w:noWrap w:val="0"/>
                  <w:vAlign w:val="center"/>
                </w:tcPr>
                <w:p w14:paraId="06DC18E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序号</w:t>
                  </w:r>
                </w:p>
              </w:tc>
              <w:tc>
                <w:tcPr>
                  <w:tcW w:w="566" w:type="pct"/>
                  <w:tcBorders>
                    <w:tl2br w:val="nil"/>
                    <w:tr2bl w:val="nil"/>
                  </w:tcBorders>
                  <w:shd w:val="clear" w:color="auto" w:fill="auto"/>
                  <w:noWrap w:val="0"/>
                  <w:vAlign w:val="center"/>
                </w:tcPr>
                <w:p w14:paraId="78F898D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类别</w:t>
                  </w:r>
                </w:p>
              </w:tc>
              <w:tc>
                <w:tcPr>
                  <w:tcW w:w="3345" w:type="pct"/>
                  <w:tcBorders>
                    <w:tl2br w:val="nil"/>
                    <w:tr2bl w:val="nil"/>
                  </w:tcBorders>
                  <w:shd w:val="clear" w:color="auto" w:fill="auto"/>
                  <w:noWrap w:val="0"/>
                  <w:vAlign w:val="center"/>
                </w:tcPr>
                <w:p w14:paraId="6D8EAA24">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内容</w:t>
                  </w:r>
                </w:p>
              </w:tc>
              <w:tc>
                <w:tcPr>
                  <w:tcW w:w="616" w:type="pct"/>
                  <w:tcBorders>
                    <w:tl2br w:val="nil"/>
                    <w:tr2bl w:val="nil"/>
                  </w:tcBorders>
                  <w:shd w:val="clear" w:color="auto" w:fill="auto"/>
                  <w:noWrap w:val="0"/>
                  <w:vAlign w:val="center"/>
                </w:tcPr>
                <w:p w14:paraId="44064187">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环保投资</w:t>
                  </w:r>
                </w:p>
                <w:p w14:paraId="7E24A5F7">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（万元）</w:t>
                  </w:r>
                </w:p>
              </w:tc>
            </w:tr>
            <w:tr w14:paraId="2E500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470" w:type="pct"/>
                  <w:vMerge w:val="restart"/>
                  <w:tcBorders>
                    <w:tl2br w:val="nil"/>
                    <w:tr2bl w:val="nil"/>
                  </w:tcBorders>
                  <w:shd w:val="clear" w:color="auto" w:fill="auto"/>
                  <w:noWrap w:val="0"/>
                  <w:vAlign w:val="center"/>
                </w:tcPr>
                <w:p w14:paraId="67589144">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施工期</w:t>
                  </w:r>
                </w:p>
              </w:tc>
              <w:tc>
                <w:tcPr>
                  <w:tcW w:w="566" w:type="pct"/>
                  <w:tcBorders>
                    <w:tl2br w:val="nil"/>
                    <w:tr2bl w:val="nil"/>
                  </w:tcBorders>
                  <w:shd w:val="clear" w:color="auto" w:fill="auto"/>
                  <w:noWrap w:val="0"/>
                  <w:vAlign w:val="center"/>
                </w:tcPr>
                <w:p w14:paraId="7EEED8C5">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噪声治理</w:t>
                  </w:r>
                </w:p>
              </w:tc>
              <w:tc>
                <w:tcPr>
                  <w:tcW w:w="3345" w:type="pct"/>
                  <w:tcBorders>
                    <w:tl2br w:val="nil"/>
                    <w:tr2bl w:val="nil"/>
                  </w:tcBorders>
                  <w:shd w:val="clear" w:color="auto" w:fill="auto"/>
                  <w:noWrap w:val="0"/>
                  <w:vAlign w:val="center"/>
                </w:tcPr>
                <w:p w14:paraId="5B046D96">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选用低噪音设备、合理安排施工时间，合理布置施工平面图，加强管理等</w:t>
                  </w:r>
                </w:p>
              </w:tc>
              <w:tc>
                <w:tcPr>
                  <w:tcW w:w="616" w:type="pct"/>
                  <w:tcBorders>
                    <w:tl2br w:val="nil"/>
                    <w:tr2bl w:val="nil"/>
                  </w:tcBorders>
                  <w:shd w:val="clear" w:color="auto" w:fill="auto"/>
                  <w:noWrap w:val="0"/>
                  <w:vAlign w:val="center"/>
                </w:tcPr>
                <w:p w14:paraId="43AF8238">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0.5</w:t>
                  </w:r>
                </w:p>
              </w:tc>
            </w:tr>
            <w:tr w14:paraId="0E3747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70" w:type="pct"/>
                  <w:vMerge w:val="continue"/>
                  <w:tcBorders>
                    <w:tl2br w:val="nil"/>
                    <w:tr2bl w:val="nil"/>
                  </w:tcBorders>
                  <w:shd w:val="clear" w:color="auto" w:fill="auto"/>
                  <w:noWrap w:val="0"/>
                  <w:vAlign w:val="center"/>
                </w:tcPr>
                <w:p w14:paraId="507AF883">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p>
              </w:tc>
              <w:tc>
                <w:tcPr>
                  <w:tcW w:w="566" w:type="pct"/>
                  <w:tcBorders>
                    <w:tl2br w:val="nil"/>
                    <w:tr2bl w:val="nil"/>
                  </w:tcBorders>
                  <w:shd w:val="clear" w:color="auto" w:fill="auto"/>
                  <w:noWrap w:val="0"/>
                  <w:vAlign w:val="center"/>
                </w:tcPr>
                <w:p w14:paraId="02B27A71">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废气治理</w:t>
                  </w:r>
                </w:p>
              </w:tc>
              <w:tc>
                <w:tcPr>
                  <w:tcW w:w="3345" w:type="pct"/>
                  <w:tcBorders>
                    <w:tl2br w:val="nil"/>
                    <w:tr2bl w:val="nil"/>
                  </w:tcBorders>
                  <w:shd w:val="clear" w:color="auto" w:fill="auto"/>
                  <w:noWrap w:val="0"/>
                  <w:vAlign w:val="center"/>
                </w:tcPr>
                <w:p w14:paraId="1A4A523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移动式焊接烟尘净化器</w:t>
                  </w:r>
                </w:p>
              </w:tc>
              <w:tc>
                <w:tcPr>
                  <w:tcW w:w="616" w:type="pct"/>
                  <w:tcBorders>
                    <w:tl2br w:val="nil"/>
                    <w:tr2bl w:val="nil"/>
                  </w:tcBorders>
                  <w:shd w:val="clear" w:color="auto" w:fill="auto"/>
                  <w:noWrap w:val="0"/>
                  <w:vAlign w:val="center"/>
                </w:tcPr>
                <w:p w14:paraId="3DFAA79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0.2</w:t>
                  </w:r>
                </w:p>
              </w:tc>
            </w:tr>
            <w:tr w14:paraId="6EB49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70" w:type="pct"/>
                  <w:vMerge w:val="continue"/>
                  <w:tcBorders>
                    <w:tl2br w:val="nil"/>
                    <w:tr2bl w:val="nil"/>
                  </w:tcBorders>
                  <w:shd w:val="clear" w:color="auto" w:fill="auto"/>
                  <w:noWrap w:val="0"/>
                  <w:vAlign w:val="center"/>
                </w:tcPr>
                <w:p w14:paraId="1A25C1F2">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p>
              </w:tc>
              <w:tc>
                <w:tcPr>
                  <w:tcW w:w="566" w:type="pct"/>
                  <w:tcBorders>
                    <w:tl2br w:val="nil"/>
                    <w:tr2bl w:val="nil"/>
                  </w:tcBorders>
                  <w:shd w:val="clear" w:color="auto" w:fill="auto"/>
                  <w:noWrap w:val="0"/>
                  <w:vAlign w:val="center"/>
                </w:tcPr>
                <w:p w14:paraId="7BEB9D65">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固废治理</w:t>
                  </w:r>
                </w:p>
              </w:tc>
              <w:tc>
                <w:tcPr>
                  <w:tcW w:w="3345" w:type="pct"/>
                  <w:tcBorders>
                    <w:tl2br w:val="nil"/>
                    <w:tr2bl w:val="nil"/>
                  </w:tcBorders>
                  <w:shd w:val="clear" w:color="auto" w:fill="auto"/>
                  <w:noWrap w:val="0"/>
                  <w:vAlign w:val="center"/>
                </w:tcPr>
                <w:p w14:paraId="75A21566">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集中收集可回收的外售，不可回收利用的可委托环卫部门处置。</w:t>
                  </w:r>
                </w:p>
              </w:tc>
              <w:tc>
                <w:tcPr>
                  <w:tcW w:w="616" w:type="pct"/>
                  <w:tcBorders>
                    <w:tl2br w:val="nil"/>
                    <w:tr2bl w:val="nil"/>
                  </w:tcBorders>
                  <w:shd w:val="clear" w:color="auto" w:fill="auto"/>
                  <w:noWrap w:val="0"/>
                  <w:vAlign w:val="center"/>
                </w:tcPr>
                <w:p w14:paraId="4AC4D033">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0.5</w:t>
                  </w:r>
                </w:p>
              </w:tc>
            </w:tr>
            <w:tr w14:paraId="50029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6" w:hRule="atLeast"/>
              </w:trPr>
              <w:tc>
                <w:tcPr>
                  <w:tcW w:w="470" w:type="pct"/>
                  <w:vMerge w:val="restart"/>
                  <w:tcBorders>
                    <w:tl2br w:val="nil"/>
                    <w:tr2bl w:val="nil"/>
                  </w:tcBorders>
                  <w:shd w:val="clear" w:color="auto" w:fill="auto"/>
                  <w:noWrap w:val="0"/>
                  <w:vAlign w:val="center"/>
                </w:tcPr>
                <w:p w14:paraId="277F975A">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运营期</w:t>
                  </w:r>
                </w:p>
              </w:tc>
              <w:tc>
                <w:tcPr>
                  <w:tcW w:w="566" w:type="pct"/>
                  <w:tcBorders>
                    <w:tl2br w:val="nil"/>
                    <w:tr2bl w:val="nil"/>
                  </w:tcBorders>
                  <w:shd w:val="clear" w:color="auto" w:fill="auto"/>
                  <w:noWrap w:val="0"/>
                  <w:vAlign w:val="center"/>
                </w:tcPr>
                <w:p w14:paraId="3806C6C4">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废气治理</w:t>
                  </w:r>
                </w:p>
              </w:tc>
              <w:tc>
                <w:tcPr>
                  <w:tcW w:w="3345" w:type="pct"/>
                  <w:tcBorders>
                    <w:tl2br w:val="nil"/>
                    <w:tr2bl w:val="nil"/>
                  </w:tcBorders>
                  <w:shd w:val="clear" w:color="auto" w:fill="auto"/>
                  <w:noWrap w:val="0"/>
                  <w:vAlign w:val="center"/>
                </w:tcPr>
                <w:p w14:paraId="377BDD39">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布袋除尘器+15m高排气筒、标识标牌</w:t>
                  </w:r>
                </w:p>
              </w:tc>
              <w:tc>
                <w:tcPr>
                  <w:tcW w:w="616" w:type="pct"/>
                  <w:tcBorders>
                    <w:tl2br w:val="nil"/>
                    <w:tr2bl w:val="nil"/>
                  </w:tcBorders>
                  <w:shd w:val="clear" w:color="auto" w:fill="auto"/>
                  <w:noWrap w:val="0"/>
                  <w:vAlign w:val="center"/>
                </w:tcPr>
                <w:p w14:paraId="03126126">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5</w:t>
                  </w:r>
                </w:p>
              </w:tc>
            </w:tr>
            <w:tr w14:paraId="0C8FF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470" w:type="pct"/>
                  <w:vMerge w:val="continue"/>
                  <w:tcBorders>
                    <w:tl2br w:val="nil"/>
                    <w:tr2bl w:val="nil"/>
                  </w:tcBorders>
                  <w:shd w:val="clear" w:color="auto" w:fill="auto"/>
                  <w:noWrap w:val="0"/>
                  <w:vAlign w:val="center"/>
                </w:tcPr>
                <w:p w14:paraId="0F7BA411">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p>
              </w:tc>
              <w:tc>
                <w:tcPr>
                  <w:tcW w:w="566" w:type="pct"/>
                  <w:tcBorders>
                    <w:tl2br w:val="nil"/>
                    <w:tr2bl w:val="nil"/>
                  </w:tcBorders>
                  <w:shd w:val="clear" w:color="auto" w:fill="auto"/>
                  <w:noWrap w:val="0"/>
                  <w:vAlign w:val="center"/>
                </w:tcPr>
                <w:p w14:paraId="4BD67143">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废水治理</w:t>
                  </w:r>
                </w:p>
              </w:tc>
              <w:tc>
                <w:tcPr>
                  <w:tcW w:w="3345" w:type="pct"/>
                  <w:tcBorders>
                    <w:tl2br w:val="nil"/>
                    <w:tr2bl w:val="nil"/>
                  </w:tcBorders>
                  <w:shd w:val="clear" w:color="auto" w:fill="auto"/>
                  <w:noWrap w:val="0"/>
                  <w:vAlign w:val="center"/>
                </w:tcPr>
                <w:p w14:paraId="2A797AB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污水处理设施</w:t>
                  </w:r>
                </w:p>
              </w:tc>
              <w:tc>
                <w:tcPr>
                  <w:tcW w:w="616" w:type="pct"/>
                  <w:tcBorders>
                    <w:tl2br w:val="nil"/>
                    <w:tr2bl w:val="nil"/>
                  </w:tcBorders>
                  <w:shd w:val="clear" w:color="auto" w:fill="auto"/>
                  <w:noWrap w:val="0"/>
                  <w:vAlign w:val="center"/>
                </w:tcPr>
                <w:p w14:paraId="16561A30">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50</w:t>
                  </w:r>
                </w:p>
              </w:tc>
            </w:tr>
            <w:tr w14:paraId="6D6E0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470" w:type="pct"/>
                  <w:vMerge w:val="continue"/>
                  <w:tcBorders>
                    <w:tl2br w:val="nil"/>
                    <w:tr2bl w:val="nil"/>
                  </w:tcBorders>
                  <w:shd w:val="clear" w:color="auto" w:fill="auto"/>
                  <w:noWrap w:val="0"/>
                  <w:vAlign w:val="center"/>
                </w:tcPr>
                <w:p w14:paraId="423A58C3">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p>
              </w:tc>
              <w:tc>
                <w:tcPr>
                  <w:tcW w:w="566" w:type="pct"/>
                  <w:tcBorders>
                    <w:tl2br w:val="nil"/>
                    <w:tr2bl w:val="nil"/>
                  </w:tcBorders>
                  <w:shd w:val="clear" w:color="auto" w:fill="auto"/>
                  <w:noWrap w:val="0"/>
                  <w:vAlign w:val="center"/>
                </w:tcPr>
                <w:p w14:paraId="7B20C8BF">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噪声治理</w:t>
                  </w:r>
                </w:p>
              </w:tc>
              <w:tc>
                <w:tcPr>
                  <w:tcW w:w="3345" w:type="pct"/>
                  <w:tcBorders>
                    <w:tl2br w:val="nil"/>
                    <w:tr2bl w:val="nil"/>
                  </w:tcBorders>
                  <w:shd w:val="clear" w:color="auto" w:fill="auto"/>
                  <w:noWrap w:val="0"/>
                  <w:vAlign w:val="center"/>
                </w:tcPr>
                <w:p w14:paraId="0ACF3FC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基础减振、消音、隔音</w:t>
                  </w:r>
                </w:p>
              </w:tc>
              <w:tc>
                <w:tcPr>
                  <w:tcW w:w="616" w:type="pct"/>
                  <w:tcBorders>
                    <w:tl2br w:val="nil"/>
                    <w:tr2bl w:val="nil"/>
                  </w:tcBorders>
                  <w:shd w:val="clear" w:color="auto" w:fill="auto"/>
                  <w:noWrap w:val="0"/>
                  <w:vAlign w:val="center"/>
                </w:tcPr>
                <w:p w14:paraId="591E94E5">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10</w:t>
                  </w:r>
                </w:p>
              </w:tc>
            </w:tr>
            <w:tr w14:paraId="2E4C2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70" w:type="pct"/>
                  <w:vMerge w:val="continue"/>
                  <w:tcBorders>
                    <w:tl2br w:val="nil"/>
                    <w:tr2bl w:val="nil"/>
                  </w:tcBorders>
                  <w:shd w:val="clear" w:color="auto" w:fill="auto"/>
                  <w:noWrap w:val="0"/>
                  <w:vAlign w:val="center"/>
                </w:tcPr>
                <w:p w14:paraId="63DAF02D">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p>
              </w:tc>
              <w:tc>
                <w:tcPr>
                  <w:tcW w:w="566" w:type="pct"/>
                  <w:vMerge w:val="restart"/>
                  <w:tcBorders>
                    <w:tl2br w:val="nil"/>
                    <w:tr2bl w:val="nil"/>
                  </w:tcBorders>
                  <w:shd w:val="clear" w:color="auto" w:fill="auto"/>
                  <w:noWrap w:val="0"/>
                  <w:vAlign w:val="center"/>
                </w:tcPr>
                <w:p w14:paraId="455D3CF4">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固废治理</w:t>
                  </w:r>
                </w:p>
              </w:tc>
              <w:tc>
                <w:tcPr>
                  <w:tcW w:w="3345" w:type="pct"/>
                  <w:tcBorders>
                    <w:tl2br w:val="nil"/>
                    <w:tr2bl w:val="nil"/>
                  </w:tcBorders>
                  <w:shd w:val="clear" w:color="auto" w:fill="auto"/>
                  <w:noWrap w:val="0"/>
                  <w:vAlign w:val="center"/>
                </w:tcPr>
                <w:p w14:paraId="3174E453">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处置费用、标识标牌</w:t>
                  </w:r>
                </w:p>
              </w:tc>
              <w:tc>
                <w:tcPr>
                  <w:tcW w:w="616" w:type="pct"/>
                  <w:tcBorders>
                    <w:tl2br w:val="nil"/>
                    <w:tr2bl w:val="nil"/>
                  </w:tcBorders>
                  <w:shd w:val="clear" w:color="auto" w:fill="auto"/>
                  <w:noWrap w:val="0"/>
                  <w:vAlign w:val="center"/>
                </w:tcPr>
                <w:p w14:paraId="771C0576">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w:t>
                  </w:r>
                </w:p>
              </w:tc>
            </w:tr>
            <w:tr w14:paraId="2D729D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70" w:type="pct"/>
                  <w:vMerge w:val="continue"/>
                  <w:tcBorders>
                    <w:tl2br w:val="nil"/>
                    <w:tr2bl w:val="nil"/>
                  </w:tcBorders>
                  <w:shd w:val="clear" w:color="auto" w:fill="auto"/>
                  <w:noWrap w:val="0"/>
                  <w:vAlign w:val="center"/>
                </w:tcPr>
                <w:p w14:paraId="2E704E63">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p>
              </w:tc>
              <w:tc>
                <w:tcPr>
                  <w:tcW w:w="566" w:type="pct"/>
                  <w:vMerge w:val="continue"/>
                  <w:tcBorders>
                    <w:tl2br w:val="nil"/>
                    <w:tr2bl w:val="nil"/>
                  </w:tcBorders>
                  <w:shd w:val="clear" w:color="auto" w:fill="auto"/>
                  <w:noWrap w:val="0"/>
                  <w:vAlign w:val="center"/>
                </w:tcPr>
                <w:p w14:paraId="4A6B7C6E">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p>
              </w:tc>
              <w:tc>
                <w:tcPr>
                  <w:tcW w:w="3345" w:type="pct"/>
                  <w:tcBorders>
                    <w:tl2br w:val="nil"/>
                    <w:tr2bl w:val="nil"/>
                  </w:tcBorders>
                  <w:shd w:val="clear" w:color="auto" w:fill="auto"/>
                  <w:noWrap w:val="0"/>
                  <w:vAlign w:val="center"/>
                </w:tcPr>
                <w:p w14:paraId="2BE4EC09">
                  <w:pPr>
                    <w:pStyle w:val="7"/>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生活垃圾收集至垃圾桶、委托处置</w:t>
                  </w:r>
                </w:p>
              </w:tc>
              <w:tc>
                <w:tcPr>
                  <w:tcW w:w="616" w:type="pct"/>
                  <w:tcBorders>
                    <w:tl2br w:val="nil"/>
                    <w:tr2bl w:val="nil"/>
                  </w:tcBorders>
                  <w:shd w:val="clear" w:color="auto" w:fill="auto"/>
                  <w:noWrap w:val="0"/>
                  <w:vAlign w:val="center"/>
                </w:tcPr>
                <w:p w14:paraId="5453FBA9">
                  <w:pPr>
                    <w:pStyle w:val="7"/>
                    <w:keepNext w:val="0"/>
                    <w:keepLines w:val="0"/>
                    <w:suppressLineNumbers w:val="0"/>
                    <w:bidi w:val="0"/>
                    <w:spacing w:before="0" w:beforeAutospacing="0" w:after="0" w:afterAutospacing="0"/>
                    <w:ind w:left="0" w:leftChars="0" w:right="0" w:rightChars="0" w:firstLine="0" w:firstLineChars="0"/>
                    <w:rPr>
                      <w:rFonts w:hint="default"/>
                      <w:color w:val="auto"/>
                      <w:highlight w:val="none"/>
                      <w:lang w:val="en-US" w:eastAsia="zh-CN"/>
                    </w:rPr>
                  </w:pPr>
                  <w:r>
                    <w:rPr>
                      <w:rFonts w:hint="eastAsia"/>
                      <w:color w:val="auto"/>
                      <w:highlight w:val="none"/>
                      <w:lang w:val="en-US" w:eastAsia="zh-CN"/>
                    </w:rPr>
                    <w:t>0.1</w:t>
                  </w:r>
                </w:p>
              </w:tc>
            </w:tr>
            <w:tr w14:paraId="285496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70" w:type="pct"/>
                  <w:vMerge w:val="continue"/>
                  <w:tcBorders>
                    <w:tl2br w:val="nil"/>
                    <w:tr2bl w:val="nil"/>
                  </w:tcBorders>
                  <w:shd w:val="clear" w:color="auto" w:fill="auto"/>
                  <w:noWrap w:val="0"/>
                  <w:vAlign w:val="center"/>
                </w:tcPr>
                <w:p w14:paraId="0832A23F">
                  <w:pPr>
                    <w:pStyle w:val="7"/>
                    <w:keepNext w:val="0"/>
                    <w:keepLines w:val="0"/>
                    <w:suppressLineNumbers w:val="0"/>
                    <w:bidi w:val="0"/>
                    <w:spacing w:before="0" w:beforeAutospacing="0" w:after="0" w:afterAutospacing="0"/>
                    <w:ind w:left="0" w:right="0"/>
                    <w:rPr>
                      <w:rFonts w:hint="eastAsia"/>
                      <w:color w:val="auto"/>
                      <w:highlight w:val="none"/>
                      <w:lang w:val="en-US" w:eastAsia="zh-CN"/>
                    </w:rPr>
                  </w:pPr>
                </w:p>
              </w:tc>
              <w:tc>
                <w:tcPr>
                  <w:tcW w:w="566" w:type="pct"/>
                  <w:tcBorders>
                    <w:tl2br w:val="nil"/>
                    <w:tr2bl w:val="nil"/>
                  </w:tcBorders>
                  <w:shd w:val="clear" w:color="auto" w:fill="auto"/>
                  <w:noWrap w:val="0"/>
                  <w:vAlign w:val="center"/>
                </w:tcPr>
                <w:p w14:paraId="742227BF">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土壤、地下水</w:t>
                  </w:r>
                </w:p>
              </w:tc>
              <w:tc>
                <w:tcPr>
                  <w:tcW w:w="3345" w:type="pct"/>
                  <w:tcBorders>
                    <w:tl2br w:val="nil"/>
                    <w:tr2bl w:val="nil"/>
                  </w:tcBorders>
                  <w:shd w:val="clear" w:color="auto" w:fill="auto"/>
                  <w:noWrap w:val="0"/>
                  <w:vAlign w:val="center"/>
                </w:tcPr>
                <w:p w14:paraId="32B5DAD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分区防渗</w:t>
                  </w:r>
                </w:p>
              </w:tc>
              <w:tc>
                <w:tcPr>
                  <w:tcW w:w="616" w:type="pct"/>
                  <w:tcBorders>
                    <w:tl2br w:val="nil"/>
                    <w:tr2bl w:val="nil"/>
                  </w:tcBorders>
                  <w:shd w:val="clear" w:color="auto" w:fill="auto"/>
                  <w:noWrap w:val="0"/>
                  <w:vAlign w:val="center"/>
                </w:tcPr>
                <w:p w14:paraId="7E1E4BF2">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2</w:t>
                  </w:r>
                </w:p>
              </w:tc>
            </w:tr>
            <w:tr w14:paraId="62014B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383" w:type="pct"/>
                  <w:gridSpan w:val="3"/>
                  <w:tcBorders>
                    <w:right w:val="single" w:color="000000" w:sz="4" w:space="0"/>
                    <w:tl2br w:val="nil"/>
                    <w:tr2bl w:val="nil"/>
                  </w:tcBorders>
                  <w:shd w:val="clear" w:color="auto" w:fill="auto"/>
                  <w:noWrap w:val="0"/>
                  <w:vAlign w:val="center"/>
                </w:tcPr>
                <w:p w14:paraId="3B2404C9">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总计</w:t>
                  </w:r>
                </w:p>
              </w:tc>
              <w:tc>
                <w:tcPr>
                  <w:tcW w:w="616" w:type="pct"/>
                  <w:tcBorders>
                    <w:left w:val="single" w:color="000000" w:sz="4" w:space="0"/>
                    <w:tl2br w:val="nil"/>
                    <w:tr2bl w:val="nil"/>
                  </w:tcBorders>
                  <w:shd w:val="clear" w:color="auto" w:fill="auto"/>
                  <w:noWrap w:val="0"/>
                  <w:vAlign w:val="center"/>
                </w:tcPr>
                <w:p w14:paraId="3286040C">
                  <w:pPr>
                    <w:pStyle w:val="7"/>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70.3</w:t>
                  </w:r>
                </w:p>
              </w:tc>
            </w:tr>
          </w:tbl>
          <w:p w14:paraId="1498D4F7">
            <w:pPr>
              <w:keepNext w:val="0"/>
              <w:keepLines w:val="0"/>
              <w:suppressLineNumbers w:val="0"/>
              <w:spacing w:before="0" w:beforeAutospacing="0" w:after="0" w:afterAutospacing="0"/>
              <w:ind w:left="0" w:leftChars="0" w:right="0" w:firstLine="0" w:firstLineChars="0"/>
              <w:rPr>
                <w:rFonts w:hint="default"/>
                <w:color w:val="auto"/>
                <w:highlight w:val="none"/>
                <w:lang w:val="en-US" w:eastAsia="zh-CN"/>
              </w:rPr>
            </w:pPr>
          </w:p>
        </w:tc>
      </w:tr>
    </w:tbl>
    <w:p w14:paraId="3412A2A8">
      <w:pPr>
        <w:adjustRightInd w:val="0"/>
        <w:snapToGrid w:val="0"/>
        <w:spacing w:line="360" w:lineRule="auto"/>
        <w:rPr>
          <w:rFonts w:ascii="宋体" w:cs="宋体"/>
          <w:b/>
          <w:color w:val="auto"/>
          <w:kern w:val="0"/>
          <w:sz w:val="28"/>
          <w:szCs w:val="28"/>
        </w:rPr>
        <w:sectPr>
          <w:pgSz w:w="11907" w:h="16840"/>
          <w:pgMar w:top="1417" w:right="1531" w:bottom="1417" w:left="1531" w:header="851" w:footer="851" w:gutter="0"/>
          <w:pgBorders>
            <w:top w:val="none" w:sz="0" w:space="0"/>
            <w:left w:val="none" w:sz="0" w:space="0"/>
            <w:bottom w:val="none" w:sz="0" w:space="0"/>
            <w:right w:val="none" w:sz="0" w:space="0"/>
          </w:pgBorders>
          <w:cols w:space="720" w:num="1"/>
          <w:docGrid w:linePitch="312" w:charSpace="0"/>
        </w:sectPr>
      </w:pPr>
    </w:p>
    <w:p w14:paraId="2530BBA9">
      <w:pPr>
        <w:numPr>
          <w:ilvl w:val="0"/>
          <w:numId w:val="11"/>
        </w:numPr>
        <w:ind w:right="0" w:rightChars="0"/>
        <w:jc w:val="center"/>
        <w:outlineLvl w:val="0"/>
        <w:rPr>
          <w:rFonts w:hint="default" w:ascii="黑体" w:hAnsi="黑体" w:eastAsia="黑体" w:cs="Times New Roman"/>
          <w:snapToGrid w:val="0"/>
          <w:color w:val="auto"/>
          <w:kern w:val="0"/>
          <w:sz w:val="30"/>
          <w:szCs w:val="30"/>
          <w:lang w:val="en-US" w:eastAsia="zh-CN" w:bidi="ar-SA"/>
        </w:rPr>
      </w:pPr>
      <w:r>
        <w:rPr>
          <w:rFonts w:hint="default" w:ascii="黑体" w:hAnsi="黑体" w:eastAsia="黑体" w:cs="Times New Roman"/>
          <w:snapToGrid w:val="0"/>
          <w:color w:val="auto"/>
          <w:kern w:val="0"/>
          <w:sz w:val="30"/>
          <w:szCs w:val="30"/>
          <w:lang w:val="en-US" w:eastAsia="zh-CN" w:bidi="ar-SA"/>
        </w:rPr>
        <w:t>环境保护措施监督检查清单</w:t>
      </w:r>
    </w:p>
    <w:tbl>
      <w:tblPr>
        <w:tblStyle w:val="31"/>
        <w:tblW w:w="0" w:type="auto"/>
        <w:tblInd w:w="12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1585"/>
        <w:gridCol w:w="1397"/>
        <w:gridCol w:w="2191"/>
        <w:gridCol w:w="2969"/>
      </w:tblGrid>
      <w:tr w14:paraId="35E0F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tcBorders>
              <w:tl2br w:val="nil"/>
              <w:tr2bl w:val="nil"/>
            </w:tcBorders>
            <w:vAlign w:val="center"/>
            <mc:AlternateContent>
              <mc:Choice Requires="wpsCustomData">
                <wpsCustomData:diagonals>
                  <wpsCustomData:diagonal from="10000" to="30000">
                    <wpsCustomData:border w:val="single" w:color="auto" w:sz="12" w:space="0"/>
                  </wpsCustomData:diagonal>
                </wpsCustomData:diagonals>
              </mc:Choice>
            </mc:AlternateContent>
          </w:tcPr>
          <w:p w14:paraId="25C94C4E">
            <w:pPr>
              <w:pStyle w:val="11"/>
              <w:keepNext w:val="0"/>
              <w:keepLines w:val="0"/>
              <w:suppressLineNumbers w:val="0"/>
              <w:bidi w:val="0"/>
              <w:spacing w:before="0" w:beforeAutospacing="0" w:after="0" w:afterAutospacing="0"/>
              <w:ind w:left="0"/>
              <mc:AlternateContent>
                <mc:Choice Requires="wpsCustomData">
                  <wpsCustomData:diagonalParaType/>
                </mc:Choice>
              </mc:AlternateContent>
              <w:rPr>
                <w:rFonts w:hint="default"/>
                <w:color w:val="auto"/>
                <w:sz w:val="24"/>
                <w:szCs w:val="24"/>
                <w:lang w:val="en-US" w:eastAsia="zh-CN"/>
              </w:rPr>
            </w:pPr>
            <w:r>
              <w:rPr>
                <w:rFonts w:hint="default"/>
                <w:color w:val="auto"/>
                <w:sz w:val="24"/>
                <w:szCs w:val="24"/>
                <w:lang w:val="en-US" w:eastAsia="zh-CN"/>
              </w:rPr>
              <w:t>要素</w:t>
            </w:r>
          </w:p>
          <w:p w14:paraId="66581219">
            <w:pPr>
              <w:pStyle w:val="11"/>
              <w:keepNext w:val="0"/>
              <w:keepLines w:val="0"/>
              <w:suppressLineNumbers w:val="0"/>
              <w:bidi w:val="0"/>
              <w:spacing w:before="0" w:beforeAutospacing="0" w:after="0" w:afterAutospacing="0"/>
              <w:ind w:left="0"/>
              <w:rPr>
                <w:rFonts w:hint="default"/>
                <w:color w:val="auto"/>
                <w:sz w:val="24"/>
                <w:szCs w:val="24"/>
                <w:lang w:val="en-US" w:eastAsia="zh-CN"/>
              </w:rPr>
            </w:pPr>
            <w:r>
              <w:rPr>
                <w:rFonts w:hint="default"/>
                <w:color w:val="auto"/>
                <w:sz w:val="24"/>
                <w:szCs w:val="24"/>
                <w:lang w:val="en-US" w:eastAsia="zh-CN"/>
              </w:rPr>
              <w:t>内容</w:t>
            </w:r>
          </w:p>
        </w:tc>
        <w:tc>
          <w:tcPr>
            <w:tcW w:w="1585" w:type="dxa"/>
            <w:tcBorders>
              <w:tl2br w:val="nil"/>
              <w:tr2bl w:val="nil"/>
            </w:tcBorders>
            <w:vAlign w:val="center"/>
          </w:tcPr>
          <w:p w14:paraId="2D6FAB3C">
            <w:pPr>
              <w:pStyle w:val="11"/>
              <w:keepNext w:val="0"/>
              <w:keepLines w:val="0"/>
              <w:suppressLineNumbers w:val="0"/>
              <w:bidi w:val="0"/>
              <w:spacing w:before="0" w:beforeAutospacing="0" w:after="0" w:afterAutospacing="0"/>
              <w:ind w:left="0"/>
              <w:rPr>
                <w:rFonts w:hint="default"/>
                <w:color w:val="auto"/>
                <w:sz w:val="24"/>
                <w:szCs w:val="24"/>
              </w:rPr>
            </w:pPr>
            <w:r>
              <w:rPr>
                <w:rFonts w:hint="eastAsia"/>
                <w:color w:val="auto"/>
                <w:sz w:val="24"/>
                <w:szCs w:val="24"/>
                <w:lang w:eastAsia="zh-CN"/>
              </w:rPr>
              <w:t>排放口（编号、名称）</w:t>
            </w:r>
            <w:r>
              <w:rPr>
                <w:rFonts w:hint="default"/>
                <w:color w:val="auto"/>
                <w:sz w:val="24"/>
                <w:szCs w:val="24"/>
              </w:rPr>
              <w:t>污染源</w:t>
            </w:r>
          </w:p>
        </w:tc>
        <w:tc>
          <w:tcPr>
            <w:tcW w:w="1397" w:type="dxa"/>
            <w:tcBorders>
              <w:tl2br w:val="nil"/>
              <w:tr2bl w:val="nil"/>
            </w:tcBorders>
            <w:vAlign w:val="center"/>
          </w:tcPr>
          <w:p w14:paraId="591212E8">
            <w:pPr>
              <w:pStyle w:val="11"/>
              <w:keepNext w:val="0"/>
              <w:keepLines w:val="0"/>
              <w:suppressLineNumbers w:val="0"/>
              <w:bidi w:val="0"/>
              <w:spacing w:before="0" w:beforeAutospacing="0" w:after="0" w:afterAutospacing="0"/>
              <w:ind w:left="0"/>
              <w:rPr>
                <w:rFonts w:hint="default"/>
                <w:color w:val="auto"/>
                <w:sz w:val="24"/>
                <w:szCs w:val="24"/>
                <w:lang w:val="en-US" w:eastAsia="zh-CN"/>
              </w:rPr>
            </w:pPr>
            <w:r>
              <w:rPr>
                <w:rFonts w:hint="default"/>
                <w:color w:val="auto"/>
                <w:sz w:val="24"/>
                <w:szCs w:val="24"/>
                <w:lang w:val="en-US" w:eastAsia="zh-CN"/>
              </w:rPr>
              <w:t>污染物</w:t>
            </w:r>
          </w:p>
          <w:p w14:paraId="1C7294CC">
            <w:pPr>
              <w:pStyle w:val="11"/>
              <w:keepNext w:val="0"/>
              <w:keepLines w:val="0"/>
              <w:suppressLineNumbers w:val="0"/>
              <w:bidi w:val="0"/>
              <w:spacing w:before="0" w:beforeAutospacing="0" w:after="0" w:afterAutospacing="0"/>
              <w:ind w:left="0"/>
              <w:rPr>
                <w:rFonts w:hint="default"/>
                <w:color w:val="auto"/>
                <w:sz w:val="24"/>
                <w:szCs w:val="24"/>
                <w:lang w:val="en-US" w:eastAsia="zh-CN"/>
              </w:rPr>
            </w:pPr>
            <w:r>
              <w:rPr>
                <w:rFonts w:hint="default"/>
                <w:color w:val="auto"/>
                <w:sz w:val="24"/>
                <w:szCs w:val="24"/>
                <w:lang w:val="en-US" w:eastAsia="zh-CN"/>
              </w:rPr>
              <w:t>项目</w:t>
            </w:r>
          </w:p>
        </w:tc>
        <w:tc>
          <w:tcPr>
            <w:tcW w:w="2191" w:type="dxa"/>
            <w:tcBorders>
              <w:tl2br w:val="nil"/>
              <w:tr2bl w:val="nil"/>
            </w:tcBorders>
            <w:vAlign w:val="center"/>
          </w:tcPr>
          <w:p w14:paraId="0208EB5B">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环境保护</w:t>
            </w:r>
          </w:p>
          <w:p w14:paraId="1B221E43">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措施</w:t>
            </w:r>
          </w:p>
        </w:tc>
        <w:tc>
          <w:tcPr>
            <w:tcW w:w="2969" w:type="dxa"/>
            <w:tcBorders>
              <w:tl2br w:val="nil"/>
              <w:tr2bl w:val="nil"/>
            </w:tcBorders>
            <w:vAlign w:val="center"/>
          </w:tcPr>
          <w:p w14:paraId="7E5709AA">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执行标准</w:t>
            </w:r>
          </w:p>
        </w:tc>
      </w:tr>
      <w:tr w14:paraId="527818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vMerge w:val="restart"/>
            <w:tcBorders>
              <w:tl2br w:val="nil"/>
              <w:tr2bl w:val="nil"/>
            </w:tcBorders>
            <w:vAlign w:val="center"/>
          </w:tcPr>
          <w:p w14:paraId="4DC8E1D9">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大气环境</w:t>
            </w:r>
          </w:p>
        </w:tc>
        <w:tc>
          <w:tcPr>
            <w:tcW w:w="1585" w:type="dxa"/>
            <w:tcBorders>
              <w:tl2br w:val="nil"/>
              <w:tr2bl w:val="nil"/>
            </w:tcBorders>
            <w:shd w:val="clear" w:color="auto" w:fill="auto"/>
            <w:vAlign w:val="center"/>
          </w:tcPr>
          <w:p w14:paraId="23577AC5">
            <w:pPr>
              <w:pStyle w:val="54"/>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textAlignment w:val="center"/>
              <w:rPr>
                <w:rFonts w:hint="default" w:ascii="Times New Roman" w:hAnsi="Times New Roman" w:eastAsia="宋体" w:cs="Times New Roman"/>
                <w:color w:val="auto"/>
                <w:kern w:val="2"/>
                <w:sz w:val="24"/>
                <w:szCs w:val="24"/>
                <w:lang w:val="en-US" w:eastAsia="zh-CN" w:bidi="ar-SA"/>
              </w:rPr>
            </w:pPr>
            <w:r>
              <w:rPr>
                <w:rFonts w:hint="eastAsia" w:eastAsia="宋体"/>
                <w:color w:val="auto"/>
                <w:sz w:val="24"/>
                <w:szCs w:val="24"/>
                <w:lang w:val="en-US" w:eastAsia="zh-CN"/>
              </w:rPr>
              <w:t>DA00</w:t>
            </w:r>
            <w:r>
              <w:rPr>
                <w:rFonts w:hint="eastAsia"/>
                <w:color w:val="auto"/>
                <w:sz w:val="24"/>
                <w:szCs w:val="24"/>
                <w:lang w:val="en-US" w:eastAsia="zh-CN"/>
              </w:rPr>
              <w:t>1</w:t>
            </w:r>
          </w:p>
        </w:tc>
        <w:tc>
          <w:tcPr>
            <w:tcW w:w="1397" w:type="dxa"/>
            <w:tcBorders>
              <w:tl2br w:val="nil"/>
              <w:tr2bl w:val="nil"/>
            </w:tcBorders>
            <w:shd w:val="clear" w:color="auto" w:fill="auto"/>
            <w:vAlign w:val="center"/>
          </w:tcPr>
          <w:p w14:paraId="1FB7FAAD">
            <w:pPr>
              <w:pStyle w:val="11"/>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0"/>
                <w:sz w:val="24"/>
                <w:szCs w:val="24"/>
                <w:lang w:val="en-US" w:eastAsia="zh-CN" w:bidi="ar-SA"/>
              </w:rPr>
            </w:pPr>
            <w:r>
              <w:rPr>
                <w:rFonts w:hint="eastAsia" w:cs="Times New Roman"/>
                <w:color w:val="auto"/>
                <w:sz w:val="24"/>
                <w:szCs w:val="24"/>
                <w:lang w:val="en-US" w:eastAsia="zh-CN"/>
              </w:rPr>
              <w:t>颗粒物</w:t>
            </w:r>
          </w:p>
        </w:tc>
        <w:tc>
          <w:tcPr>
            <w:tcW w:w="2191" w:type="dxa"/>
            <w:tcBorders>
              <w:tl2br w:val="nil"/>
              <w:tr2bl w:val="nil"/>
            </w:tcBorders>
            <w:shd w:val="clear" w:color="auto" w:fill="auto"/>
            <w:vAlign w:val="center"/>
          </w:tcPr>
          <w:p w14:paraId="75DB386E">
            <w:pPr>
              <w:pStyle w:val="11"/>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0"/>
                <w:sz w:val="24"/>
                <w:szCs w:val="24"/>
                <w:lang w:val="en-US" w:eastAsia="zh-CN" w:bidi="ar-SA"/>
              </w:rPr>
            </w:pPr>
            <w:r>
              <w:rPr>
                <w:rFonts w:hint="eastAsia" w:cs="Times New Roman"/>
                <w:color w:val="auto"/>
                <w:sz w:val="24"/>
                <w:szCs w:val="24"/>
                <w:lang w:val="en-US" w:eastAsia="zh-CN"/>
              </w:rPr>
              <w:t>布袋除尘+15</w:t>
            </w:r>
            <w:r>
              <w:rPr>
                <w:rFonts w:hint="eastAsia" w:ascii="Times New Roman" w:hAnsi="Times New Roman" w:eastAsia="宋体" w:cs="Times New Roman"/>
                <w:color w:val="auto"/>
                <w:sz w:val="24"/>
                <w:szCs w:val="24"/>
                <w:lang w:val="en-US" w:eastAsia="zh-CN"/>
              </w:rPr>
              <w:t>m排气筒</w:t>
            </w:r>
          </w:p>
        </w:tc>
        <w:tc>
          <w:tcPr>
            <w:tcW w:w="2969" w:type="dxa"/>
            <w:tcBorders>
              <w:tl2br w:val="nil"/>
              <w:tr2bl w:val="nil"/>
            </w:tcBorders>
            <w:shd w:val="clear" w:color="auto" w:fill="auto"/>
            <w:vAlign w:val="center"/>
          </w:tcPr>
          <w:p w14:paraId="1EAC21C8">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《玻璃工业大气污染物排放标准》（GB 26453-2022）表1中的排放限值</w:t>
            </w:r>
          </w:p>
        </w:tc>
      </w:tr>
      <w:tr w14:paraId="6EA11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vMerge w:val="continue"/>
            <w:tcBorders>
              <w:tl2br w:val="nil"/>
              <w:tr2bl w:val="nil"/>
            </w:tcBorders>
            <w:vAlign w:val="center"/>
          </w:tcPr>
          <w:p w14:paraId="1486C945">
            <w:pPr>
              <w:pStyle w:val="11"/>
              <w:keepNext w:val="0"/>
              <w:keepLines w:val="0"/>
              <w:suppressLineNumbers w:val="0"/>
              <w:bidi w:val="0"/>
              <w:spacing w:before="0" w:beforeAutospacing="0" w:after="0" w:afterAutospacing="0"/>
              <w:ind w:left="0"/>
              <w:rPr>
                <w:rFonts w:hint="default"/>
                <w:color w:val="auto"/>
                <w:sz w:val="24"/>
                <w:szCs w:val="24"/>
              </w:rPr>
            </w:pPr>
          </w:p>
        </w:tc>
        <w:tc>
          <w:tcPr>
            <w:tcW w:w="1585" w:type="dxa"/>
            <w:tcBorders>
              <w:tl2br w:val="nil"/>
              <w:tr2bl w:val="nil"/>
            </w:tcBorders>
            <w:vAlign w:val="center"/>
          </w:tcPr>
          <w:p w14:paraId="30218F02">
            <w:pPr>
              <w:pStyle w:val="11"/>
              <w:keepNext w:val="0"/>
              <w:keepLines w:val="0"/>
              <w:suppressLineNumbers w:val="0"/>
              <w:bidi w:val="0"/>
              <w:spacing w:before="0" w:beforeAutospacing="0" w:after="0" w:afterAutospacing="0"/>
              <w:ind w:left="0"/>
              <w:rPr>
                <w:rFonts w:hint="default" w:cs="Times New Roman"/>
                <w:color w:val="auto"/>
                <w:sz w:val="24"/>
                <w:szCs w:val="24"/>
                <w:lang w:val="en-US" w:eastAsia="zh-CN"/>
              </w:rPr>
            </w:pPr>
            <w:r>
              <w:rPr>
                <w:rFonts w:hint="eastAsia" w:cs="Times New Roman"/>
                <w:color w:val="auto"/>
                <w:sz w:val="24"/>
                <w:szCs w:val="24"/>
                <w:lang w:val="en-US" w:eastAsia="zh-CN"/>
              </w:rPr>
              <w:t>车间外</w:t>
            </w:r>
          </w:p>
        </w:tc>
        <w:tc>
          <w:tcPr>
            <w:tcW w:w="1397" w:type="dxa"/>
            <w:tcBorders>
              <w:tl2br w:val="nil"/>
              <w:tr2bl w:val="nil"/>
            </w:tcBorders>
            <w:vAlign w:val="center"/>
          </w:tcPr>
          <w:p w14:paraId="1BAC2EE2">
            <w:pPr>
              <w:pStyle w:val="11"/>
              <w:keepNext w:val="0"/>
              <w:keepLines w:val="0"/>
              <w:suppressLineNumbers w:val="0"/>
              <w:bidi w:val="0"/>
              <w:spacing w:before="0" w:beforeAutospacing="0" w:after="0" w:afterAutospacing="0"/>
              <w:ind w:left="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颗粒物</w:t>
            </w:r>
          </w:p>
        </w:tc>
        <w:tc>
          <w:tcPr>
            <w:tcW w:w="2191" w:type="dxa"/>
            <w:tcBorders>
              <w:tl2br w:val="nil"/>
              <w:tr2bl w:val="nil"/>
            </w:tcBorders>
            <w:vAlign w:val="center"/>
          </w:tcPr>
          <w:p w14:paraId="265F385E">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封闭车间</w:t>
            </w:r>
          </w:p>
        </w:tc>
        <w:tc>
          <w:tcPr>
            <w:tcW w:w="2969" w:type="dxa"/>
            <w:tcBorders>
              <w:tl2br w:val="nil"/>
              <w:tr2bl w:val="nil"/>
            </w:tcBorders>
            <w:vAlign w:val="center"/>
          </w:tcPr>
          <w:p w14:paraId="17B67209">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《玻璃工业大气污染物排放标准》（GB26453-2022）表B.1中的排放限值</w:t>
            </w:r>
          </w:p>
        </w:tc>
      </w:tr>
      <w:tr w14:paraId="3FA138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vMerge w:val="restart"/>
            <w:tcBorders>
              <w:tl2br w:val="nil"/>
              <w:tr2bl w:val="nil"/>
            </w:tcBorders>
            <w:vAlign w:val="center"/>
          </w:tcPr>
          <w:p w14:paraId="3A0A6663">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地表</w:t>
            </w:r>
          </w:p>
          <w:p w14:paraId="0125507F">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水环境</w:t>
            </w:r>
          </w:p>
        </w:tc>
        <w:tc>
          <w:tcPr>
            <w:tcW w:w="1585" w:type="dxa"/>
            <w:tcBorders>
              <w:tl2br w:val="nil"/>
              <w:tr2bl w:val="nil"/>
            </w:tcBorders>
            <w:vAlign w:val="center"/>
          </w:tcPr>
          <w:p w14:paraId="5C2D2B11">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生产废水</w:t>
            </w:r>
          </w:p>
        </w:tc>
        <w:tc>
          <w:tcPr>
            <w:tcW w:w="1397" w:type="dxa"/>
            <w:tcBorders>
              <w:tl2br w:val="nil"/>
              <w:tr2bl w:val="nil"/>
            </w:tcBorders>
            <w:vAlign w:val="center"/>
          </w:tcPr>
          <w:p w14:paraId="70E46413">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pH、COD、溶解性总固体</w:t>
            </w:r>
            <w:r>
              <w:rPr>
                <w:rFonts w:hint="eastAsia" w:cs="Times New Roman"/>
                <w:color w:val="auto"/>
                <w:sz w:val="24"/>
                <w:szCs w:val="24"/>
                <w:lang w:val="en-US" w:eastAsia="zh-CN"/>
              </w:rPr>
              <w:t>（全盐量）</w:t>
            </w:r>
          </w:p>
        </w:tc>
        <w:tc>
          <w:tcPr>
            <w:tcW w:w="2191" w:type="dxa"/>
            <w:tcBorders>
              <w:tl2br w:val="nil"/>
              <w:tr2bl w:val="nil"/>
            </w:tcBorders>
            <w:vAlign w:val="center"/>
          </w:tcPr>
          <w:p w14:paraId="1C913B86">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软化浓水统一收集后排入园区下水管网，最终进入拉依苏化工区污水处理厂</w:t>
            </w:r>
          </w:p>
        </w:tc>
        <w:tc>
          <w:tcPr>
            <w:tcW w:w="2969" w:type="dxa"/>
            <w:vMerge w:val="restart"/>
            <w:tcBorders>
              <w:tl2br w:val="nil"/>
              <w:tr2bl w:val="nil"/>
            </w:tcBorders>
            <w:vAlign w:val="center"/>
          </w:tcPr>
          <w:p w14:paraId="3C98E913">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default"/>
                <w:color w:val="auto"/>
                <w:lang w:eastAsia="zh-CN"/>
              </w:rPr>
              <w:t>《污水综合排放标准》（</w:t>
            </w:r>
            <w:r>
              <w:rPr>
                <w:rFonts w:hint="default"/>
                <w:color w:val="auto"/>
                <w:lang w:val="en-US" w:eastAsia="zh-CN"/>
              </w:rPr>
              <w:t>GB8978-1996</w:t>
            </w:r>
            <w:r>
              <w:rPr>
                <w:rFonts w:hint="default"/>
                <w:color w:val="auto"/>
                <w:lang w:eastAsia="zh-CN"/>
              </w:rPr>
              <w:t>）</w:t>
            </w:r>
            <w:r>
              <w:rPr>
                <w:rFonts w:hint="eastAsia"/>
                <w:color w:val="auto"/>
                <w:lang w:eastAsia="zh-CN"/>
              </w:rPr>
              <w:t>三</w:t>
            </w:r>
            <w:r>
              <w:rPr>
                <w:rFonts w:hint="default"/>
                <w:color w:val="auto"/>
                <w:lang w:val="en-US" w:eastAsia="zh-CN"/>
              </w:rPr>
              <w:t>级</w:t>
            </w:r>
            <w:r>
              <w:rPr>
                <w:rFonts w:hint="eastAsia"/>
                <w:color w:val="auto"/>
                <w:lang w:val="en-US" w:eastAsia="zh-CN"/>
              </w:rPr>
              <w:t>排放限值要求</w:t>
            </w:r>
          </w:p>
        </w:tc>
      </w:tr>
      <w:tr w14:paraId="4F179A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vMerge w:val="continue"/>
            <w:tcBorders>
              <w:tl2br w:val="nil"/>
              <w:tr2bl w:val="nil"/>
            </w:tcBorders>
            <w:vAlign w:val="center"/>
          </w:tcPr>
          <w:p w14:paraId="25FE52B5">
            <w:pPr>
              <w:pStyle w:val="11"/>
              <w:keepNext w:val="0"/>
              <w:keepLines w:val="0"/>
              <w:suppressLineNumbers w:val="0"/>
              <w:bidi w:val="0"/>
              <w:spacing w:before="0" w:beforeAutospacing="0" w:after="0" w:afterAutospacing="0"/>
              <w:ind w:left="0"/>
              <w:rPr>
                <w:rFonts w:hint="default"/>
                <w:color w:val="auto"/>
                <w:sz w:val="24"/>
                <w:szCs w:val="24"/>
              </w:rPr>
            </w:pPr>
          </w:p>
        </w:tc>
        <w:tc>
          <w:tcPr>
            <w:tcW w:w="1585" w:type="dxa"/>
            <w:tcBorders>
              <w:tl2br w:val="nil"/>
              <w:tr2bl w:val="nil"/>
            </w:tcBorders>
            <w:vAlign w:val="center"/>
          </w:tcPr>
          <w:p w14:paraId="57D9C0D0">
            <w:pPr>
              <w:pStyle w:val="11"/>
              <w:keepNext w:val="0"/>
              <w:keepLines w:val="0"/>
              <w:suppressLineNumbers w:val="0"/>
              <w:bidi w:val="0"/>
              <w:spacing w:before="0" w:beforeAutospacing="0" w:after="0" w:afterAutospacing="0"/>
              <w:ind w:left="0"/>
              <w:rPr>
                <w:rFonts w:hint="default"/>
                <w:color w:val="auto"/>
                <w:sz w:val="24"/>
                <w:szCs w:val="24"/>
                <w:lang w:val="en-US" w:eastAsia="zh-CN"/>
              </w:rPr>
            </w:pPr>
            <w:r>
              <w:rPr>
                <w:rFonts w:hint="eastAsia"/>
                <w:color w:val="auto"/>
                <w:sz w:val="24"/>
                <w:szCs w:val="24"/>
                <w:lang w:val="en-US" w:eastAsia="zh-CN"/>
              </w:rPr>
              <w:t>生活污水</w:t>
            </w:r>
          </w:p>
        </w:tc>
        <w:tc>
          <w:tcPr>
            <w:tcW w:w="1397" w:type="dxa"/>
            <w:tcBorders>
              <w:tl2br w:val="nil"/>
              <w:tr2bl w:val="nil"/>
            </w:tcBorders>
            <w:vAlign w:val="center"/>
          </w:tcPr>
          <w:p w14:paraId="1A7AB835">
            <w:pPr>
              <w:pStyle w:val="11"/>
              <w:keepNext w:val="0"/>
              <w:keepLines w:val="0"/>
              <w:suppressLineNumbers w:val="0"/>
              <w:bidi w:val="0"/>
              <w:spacing w:before="0" w:beforeAutospacing="0" w:after="0" w:afterAutospacing="0"/>
              <w:ind w:left="0"/>
              <w:rPr>
                <w:rFonts w:hint="eastAsia" w:cs="Times New Roman"/>
                <w:color w:val="auto"/>
                <w:sz w:val="24"/>
                <w:szCs w:val="24"/>
                <w:lang w:val="en-US" w:eastAsia="zh-CN"/>
              </w:rPr>
            </w:pPr>
            <w:r>
              <w:rPr>
                <w:rFonts w:hint="eastAsia" w:cs="Times New Roman"/>
                <w:color w:val="auto"/>
                <w:sz w:val="24"/>
                <w:szCs w:val="24"/>
                <w:lang w:val="en-US" w:eastAsia="zh-CN"/>
              </w:rPr>
              <w:t>pH、SS、BOD</w:t>
            </w:r>
            <w:r>
              <w:rPr>
                <w:rFonts w:hint="eastAsia" w:cs="Times New Roman"/>
                <w:color w:val="auto"/>
                <w:sz w:val="24"/>
                <w:szCs w:val="24"/>
                <w:vertAlign w:val="subscript"/>
                <w:lang w:val="en-US" w:eastAsia="zh-CN"/>
              </w:rPr>
              <w:t>5</w:t>
            </w:r>
            <w:r>
              <w:rPr>
                <w:rFonts w:hint="eastAsia" w:cs="Times New Roman"/>
                <w:color w:val="auto"/>
                <w:sz w:val="24"/>
                <w:szCs w:val="24"/>
                <w:lang w:val="en-US" w:eastAsia="zh-CN"/>
              </w:rPr>
              <w:t>、COD、氨氮</w:t>
            </w:r>
          </w:p>
        </w:tc>
        <w:tc>
          <w:tcPr>
            <w:tcW w:w="2191" w:type="dxa"/>
            <w:tcBorders>
              <w:tl2br w:val="nil"/>
              <w:tr2bl w:val="nil"/>
            </w:tcBorders>
            <w:vAlign w:val="center"/>
          </w:tcPr>
          <w:p w14:paraId="085060FD">
            <w:pPr>
              <w:pStyle w:val="11"/>
              <w:keepNext w:val="0"/>
              <w:keepLines w:val="0"/>
              <w:suppressLineNumbers w:val="0"/>
              <w:bidi w:val="0"/>
              <w:spacing w:before="0" w:beforeAutospacing="0" w:after="0" w:afterAutospacing="0"/>
              <w:ind w:left="0"/>
              <w:rPr>
                <w:rFonts w:hint="default"/>
                <w:color w:val="auto"/>
                <w:sz w:val="24"/>
                <w:szCs w:val="24"/>
                <w:lang w:val="en-US" w:eastAsia="zh-CN"/>
              </w:rPr>
            </w:pPr>
            <w:r>
              <w:rPr>
                <w:rFonts w:hint="eastAsia"/>
                <w:color w:val="auto"/>
                <w:sz w:val="24"/>
                <w:szCs w:val="24"/>
                <w:lang w:val="en-US" w:eastAsia="zh-CN"/>
              </w:rPr>
              <w:t>排入园区管网，最终进入</w:t>
            </w:r>
          </w:p>
        </w:tc>
        <w:tc>
          <w:tcPr>
            <w:tcW w:w="2969" w:type="dxa"/>
            <w:vMerge w:val="continue"/>
            <w:tcBorders>
              <w:tl2br w:val="nil"/>
              <w:tr2bl w:val="nil"/>
            </w:tcBorders>
            <w:vAlign w:val="center"/>
          </w:tcPr>
          <w:p w14:paraId="1F183DAD">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p>
        </w:tc>
      </w:tr>
      <w:tr w14:paraId="1A1902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tcBorders>
              <w:tl2br w:val="nil"/>
              <w:tr2bl w:val="nil"/>
            </w:tcBorders>
            <w:vAlign w:val="center"/>
          </w:tcPr>
          <w:p w14:paraId="6FAF05ED">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声环境</w:t>
            </w:r>
          </w:p>
        </w:tc>
        <w:tc>
          <w:tcPr>
            <w:tcW w:w="1585" w:type="dxa"/>
            <w:tcBorders>
              <w:tl2br w:val="nil"/>
              <w:tr2bl w:val="nil"/>
            </w:tcBorders>
            <w:vAlign w:val="center"/>
          </w:tcPr>
          <w:p w14:paraId="1A7EBEC8">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生产设备</w:t>
            </w:r>
          </w:p>
        </w:tc>
        <w:tc>
          <w:tcPr>
            <w:tcW w:w="1397" w:type="dxa"/>
            <w:tcBorders>
              <w:tl2br w:val="nil"/>
              <w:tr2bl w:val="nil"/>
            </w:tcBorders>
            <w:vAlign w:val="center"/>
          </w:tcPr>
          <w:p w14:paraId="54B0BFE6">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设备噪声声级dB（A）</w:t>
            </w:r>
          </w:p>
        </w:tc>
        <w:tc>
          <w:tcPr>
            <w:tcW w:w="2191" w:type="dxa"/>
            <w:tcBorders>
              <w:tl2br w:val="nil"/>
              <w:tr2bl w:val="nil"/>
            </w:tcBorders>
            <w:vAlign w:val="center"/>
          </w:tcPr>
          <w:p w14:paraId="0E52CC24">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选用低噪声设备，配置基础减振，厂房隔声，加强设备维护</w:t>
            </w:r>
          </w:p>
        </w:tc>
        <w:tc>
          <w:tcPr>
            <w:tcW w:w="2969" w:type="dxa"/>
            <w:tcBorders>
              <w:tl2br w:val="nil"/>
              <w:tr2bl w:val="nil"/>
            </w:tcBorders>
            <w:vAlign w:val="center"/>
          </w:tcPr>
          <w:p w14:paraId="4299176D">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《工业企业厂界环境噪声排放标准》</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GB12348-2008</w:t>
            </w:r>
            <w:r>
              <w:rPr>
                <w:rFonts w:hint="eastAsia" w:cs="Times New Roman"/>
                <w:color w:val="auto"/>
                <w:sz w:val="24"/>
                <w:szCs w:val="24"/>
                <w:lang w:val="en-US" w:eastAsia="zh-CN"/>
              </w:rPr>
              <w:t>）</w:t>
            </w:r>
          </w:p>
          <w:p w14:paraId="11E3420D">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类</w:t>
            </w:r>
            <w:r>
              <w:rPr>
                <w:rFonts w:hint="eastAsia" w:ascii="Times New Roman" w:hAnsi="Times New Roman" w:eastAsia="宋体" w:cs="Times New Roman"/>
                <w:color w:val="auto"/>
                <w:sz w:val="24"/>
                <w:szCs w:val="24"/>
                <w:lang w:val="en-US" w:eastAsia="zh-CN"/>
              </w:rPr>
              <w:t>区</w:t>
            </w:r>
            <w:r>
              <w:rPr>
                <w:rFonts w:hint="default" w:ascii="Times New Roman" w:hAnsi="Times New Roman" w:eastAsia="宋体" w:cs="Times New Roman"/>
                <w:color w:val="auto"/>
                <w:sz w:val="24"/>
                <w:szCs w:val="24"/>
                <w:lang w:val="en-US" w:eastAsia="zh-CN"/>
              </w:rPr>
              <w:t>标准</w:t>
            </w:r>
            <w:r>
              <w:rPr>
                <w:rFonts w:hint="eastAsia" w:ascii="Times New Roman" w:hAnsi="Times New Roman" w:eastAsia="宋体" w:cs="Times New Roman"/>
                <w:color w:val="auto"/>
                <w:sz w:val="24"/>
                <w:szCs w:val="24"/>
                <w:lang w:val="en-US" w:eastAsia="zh-CN"/>
              </w:rPr>
              <w:t>限值要求</w:t>
            </w:r>
          </w:p>
        </w:tc>
      </w:tr>
      <w:tr w14:paraId="1FF625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tcBorders>
              <w:tl2br w:val="nil"/>
              <w:tr2bl w:val="nil"/>
            </w:tcBorders>
            <w:vAlign w:val="center"/>
          </w:tcPr>
          <w:p w14:paraId="3997D712">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电磁辐射</w:t>
            </w:r>
          </w:p>
        </w:tc>
        <w:tc>
          <w:tcPr>
            <w:tcW w:w="1585" w:type="dxa"/>
            <w:tcBorders>
              <w:tl2br w:val="nil"/>
              <w:tr2bl w:val="nil"/>
            </w:tcBorders>
            <w:vAlign w:val="center"/>
          </w:tcPr>
          <w:p w14:paraId="39D1BAEA">
            <w:pPr>
              <w:pStyle w:val="11"/>
              <w:keepNext w:val="0"/>
              <w:keepLines w:val="0"/>
              <w:suppressLineNumbers w:val="0"/>
              <w:bidi w:val="0"/>
              <w:spacing w:before="0" w:beforeAutospacing="0" w:after="0" w:afterAutospacing="0"/>
              <w:ind w:left="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1397" w:type="dxa"/>
            <w:tcBorders>
              <w:tl2br w:val="nil"/>
              <w:tr2bl w:val="nil"/>
            </w:tcBorders>
            <w:vAlign w:val="center"/>
          </w:tcPr>
          <w:p w14:paraId="09861B98">
            <w:pPr>
              <w:pStyle w:val="11"/>
              <w:keepNext w:val="0"/>
              <w:keepLines w:val="0"/>
              <w:suppressLineNumbers w:val="0"/>
              <w:bidi w:val="0"/>
              <w:spacing w:before="0" w:beforeAutospacing="0" w:after="0" w:afterAutospacing="0"/>
              <w:ind w:left="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2191" w:type="dxa"/>
            <w:tcBorders>
              <w:tl2br w:val="nil"/>
              <w:tr2bl w:val="nil"/>
            </w:tcBorders>
            <w:vAlign w:val="center"/>
          </w:tcPr>
          <w:p w14:paraId="38D21893">
            <w:pPr>
              <w:pStyle w:val="11"/>
              <w:keepNext w:val="0"/>
              <w:keepLines w:val="0"/>
              <w:suppressLineNumbers w:val="0"/>
              <w:bidi w:val="0"/>
              <w:spacing w:before="0" w:beforeAutospacing="0" w:after="0" w:afterAutospacing="0"/>
              <w:ind w:left="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2969" w:type="dxa"/>
            <w:tcBorders>
              <w:tl2br w:val="nil"/>
              <w:tr2bl w:val="nil"/>
            </w:tcBorders>
            <w:vAlign w:val="center"/>
          </w:tcPr>
          <w:p w14:paraId="06F577C9">
            <w:pPr>
              <w:pStyle w:val="11"/>
              <w:keepNext w:val="0"/>
              <w:keepLines w:val="0"/>
              <w:suppressLineNumbers w:val="0"/>
              <w:bidi w:val="0"/>
              <w:spacing w:before="0" w:beforeAutospacing="0" w:after="0" w:afterAutospacing="0"/>
              <w:ind w:left="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r>
      <w:tr w14:paraId="459911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tcBorders>
              <w:tl2br w:val="nil"/>
              <w:tr2bl w:val="nil"/>
            </w:tcBorders>
            <w:vAlign w:val="center"/>
          </w:tcPr>
          <w:p w14:paraId="051D58CA">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固体废物</w:t>
            </w:r>
          </w:p>
        </w:tc>
        <w:tc>
          <w:tcPr>
            <w:tcW w:w="8142" w:type="dxa"/>
            <w:gridSpan w:val="4"/>
            <w:tcBorders>
              <w:tl2br w:val="nil"/>
              <w:tr2bl w:val="nil"/>
            </w:tcBorders>
            <w:vAlign w:val="top"/>
          </w:tcPr>
          <w:p w14:paraId="34E2C9BA">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zCs w:val="24"/>
                <w:lang w:val="en-US" w:eastAsia="zh-CN"/>
              </w:rPr>
            </w:pPr>
            <w:r>
              <w:rPr>
                <w:rFonts w:hint="default"/>
                <w:color w:val="auto"/>
              </w:rPr>
              <w:t>生活垃圾集中收集，委托环卫部门清运处置；废玻璃外售综合利用；废靶材、喷砂除尘灰由供货厂家回收再生；沉淀泥沙收集后外售建材企业；废 RO 膜由设备厂家回收；废石英砂外售综合利用；一般固废暂存区落实防扬散、防流失、防渗漏措施，建立固废管理台账</w:t>
            </w:r>
            <w:r>
              <w:rPr>
                <w:rFonts w:hint="eastAsia"/>
                <w:color w:val="auto"/>
                <w:lang w:val="en-US" w:eastAsia="zh-CN"/>
              </w:rPr>
              <w:t>。</w:t>
            </w:r>
          </w:p>
        </w:tc>
      </w:tr>
      <w:tr w14:paraId="1657FE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tcBorders>
              <w:tl2br w:val="nil"/>
              <w:tr2bl w:val="nil"/>
            </w:tcBorders>
            <w:vAlign w:val="center"/>
          </w:tcPr>
          <w:p w14:paraId="5F39D2C5">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土壤及地下水污染防治措施</w:t>
            </w:r>
          </w:p>
        </w:tc>
        <w:tc>
          <w:tcPr>
            <w:tcW w:w="8142" w:type="dxa"/>
            <w:gridSpan w:val="4"/>
            <w:tcBorders>
              <w:tl2br w:val="nil"/>
              <w:tr2bl w:val="nil"/>
            </w:tcBorders>
          </w:tcPr>
          <w:p w14:paraId="61957287">
            <w:pPr>
              <w:keepNext w:val="0"/>
              <w:keepLines w:val="0"/>
              <w:suppressLineNumbers w:val="0"/>
              <w:bidi w:val="0"/>
              <w:spacing w:before="0" w:beforeAutospacing="0" w:after="0" w:afterAutospacing="0"/>
              <w:ind w:left="0" w:right="0"/>
              <w:rPr>
                <w:rFonts w:hint="default"/>
                <w:color w:val="auto"/>
                <w:sz w:val="24"/>
                <w:szCs w:val="24"/>
                <w:lang w:val="en-US" w:eastAsia="zh-CN"/>
              </w:rPr>
            </w:pPr>
            <w:r>
              <w:rPr>
                <w:rFonts w:hint="eastAsia" w:cs="Times New Roman"/>
                <w:color w:val="auto"/>
                <w:sz w:val="24"/>
                <w:szCs w:val="24"/>
                <w:lang w:val="en-US" w:eastAsia="zh-CN"/>
              </w:rPr>
              <w:t>采取分区防渗措施：</w:t>
            </w:r>
            <w:r>
              <w:rPr>
                <w:rFonts w:hint="eastAsia"/>
                <w:color w:val="auto"/>
                <w:lang w:val="en-US" w:eastAsia="zh-CN"/>
              </w:rPr>
              <w:t>一般工业固废储存区、污水处理设施区域、镀膜车间、监测室采取一般防渗</w:t>
            </w:r>
            <w:r>
              <w:rPr>
                <w:rFonts w:hint="eastAsia"/>
                <w:color w:val="auto"/>
                <w:sz w:val="24"/>
                <w:szCs w:val="24"/>
                <w:lang w:val="en-US" w:eastAsia="zh-CN"/>
              </w:rPr>
              <w:t>，其他生产设施采取简单防渗。</w:t>
            </w:r>
          </w:p>
        </w:tc>
      </w:tr>
      <w:tr w14:paraId="23D90E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tcBorders>
              <w:tl2br w:val="nil"/>
              <w:tr2bl w:val="nil"/>
            </w:tcBorders>
            <w:vAlign w:val="center"/>
          </w:tcPr>
          <w:p w14:paraId="053C8C0F">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生态保护措施</w:t>
            </w:r>
          </w:p>
        </w:tc>
        <w:tc>
          <w:tcPr>
            <w:tcW w:w="8142" w:type="dxa"/>
            <w:gridSpan w:val="4"/>
            <w:tcBorders>
              <w:tl2br w:val="nil"/>
              <w:tr2bl w:val="nil"/>
            </w:tcBorders>
            <w:vAlign w:val="center"/>
          </w:tcPr>
          <w:p w14:paraId="3B68D5DC">
            <w:pPr>
              <w:keepNext w:val="0"/>
              <w:keepLines w:val="0"/>
              <w:suppressLineNumbers w:val="0"/>
              <w:bidi w:val="0"/>
              <w:spacing w:before="0" w:beforeAutospacing="0" w:after="0" w:afterAutospacing="0"/>
              <w:ind w:left="0" w:right="0"/>
              <w:rPr>
                <w:rFonts w:hint="eastAsia"/>
                <w:color w:val="auto"/>
                <w:sz w:val="24"/>
                <w:szCs w:val="24"/>
                <w:lang w:val="en-US" w:eastAsia="zh-CN"/>
              </w:rPr>
            </w:pPr>
            <w:r>
              <w:rPr>
                <w:rFonts w:hint="eastAsia"/>
                <w:color w:val="auto"/>
                <w:sz w:val="24"/>
                <w:szCs w:val="24"/>
                <w:lang w:val="en-US" w:eastAsia="zh-CN"/>
              </w:rPr>
              <w:t>/</w:t>
            </w:r>
          </w:p>
        </w:tc>
      </w:tr>
      <w:tr w14:paraId="37499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tcBorders>
              <w:tl2br w:val="nil"/>
              <w:tr2bl w:val="nil"/>
            </w:tcBorders>
            <w:vAlign w:val="center"/>
          </w:tcPr>
          <w:p w14:paraId="3A23DB74">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环境风险防范措施</w:t>
            </w:r>
          </w:p>
        </w:tc>
        <w:tc>
          <w:tcPr>
            <w:tcW w:w="8142" w:type="dxa"/>
            <w:gridSpan w:val="4"/>
            <w:tcBorders>
              <w:tl2br w:val="nil"/>
              <w:tr2bl w:val="nil"/>
            </w:tcBorders>
            <w:vAlign w:val="center"/>
          </w:tcPr>
          <w:p w14:paraId="41B8E8AC">
            <w:pPr>
              <w:keepNext w:val="0"/>
              <w:keepLines w:val="0"/>
              <w:suppressLineNumbers w:val="0"/>
              <w:bidi w:val="0"/>
              <w:spacing w:before="0" w:beforeAutospacing="0" w:after="0" w:afterAutospacing="0"/>
              <w:ind w:left="0" w:right="0"/>
              <w:rPr>
                <w:rFonts w:hint="default"/>
                <w:color w:val="auto"/>
                <w:szCs w:val="24"/>
              </w:rPr>
            </w:pPr>
            <w:r>
              <w:rPr>
                <w:rFonts w:hint="eastAsia"/>
                <w:color w:val="auto"/>
                <w:lang w:val="en-US" w:eastAsia="zh-CN"/>
              </w:rPr>
              <w:t>/</w:t>
            </w:r>
          </w:p>
        </w:tc>
      </w:tr>
      <w:tr w14:paraId="2D6036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04" w:type="dxa"/>
            <w:tcBorders>
              <w:tl2br w:val="nil"/>
              <w:tr2bl w:val="nil"/>
            </w:tcBorders>
            <w:vAlign w:val="center"/>
          </w:tcPr>
          <w:p w14:paraId="2060CFE0">
            <w:pPr>
              <w:pStyle w:val="11"/>
              <w:keepNext w:val="0"/>
              <w:keepLines w:val="0"/>
              <w:suppressLineNumbers w:val="0"/>
              <w:bidi w:val="0"/>
              <w:spacing w:before="0" w:beforeAutospacing="0" w:after="0" w:afterAutospacing="0"/>
              <w:ind w:left="0"/>
              <w:rPr>
                <w:rFonts w:hint="default"/>
                <w:color w:val="auto"/>
                <w:sz w:val="24"/>
                <w:szCs w:val="24"/>
              </w:rPr>
            </w:pPr>
            <w:r>
              <w:rPr>
                <w:rFonts w:hint="default"/>
                <w:color w:val="auto"/>
                <w:sz w:val="24"/>
                <w:szCs w:val="24"/>
              </w:rPr>
              <w:t>其他环境管理要求</w:t>
            </w:r>
          </w:p>
        </w:tc>
        <w:tc>
          <w:tcPr>
            <w:tcW w:w="8142" w:type="dxa"/>
            <w:gridSpan w:val="4"/>
            <w:tcBorders>
              <w:tl2br w:val="nil"/>
              <w:tr2bl w:val="nil"/>
            </w:tcBorders>
          </w:tcPr>
          <w:p w14:paraId="034D4927">
            <w:pPr>
              <w:keepNext w:val="0"/>
              <w:keepLines w:val="0"/>
              <w:suppressLineNumbers w:val="0"/>
              <w:bidi w:val="0"/>
              <w:spacing w:before="0" w:beforeAutospacing="0" w:after="0" w:afterAutospacing="0"/>
              <w:ind w:left="0" w:right="0"/>
              <w:rPr>
                <w:rFonts w:hint="eastAsia"/>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根据国家和地方相关环保政策和法规，制定企业环境保护计划的环保方针目标。并建立相应的管理监督制度。</w:t>
            </w:r>
          </w:p>
          <w:p w14:paraId="0546C575">
            <w:pPr>
              <w:keepNext w:val="0"/>
              <w:keepLines w:val="0"/>
              <w:suppressLineNumbers w:val="0"/>
              <w:bidi w:val="0"/>
              <w:spacing w:before="0" w:beforeAutospacing="0" w:after="0" w:afterAutospacing="0"/>
              <w:ind w:left="0" w:right="0"/>
              <w:rPr>
                <w:rFonts w:hint="eastAsia"/>
                <w:color w:val="auto"/>
                <w:lang w:eastAsia="zh-CN"/>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lang w:val="en-US" w:eastAsia="zh-CN"/>
              </w:rPr>
              <w:t>落实“三同时”制度</w:t>
            </w:r>
            <w:r>
              <w:rPr>
                <w:rFonts w:hint="default"/>
                <w:color w:val="auto"/>
                <w:lang w:val="en-US" w:eastAsia="zh-CN"/>
              </w:rPr>
              <w:t>，按照要求开展竣工环境保护验收。</w:t>
            </w:r>
          </w:p>
          <w:p w14:paraId="099A5F08">
            <w:pPr>
              <w:keepNext w:val="0"/>
              <w:keepLines w:val="0"/>
              <w:suppressLineNumbers w:val="0"/>
              <w:bidi w:val="0"/>
              <w:spacing w:before="0" w:beforeAutospacing="0" w:after="0" w:afterAutospacing="0"/>
              <w:ind w:left="0" w:right="0"/>
              <w:rPr>
                <w:rFonts w:hint="eastAsia"/>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维护环保措施的正常运行和安全生产，对各种环保设施进行定期检查和维修，确保污染物达标排放，同时要推广及应用先进的环保技术和经验，最大限度降低污染物的排放量。</w:t>
            </w:r>
          </w:p>
          <w:p w14:paraId="03054ACA">
            <w:pPr>
              <w:keepNext w:val="0"/>
              <w:keepLines w:val="0"/>
              <w:suppressLineNumbers w:val="0"/>
              <w:bidi w:val="0"/>
              <w:spacing w:before="0" w:beforeAutospacing="0" w:after="0" w:afterAutospacing="0"/>
              <w:ind w:left="0" w:right="0"/>
              <w:rPr>
                <w:rFonts w:hint="eastAsia"/>
                <w:color w:val="auto"/>
                <w:sz w:val="24"/>
                <w:szCs w:val="24"/>
                <w:lang w:eastAsia="zh-CN"/>
              </w:rPr>
            </w:pPr>
            <w:r>
              <w:rPr>
                <w:rFonts w:hint="eastAsia"/>
                <w:color w:val="auto"/>
                <w:lang w:eastAsia="zh-CN"/>
              </w:rPr>
              <w:t>（</w:t>
            </w:r>
            <w:r>
              <w:rPr>
                <w:rFonts w:hint="eastAsia"/>
                <w:color w:val="auto"/>
                <w:lang w:val="en-US" w:eastAsia="zh-CN"/>
              </w:rPr>
              <w:t>4</w:t>
            </w:r>
            <w:r>
              <w:rPr>
                <w:rFonts w:hint="eastAsia"/>
                <w:color w:val="auto"/>
                <w:lang w:eastAsia="zh-CN"/>
              </w:rPr>
              <w:t>）</w:t>
            </w:r>
            <w:r>
              <w:rPr>
                <w:rFonts w:hint="default"/>
                <w:color w:val="auto"/>
              </w:rPr>
              <w:t>排污单位应当按照国家环境保护相关法律法规</w:t>
            </w:r>
            <w:r>
              <w:rPr>
                <w:rFonts w:hint="eastAsia"/>
                <w:color w:val="auto"/>
                <w:lang w:val="en-US" w:eastAsia="zh-CN"/>
              </w:rPr>
              <w:t>进行排污登记</w:t>
            </w:r>
            <w:r>
              <w:rPr>
                <w:rFonts w:hint="default"/>
                <w:color w:val="auto"/>
              </w:rPr>
              <w:t>，</w:t>
            </w:r>
            <w:r>
              <w:rPr>
                <w:rFonts w:hint="eastAsia"/>
                <w:color w:val="auto"/>
                <w:lang w:eastAsia="zh-CN"/>
              </w:rPr>
              <w:t>保证按证排污。</w:t>
            </w:r>
          </w:p>
        </w:tc>
      </w:tr>
    </w:tbl>
    <w:p w14:paraId="5DFB4BB6">
      <w:pPr>
        <w:rPr>
          <w:color w:val="auto"/>
        </w:rPr>
        <w:sectPr>
          <w:pgSz w:w="11910" w:h="16840"/>
          <w:pgMar w:top="1580" w:right="1320" w:bottom="1000" w:left="1340" w:header="0" w:footer="817" w:gutter="0"/>
          <w:pgBorders>
            <w:top w:val="none" w:sz="0" w:space="0"/>
            <w:left w:val="none" w:sz="0" w:space="0"/>
            <w:bottom w:val="none" w:sz="0" w:space="0"/>
            <w:right w:val="none" w:sz="0" w:space="0"/>
          </w:pgBorders>
          <w:pgNumType w:fmt="decimal"/>
          <w:cols w:equalWidth="0" w:num="1">
            <w:col w:w="9250"/>
          </w:cols>
        </w:sectPr>
      </w:pPr>
    </w:p>
    <w:p w14:paraId="194F5BA4">
      <w:pPr>
        <w:pStyle w:val="25"/>
        <w:jc w:val="center"/>
        <w:outlineLvl w:val="0"/>
        <w:rPr>
          <w:rFonts w:hint="eastAsia" w:ascii="黑体" w:hAnsi="黑体" w:eastAsia="黑体"/>
          <w:snapToGrid w:val="0"/>
          <w:color w:val="auto"/>
          <w:sz w:val="30"/>
          <w:szCs w:val="30"/>
        </w:rPr>
      </w:pPr>
      <w:r>
        <w:rPr>
          <w:rFonts w:hint="eastAsia" w:ascii="黑体" w:hAnsi="黑体" w:eastAsia="黑体"/>
          <w:snapToGrid w:val="0"/>
          <w:color w:val="auto"/>
          <w:sz w:val="30"/>
          <w:szCs w:val="30"/>
        </w:rPr>
        <w:t>六、结论</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54578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5000" w:type="pct"/>
          </w:tcPr>
          <w:p w14:paraId="19393CD1">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default"/>
                <w:color w:val="auto"/>
                <w:sz w:val="24"/>
              </w:rPr>
              <w:t>该项目只要切实落实报告表中提出的各项防治措施要求，严格执行各项污染物的排放标准，积极有效地进行治理和防范，并使各项污染物达标排放，从环境保护角度考虑，该项目的</w:t>
            </w:r>
            <w:r>
              <w:rPr>
                <w:rFonts w:hint="eastAsia"/>
                <w:color w:val="auto"/>
                <w:sz w:val="24"/>
                <w:lang w:eastAsia="zh-CN"/>
              </w:rPr>
              <w:t>环境影响</w:t>
            </w:r>
            <w:r>
              <w:rPr>
                <w:rFonts w:hint="default"/>
                <w:color w:val="auto"/>
                <w:sz w:val="24"/>
              </w:rPr>
              <w:t>是可行的。</w:t>
            </w:r>
          </w:p>
          <w:p w14:paraId="204611B6">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p>
          <w:p w14:paraId="121F7F73">
            <w:pPr>
              <w:keepNext w:val="0"/>
              <w:keepLines w:val="0"/>
              <w:suppressLineNumbers w:val="0"/>
              <w:spacing w:before="0" w:beforeAutospacing="0" w:after="0" w:afterAutospacing="0" w:line="360" w:lineRule="auto"/>
              <w:ind w:left="0" w:right="0"/>
              <w:rPr>
                <w:rFonts w:hint="default" w:ascii="宋体" w:cs="宋体"/>
                <w:color w:val="auto"/>
                <w:sz w:val="24"/>
              </w:rPr>
            </w:pPr>
          </w:p>
        </w:tc>
      </w:tr>
    </w:tbl>
    <w:p w14:paraId="7DE67FC5">
      <w:pPr>
        <w:rPr>
          <w:rFonts w:ascii="宋体"/>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037E826">
      <w:pPr>
        <w:pStyle w:val="25"/>
        <w:adjustRightInd w:val="0"/>
        <w:snapToGrid w:val="0"/>
        <w:spacing w:before="0" w:beforeAutospacing="0" w:after="0" w:afterAutospacing="0" w:line="360" w:lineRule="auto"/>
        <w:jc w:val="both"/>
        <w:outlineLvl w:val="0"/>
        <w:rPr>
          <w:rFonts w:ascii="黑体" w:hAnsi="黑体" w:eastAsia="黑体"/>
          <w:snapToGrid w:val="0"/>
          <w:color w:val="auto"/>
          <w:sz w:val="32"/>
          <w:szCs w:val="32"/>
        </w:rPr>
      </w:pPr>
      <w:r>
        <w:rPr>
          <w:rFonts w:hint="eastAsia" w:ascii="黑体" w:hAnsi="黑体" w:eastAsia="黑体"/>
          <w:snapToGrid w:val="0"/>
          <w:color w:val="auto"/>
          <w:sz w:val="32"/>
          <w:szCs w:val="32"/>
        </w:rPr>
        <w:t>附表</w:t>
      </w:r>
    </w:p>
    <w:p w14:paraId="45185F5A">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eastAsia" w:ascii="华文中宋" w:hAnsi="华文中宋" w:eastAsia="华文中宋" w:cs="华文中宋"/>
          <w:b/>
          <w:bCs/>
          <w:snapToGrid w:val="0"/>
          <w:color w:val="auto"/>
          <w:sz w:val="38"/>
          <w:szCs w:val="38"/>
        </w:rPr>
      </w:pPr>
      <w:r>
        <w:rPr>
          <w:rFonts w:hint="eastAsia" w:ascii="华文中宋" w:hAnsi="华文中宋" w:eastAsia="华文中宋" w:cs="华文中宋"/>
          <w:b/>
          <w:bCs/>
          <w:snapToGrid w:val="0"/>
          <w:color w:val="auto"/>
          <w:sz w:val="38"/>
          <w:szCs w:val="38"/>
        </w:rPr>
        <w:t>建设项目污染物排放量汇总表</w:t>
      </w:r>
    </w:p>
    <w:tbl>
      <w:tblPr>
        <w:tblStyle w:val="31"/>
        <w:tblW w:w="1413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1984"/>
        <w:gridCol w:w="1740"/>
        <w:gridCol w:w="1176"/>
        <w:gridCol w:w="1595"/>
        <w:gridCol w:w="1812"/>
        <w:gridCol w:w="1855"/>
        <w:gridCol w:w="1569"/>
        <w:gridCol w:w="1250"/>
      </w:tblGrid>
      <w:tr w14:paraId="1C0E30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1153" w:type="dxa"/>
            <w:tcBorders>
              <w:tl2br w:val="nil"/>
              <w:tr2bl w:val="nil"/>
            </w:tcBorders>
            <w:vAlign w:val="center"/>
            <mc:AlternateContent>
              <mc:Choice Requires="wpsCustomData">
                <wpsCustomData:diagonals>
                  <wpsCustomData:diagonal from="10000" to="30000">
                    <wpsCustomData:border w:val="single" w:color="auto" w:sz="12" w:space="0"/>
                  </wpsCustomData:diagonal>
                </wpsCustomData:diagonals>
              </mc:Choice>
            </mc:AlternateContent>
          </w:tcPr>
          <w:p w14:paraId="2D4EF858">
            <w:pPr>
              <w:pStyle w:val="11"/>
              <w:keepNext w:val="0"/>
              <w:keepLines w:val="0"/>
              <w:suppressLineNumbers w:val="0"/>
              <w:bidi w:val="0"/>
              <w:spacing w:before="0" w:beforeAutospacing="0" w:after="0" w:afterAutospacing="0"/>
              <w:ind w:left="0"/>
              <mc:AlternateContent>
                <mc:Choice Requires="wpsCustomData">
                  <wpsCustomData:diagonalParaType/>
                </mc:Choice>
              </mc:AlternateContent>
              <w:rPr>
                <w:rFonts w:hint="default"/>
                <w:b/>
                <w:bCs/>
                <w:color w:val="auto"/>
                <w:lang w:val="en-US" w:eastAsia="zh-CN"/>
              </w:rPr>
            </w:pPr>
            <w:r>
              <w:rPr>
                <w:rFonts w:hint="default"/>
                <w:b/>
                <w:bCs/>
                <w:color w:val="auto"/>
                <w:lang w:val="en-US" w:eastAsia="zh-CN"/>
              </w:rPr>
              <w:t>分类</w:t>
            </w:r>
          </w:p>
          <w:p w14:paraId="41305BDD">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default"/>
                <w:b/>
                <w:bCs/>
                <w:color w:val="auto"/>
                <w:lang w:val="en-US" w:eastAsia="zh-CN"/>
              </w:rPr>
              <w:t>项目</w:t>
            </w:r>
          </w:p>
          <w:p w14:paraId="58AA5FB6">
            <w:pPr>
              <w:pStyle w:val="11"/>
              <w:keepNext w:val="0"/>
              <w:keepLines w:val="0"/>
              <w:suppressLineNumbers w:val="0"/>
              <w:bidi w:val="0"/>
              <w:spacing w:before="0" w:beforeAutospacing="0" w:after="0" w:afterAutospacing="0"/>
              <w:ind w:left="0"/>
              <w:rPr>
                <w:rFonts w:hint="default"/>
                <w:b/>
                <w:bCs/>
                <w:color w:val="auto"/>
                <w:lang w:val="en-US" w:eastAsia="zh-CN"/>
              </w:rPr>
            </w:pPr>
          </w:p>
        </w:tc>
        <w:tc>
          <w:tcPr>
            <w:tcW w:w="1984" w:type="dxa"/>
            <w:tcBorders>
              <w:tl2br w:val="nil"/>
              <w:tr2bl w:val="nil"/>
            </w:tcBorders>
            <w:vAlign w:val="center"/>
          </w:tcPr>
          <w:p w14:paraId="102E4409">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default"/>
                <w:b/>
                <w:bCs/>
                <w:color w:val="auto"/>
              </w:rPr>
              <w:t>污染物名称</w:t>
            </w:r>
          </w:p>
        </w:tc>
        <w:tc>
          <w:tcPr>
            <w:tcW w:w="1740" w:type="dxa"/>
            <w:tcBorders>
              <w:tl2br w:val="nil"/>
              <w:tr2bl w:val="nil"/>
            </w:tcBorders>
            <w:vAlign w:val="center"/>
          </w:tcPr>
          <w:p w14:paraId="0BFD01D3">
            <w:pPr>
              <w:pStyle w:val="11"/>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textAlignment w:val="auto"/>
              <w:rPr>
                <w:rFonts w:hint="default"/>
                <w:b/>
                <w:bCs/>
                <w:color w:val="auto"/>
              </w:rPr>
            </w:pPr>
            <w:r>
              <w:rPr>
                <w:rFonts w:hint="default"/>
                <w:b/>
                <w:bCs/>
                <w:color w:val="auto"/>
              </w:rPr>
              <w:t>现有工程</w:t>
            </w:r>
          </w:p>
          <w:p w14:paraId="20809E5A">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default"/>
                <w:b/>
                <w:bCs/>
                <w:color w:val="auto"/>
              </w:rPr>
              <w:t>排放量（固体废物产生量）</w:t>
            </w:r>
            <w:r>
              <w:rPr>
                <w:rFonts w:hint="eastAsia"/>
                <w:b/>
                <w:bCs/>
                <w:color w:val="auto"/>
                <w:lang w:val="en-US" w:eastAsia="zh-CN"/>
              </w:rPr>
              <w:t>t/a</w:t>
            </w:r>
            <w:r>
              <w:rPr>
                <w:rFonts w:hint="default"/>
                <w:b/>
                <w:bCs/>
                <w:color w:val="auto"/>
              </w:rPr>
              <w:t>①</w:t>
            </w:r>
          </w:p>
        </w:tc>
        <w:tc>
          <w:tcPr>
            <w:tcW w:w="1176" w:type="dxa"/>
            <w:tcBorders>
              <w:tl2br w:val="nil"/>
              <w:tr2bl w:val="nil"/>
            </w:tcBorders>
            <w:vAlign w:val="center"/>
          </w:tcPr>
          <w:p w14:paraId="3A8E4744">
            <w:pPr>
              <w:pStyle w:val="11"/>
              <w:keepNext w:val="0"/>
              <w:keepLines w:val="0"/>
              <w:suppressLineNumbers w:val="0"/>
              <w:bidi w:val="0"/>
              <w:spacing w:before="0" w:beforeAutospacing="0" w:after="0" w:afterAutospacing="0"/>
              <w:ind w:left="0"/>
              <w:rPr>
                <w:rFonts w:hint="default"/>
                <w:b/>
                <w:bCs/>
                <w:color w:val="auto"/>
              </w:rPr>
            </w:pPr>
            <w:r>
              <w:rPr>
                <w:rFonts w:hint="default"/>
                <w:b/>
                <w:bCs/>
                <w:color w:val="auto"/>
              </w:rPr>
              <w:t>现有工程</w:t>
            </w:r>
          </w:p>
          <w:p w14:paraId="597CE3ED">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default"/>
                <w:b/>
                <w:bCs/>
                <w:color w:val="auto"/>
              </w:rPr>
              <w:t>许可排放量</w:t>
            </w:r>
            <w:r>
              <w:rPr>
                <w:rFonts w:hint="eastAsia"/>
                <w:b/>
                <w:bCs/>
                <w:color w:val="auto"/>
                <w:lang w:val="en-US" w:eastAsia="zh-CN"/>
              </w:rPr>
              <w:t>t/a</w:t>
            </w:r>
            <w:r>
              <w:rPr>
                <w:rFonts w:hint="default"/>
                <w:b/>
                <w:bCs/>
                <w:color w:val="auto"/>
              </w:rPr>
              <w:t>②</w:t>
            </w:r>
          </w:p>
        </w:tc>
        <w:tc>
          <w:tcPr>
            <w:tcW w:w="1595" w:type="dxa"/>
            <w:tcBorders>
              <w:tl2br w:val="nil"/>
              <w:tr2bl w:val="nil"/>
            </w:tcBorders>
            <w:vAlign w:val="center"/>
          </w:tcPr>
          <w:p w14:paraId="2A178AE7">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default"/>
                <w:b/>
                <w:bCs/>
                <w:color w:val="auto"/>
              </w:rPr>
              <w:t>在建工程排放量（固体废物产生量）</w:t>
            </w:r>
            <w:r>
              <w:rPr>
                <w:rFonts w:hint="eastAsia"/>
                <w:b/>
                <w:bCs/>
                <w:color w:val="auto"/>
                <w:lang w:val="en-US" w:eastAsia="zh-CN"/>
              </w:rPr>
              <w:t>t/a</w:t>
            </w:r>
            <w:r>
              <w:rPr>
                <w:rFonts w:hint="default"/>
                <w:b/>
                <w:bCs/>
                <w:color w:val="auto"/>
              </w:rPr>
              <w:t>③</w:t>
            </w:r>
          </w:p>
        </w:tc>
        <w:tc>
          <w:tcPr>
            <w:tcW w:w="1812" w:type="dxa"/>
            <w:tcBorders>
              <w:tl2br w:val="nil"/>
              <w:tr2bl w:val="nil"/>
            </w:tcBorders>
            <w:vAlign w:val="center"/>
          </w:tcPr>
          <w:p w14:paraId="6C129EE5">
            <w:pPr>
              <w:pStyle w:val="11"/>
              <w:keepNext w:val="0"/>
              <w:keepLines w:val="0"/>
              <w:suppressLineNumbers w:val="0"/>
              <w:bidi w:val="0"/>
              <w:spacing w:before="0" w:beforeAutospacing="0" w:after="0" w:afterAutospacing="0"/>
              <w:ind w:left="0"/>
              <w:rPr>
                <w:rFonts w:hint="default"/>
                <w:b/>
                <w:bCs/>
                <w:color w:val="auto"/>
              </w:rPr>
            </w:pPr>
            <w:r>
              <w:rPr>
                <w:rFonts w:hint="default"/>
                <w:b/>
                <w:bCs/>
                <w:color w:val="auto"/>
              </w:rPr>
              <w:t>本项目排放量</w:t>
            </w:r>
          </w:p>
          <w:p w14:paraId="0017FFF6">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default"/>
                <w:b/>
                <w:bCs/>
                <w:color w:val="auto"/>
              </w:rPr>
              <w:t>（固体废物产生量）</w:t>
            </w:r>
            <w:r>
              <w:rPr>
                <w:rFonts w:hint="eastAsia"/>
                <w:b/>
                <w:bCs/>
                <w:color w:val="auto"/>
                <w:lang w:val="en-US" w:eastAsia="zh-CN"/>
              </w:rPr>
              <w:t>t/a</w:t>
            </w:r>
            <w:r>
              <w:rPr>
                <w:rFonts w:hint="default"/>
                <w:b/>
                <w:bCs/>
                <w:color w:val="auto"/>
              </w:rPr>
              <w:t>④</w:t>
            </w:r>
          </w:p>
        </w:tc>
        <w:tc>
          <w:tcPr>
            <w:tcW w:w="1855" w:type="dxa"/>
            <w:tcBorders>
              <w:tl2br w:val="nil"/>
              <w:tr2bl w:val="nil"/>
            </w:tcBorders>
            <w:vAlign w:val="center"/>
          </w:tcPr>
          <w:p w14:paraId="4AEE29E0">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default"/>
                <w:b/>
                <w:bCs/>
                <w:color w:val="auto"/>
              </w:rPr>
              <w:t>以新带老削减量（新建项目不填）</w:t>
            </w:r>
            <w:r>
              <w:rPr>
                <w:rFonts w:hint="eastAsia"/>
                <w:b/>
                <w:bCs/>
                <w:color w:val="auto"/>
                <w:lang w:val="en-US" w:eastAsia="zh-CN"/>
              </w:rPr>
              <w:t>t/a</w:t>
            </w:r>
            <w:r>
              <w:rPr>
                <w:rFonts w:hint="default"/>
                <w:b/>
                <w:bCs/>
                <w:color w:val="auto"/>
              </w:rPr>
              <w:t>⑤</w:t>
            </w:r>
          </w:p>
        </w:tc>
        <w:tc>
          <w:tcPr>
            <w:tcW w:w="1569" w:type="dxa"/>
            <w:tcBorders>
              <w:tl2br w:val="nil"/>
              <w:tr2bl w:val="nil"/>
            </w:tcBorders>
            <w:vAlign w:val="center"/>
          </w:tcPr>
          <w:p w14:paraId="51564FD4">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default"/>
                <w:b/>
                <w:bCs/>
                <w:color w:val="auto"/>
              </w:rPr>
              <w:t>本项目建成后全厂排放量（固体废物产生量）</w:t>
            </w:r>
            <w:r>
              <w:rPr>
                <w:rFonts w:hint="eastAsia"/>
                <w:b/>
                <w:bCs/>
                <w:color w:val="auto"/>
                <w:lang w:val="en-US" w:eastAsia="zh-CN"/>
              </w:rPr>
              <w:t>t/a</w:t>
            </w:r>
            <w:r>
              <w:rPr>
                <w:rFonts w:hint="default"/>
                <w:b/>
                <w:bCs/>
                <w:color w:val="auto"/>
              </w:rPr>
              <w:t>⑥</w:t>
            </w:r>
          </w:p>
        </w:tc>
        <w:tc>
          <w:tcPr>
            <w:tcW w:w="1250" w:type="dxa"/>
            <w:tcBorders>
              <w:tl2br w:val="nil"/>
              <w:tr2bl w:val="nil"/>
            </w:tcBorders>
            <w:vAlign w:val="center"/>
          </w:tcPr>
          <w:p w14:paraId="329ED1BA">
            <w:pPr>
              <w:pStyle w:val="11"/>
              <w:keepNext w:val="0"/>
              <w:keepLines w:val="0"/>
              <w:suppressLineNumbers w:val="0"/>
              <w:bidi w:val="0"/>
              <w:spacing w:before="0" w:beforeAutospacing="0" w:after="0" w:afterAutospacing="0"/>
              <w:ind w:left="0"/>
              <w:rPr>
                <w:rFonts w:hint="default"/>
                <w:b/>
                <w:bCs/>
                <w:color w:val="auto"/>
              </w:rPr>
            </w:pPr>
            <w:r>
              <w:rPr>
                <w:rFonts w:hint="default"/>
                <w:b/>
                <w:bCs/>
                <w:color w:val="auto"/>
              </w:rPr>
              <w:t>变化量</w:t>
            </w:r>
          </w:p>
          <w:p w14:paraId="712B3748">
            <w:pPr>
              <w:pStyle w:val="11"/>
              <w:keepNext w:val="0"/>
              <w:keepLines w:val="0"/>
              <w:suppressLineNumbers w:val="0"/>
              <w:bidi w:val="0"/>
              <w:spacing w:before="0" w:beforeAutospacing="0" w:after="0" w:afterAutospacing="0"/>
              <w:ind w:left="0"/>
              <w:rPr>
                <w:rFonts w:hint="default"/>
                <w:b/>
                <w:bCs/>
                <w:color w:val="auto"/>
                <w:lang w:val="en-US" w:eastAsia="zh-CN"/>
              </w:rPr>
            </w:pPr>
            <w:r>
              <w:rPr>
                <w:rFonts w:hint="eastAsia"/>
                <w:b/>
                <w:bCs/>
                <w:color w:val="auto"/>
                <w:lang w:val="en-US" w:eastAsia="zh-CN"/>
              </w:rPr>
              <w:t>t/a</w:t>
            </w:r>
            <w:r>
              <w:rPr>
                <w:rFonts w:hint="default"/>
                <w:b/>
                <w:bCs/>
                <w:color w:val="auto"/>
              </w:rPr>
              <w:t>⑦</w:t>
            </w:r>
          </w:p>
        </w:tc>
      </w:tr>
      <w:tr w14:paraId="6B73F7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153" w:type="dxa"/>
            <w:tcBorders>
              <w:tl2br w:val="nil"/>
              <w:tr2bl w:val="nil"/>
            </w:tcBorders>
            <w:vAlign w:val="center"/>
          </w:tcPr>
          <w:p w14:paraId="054C130D">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lang w:val="en-US" w:eastAsia="zh-CN"/>
              </w:rPr>
            </w:pPr>
            <w:r>
              <w:rPr>
                <w:rFonts w:hint="default" w:cs="Times New Roman"/>
                <w:color w:val="auto"/>
                <w:lang w:val="en-US" w:eastAsia="zh-CN"/>
              </w:rPr>
              <w:t>废气</w:t>
            </w:r>
          </w:p>
        </w:tc>
        <w:tc>
          <w:tcPr>
            <w:tcW w:w="1984" w:type="dxa"/>
            <w:tcBorders>
              <w:tl2br w:val="nil"/>
              <w:tr2bl w:val="nil"/>
            </w:tcBorders>
            <w:vAlign w:val="center"/>
          </w:tcPr>
          <w:p w14:paraId="64A78A24">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颗粒物</w:t>
            </w:r>
          </w:p>
        </w:tc>
        <w:tc>
          <w:tcPr>
            <w:tcW w:w="1740" w:type="dxa"/>
            <w:tcBorders>
              <w:tl2br w:val="nil"/>
              <w:tr2bl w:val="nil"/>
            </w:tcBorders>
            <w:vAlign w:val="center"/>
          </w:tcPr>
          <w:p w14:paraId="41C9D6F9">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0</w:t>
            </w:r>
          </w:p>
        </w:tc>
        <w:tc>
          <w:tcPr>
            <w:tcW w:w="1176" w:type="dxa"/>
            <w:tcBorders>
              <w:tl2br w:val="nil"/>
              <w:tr2bl w:val="nil"/>
            </w:tcBorders>
            <w:vAlign w:val="center"/>
          </w:tcPr>
          <w:p w14:paraId="0D2AA627">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0</w:t>
            </w:r>
          </w:p>
        </w:tc>
        <w:tc>
          <w:tcPr>
            <w:tcW w:w="1595" w:type="dxa"/>
            <w:tcBorders>
              <w:tl2br w:val="nil"/>
              <w:tr2bl w:val="nil"/>
            </w:tcBorders>
            <w:vAlign w:val="center"/>
          </w:tcPr>
          <w:p w14:paraId="24D7DD58">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w:t>
            </w:r>
          </w:p>
        </w:tc>
        <w:tc>
          <w:tcPr>
            <w:tcW w:w="1812" w:type="dxa"/>
            <w:tcBorders>
              <w:tl2br w:val="nil"/>
              <w:tr2bl w:val="nil"/>
            </w:tcBorders>
            <w:shd w:val="clear" w:color="auto" w:fill="auto"/>
            <w:vAlign w:val="center"/>
          </w:tcPr>
          <w:p w14:paraId="5A1E7952">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0.032</w:t>
            </w:r>
          </w:p>
        </w:tc>
        <w:tc>
          <w:tcPr>
            <w:tcW w:w="1855" w:type="dxa"/>
            <w:tcBorders>
              <w:tl2br w:val="nil"/>
              <w:tr2bl w:val="nil"/>
            </w:tcBorders>
            <w:vAlign w:val="center"/>
          </w:tcPr>
          <w:p w14:paraId="61D9DC18">
            <w:pPr>
              <w:pStyle w:val="7"/>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w:t>
            </w:r>
          </w:p>
        </w:tc>
        <w:tc>
          <w:tcPr>
            <w:tcW w:w="1569" w:type="dxa"/>
            <w:tcBorders>
              <w:tl2br w:val="nil"/>
              <w:tr2bl w:val="nil"/>
            </w:tcBorders>
            <w:shd w:val="clear" w:color="auto" w:fill="auto"/>
            <w:vAlign w:val="center"/>
          </w:tcPr>
          <w:p w14:paraId="6614516F">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0.032</w:t>
            </w:r>
          </w:p>
        </w:tc>
        <w:tc>
          <w:tcPr>
            <w:tcW w:w="1250" w:type="dxa"/>
            <w:tcBorders>
              <w:tl2br w:val="nil"/>
              <w:tr2bl w:val="nil"/>
            </w:tcBorders>
            <w:shd w:val="clear" w:color="auto" w:fill="auto"/>
            <w:vAlign w:val="center"/>
          </w:tcPr>
          <w:p w14:paraId="41AA900D">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+0.032</w:t>
            </w:r>
          </w:p>
        </w:tc>
      </w:tr>
      <w:tr w14:paraId="352B1B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153" w:type="dxa"/>
            <w:vMerge w:val="restart"/>
            <w:tcBorders>
              <w:tl2br w:val="nil"/>
              <w:tr2bl w:val="nil"/>
            </w:tcBorders>
            <w:vAlign w:val="center"/>
          </w:tcPr>
          <w:p w14:paraId="29A7D163">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lang w:val="en-US" w:eastAsia="zh-CN"/>
              </w:rPr>
            </w:pPr>
            <w:r>
              <w:rPr>
                <w:rFonts w:hint="eastAsia" w:cs="Times New Roman"/>
                <w:color w:val="auto"/>
                <w:lang w:val="en-US" w:eastAsia="zh-CN"/>
              </w:rPr>
              <w:t>固体废物</w:t>
            </w:r>
          </w:p>
        </w:tc>
        <w:tc>
          <w:tcPr>
            <w:tcW w:w="0" w:type="auto"/>
            <w:tcBorders>
              <w:tl2br w:val="nil"/>
              <w:tr2bl w:val="nil"/>
            </w:tcBorders>
            <w:shd w:val="clear" w:color="auto" w:fill="auto"/>
            <w:vAlign w:val="center"/>
          </w:tcPr>
          <w:p w14:paraId="792CCA15">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生活垃圾</w:t>
            </w:r>
          </w:p>
        </w:tc>
        <w:tc>
          <w:tcPr>
            <w:tcW w:w="0" w:type="auto"/>
            <w:tcBorders>
              <w:tl2br w:val="nil"/>
              <w:tr2bl w:val="nil"/>
            </w:tcBorders>
            <w:vAlign w:val="center"/>
          </w:tcPr>
          <w:p w14:paraId="199A9194">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76" w:type="dxa"/>
            <w:tcBorders>
              <w:tl2br w:val="nil"/>
              <w:tr2bl w:val="nil"/>
            </w:tcBorders>
            <w:shd w:val="clear" w:color="auto" w:fill="auto"/>
            <w:vAlign w:val="center"/>
          </w:tcPr>
          <w:p w14:paraId="66DAE7B3">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95" w:type="dxa"/>
            <w:tcBorders>
              <w:tl2br w:val="nil"/>
              <w:tr2bl w:val="nil"/>
            </w:tcBorders>
            <w:vAlign w:val="center"/>
          </w:tcPr>
          <w:p w14:paraId="2D5A6082">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0" w:type="auto"/>
            <w:tcBorders>
              <w:tl2br w:val="nil"/>
              <w:tr2bl w:val="nil"/>
            </w:tcBorders>
            <w:shd w:val="clear" w:color="auto" w:fill="auto"/>
            <w:vAlign w:val="center"/>
          </w:tcPr>
          <w:p w14:paraId="39DD2613">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w:t>
            </w:r>
          </w:p>
        </w:tc>
        <w:tc>
          <w:tcPr>
            <w:tcW w:w="0" w:type="auto"/>
            <w:tcBorders>
              <w:tl2br w:val="nil"/>
              <w:tr2bl w:val="nil"/>
            </w:tcBorders>
            <w:vAlign w:val="center"/>
          </w:tcPr>
          <w:p w14:paraId="73DEDAD2">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69" w:type="dxa"/>
            <w:tcBorders>
              <w:tl2br w:val="nil"/>
              <w:tr2bl w:val="nil"/>
            </w:tcBorders>
            <w:shd w:val="clear" w:color="auto" w:fill="auto"/>
            <w:vAlign w:val="center"/>
          </w:tcPr>
          <w:p w14:paraId="0DF60B7B">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w:t>
            </w:r>
          </w:p>
        </w:tc>
        <w:tc>
          <w:tcPr>
            <w:tcW w:w="1250" w:type="dxa"/>
            <w:tcBorders>
              <w:tl2br w:val="nil"/>
              <w:tr2bl w:val="nil"/>
            </w:tcBorders>
            <w:shd w:val="clear" w:color="auto" w:fill="auto"/>
            <w:vAlign w:val="center"/>
          </w:tcPr>
          <w:p w14:paraId="2CB4DD5E">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w:t>
            </w:r>
            <w:r>
              <w:rPr>
                <w:rFonts w:hint="eastAsia" w:ascii="Times New Roman" w:hAnsi="Times New Roman" w:eastAsia="宋体" w:cs="Times New Roman"/>
                <w:color w:val="auto"/>
                <w:lang w:val="en-US" w:eastAsia="zh-CN"/>
              </w:rPr>
              <w:t>6</w:t>
            </w:r>
          </w:p>
        </w:tc>
      </w:tr>
      <w:tr w14:paraId="52AAC8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153" w:type="dxa"/>
            <w:vMerge w:val="continue"/>
            <w:tcBorders>
              <w:tl2br w:val="nil"/>
              <w:tr2bl w:val="nil"/>
            </w:tcBorders>
            <w:vAlign w:val="center"/>
          </w:tcPr>
          <w:p w14:paraId="5E8C852F">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color w:val="auto"/>
                <w:lang w:val="en-US" w:eastAsia="zh-CN"/>
              </w:rPr>
            </w:pPr>
          </w:p>
        </w:tc>
        <w:tc>
          <w:tcPr>
            <w:tcW w:w="0" w:type="auto"/>
            <w:tcBorders>
              <w:tl2br w:val="nil"/>
              <w:tr2bl w:val="nil"/>
            </w:tcBorders>
            <w:shd w:val="clear" w:color="auto" w:fill="auto"/>
            <w:vAlign w:val="center"/>
          </w:tcPr>
          <w:p w14:paraId="3D05DB19">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废玻璃</w:t>
            </w:r>
          </w:p>
        </w:tc>
        <w:tc>
          <w:tcPr>
            <w:tcW w:w="0" w:type="auto"/>
            <w:tcBorders>
              <w:tl2br w:val="nil"/>
              <w:tr2bl w:val="nil"/>
            </w:tcBorders>
            <w:shd w:val="clear" w:color="auto" w:fill="auto"/>
            <w:vAlign w:val="center"/>
          </w:tcPr>
          <w:p w14:paraId="039EB854">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76" w:type="dxa"/>
            <w:tcBorders>
              <w:tl2br w:val="nil"/>
              <w:tr2bl w:val="nil"/>
            </w:tcBorders>
            <w:shd w:val="clear" w:color="auto" w:fill="auto"/>
            <w:vAlign w:val="center"/>
          </w:tcPr>
          <w:p w14:paraId="68DD40D0">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95" w:type="dxa"/>
            <w:tcBorders>
              <w:tl2br w:val="nil"/>
              <w:tr2bl w:val="nil"/>
            </w:tcBorders>
            <w:shd w:val="clear" w:color="auto" w:fill="auto"/>
            <w:vAlign w:val="center"/>
          </w:tcPr>
          <w:p w14:paraId="62D04297">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0" w:type="auto"/>
            <w:tcBorders>
              <w:tl2br w:val="nil"/>
              <w:tr2bl w:val="nil"/>
            </w:tcBorders>
            <w:shd w:val="clear" w:color="auto" w:fill="auto"/>
            <w:vAlign w:val="center"/>
          </w:tcPr>
          <w:p w14:paraId="54D6DDFE">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500</w:t>
            </w:r>
          </w:p>
        </w:tc>
        <w:tc>
          <w:tcPr>
            <w:tcW w:w="0" w:type="auto"/>
            <w:tcBorders>
              <w:tl2br w:val="nil"/>
              <w:tr2bl w:val="nil"/>
            </w:tcBorders>
            <w:vAlign w:val="center"/>
          </w:tcPr>
          <w:p w14:paraId="682E1D3C">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69" w:type="dxa"/>
            <w:tcBorders>
              <w:tl2br w:val="nil"/>
              <w:tr2bl w:val="nil"/>
            </w:tcBorders>
            <w:shd w:val="clear" w:color="auto" w:fill="auto"/>
            <w:vAlign w:val="center"/>
          </w:tcPr>
          <w:p w14:paraId="40EA5F8E">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500</w:t>
            </w:r>
          </w:p>
        </w:tc>
        <w:tc>
          <w:tcPr>
            <w:tcW w:w="1250" w:type="dxa"/>
            <w:tcBorders>
              <w:tl2br w:val="nil"/>
              <w:tr2bl w:val="nil"/>
            </w:tcBorders>
            <w:shd w:val="clear" w:color="auto" w:fill="auto"/>
            <w:vAlign w:val="center"/>
          </w:tcPr>
          <w:p w14:paraId="77EF5FEF">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r>
              <w:rPr>
                <w:rFonts w:hint="eastAsia" w:ascii="Times New Roman" w:hAnsi="Times New Roman" w:eastAsia="宋体" w:cs="Times New Roman"/>
                <w:color w:val="auto"/>
                <w:lang w:val="en-US" w:eastAsia="zh-CN"/>
              </w:rPr>
              <w:t>500</w:t>
            </w:r>
          </w:p>
        </w:tc>
      </w:tr>
      <w:tr w14:paraId="7C1A15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153" w:type="dxa"/>
            <w:vMerge w:val="continue"/>
            <w:tcBorders>
              <w:tl2br w:val="nil"/>
              <w:tr2bl w:val="nil"/>
            </w:tcBorders>
            <w:vAlign w:val="center"/>
          </w:tcPr>
          <w:p w14:paraId="7BCA2EA8">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color w:val="auto"/>
                <w:lang w:val="en-US" w:eastAsia="zh-CN"/>
              </w:rPr>
            </w:pPr>
          </w:p>
        </w:tc>
        <w:tc>
          <w:tcPr>
            <w:tcW w:w="0" w:type="auto"/>
            <w:tcBorders>
              <w:tl2br w:val="nil"/>
              <w:tr2bl w:val="nil"/>
            </w:tcBorders>
            <w:shd w:val="clear" w:color="auto" w:fill="auto"/>
            <w:vAlign w:val="center"/>
          </w:tcPr>
          <w:p w14:paraId="6F141195">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废靶材</w:t>
            </w:r>
          </w:p>
        </w:tc>
        <w:tc>
          <w:tcPr>
            <w:tcW w:w="0" w:type="auto"/>
            <w:tcBorders>
              <w:tl2br w:val="nil"/>
              <w:tr2bl w:val="nil"/>
            </w:tcBorders>
            <w:shd w:val="clear" w:color="auto" w:fill="auto"/>
            <w:vAlign w:val="center"/>
          </w:tcPr>
          <w:p w14:paraId="0CF67D67">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76" w:type="dxa"/>
            <w:tcBorders>
              <w:tl2br w:val="nil"/>
              <w:tr2bl w:val="nil"/>
            </w:tcBorders>
            <w:shd w:val="clear" w:color="auto" w:fill="auto"/>
            <w:vAlign w:val="center"/>
          </w:tcPr>
          <w:p w14:paraId="314122A0">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95" w:type="dxa"/>
            <w:tcBorders>
              <w:tl2br w:val="nil"/>
              <w:tr2bl w:val="nil"/>
            </w:tcBorders>
            <w:shd w:val="clear" w:color="auto" w:fill="auto"/>
            <w:vAlign w:val="center"/>
          </w:tcPr>
          <w:p w14:paraId="6204AD72">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0" w:type="auto"/>
            <w:tcBorders>
              <w:tl2br w:val="nil"/>
              <w:tr2bl w:val="nil"/>
            </w:tcBorders>
            <w:shd w:val="clear" w:color="auto" w:fill="auto"/>
            <w:vAlign w:val="center"/>
          </w:tcPr>
          <w:p w14:paraId="206F5C93">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p>
        </w:tc>
        <w:tc>
          <w:tcPr>
            <w:tcW w:w="0" w:type="auto"/>
            <w:tcBorders>
              <w:tl2br w:val="nil"/>
              <w:tr2bl w:val="nil"/>
            </w:tcBorders>
            <w:shd w:val="clear" w:color="auto" w:fill="auto"/>
            <w:vAlign w:val="center"/>
          </w:tcPr>
          <w:p w14:paraId="16CCCDD8">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69" w:type="dxa"/>
            <w:tcBorders>
              <w:tl2br w:val="nil"/>
              <w:tr2bl w:val="nil"/>
            </w:tcBorders>
            <w:shd w:val="clear" w:color="auto" w:fill="auto"/>
            <w:vAlign w:val="center"/>
          </w:tcPr>
          <w:p w14:paraId="30220A26">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p>
        </w:tc>
        <w:tc>
          <w:tcPr>
            <w:tcW w:w="1250" w:type="dxa"/>
            <w:tcBorders>
              <w:tl2br w:val="nil"/>
              <w:tr2bl w:val="nil"/>
            </w:tcBorders>
            <w:shd w:val="clear" w:color="auto" w:fill="auto"/>
            <w:vAlign w:val="center"/>
          </w:tcPr>
          <w:p w14:paraId="79BFA527">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r>
              <w:rPr>
                <w:rFonts w:hint="eastAsia" w:ascii="Times New Roman" w:hAnsi="Times New Roman" w:eastAsia="宋体" w:cs="Times New Roman"/>
                <w:color w:val="auto"/>
                <w:lang w:val="en-US" w:eastAsia="zh-CN"/>
              </w:rPr>
              <w:t>3</w:t>
            </w:r>
          </w:p>
        </w:tc>
      </w:tr>
      <w:tr w14:paraId="5AF128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153" w:type="dxa"/>
            <w:vMerge w:val="continue"/>
            <w:tcBorders>
              <w:tl2br w:val="nil"/>
              <w:tr2bl w:val="nil"/>
            </w:tcBorders>
            <w:vAlign w:val="center"/>
          </w:tcPr>
          <w:p w14:paraId="64DEF3C1">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color w:val="auto"/>
                <w:lang w:val="en-US" w:eastAsia="zh-CN"/>
              </w:rPr>
            </w:pPr>
          </w:p>
        </w:tc>
        <w:tc>
          <w:tcPr>
            <w:tcW w:w="0" w:type="auto"/>
            <w:tcBorders>
              <w:tl2br w:val="nil"/>
              <w:tr2bl w:val="nil"/>
            </w:tcBorders>
            <w:shd w:val="clear" w:color="auto" w:fill="auto"/>
            <w:vAlign w:val="center"/>
          </w:tcPr>
          <w:p w14:paraId="77994FF4">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bookmarkStart w:id="8" w:name="_GoBack"/>
            <w:r>
              <w:rPr>
                <w:rFonts w:hint="eastAsia" w:ascii="Times New Roman" w:hAnsi="Times New Roman" w:eastAsia="宋体" w:cs="Times New Roman"/>
                <w:color w:val="auto"/>
                <w:lang w:val="en-US" w:eastAsia="zh-CN"/>
              </w:rPr>
              <w:t>喷砂</w:t>
            </w:r>
            <w:bookmarkEnd w:id="8"/>
            <w:r>
              <w:rPr>
                <w:rFonts w:hint="eastAsia" w:ascii="Times New Roman" w:hAnsi="Times New Roman" w:eastAsia="宋体" w:cs="Times New Roman"/>
                <w:color w:val="auto"/>
                <w:lang w:val="en-US" w:eastAsia="zh-CN"/>
              </w:rPr>
              <w:t>除尘灰</w:t>
            </w:r>
          </w:p>
        </w:tc>
        <w:tc>
          <w:tcPr>
            <w:tcW w:w="0" w:type="auto"/>
            <w:tcBorders>
              <w:tl2br w:val="nil"/>
              <w:tr2bl w:val="nil"/>
            </w:tcBorders>
            <w:shd w:val="clear" w:color="auto" w:fill="auto"/>
            <w:vAlign w:val="center"/>
          </w:tcPr>
          <w:p w14:paraId="036C24A4">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76" w:type="dxa"/>
            <w:tcBorders>
              <w:tl2br w:val="nil"/>
              <w:tr2bl w:val="nil"/>
            </w:tcBorders>
            <w:shd w:val="clear" w:color="auto" w:fill="auto"/>
            <w:vAlign w:val="center"/>
          </w:tcPr>
          <w:p w14:paraId="098AD872">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95" w:type="dxa"/>
            <w:tcBorders>
              <w:tl2br w:val="nil"/>
              <w:tr2bl w:val="nil"/>
            </w:tcBorders>
            <w:shd w:val="clear" w:color="auto" w:fill="auto"/>
            <w:vAlign w:val="center"/>
          </w:tcPr>
          <w:p w14:paraId="45B1834B">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0" w:type="auto"/>
            <w:tcBorders>
              <w:tl2br w:val="nil"/>
              <w:tr2bl w:val="nil"/>
            </w:tcBorders>
            <w:shd w:val="clear" w:color="auto" w:fill="auto"/>
            <w:vAlign w:val="center"/>
          </w:tcPr>
          <w:p w14:paraId="4E21F7EE">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0.85</w:t>
            </w:r>
          </w:p>
        </w:tc>
        <w:tc>
          <w:tcPr>
            <w:tcW w:w="0" w:type="auto"/>
            <w:tcBorders>
              <w:tl2br w:val="nil"/>
              <w:tr2bl w:val="nil"/>
            </w:tcBorders>
            <w:shd w:val="clear" w:color="auto" w:fill="auto"/>
            <w:vAlign w:val="center"/>
          </w:tcPr>
          <w:p w14:paraId="07F7DD0E">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69" w:type="dxa"/>
            <w:tcBorders>
              <w:tl2br w:val="nil"/>
              <w:tr2bl w:val="nil"/>
            </w:tcBorders>
            <w:shd w:val="clear" w:color="auto" w:fill="auto"/>
            <w:vAlign w:val="center"/>
          </w:tcPr>
          <w:p w14:paraId="3CEF9869">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cs="Times New Roman"/>
                <w:color w:val="auto"/>
                <w:lang w:val="en-US" w:eastAsia="zh-CN"/>
              </w:rPr>
              <w:t>0.85</w:t>
            </w:r>
          </w:p>
        </w:tc>
        <w:tc>
          <w:tcPr>
            <w:tcW w:w="1250" w:type="dxa"/>
            <w:tcBorders>
              <w:tl2br w:val="nil"/>
              <w:tr2bl w:val="nil"/>
            </w:tcBorders>
            <w:shd w:val="clear" w:color="auto" w:fill="auto"/>
            <w:vAlign w:val="center"/>
          </w:tcPr>
          <w:p w14:paraId="72FC3303">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cs="Times New Roman"/>
                <w:color w:val="auto"/>
                <w:lang w:val="en-US" w:eastAsia="zh-CN"/>
              </w:rPr>
              <w:t>+0.85</w:t>
            </w:r>
          </w:p>
        </w:tc>
      </w:tr>
      <w:tr w14:paraId="4E0CC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153" w:type="dxa"/>
            <w:vMerge w:val="continue"/>
            <w:tcBorders>
              <w:tl2br w:val="nil"/>
              <w:tr2bl w:val="nil"/>
            </w:tcBorders>
            <w:vAlign w:val="center"/>
          </w:tcPr>
          <w:p w14:paraId="0CB2731A">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color w:val="auto"/>
                <w:lang w:val="en-US" w:eastAsia="zh-CN"/>
              </w:rPr>
            </w:pPr>
          </w:p>
        </w:tc>
        <w:tc>
          <w:tcPr>
            <w:tcW w:w="0" w:type="auto"/>
            <w:tcBorders>
              <w:tl2br w:val="nil"/>
              <w:tr2bl w:val="nil"/>
            </w:tcBorders>
            <w:shd w:val="clear" w:color="auto" w:fill="auto"/>
            <w:vAlign w:val="center"/>
          </w:tcPr>
          <w:p w14:paraId="4AAD5379">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沉淀污泥</w:t>
            </w:r>
          </w:p>
        </w:tc>
        <w:tc>
          <w:tcPr>
            <w:tcW w:w="0" w:type="auto"/>
            <w:tcBorders>
              <w:tl2br w:val="nil"/>
              <w:tr2bl w:val="nil"/>
            </w:tcBorders>
            <w:shd w:val="clear" w:color="auto" w:fill="auto"/>
            <w:vAlign w:val="center"/>
          </w:tcPr>
          <w:p w14:paraId="18AC31C3">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76" w:type="dxa"/>
            <w:tcBorders>
              <w:tl2br w:val="nil"/>
              <w:tr2bl w:val="nil"/>
            </w:tcBorders>
            <w:shd w:val="clear" w:color="auto" w:fill="auto"/>
            <w:vAlign w:val="center"/>
          </w:tcPr>
          <w:p w14:paraId="728A2D99">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95" w:type="dxa"/>
            <w:tcBorders>
              <w:tl2br w:val="nil"/>
              <w:tr2bl w:val="nil"/>
            </w:tcBorders>
            <w:shd w:val="clear" w:color="auto" w:fill="auto"/>
            <w:vAlign w:val="center"/>
          </w:tcPr>
          <w:p w14:paraId="4931898B">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0" w:type="auto"/>
            <w:tcBorders>
              <w:tl2br w:val="nil"/>
              <w:tr2bl w:val="nil"/>
            </w:tcBorders>
            <w:shd w:val="clear" w:color="auto" w:fill="auto"/>
            <w:vAlign w:val="center"/>
          </w:tcPr>
          <w:p w14:paraId="2D7ACC73">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w:t>
            </w:r>
          </w:p>
        </w:tc>
        <w:tc>
          <w:tcPr>
            <w:tcW w:w="0" w:type="auto"/>
            <w:tcBorders>
              <w:tl2br w:val="nil"/>
              <w:tr2bl w:val="nil"/>
            </w:tcBorders>
            <w:shd w:val="clear" w:color="auto" w:fill="auto"/>
            <w:vAlign w:val="center"/>
          </w:tcPr>
          <w:p w14:paraId="63ECD949">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69" w:type="dxa"/>
            <w:tcBorders>
              <w:tl2br w:val="nil"/>
              <w:tr2bl w:val="nil"/>
            </w:tcBorders>
            <w:shd w:val="clear" w:color="auto" w:fill="auto"/>
            <w:vAlign w:val="center"/>
          </w:tcPr>
          <w:p w14:paraId="6C09F1B8">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w:t>
            </w:r>
          </w:p>
        </w:tc>
        <w:tc>
          <w:tcPr>
            <w:tcW w:w="1250" w:type="dxa"/>
            <w:tcBorders>
              <w:tl2br w:val="nil"/>
              <w:tr2bl w:val="nil"/>
            </w:tcBorders>
            <w:shd w:val="clear" w:color="auto" w:fill="auto"/>
            <w:vAlign w:val="center"/>
          </w:tcPr>
          <w:p w14:paraId="73747C55">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r>
              <w:rPr>
                <w:rFonts w:hint="eastAsia" w:ascii="Times New Roman" w:hAnsi="Times New Roman" w:eastAsia="宋体" w:cs="Times New Roman"/>
                <w:color w:val="auto"/>
                <w:lang w:val="en-US" w:eastAsia="zh-CN"/>
              </w:rPr>
              <w:t>2.5</w:t>
            </w:r>
          </w:p>
        </w:tc>
      </w:tr>
      <w:tr w14:paraId="1BFE52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153" w:type="dxa"/>
            <w:vMerge w:val="continue"/>
            <w:tcBorders>
              <w:tl2br w:val="nil"/>
              <w:tr2bl w:val="nil"/>
            </w:tcBorders>
            <w:vAlign w:val="center"/>
          </w:tcPr>
          <w:p w14:paraId="73BB7EDE">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color w:val="auto"/>
                <w:lang w:val="en-US" w:eastAsia="zh-CN"/>
              </w:rPr>
            </w:pPr>
          </w:p>
        </w:tc>
        <w:tc>
          <w:tcPr>
            <w:tcW w:w="0" w:type="auto"/>
            <w:tcBorders>
              <w:tl2br w:val="nil"/>
              <w:tr2bl w:val="nil"/>
            </w:tcBorders>
            <w:shd w:val="clear" w:color="auto" w:fill="auto"/>
            <w:vAlign w:val="center"/>
          </w:tcPr>
          <w:p w14:paraId="332CA403">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废过滤材料</w:t>
            </w:r>
          </w:p>
        </w:tc>
        <w:tc>
          <w:tcPr>
            <w:tcW w:w="0" w:type="auto"/>
            <w:tcBorders>
              <w:tl2br w:val="nil"/>
              <w:tr2bl w:val="nil"/>
            </w:tcBorders>
            <w:shd w:val="clear" w:color="auto" w:fill="auto"/>
            <w:vAlign w:val="center"/>
          </w:tcPr>
          <w:p w14:paraId="2E9C18CA">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76" w:type="dxa"/>
            <w:tcBorders>
              <w:tl2br w:val="nil"/>
              <w:tr2bl w:val="nil"/>
            </w:tcBorders>
            <w:shd w:val="clear" w:color="auto" w:fill="auto"/>
            <w:vAlign w:val="center"/>
          </w:tcPr>
          <w:p w14:paraId="609AF774">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95" w:type="dxa"/>
            <w:tcBorders>
              <w:tl2br w:val="nil"/>
              <w:tr2bl w:val="nil"/>
            </w:tcBorders>
            <w:shd w:val="clear" w:color="auto" w:fill="auto"/>
            <w:vAlign w:val="center"/>
          </w:tcPr>
          <w:p w14:paraId="5DA5101F">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0" w:type="auto"/>
            <w:tcBorders>
              <w:tl2br w:val="nil"/>
              <w:tr2bl w:val="nil"/>
            </w:tcBorders>
            <w:shd w:val="clear" w:color="auto" w:fill="auto"/>
            <w:vAlign w:val="center"/>
          </w:tcPr>
          <w:p w14:paraId="7D6F15A3">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0.75t/3a</w:t>
            </w:r>
          </w:p>
        </w:tc>
        <w:tc>
          <w:tcPr>
            <w:tcW w:w="0" w:type="auto"/>
            <w:tcBorders>
              <w:tl2br w:val="nil"/>
              <w:tr2bl w:val="nil"/>
            </w:tcBorders>
            <w:shd w:val="clear" w:color="auto" w:fill="auto"/>
            <w:vAlign w:val="center"/>
          </w:tcPr>
          <w:p w14:paraId="691BBA6F">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69" w:type="dxa"/>
            <w:tcBorders>
              <w:tl2br w:val="nil"/>
              <w:tr2bl w:val="nil"/>
            </w:tcBorders>
            <w:shd w:val="clear" w:color="auto" w:fill="auto"/>
            <w:vAlign w:val="center"/>
          </w:tcPr>
          <w:p w14:paraId="4A4768D0">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0.75t/3a</w:t>
            </w:r>
          </w:p>
        </w:tc>
        <w:tc>
          <w:tcPr>
            <w:tcW w:w="1250" w:type="dxa"/>
            <w:tcBorders>
              <w:tl2br w:val="nil"/>
              <w:tr2bl w:val="nil"/>
            </w:tcBorders>
            <w:shd w:val="clear" w:color="auto" w:fill="auto"/>
            <w:vAlign w:val="center"/>
          </w:tcPr>
          <w:p w14:paraId="56C64248">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r>
              <w:rPr>
                <w:rFonts w:hint="eastAsia" w:ascii="Times New Roman" w:hAnsi="Times New Roman" w:eastAsia="宋体" w:cs="Times New Roman"/>
                <w:color w:val="auto"/>
                <w:lang w:val="en-US" w:eastAsia="zh-CN"/>
              </w:rPr>
              <w:t>0.75t/3a</w:t>
            </w:r>
          </w:p>
        </w:tc>
      </w:tr>
      <w:tr w14:paraId="3BC9EC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153" w:type="dxa"/>
            <w:vMerge w:val="restart"/>
            <w:tcBorders>
              <w:tl2br w:val="nil"/>
              <w:tr2bl w:val="nil"/>
            </w:tcBorders>
            <w:vAlign w:val="center"/>
          </w:tcPr>
          <w:p w14:paraId="02A6DC94">
            <w:pPr>
              <w:pStyle w:val="7"/>
              <w:keepNext w:val="0"/>
              <w:keepLines w:val="0"/>
              <w:suppressLineNumbers w:val="0"/>
              <w:bidi w:val="0"/>
              <w:spacing w:before="0" w:beforeAutospacing="0" w:after="0" w:afterAutospacing="0"/>
              <w:ind w:left="0" w:leftChars="0" w:right="0" w:rightChars="0" w:firstLine="0" w:firstLineChars="0"/>
              <w:jc w:val="center"/>
              <w:rPr>
                <w:rFonts w:hint="default" w:cs="Times New Roman"/>
                <w:color w:val="auto"/>
                <w:lang w:val="en-US" w:eastAsia="zh-CN"/>
              </w:rPr>
            </w:pPr>
            <w:r>
              <w:rPr>
                <w:rFonts w:hint="eastAsia" w:cs="Times New Roman"/>
                <w:color w:val="auto"/>
                <w:lang w:val="en-US" w:eastAsia="zh-CN"/>
              </w:rPr>
              <w:t>废水</w:t>
            </w:r>
          </w:p>
        </w:tc>
        <w:tc>
          <w:tcPr>
            <w:tcW w:w="0" w:type="auto"/>
            <w:tcBorders>
              <w:tl2br w:val="nil"/>
              <w:tr2bl w:val="nil"/>
            </w:tcBorders>
            <w:vAlign w:val="center"/>
          </w:tcPr>
          <w:p w14:paraId="04446871">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生活污水</w:t>
            </w:r>
          </w:p>
        </w:tc>
        <w:tc>
          <w:tcPr>
            <w:tcW w:w="0" w:type="auto"/>
            <w:tcBorders>
              <w:tl2br w:val="nil"/>
              <w:tr2bl w:val="nil"/>
            </w:tcBorders>
            <w:shd w:val="clear" w:color="auto" w:fill="auto"/>
            <w:vAlign w:val="center"/>
          </w:tcPr>
          <w:p w14:paraId="62017EA2">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76" w:type="dxa"/>
            <w:tcBorders>
              <w:tl2br w:val="nil"/>
              <w:tr2bl w:val="nil"/>
            </w:tcBorders>
            <w:shd w:val="clear" w:color="auto" w:fill="auto"/>
            <w:vAlign w:val="center"/>
          </w:tcPr>
          <w:p w14:paraId="1E60C104">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95" w:type="dxa"/>
            <w:tcBorders>
              <w:tl2br w:val="nil"/>
              <w:tr2bl w:val="nil"/>
            </w:tcBorders>
            <w:shd w:val="clear" w:color="auto" w:fill="auto"/>
            <w:vAlign w:val="center"/>
          </w:tcPr>
          <w:p w14:paraId="383DB06A">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0" w:type="auto"/>
            <w:tcBorders>
              <w:tl2br w:val="nil"/>
              <w:tr2bl w:val="nil"/>
            </w:tcBorders>
            <w:shd w:val="clear" w:color="auto" w:fill="auto"/>
            <w:vAlign w:val="center"/>
          </w:tcPr>
          <w:p w14:paraId="03C608E6">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64.8</w:t>
            </w:r>
          </w:p>
        </w:tc>
        <w:tc>
          <w:tcPr>
            <w:tcW w:w="0" w:type="auto"/>
            <w:tcBorders>
              <w:tl2br w:val="nil"/>
              <w:tr2bl w:val="nil"/>
            </w:tcBorders>
            <w:shd w:val="clear" w:color="auto" w:fill="auto"/>
            <w:vAlign w:val="center"/>
          </w:tcPr>
          <w:p w14:paraId="683C170F">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69" w:type="dxa"/>
            <w:tcBorders>
              <w:tl2br w:val="nil"/>
              <w:tr2bl w:val="nil"/>
            </w:tcBorders>
            <w:shd w:val="clear" w:color="auto" w:fill="auto"/>
            <w:vAlign w:val="center"/>
          </w:tcPr>
          <w:p w14:paraId="53454509">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64.8</w:t>
            </w:r>
          </w:p>
        </w:tc>
        <w:tc>
          <w:tcPr>
            <w:tcW w:w="1250" w:type="dxa"/>
            <w:tcBorders>
              <w:tl2br w:val="nil"/>
              <w:tr2bl w:val="nil"/>
            </w:tcBorders>
            <w:shd w:val="clear" w:color="auto" w:fill="auto"/>
            <w:vAlign w:val="center"/>
          </w:tcPr>
          <w:p w14:paraId="45A499E9">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+64.8</w:t>
            </w:r>
          </w:p>
        </w:tc>
      </w:tr>
      <w:tr w14:paraId="5BDF5C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153" w:type="dxa"/>
            <w:vMerge w:val="continue"/>
            <w:tcBorders>
              <w:tl2br w:val="nil"/>
              <w:tr2bl w:val="nil"/>
            </w:tcBorders>
            <w:vAlign w:val="center"/>
          </w:tcPr>
          <w:p w14:paraId="4B7EA955">
            <w:pPr>
              <w:pStyle w:val="7"/>
              <w:keepNext w:val="0"/>
              <w:keepLines w:val="0"/>
              <w:suppressLineNumbers w:val="0"/>
              <w:bidi w:val="0"/>
              <w:spacing w:before="0" w:beforeAutospacing="0" w:after="0" w:afterAutospacing="0"/>
              <w:ind w:left="0" w:leftChars="0" w:right="0" w:rightChars="0" w:firstLine="0" w:firstLineChars="0"/>
              <w:jc w:val="center"/>
              <w:rPr>
                <w:rFonts w:hint="eastAsia" w:cs="Times New Roman"/>
                <w:color w:val="auto"/>
                <w:lang w:val="en-US" w:eastAsia="zh-CN"/>
              </w:rPr>
            </w:pPr>
          </w:p>
        </w:tc>
        <w:tc>
          <w:tcPr>
            <w:tcW w:w="0" w:type="auto"/>
            <w:tcBorders>
              <w:tl2br w:val="nil"/>
              <w:tr2bl w:val="nil"/>
            </w:tcBorders>
            <w:vAlign w:val="center"/>
          </w:tcPr>
          <w:p w14:paraId="7F4C494D">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生产</w:t>
            </w:r>
            <w:r>
              <w:rPr>
                <w:rFonts w:hint="eastAsia" w:ascii="Times New Roman" w:hAnsi="Times New Roman" w:eastAsia="宋体" w:cs="Times New Roman"/>
                <w:color w:val="auto"/>
                <w:lang w:val="en-US" w:eastAsia="zh-CN"/>
              </w:rPr>
              <w:t>废水</w:t>
            </w:r>
          </w:p>
        </w:tc>
        <w:tc>
          <w:tcPr>
            <w:tcW w:w="0" w:type="auto"/>
            <w:tcBorders>
              <w:tl2br w:val="nil"/>
              <w:tr2bl w:val="nil"/>
            </w:tcBorders>
            <w:shd w:val="clear" w:color="auto" w:fill="auto"/>
            <w:vAlign w:val="center"/>
          </w:tcPr>
          <w:p w14:paraId="0CB8BC2B">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76" w:type="dxa"/>
            <w:tcBorders>
              <w:tl2br w:val="nil"/>
              <w:tr2bl w:val="nil"/>
            </w:tcBorders>
            <w:shd w:val="clear" w:color="auto" w:fill="auto"/>
            <w:vAlign w:val="center"/>
          </w:tcPr>
          <w:p w14:paraId="3D74E9D3">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95" w:type="dxa"/>
            <w:tcBorders>
              <w:tl2br w:val="nil"/>
              <w:tr2bl w:val="nil"/>
            </w:tcBorders>
            <w:shd w:val="clear" w:color="auto" w:fill="auto"/>
            <w:vAlign w:val="center"/>
          </w:tcPr>
          <w:p w14:paraId="2C2CF029">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0" w:type="auto"/>
            <w:tcBorders>
              <w:tl2br w:val="nil"/>
              <w:tr2bl w:val="nil"/>
            </w:tcBorders>
            <w:shd w:val="clear" w:color="auto" w:fill="auto"/>
            <w:vAlign w:val="center"/>
          </w:tcPr>
          <w:p w14:paraId="78716A45">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1671</w:t>
            </w:r>
          </w:p>
        </w:tc>
        <w:tc>
          <w:tcPr>
            <w:tcW w:w="0" w:type="auto"/>
            <w:tcBorders>
              <w:tl2br w:val="nil"/>
              <w:tr2bl w:val="nil"/>
            </w:tcBorders>
            <w:shd w:val="clear" w:color="auto" w:fill="auto"/>
            <w:vAlign w:val="center"/>
          </w:tcPr>
          <w:p w14:paraId="66F3FBA0">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569" w:type="dxa"/>
            <w:tcBorders>
              <w:tl2br w:val="nil"/>
              <w:tr2bl w:val="nil"/>
            </w:tcBorders>
            <w:shd w:val="clear" w:color="auto" w:fill="auto"/>
            <w:vAlign w:val="center"/>
          </w:tcPr>
          <w:p w14:paraId="083BDB4C">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1671</w:t>
            </w:r>
          </w:p>
        </w:tc>
        <w:tc>
          <w:tcPr>
            <w:tcW w:w="1250" w:type="dxa"/>
            <w:tcBorders>
              <w:tl2br w:val="nil"/>
              <w:tr2bl w:val="nil"/>
            </w:tcBorders>
            <w:shd w:val="clear" w:color="auto" w:fill="auto"/>
            <w:vAlign w:val="center"/>
          </w:tcPr>
          <w:p w14:paraId="634751AE">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+1671</w:t>
            </w:r>
          </w:p>
        </w:tc>
      </w:tr>
    </w:tbl>
    <w:p w14:paraId="135DB9A8">
      <w:pPr>
        <w:pStyle w:val="55"/>
        <w:spacing w:before="192" w:beforeLines="80" w:after="24"/>
        <w:jc w:val="left"/>
        <w:rPr>
          <w:color w:val="auto"/>
          <w:lang w:val="en-US"/>
        </w:rPr>
        <w:sectPr>
          <w:footerReference r:id="rId9" w:type="default"/>
          <w:pgSz w:w="16838" w:h="11906" w:orient="landscape"/>
          <w:pgMar w:top="1531" w:right="1701" w:bottom="1531" w:left="1701" w:header="851" w:footer="850" w:gutter="0"/>
          <w:pgBorders>
            <w:top w:val="none" w:sz="0" w:space="0"/>
            <w:left w:val="none" w:sz="0" w:space="0"/>
            <w:bottom w:val="none" w:sz="0" w:space="0"/>
            <w:right w:val="none" w:sz="0" w:space="0"/>
          </w:pgBorders>
          <w:cols w:space="720" w:num="1"/>
          <w:docGrid w:linePitch="312" w:charSpace="0"/>
        </w:sectPr>
      </w:pPr>
      <w:r>
        <w:rPr>
          <w:snapToGrid w:val="0"/>
          <w:color w:val="auto"/>
          <w:kern w:val="21"/>
          <w:szCs w:val="21"/>
        </w:rPr>
        <w:t>注</w:t>
      </w:r>
      <w:r>
        <w:rPr>
          <w:snapToGrid w:val="0"/>
          <w:color w:val="auto"/>
          <w:kern w:val="21"/>
          <w:szCs w:val="21"/>
          <w:lang w:val="en-US"/>
        </w:rPr>
        <w:t>：</w:t>
      </w:r>
      <w:r>
        <w:rPr>
          <w:snapToGrid w:val="0"/>
          <w:color w:val="auto"/>
          <w:spacing w:val="-16"/>
          <w:kern w:val="21"/>
          <w:szCs w:val="21"/>
        </w:rPr>
        <w:fldChar w:fldCharType="begin"/>
      </w:r>
      <w:r>
        <w:rPr>
          <w:snapToGrid w:val="0"/>
          <w:color w:val="auto"/>
          <w:spacing w:val="-16"/>
          <w:kern w:val="21"/>
          <w:szCs w:val="21"/>
          <w:lang w:val="en-US"/>
        </w:rPr>
        <w:instrText xml:space="preserve"> = 6 \* GB3 \* MERGEFORMAT </w:instrText>
      </w:r>
      <w:r>
        <w:rPr>
          <w:snapToGrid w:val="0"/>
          <w:color w:val="auto"/>
          <w:spacing w:val="-16"/>
          <w:kern w:val="21"/>
          <w:szCs w:val="21"/>
        </w:rPr>
        <w:fldChar w:fldCharType="separate"/>
      </w:r>
      <w:r>
        <w:rPr>
          <w:rFonts w:hint="eastAsia"/>
          <w:color w:val="auto"/>
          <w:szCs w:val="21"/>
          <w:lang w:val="en-US"/>
        </w:rPr>
        <w:t>⑥</w:t>
      </w:r>
      <w:r>
        <w:rPr>
          <w:snapToGrid w:val="0"/>
          <w:color w:val="auto"/>
          <w:spacing w:val="-16"/>
          <w:kern w:val="21"/>
          <w:szCs w:val="21"/>
        </w:rPr>
        <w:fldChar w:fldCharType="end"/>
      </w:r>
      <w:r>
        <w:rPr>
          <w:snapToGrid w:val="0"/>
          <w:color w:val="auto"/>
          <w:spacing w:val="-16"/>
          <w:kern w:val="21"/>
          <w:szCs w:val="21"/>
          <w:lang w:val="en-US"/>
        </w:rPr>
        <w:t>=</w:t>
      </w:r>
      <w:r>
        <w:rPr>
          <w:snapToGrid w:val="0"/>
          <w:color w:val="auto"/>
          <w:spacing w:val="-6"/>
          <w:kern w:val="21"/>
          <w:szCs w:val="21"/>
        </w:rPr>
        <w:fldChar w:fldCharType="begin"/>
      </w:r>
      <w:r>
        <w:rPr>
          <w:snapToGrid w:val="0"/>
          <w:color w:val="auto"/>
          <w:spacing w:val="-6"/>
          <w:kern w:val="21"/>
          <w:szCs w:val="21"/>
          <w:lang w:val="en-US"/>
        </w:rPr>
        <w:instrText xml:space="preserve"> = 1 \* GB3 \* MERGEFORMAT </w:instrText>
      </w:r>
      <w:r>
        <w:rPr>
          <w:snapToGrid w:val="0"/>
          <w:color w:val="auto"/>
          <w:spacing w:val="-6"/>
          <w:kern w:val="21"/>
          <w:szCs w:val="21"/>
        </w:rPr>
        <w:fldChar w:fldCharType="separate"/>
      </w:r>
      <w:r>
        <w:rPr>
          <w:rFonts w:hint="eastAsia"/>
          <w:color w:val="auto"/>
          <w:szCs w:val="21"/>
          <w:lang w:val="en-US"/>
        </w:rPr>
        <w:t>①</w:t>
      </w:r>
      <w:r>
        <w:rPr>
          <w:snapToGrid w:val="0"/>
          <w:color w:val="auto"/>
          <w:spacing w:val="-6"/>
          <w:kern w:val="21"/>
          <w:szCs w:val="21"/>
        </w:rPr>
        <w:fldChar w:fldCharType="end"/>
      </w:r>
      <w:r>
        <w:rPr>
          <w:snapToGrid w:val="0"/>
          <w:color w:val="auto"/>
          <w:spacing w:val="-6"/>
          <w:kern w:val="21"/>
          <w:szCs w:val="21"/>
          <w:lang w:val="en-US"/>
        </w:rPr>
        <w:t>+</w:t>
      </w:r>
      <w:r>
        <w:rPr>
          <w:snapToGrid w:val="0"/>
          <w:color w:val="auto"/>
          <w:spacing w:val="-6"/>
          <w:kern w:val="21"/>
          <w:szCs w:val="21"/>
        </w:rPr>
        <w:fldChar w:fldCharType="begin"/>
      </w:r>
      <w:r>
        <w:rPr>
          <w:snapToGrid w:val="0"/>
          <w:color w:val="auto"/>
          <w:spacing w:val="-6"/>
          <w:kern w:val="21"/>
          <w:szCs w:val="21"/>
          <w:lang w:val="en-US"/>
        </w:rPr>
        <w:instrText xml:space="preserve"> = 3 \* GB3 \* MERGEFORMAT </w:instrText>
      </w:r>
      <w:r>
        <w:rPr>
          <w:snapToGrid w:val="0"/>
          <w:color w:val="auto"/>
          <w:spacing w:val="-6"/>
          <w:kern w:val="21"/>
          <w:szCs w:val="21"/>
        </w:rPr>
        <w:fldChar w:fldCharType="separate"/>
      </w:r>
      <w:r>
        <w:rPr>
          <w:rFonts w:hint="eastAsia"/>
          <w:color w:val="auto"/>
          <w:szCs w:val="21"/>
          <w:lang w:val="en-US"/>
        </w:rPr>
        <w:t>③</w:t>
      </w:r>
      <w:r>
        <w:rPr>
          <w:snapToGrid w:val="0"/>
          <w:color w:val="auto"/>
          <w:spacing w:val="-6"/>
          <w:kern w:val="21"/>
          <w:szCs w:val="21"/>
        </w:rPr>
        <w:fldChar w:fldCharType="end"/>
      </w:r>
      <w:r>
        <w:rPr>
          <w:snapToGrid w:val="0"/>
          <w:color w:val="auto"/>
          <w:spacing w:val="-6"/>
          <w:kern w:val="21"/>
          <w:szCs w:val="21"/>
          <w:lang w:val="en-US"/>
        </w:rPr>
        <w:t>+</w:t>
      </w:r>
      <w:r>
        <w:rPr>
          <w:snapToGrid w:val="0"/>
          <w:color w:val="auto"/>
          <w:spacing w:val="-6"/>
          <w:kern w:val="21"/>
          <w:szCs w:val="21"/>
        </w:rPr>
        <w:fldChar w:fldCharType="begin"/>
      </w:r>
      <w:r>
        <w:rPr>
          <w:snapToGrid w:val="0"/>
          <w:color w:val="auto"/>
          <w:spacing w:val="-6"/>
          <w:kern w:val="21"/>
          <w:szCs w:val="21"/>
          <w:lang w:val="en-US"/>
        </w:rPr>
        <w:instrText xml:space="preserve"> = 4 \* GB3 \* MERGEFORMAT </w:instrText>
      </w:r>
      <w:r>
        <w:rPr>
          <w:snapToGrid w:val="0"/>
          <w:color w:val="auto"/>
          <w:spacing w:val="-6"/>
          <w:kern w:val="21"/>
          <w:szCs w:val="21"/>
        </w:rPr>
        <w:fldChar w:fldCharType="separate"/>
      </w:r>
      <w:r>
        <w:rPr>
          <w:rFonts w:hint="eastAsia"/>
          <w:color w:val="auto"/>
          <w:szCs w:val="21"/>
          <w:lang w:val="en-US"/>
        </w:rPr>
        <w:t>④</w:t>
      </w:r>
      <w:r>
        <w:rPr>
          <w:snapToGrid w:val="0"/>
          <w:color w:val="auto"/>
          <w:spacing w:val="-6"/>
          <w:kern w:val="21"/>
          <w:szCs w:val="21"/>
        </w:rPr>
        <w:fldChar w:fldCharType="end"/>
      </w:r>
      <w:r>
        <w:rPr>
          <w:snapToGrid w:val="0"/>
          <w:color w:val="auto"/>
          <w:spacing w:val="-6"/>
          <w:kern w:val="21"/>
          <w:szCs w:val="21"/>
          <w:lang w:val="en-US"/>
        </w:rPr>
        <w:t>-</w:t>
      </w:r>
      <w:r>
        <w:rPr>
          <w:snapToGrid w:val="0"/>
          <w:color w:val="auto"/>
          <w:spacing w:val="-16"/>
          <w:kern w:val="21"/>
          <w:szCs w:val="21"/>
        </w:rPr>
        <w:fldChar w:fldCharType="begin"/>
      </w:r>
      <w:r>
        <w:rPr>
          <w:snapToGrid w:val="0"/>
          <w:color w:val="auto"/>
          <w:spacing w:val="-16"/>
          <w:kern w:val="21"/>
          <w:szCs w:val="21"/>
          <w:lang w:val="en-US"/>
        </w:rPr>
        <w:instrText xml:space="preserve"> = 5 \* GB3 \* MERGEFORMAT </w:instrText>
      </w:r>
      <w:r>
        <w:rPr>
          <w:snapToGrid w:val="0"/>
          <w:color w:val="auto"/>
          <w:spacing w:val="-16"/>
          <w:kern w:val="21"/>
          <w:szCs w:val="21"/>
        </w:rPr>
        <w:fldChar w:fldCharType="separate"/>
      </w:r>
      <w:r>
        <w:rPr>
          <w:rFonts w:hint="eastAsia"/>
          <w:color w:val="auto"/>
          <w:szCs w:val="21"/>
          <w:lang w:val="en-US"/>
        </w:rPr>
        <w:t>⑤</w:t>
      </w:r>
      <w:r>
        <w:rPr>
          <w:snapToGrid w:val="0"/>
          <w:color w:val="auto"/>
          <w:spacing w:val="-16"/>
          <w:kern w:val="21"/>
          <w:szCs w:val="21"/>
        </w:rPr>
        <w:fldChar w:fldCharType="end"/>
      </w:r>
      <w:r>
        <w:rPr>
          <w:snapToGrid w:val="0"/>
          <w:color w:val="auto"/>
          <w:spacing w:val="-16"/>
          <w:kern w:val="21"/>
          <w:szCs w:val="21"/>
          <w:lang w:val="en-US"/>
        </w:rPr>
        <w:t>；</w:t>
      </w:r>
      <w:r>
        <w:rPr>
          <w:snapToGrid w:val="0"/>
          <w:color w:val="auto"/>
          <w:spacing w:val="-6"/>
          <w:kern w:val="21"/>
          <w:szCs w:val="21"/>
        </w:rPr>
        <w:fldChar w:fldCharType="begin"/>
      </w:r>
      <w:r>
        <w:rPr>
          <w:snapToGrid w:val="0"/>
          <w:color w:val="auto"/>
          <w:spacing w:val="-6"/>
          <w:kern w:val="21"/>
          <w:szCs w:val="21"/>
          <w:lang w:val="en-US"/>
        </w:rPr>
        <w:instrText xml:space="preserve"> = 7 \* GB3 \* MERGEFORMAT </w:instrText>
      </w:r>
      <w:r>
        <w:rPr>
          <w:snapToGrid w:val="0"/>
          <w:color w:val="auto"/>
          <w:spacing w:val="-6"/>
          <w:kern w:val="21"/>
          <w:szCs w:val="21"/>
        </w:rPr>
        <w:fldChar w:fldCharType="separate"/>
      </w:r>
      <w:r>
        <w:rPr>
          <w:rFonts w:hint="eastAsia"/>
          <w:color w:val="auto"/>
          <w:szCs w:val="21"/>
          <w:lang w:val="en-US"/>
        </w:rPr>
        <w:t>⑦</w:t>
      </w:r>
      <w:r>
        <w:rPr>
          <w:snapToGrid w:val="0"/>
          <w:color w:val="auto"/>
          <w:spacing w:val="-6"/>
          <w:kern w:val="21"/>
          <w:szCs w:val="21"/>
        </w:rPr>
        <w:fldChar w:fldCharType="end"/>
      </w:r>
      <w:r>
        <w:rPr>
          <w:snapToGrid w:val="0"/>
          <w:color w:val="auto"/>
          <w:spacing w:val="-6"/>
          <w:kern w:val="21"/>
          <w:szCs w:val="21"/>
          <w:lang w:val="en-US"/>
        </w:rPr>
        <w:t>=</w:t>
      </w:r>
      <w:r>
        <w:rPr>
          <w:snapToGrid w:val="0"/>
          <w:color w:val="auto"/>
          <w:spacing w:val="-16"/>
          <w:kern w:val="21"/>
          <w:szCs w:val="21"/>
        </w:rPr>
        <w:fldChar w:fldCharType="begin"/>
      </w:r>
      <w:r>
        <w:rPr>
          <w:snapToGrid w:val="0"/>
          <w:color w:val="auto"/>
          <w:spacing w:val="-16"/>
          <w:kern w:val="21"/>
          <w:szCs w:val="21"/>
          <w:lang w:val="en-US"/>
        </w:rPr>
        <w:instrText xml:space="preserve"> = 6 \* GB3 \* MERGEFORMAT </w:instrText>
      </w:r>
      <w:r>
        <w:rPr>
          <w:snapToGrid w:val="0"/>
          <w:color w:val="auto"/>
          <w:spacing w:val="-16"/>
          <w:kern w:val="21"/>
          <w:szCs w:val="21"/>
        </w:rPr>
        <w:fldChar w:fldCharType="separate"/>
      </w:r>
      <w:r>
        <w:rPr>
          <w:rFonts w:hint="eastAsia"/>
          <w:color w:val="auto"/>
          <w:szCs w:val="21"/>
          <w:lang w:val="en-US"/>
        </w:rPr>
        <w:t>⑥</w:t>
      </w:r>
      <w:r>
        <w:rPr>
          <w:snapToGrid w:val="0"/>
          <w:color w:val="auto"/>
          <w:spacing w:val="-16"/>
          <w:kern w:val="21"/>
          <w:szCs w:val="21"/>
        </w:rPr>
        <w:fldChar w:fldCharType="end"/>
      </w:r>
      <w:r>
        <w:rPr>
          <w:snapToGrid w:val="0"/>
          <w:color w:val="auto"/>
          <w:spacing w:val="-16"/>
          <w:kern w:val="21"/>
          <w:szCs w:val="21"/>
          <w:lang w:val="en-US"/>
        </w:rPr>
        <w:t>-</w:t>
      </w:r>
      <w:r>
        <w:rPr>
          <w:snapToGrid w:val="0"/>
          <w:color w:val="auto"/>
          <w:spacing w:val="-6"/>
          <w:kern w:val="21"/>
          <w:szCs w:val="21"/>
        </w:rPr>
        <w:fldChar w:fldCharType="begin"/>
      </w:r>
      <w:r>
        <w:rPr>
          <w:snapToGrid w:val="0"/>
          <w:color w:val="auto"/>
          <w:spacing w:val="-6"/>
          <w:kern w:val="21"/>
          <w:szCs w:val="21"/>
          <w:lang w:val="en-US"/>
        </w:rPr>
        <w:instrText xml:space="preserve"> = 1 \* GB3 \* MERGEFORMAT </w:instrText>
      </w:r>
      <w:r>
        <w:rPr>
          <w:snapToGrid w:val="0"/>
          <w:color w:val="auto"/>
          <w:spacing w:val="-6"/>
          <w:kern w:val="21"/>
          <w:szCs w:val="21"/>
        </w:rPr>
        <w:fldChar w:fldCharType="separate"/>
      </w:r>
      <w:r>
        <w:rPr>
          <w:rFonts w:hint="eastAsia"/>
          <w:color w:val="auto"/>
          <w:szCs w:val="21"/>
          <w:lang w:val="en-US"/>
        </w:rPr>
        <w:t>①</w:t>
      </w:r>
      <w:r>
        <w:rPr>
          <w:snapToGrid w:val="0"/>
          <w:color w:val="auto"/>
          <w:spacing w:val="-6"/>
          <w:kern w:val="21"/>
          <w:szCs w:val="21"/>
        </w:rPr>
        <w:fldChar w:fldCharType="end"/>
      </w:r>
    </w:p>
    <w:p w14:paraId="1E9E06EE">
      <w:pPr>
        <w:pStyle w:val="59"/>
        <w:ind w:left="0" w:leftChars="0" w:firstLine="0" w:firstLineChars="0"/>
        <w:rPr>
          <w:color w:val="auto"/>
          <w:lang w:val="en-US"/>
        </w:rPr>
      </w:pPr>
    </w:p>
    <w:sectPr>
      <w:pgSz w:w="11906" w:h="16838"/>
      <w:pgMar w:top="1701" w:right="1531" w:bottom="1701" w:left="1531" w:header="851" w:footer="850" w:gutter="0"/>
      <w:pgBorders>
        <w:top w:val="none" w:sz="0" w:space="0"/>
        <w:left w:val="none" w:sz="0" w:space="0"/>
        <w:bottom w:val="none" w:sz="0" w:space="0"/>
        <w:right w:val="none" w:sz="0" w:space="0"/>
      </w:pgBorders>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FF5EF46-D6C5-4A60-81B6-9DBA6DF4CBA6}"/>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87DBA3A0-F435-42A0-89BB-BF50B0EFDF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3" w:fontKey="{3208C657-5EA4-432A-9D77-C9556933B8E7}"/>
  </w:font>
  <w:font w:name="仿宋_GB2312">
    <w:panose1 w:val="02010609030101010101"/>
    <w:charset w:val="86"/>
    <w:family w:val="auto"/>
    <w:pitch w:val="default"/>
    <w:sig w:usb0="00000001" w:usb1="080E0000" w:usb2="00000000" w:usb3="00000000" w:csb0="00040000" w:csb1="00000000"/>
    <w:embedRegular r:id="rId4" w:fontKey="{BB897DA2-E095-4990-9BED-C995DB5237A5}"/>
  </w:font>
  <w:font w:name="华文中宋">
    <w:panose1 w:val="02010600040101010101"/>
    <w:charset w:val="86"/>
    <w:family w:val="auto"/>
    <w:pitch w:val="default"/>
    <w:sig w:usb0="00000287" w:usb1="080F0000" w:usb2="00000000" w:usb3="00000000" w:csb0="0004009F" w:csb1="DFD70000"/>
    <w:embedRegular r:id="rId5" w:fontKey="{6F737CEC-E2C8-4062-8760-FA9251EDF41B}"/>
  </w:font>
  <w:font w:name="方正小标宋_GBK">
    <w:panose1 w:val="02000000000000000000"/>
    <w:charset w:val="86"/>
    <w:family w:val="script"/>
    <w:pitch w:val="default"/>
    <w:sig w:usb0="A00002BF" w:usb1="38CF7CFA" w:usb2="00082016" w:usb3="00000000" w:csb0="00040001" w:csb1="00000000"/>
    <w:embedRegular r:id="rId6" w:fontKey="{6D223A86-C583-4D24-B8E4-441E9A4B2D44}"/>
  </w:font>
  <w:font w:name="华文仿宋">
    <w:panose1 w:val="02010600040101010101"/>
    <w:charset w:val="86"/>
    <w:family w:val="auto"/>
    <w:pitch w:val="default"/>
    <w:sig w:usb0="00000287" w:usb1="080F0000" w:usb2="00000000" w:usb3="00000000" w:csb0="0004009F" w:csb1="DFD70000"/>
    <w:embedRegular r:id="rId7" w:fontKey="{4BAA286D-80D8-4BF9-95F2-CA3AB961D301}"/>
  </w:font>
  <w:font w:name="仿宋">
    <w:panose1 w:val="02010609060101010101"/>
    <w:charset w:val="86"/>
    <w:family w:val="modern"/>
    <w:pitch w:val="default"/>
    <w:sig w:usb0="800002BF" w:usb1="38CF7CFA" w:usb2="00000016" w:usb3="00000000" w:csb0="00040001" w:csb1="00000000"/>
    <w:embedRegular r:id="rId8" w:fontKey="{1ED28629-C7EE-4C99-B47C-D691D7BF5123}"/>
  </w:font>
  <w:font w:name="Wingdings 2">
    <w:panose1 w:val="05020102010507070707"/>
    <w:charset w:val="02"/>
    <w:family w:val="roman"/>
    <w:pitch w:val="default"/>
    <w:sig w:usb0="00000000" w:usb1="00000000" w:usb2="00000000" w:usb3="00000000" w:csb0="80000000" w:csb1="00000000"/>
    <w:embedRegular r:id="rId9" w:fontKey="{0BB399B5-E688-47E8-837A-D34D8B68305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03A85">
    <w:pPr>
      <w:pStyle w:val="1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8B7B7">
    <w:pPr>
      <w:pStyle w:val="19"/>
      <w:framePr w:wrap="around" w:vAnchor="text" w:hAnchor="margin" w:xAlign="center" w:y="1"/>
      <w:rPr>
        <w:rStyle w:val="34"/>
      </w:rPr>
    </w:pPr>
    <w:r>
      <w:fldChar w:fldCharType="begin"/>
    </w:r>
    <w:r>
      <w:rPr>
        <w:rStyle w:val="34"/>
      </w:rPr>
      <w:instrText xml:space="preserve">PAGE  </w:instrText>
    </w:r>
    <w:r>
      <w:fldChar w:fldCharType="end"/>
    </w:r>
  </w:p>
  <w:p w14:paraId="1CB756B2">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4C45F">
    <w:pPr>
      <w:pStyle w:val="19"/>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AD90D8">
                          <w:pPr>
                            <w:pStyle w:val="19"/>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wps:txbx>
                    <wps:bodyPr vert="horz" wrap="none" lIns="0" tIns="0" rIns="0" bIns="0" anchor="t" anchorCtr="0">
                      <a:spAutoFit/>
                    </wps:bodyPr>
                  </wps:wsp>
                </a:graphicData>
              </a:graphic>
            </wp:anchor>
          </w:drawing>
        </mc:Choice>
        <mc:Fallback>
          <w:pict>
            <v:shape id="文本框 205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SWb989kBAAC1AwAADgAAAAAAAAABACAA&#10;AAAeAQAAZHJzL2Uyb0RvYy54bWxQSwUGAAAAAAYABgBZAQAAaQUAAAAA&#10;">
              <v:fill on="f" focussize="0,0"/>
              <v:stroke on="f"/>
              <v:imagedata o:title=""/>
              <o:lock v:ext="edit" aspectratio="f"/>
              <v:textbox inset="0mm,0mm,0mm,0mm" style="mso-fit-shape-to-text:t;">
                <w:txbxContent>
                  <w:p w14:paraId="13AD90D8">
                    <w:pPr>
                      <w:pStyle w:val="19"/>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D61E1">
    <w:pPr>
      <w:pStyle w:val="19"/>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0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1772BD">
                          <w:pPr>
                            <w:pStyle w:val="19"/>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wps:txbx>
                    <wps:bodyPr vert="horz" wrap="none" lIns="0" tIns="0" rIns="0" bIns="0" anchor="t" anchorCtr="0">
                      <a:spAutoFit/>
                    </wps:bodyPr>
                  </wps:wsp>
                </a:graphicData>
              </a:graphic>
            </wp:anchor>
          </w:drawing>
        </mc:Choice>
        <mc:Fallback>
          <w:pict>
            <v:shape id="文本框 205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KjFzITaAQAAtQMAAA4AAAAAAAAAAQAg&#10;AAAAHgEAAGRycy9lMm9Eb2MueG1sUEsFBgAAAAAGAAYAWQEAAGoFAAAAAA==&#10;">
              <v:fill on="f" focussize="0,0"/>
              <v:stroke on="f"/>
              <v:imagedata o:title=""/>
              <o:lock v:ext="edit" aspectratio="f"/>
              <v:textbox inset="0mm,0mm,0mm,0mm" style="mso-fit-shape-to-text:t;">
                <w:txbxContent>
                  <w:p w14:paraId="7A1772BD">
                    <w:pPr>
                      <w:pStyle w:val="19"/>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9B09">
    <w:pPr>
      <w:pStyle w:val="19"/>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0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72F1A4">
                          <w:pPr>
                            <w:pStyle w:val="19"/>
                          </w:pPr>
                          <w:r>
                            <w:rPr>
                              <w:rFonts w:hint="eastAsia"/>
                            </w:rPr>
                            <w:fldChar w:fldCharType="begin"/>
                          </w:r>
                          <w:r>
                            <w:rPr>
                              <w:rFonts w:hint="eastAsia"/>
                            </w:rPr>
                            <w:instrText xml:space="preserve"> PAGE  \* MERGEFORMAT </w:instrText>
                          </w:r>
                          <w:r>
                            <w:rPr>
                              <w:rFonts w:hint="eastAsia"/>
                            </w:rPr>
                            <w:fldChar w:fldCharType="separate"/>
                          </w:r>
                          <w:r>
                            <w:rPr>
                              <w:rFonts w:hint="eastAsia"/>
                            </w:rPr>
                            <w:t>36</w:t>
                          </w:r>
                          <w:r>
                            <w:rPr>
                              <w:rFonts w:hint="eastAsia"/>
                            </w:rPr>
                            <w:fldChar w:fldCharType="end"/>
                          </w:r>
                        </w:p>
                      </w:txbxContent>
                    </wps:txbx>
                    <wps:bodyPr vert="horz" wrap="none" lIns="0" tIns="0" rIns="0" bIns="0" anchor="t" anchorCtr="0">
                      <a:spAutoFit/>
                    </wps:bodyPr>
                  </wps:wsp>
                </a:graphicData>
              </a:graphic>
            </wp:anchor>
          </w:drawing>
        </mc:Choice>
        <mc:Fallback>
          <w:pict>
            <v:shape id="文本框 205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jcxVfNkBAAC1AwAADgAAAAAAAAABACAA&#10;AAAeAQAAZHJzL2Uyb0RvYy54bWxQSwUGAAAAAAYABgBZAQAAaQUAAAAA&#10;">
              <v:fill on="f" focussize="0,0"/>
              <v:stroke on="f"/>
              <v:imagedata o:title=""/>
              <o:lock v:ext="edit" aspectratio="f"/>
              <v:textbox inset="0mm,0mm,0mm,0mm" style="mso-fit-shape-to-text:t;">
                <w:txbxContent>
                  <w:p w14:paraId="3972F1A4">
                    <w:pPr>
                      <w:pStyle w:val="19"/>
                    </w:pPr>
                    <w:r>
                      <w:rPr>
                        <w:rFonts w:hint="eastAsia"/>
                      </w:rPr>
                      <w:fldChar w:fldCharType="begin"/>
                    </w:r>
                    <w:r>
                      <w:rPr>
                        <w:rFonts w:hint="eastAsia"/>
                      </w:rPr>
                      <w:instrText xml:space="preserve"> PAGE  \* MERGEFORMAT </w:instrText>
                    </w:r>
                    <w:r>
                      <w:rPr>
                        <w:rFonts w:hint="eastAsia"/>
                      </w:rPr>
                      <w:fldChar w:fldCharType="separate"/>
                    </w:r>
                    <w:r>
                      <w:rPr>
                        <w:rFonts w:hint="eastAsia"/>
                      </w:rPr>
                      <w:t>36</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D37F5"/>
    <w:multiLevelType w:val="singleLevel"/>
    <w:tmpl w:val="864D37F5"/>
    <w:lvl w:ilvl="0" w:tentative="0">
      <w:start w:val="1"/>
      <w:numFmt w:val="decimal"/>
      <w:suff w:val="nothing"/>
      <w:lvlText w:val="%1、"/>
      <w:lvlJc w:val="left"/>
    </w:lvl>
  </w:abstractNum>
  <w:abstractNum w:abstractNumId="1">
    <w:nsid w:val="A58F524E"/>
    <w:multiLevelType w:val="singleLevel"/>
    <w:tmpl w:val="A58F524E"/>
    <w:lvl w:ilvl="0" w:tentative="0">
      <w:start w:val="1"/>
      <w:numFmt w:val="decimal"/>
      <w:suff w:val="nothing"/>
      <w:lvlText w:val="%1．"/>
      <w:lvlJc w:val="left"/>
      <w:pPr>
        <w:ind w:left="0" w:firstLine="400"/>
      </w:pPr>
      <w:rPr>
        <w:rFonts w:hint="default"/>
      </w:rPr>
    </w:lvl>
  </w:abstractNum>
  <w:abstractNum w:abstractNumId="2">
    <w:nsid w:val="C322E23A"/>
    <w:multiLevelType w:val="singleLevel"/>
    <w:tmpl w:val="C322E23A"/>
    <w:lvl w:ilvl="0" w:tentative="0">
      <w:start w:val="1"/>
      <w:numFmt w:val="decimal"/>
      <w:suff w:val="nothing"/>
      <w:lvlText w:val="%1．"/>
      <w:lvlJc w:val="left"/>
      <w:pPr>
        <w:ind w:left="0" w:firstLine="400"/>
      </w:pPr>
      <w:rPr>
        <w:rFonts w:hint="default"/>
      </w:rPr>
    </w:lvl>
  </w:abstractNum>
  <w:abstractNum w:abstractNumId="3">
    <w:nsid w:val="CE0E167E"/>
    <w:multiLevelType w:val="singleLevel"/>
    <w:tmpl w:val="CE0E167E"/>
    <w:lvl w:ilvl="0" w:tentative="0">
      <w:start w:val="1"/>
      <w:numFmt w:val="decimal"/>
      <w:suff w:val="nothing"/>
      <w:lvlText w:val="%1．"/>
      <w:lvlJc w:val="left"/>
      <w:pPr>
        <w:ind w:left="0" w:firstLine="400"/>
      </w:pPr>
      <w:rPr>
        <w:rFonts w:hint="default"/>
      </w:rPr>
    </w:lvl>
  </w:abstractNum>
  <w:abstractNum w:abstractNumId="4">
    <w:nsid w:val="E7D2DFBF"/>
    <w:multiLevelType w:val="singleLevel"/>
    <w:tmpl w:val="E7D2DFBF"/>
    <w:lvl w:ilvl="0" w:tentative="0">
      <w:start w:val="4"/>
      <w:numFmt w:val="decimal"/>
      <w:suff w:val="nothing"/>
      <w:lvlText w:val="%1、"/>
      <w:lvlJc w:val="left"/>
    </w:lvl>
  </w:abstractNum>
  <w:abstractNum w:abstractNumId="5">
    <w:nsid w:val="F0C3960F"/>
    <w:multiLevelType w:val="singleLevel"/>
    <w:tmpl w:val="F0C3960F"/>
    <w:lvl w:ilvl="0" w:tentative="0">
      <w:start w:val="2"/>
      <w:numFmt w:val="decimal"/>
      <w:suff w:val="nothing"/>
      <w:lvlText w:val="%1、"/>
      <w:lvlJc w:val="left"/>
    </w:lvl>
  </w:abstractNum>
  <w:abstractNum w:abstractNumId="6">
    <w:nsid w:val="2BD61A84"/>
    <w:multiLevelType w:val="singleLevel"/>
    <w:tmpl w:val="2BD61A84"/>
    <w:lvl w:ilvl="0" w:tentative="0">
      <w:start w:val="1"/>
      <w:numFmt w:val="decimal"/>
      <w:suff w:val="nothing"/>
      <w:lvlText w:val="%1．"/>
      <w:lvlJc w:val="left"/>
      <w:pPr>
        <w:ind w:left="0" w:firstLine="400"/>
      </w:pPr>
      <w:rPr>
        <w:rFonts w:hint="default"/>
      </w:rPr>
    </w:lvl>
  </w:abstractNum>
  <w:abstractNum w:abstractNumId="7">
    <w:nsid w:val="3B89C524"/>
    <w:multiLevelType w:val="singleLevel"/>
    <w:tmpl w:val="3B89C524"/>
    <w:lvl w:ilvl="0" w:tentative="0">
      <w:start w:val="5"/>
      <w:numFmt w:val="chineseCounting"/>
      <w:suff w:val="nothing"/>
      <w:lvlText w:val="%1、"/>
      <w:lvlJc w:val="left"/>
      <w:rPr>
        <w:rFonts w:hint="eastAsia"/>
      </w:rPr>
    </w:lvl>
  </w:abstractNum>
  <w:abstractNum w:abstractNumId="8">
    <w:nsid w:val="402F5A1A"/>
    <w:multiLevelType w:val="singleLevel"/>
    <w:tmpl w:val="402F5A1A"/>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9">
    <w:nsid w:val="4C083703"/>
    <w:multiLevelType w:val="singleLevel"/>
    <w:tmpl w:val="4C083703"/>
    <w:lvl w:ilvl="0" w:tentative="0">
      <w:start w:val="1"/>
      <w:numFmt w:val="decimal"/>
      <w:suff w:val="nothing"/>
      <w:lvlText w:val="%1．"/>
      <w:lvlJc w:val="left"/>
      <w:pPr>
        <w:ind w:left="0" w:firstLine="400"/>
      </w:pPr>
      <w:rPr>
        <w:rFonts w:hint="default"/>
      </w:rPr>
    </w:lvl>
  </w:abstractNum>
  <w:abstractNum w:abstractNumId="10">
    <w:nsid w:val="60DA2013"/>
    <w:multiLevelType w:val="singleLevel"/>
    <w:tmpl w:val="60DA2013"/>
    <w:lvl w:ilvl="0" w:tentative="0">
      <w:start w:val="1"/>
      <w:numFmt w:val="decimal"/>
      <w:suff w:val="nothing"/>
      <w:lvlText w:val="%1．"/>
      <w:lvlJc w:val="left"/>
      <w:pPr>
        <w:ind w:left="0" w:firstLine="400"/>
      </w:pPr>
      <w:rPr>
        <w:rFonts w:hint="default"/>
      </w:rPr>
    </w:lvl>
  </w:abstractNum>
  <w:num w:numId="1">
    <w:abstractNumId w:val="8"/>
  </w:num>
  <w:num w:numId="2">
    <w:abstractNumId w:val="5"/>
  </w:num>
  <w:num w:numId="3">
    <w:abstractNumId w:val="9"/>
  </w:num>
  <w:num w:numId="4">
    <w:abstractNumId w:val="10"/>
  </w:num>
  <w:num w:numId="5">
    <w:abstractNumId w:val="3"/>
  </w:num>
  <w:num w:numId="6">
    <w:abstractNumId w:val="6"/>
  </w:num>
  <w:num w:numId="7">
    <w:abstractNumId w:val="1"/>
  </w:num>
  <w:num w:numId="8">
    <w:abstractNumId w:val="2"/>
  </w:num>
  <w:num w:numId="9">
    <w:abstractNumId w:val="4"/>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xMGNkYzJhOWMyN2M5ODE4OTFiOGFlOTgzNDI5MTcifQ=="/>
  </w:docVars>
  <w:rsids>
    <w:rsidRoot w:val="00A14947"/>
    <w:rsid w:val="000060B3"/>
    <w:rsid w:val="00014CD0"/>
    <w:rsid w:val="00026DC9"/>
    <w:rsid w:val="00036155"/>
    <w:rsid w:val="0004364B"/>
    <w:rsid w:val="00043EAC"/>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168CB"/>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E140B"/>
    <w:rsid w:val="001E2A17"/>
    <w:rsid w:val="001F0F17"/>
    <w:rsid w:val="001F3347"/>
    <w:rsid w:val="001F69E4"/>
    <w:rsid w:val="00205D9A"/>
    <w:rsid w:val="00207F35"/>
    <w:rsid w:val="002125B4"/>
    <w:rsid w:val="002155B8"/>
    <w:rsid w:val="00216870"/>
    <w:rsid w:val="00224839"/>
    <w:rsid w:val="002249B2"/>
    <w:rsid w:val="00226574"/>
    <w:rsid w:val="002278EC"/>
    <w:rsid w:val="0023280E"/>
    <w:rsid w:val="002377D1"/>
    <w:rsid w:val="002506BC"/>
    <w:rsid w:val="00254345"/>
    <w:rsid w:val="00264557"/>
    <w:rsid w:val="00266143"/>
    <w:rsid w:val="002740B7"/>
    <w:rsid w:val="002805AB"/>
    <w:rsid w:val="00283F93"/>
    <w:rsid w:val="00284204"/>
    <w:rsid w:val="00291773"/>
    <w:rsid w:val="00292669"/>
    <w:rsid w:val="00292E7D"/>
    <w:rsid w:val="002A168C"/>
    <w:rsid w:val="002A3DC7"/>
    <w:rsid w:val="002B49E2"/>
    <w:rsid w:val="002B7B00"/>
    <w:rsid w:val="002B7C44"/>
    <w:rsid w:val="002C2B17"/>
    <w:rsid w:val="002D3DD0"/>
    <w:rsid w:val="002E1F3A"/>
    <w:rsid w:val="002E298A"/>
    <w:rsid w:val="002F3E4D"/>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B91"/>
    <w:rsid w:val="00420E6A"/>
    <w:rsid w:val="00425A9E"/>
    <w:rsid w:val="00426D6B"/>
    <w:rsid w:val="00431E6C"/>
    <w:rsid w:val="00433CE7"/>
    <w:rsid w:val="00452738"/>
    <w:rsid w:val="00456091"/>
    <w:rsid w:val="00466321"/>
    <w:rsid w:val="00484B9B"/>
    <w:rsid w:val="00484E20"/>
    <w:rsid w:val="004855F6"/>
    <w:rsid w:val="0048661E"/>
    <w:rsid w:val="00494670"/>
    <w:rsid w:val="004A3823"/>
    <w:rsid w:val="004A45DB"/>
    <w:rsid w:val="004E6946"/>
    <w:rsid w:val="004F1AD8"/>
    <w:rsid w:val="00500AE8"/>
    <w:rsid w:val="005039CB"/>
    <w:rsid w:val="0050558F"/>
    <w:rsid w:val="00506286"/>
    <w:rsid w:val="00510813"/>
    <w:rsid w:val="00511990"/>
    <w:rsid w:val="00511DE0"/>
    <w:rsid w:val="00514870"/>
    <w:rsid w:val="00514B9B"/>
    <w:rsid w:val="00517F02"/>
    <w:rsid w:val="00524303"/>
    <w:rsid w:val="005245B9"/>
    <w:rsid w:val="005258A2"/>
    <w:rsid w:val="005401AE"/>
    <w:rsid w:val="00542E07"/>
    <w:rsid w:val="00545424"/>
    <w:rsid w:val="00554A7B"/>
    <w:rsid w:val="0055572C"/>
    <w:rsid w:val="00560CBD"/>
    <w:rsid w:val="0056106A"/>
    <w:rsid w:val="005720AE"/>
    <w:rsid w:val="00594D77"/>
    <w:rsid w:val="005969E4"/>
    <w:rsid w:val="005A06B7"/>
    <w:rsid w:val="005A06F9"/>
    <w:rsid w:val="005A1759"/>
    <w:rsid w:val="005A68A7"/>
    <w:rsid w:val="005A7830"/>
    <w:rsid w:val="005B5EB2"/>
    <w:rsid w:val="005D36AB"/>
    <w:rsid w:val="00610597"/>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5E66"/>
    <w:rsid w:val="006E607E"/>
    <w:rsid w:val="006F6046"/>
    <w:rsid w:val="00706C5D"/>
    <w:rsid w:val="00724584"/>
    <w:rsid w:val="00732922"/>
    <w:rsid w:val="0074264B"/>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4849"/>
    <w:rsid w:val="007B72B8"/>
    <w:rsid w:val="007B7A58"/>
    <w:rsid w:val="007C21B5"/>
    <w:rsid w:val="007D6967"/>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764"/>
    <w:rsid w:val="008F2D29"/>
    <w:rsid w:val="008F5187"/>
    <w:rsid w:val="008F60D8"/>
    <w:rsid w:val="00902727"/>
    <w:rsid w:val="0090312B"/>
    <w:rsid w:val="009059D8"/>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D0D57"/>
    <w:rsid w:val="009E227D"/>
    <w:rsid w:val="009E5019"/>
    <w:rsid w:val="00A04F1B"/>
    <w:rsid w:val="00A0501B"/>
    <w:rsid w:val="00A14947"/>
    <w:rsid w:val="00A32A83"/>
    <w:rsid w:val="00A364B9"/>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012CD"/>
    <w:rsid w:val="00B1295A"/>
    <w:rsid w:val="00B20A45"/>
    <w:rsid w:val="00B22C5C"/>
    <w:rsid w:val="00B24F30"/>
    <w:rsid w:val="00B31ABF"/>
    <w:rsid w:val="00B33BE3"/>
    <w:rsid w:val="00B53B5D"/>
    <w:rsid w:val="00B6055E"/>
    <w:rsid w:val="00B6317D"/>
    <w:rsid w:val="00B7723F"/>
    <w:rsid w:val="00B80534"/>
    <w:rsid w:val="00B8433C"/>
    <w:rsid w:val="00B87491"/>
    <w:rsid w:val="00B9488B"/>
    <w:rsid w:val="00B95DED"/>
    <w:rsid w:val="00BA29E9"/>
    <w:rsid w:val="00BA7142"/>
    <w:rsid w:val="00BB237C"/>
    <w:rsid w:val="00BB41A3"/>
    <w:rsid w:val="00BC0FE4"/>
    <w:rsid w:val="00BC32DC"/>
    <w:rsid w:val="00BC3511"/>
    <w:rsid w:val="00BC35B6"/>
    <w:rsid w:val="00BD1B51"/>
    <w:rsid w:val="00BD4596"/>
    <w:rsid w:val="00BE1405"/>
    <w:rsid w:val="00BE312D"/>
    <w:rsid w:val="00BF1C20"/>
    <w:rsid w:val="00C10578"/>
    <w:rsid w:val="00C135BC"/>
    <w:rsid w:val="00C15C95"/>
    <w:rsid w:val="00C20F9F"/>
    <w:rsid w:val="00C2596A"/>
    <w:rsid w:val="00C27537"/>
    <w:rsid w:val="00C27FEB"/>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1E52"/>
    <w:rsid w:val="00CC489B"/>
    <w:rsid w:val="00CD2586"/>
    <w:rsid w:val="00CD2BCD"/>
    <w:rsid w:val="00CD3A4C"/>
    <w:rsid w:val="00CE10E9"/>
    <w:rsid w:val="00CE2910"/>
    <w:rsid w:val="00CE5393"/>
    <w:rsid w:val="00CF36BE"/>
    <w:rsid w:val="00CF6000"/>
    <w:rsid w:val="00D003F3"/>
    <w:rsid w:val="00D0364F"/>
    <w:rsid w:val="00D044EB"/>
    <w:rsid w:val="00D06834"/>
    <w:rsid w:val="00D308ED"/>
    <w:rsid w:val="00D33F8A"/>
    <w:rsid w:val="00D36D86"/>
    <w:rsid w:val="00D428AA"/>
    <w:rsid w:val="00D50A34"/>
    <w:rsid w:val="00D53EFA"/>
    <w:rsid w:val="00D61308"/>
    <w:rsid w:val="00D76A8B"/>
    <w:rsid w:val="00D94A7C"/>
    <w:rsid w:val="00D94CEA"/>
    <w:rsid w:val="00D95896"/>
    <w:rsid w:val="00DA30D5"/>
    <w:rsid w:val="00DB2983"/>
    <w:rsid w:val="00DC1257"/>
    <w:rsid w:val="00DC3DC0"/>
    <w:rsid w:val="00DC5B2B"/>
    <w:rsid w:val="00DD318D"/>
    <w:rsid w:val="00DD5EB7"/>
    <w:rsid w:val="00DF2E12"/>
    <w:rsid w:val="00DF514A"/>
    <w:rsid w:val="00DF6690"/>
    <w:rsid w:val="00DF6804"/>
    <w:rsid w:val="00E0358D"/>
    <w:rsid w:val="00E04323"/>
    <w:rsid w:val="00E070A2"/>
    <w:rsid w:val="00E2656A"/>
    <w:rsid w:val="00E412D0"/>
    <w:rsid w:val="00E53B9B"/>
    <w:rsid w:val="00E56322"/>
    <w:rsid w:val="00E60982"/>
    <w:rsid w:val="00E62C62"/>
    <w:rsid w:val="00E654C1"/>
    <w:rsid w:val="00E65D97"/>
    <w:rsid w:val="00E72A5A"/>
    <w:rsid w:val="00E73354"/>
    <w:rsid w:val="00E9242D"/>
    <w:rsid w:val="00E97C7C"/>
    <w:rsid w:val="00EB39D2"/>
    <w:rsid w:val="00EB5255"/>
    <w:rsid w:val="00EB5C47"/>
    <w:rsid w:val="00ED0639"/>
    <w:rsid w:val="00EF4755"/>
    <w:rsid w:val="00EF7135"/>
    <w:rsid w:val="00F027DB"/>
    <w:rsid w:val="00F14A7A"/>
    <w:rsid w:val="00F22985"/>
    <w:rsid w:val="00F24778"/>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1C4B0E"/>
    <w:rsid w:val="01284C10"/>
    <w:rsid w:val="01290F7E"/>
    <w:rsid w:val="012A7087"/>
    <w:rsid w:val="01590FED"/>
    <w:rsid w:val="015D1E09"/>
    <w:rsid w:val="01866D1F"/>
    <w:rsid w:val="018771A5"/>
    <w:rsid w:val="01941499"/>
    <w:rsid w:val="01BC200A"/>
    <w:rsid w:val="01BE330D"/>
    <w:rsid w:val="01D27CC6"/>
    <w:rsid w:val="01D37272"/>
    <w:rsid w:val="01D91C84"/>
    <w:rsid w:val="01E53AAB"/>
    <w:rsid w:val="01FA7678"/>
    <w:rsid w:val="01FA76FB"/>
    <w:rsid w:val="01FB2235"/>
    <w:rsid w:val="02333CAA"/>
    <w:rsid w:val="02343457"/>
    <w:rsid w:val="023B4560"/>
    <w:rsid w:val="025B11F3"/>
    <w:rsid w:val="02697903"/>
    <w:rsid w:val="02713441"/>
    <w:rsid w:val="027253B2"/>
    <w:rsid w:val="02983666"/>
    <w:rsid w:val="02CE2DAD"/>
    <w:rsid w:val="02EC643A"/>
    <w:rsid w:val="02F96569"/>
    <w:rsid w:val="03101B74"/>
    <w:rsid w:val="032069FF"/>
    <w:rsid w:val="032C3350"/>
    <w:rsid w:val="034A3D15"/>
    <w:rsid w:val="035837A7"/>
    <w:rsid w:val="035A4C0A"/>
    <w:rsid w:val="036567CA"/>
    <w:rsid w:val="0387364A"/>
    <w:rsid w:val="039D4DB5"/>
    <w:rsid w:val="03A10CAA"/>
    <w:rsid w:val="03BC74E0"/>
    <w:rsid w:val="03C82A00"/>
    <w:rsid w:val="03CE029A"/>
    <w:rsid w:val="03CE6E4F"/>
    <w:rsid w:val="03EA7B21"/>
    <w:rsid w:val="04297344"/>
    <w:rsid w:val="042B5143"/>
    <w:rsid w:val="043B42EE"/>
    <w:rsid w:val="043E5C1C"/>
    <w:rsid w:val="04491126"/>
    <w:rsid w:val="044B2C66"/>
    <w:rsid w:val="045525AB"/>
    <w:rsid w:val="046C173C"/>
    <w:rsid w:val="04702B56"/>
    <w:rsid w:val="04783406"/>
    <w:rsid w:val="0497059B"/>
    <w:rsid w:val="04C130FF"/>
    <w:rsid w:val="04C66765"/>
    <w:rsid w:val="04EB5131"/>
    <w:rsid w:val="04F70794"/>
    <w:rsid w:val="04F72944"/>
    <w:rsid w:val="05013CF7"/>
    <w:rsid w:val="05111DAD"/>
    <w:rsid w:val="05117B47"/>
    <w:rsid w:val="05127654"/>
    <w:rsid w:val="0517747A"/>
    <w:rsid w:val="052826AF"/>
    <w:rsid w:val="052D4C17"/>
    <w:rsid w:val="054D41F3"/>
    <w:rsid w:val="054F472D"/>
    <w:rsid w:val="05684BBB"/>
    <w:rsid w:val="05713651"/>
    <w:rsid w:val="057A2D95"/>
    <w:rsid w:val="059A5DA2"/>
    <w:rsid w:val="05AD1B88"/>
    <w:rsid w:val="05CB087A"/>
    <w:rsid w:val="05CF4152"/>
    <w:rsid w:val="05DB6330"/>
    <w:rsid w:val="05E40B08"/>
    <w:rsid w:val="05F41D11"/>
    <w:rsid w:val="05F83EAE"/>
    <w:rsid w:val="05FD70E6"/>
    <w:rsid w:val="061E2023"/>
    <w:rsid w:val="063D3716"/>
    <w:rsid w:val="063E7D85"/>
    <w:rsid w:val="06826815"/>
    <w:rsid w:val="06993506"/>
    <w:rsid w:val="069A6383"/>
    <w:rsid w:val="06A26024"/>
    <w:rsid w:val="06B73697"/>
    <w:rsid w:val="06CD5030"/>
    <w:rsid w:val="070677A2"/>
    <w:rsid w:val="070E49BA"/>
    <w:rsid w:val="070F303A"/>
    <w:rsid w:val="071D6009"/>
    <w:rsid w:val="07293586"/>
    <w:rsid w:val="07295285"/>
    <w:rsid w:val="072D1862"/>
    <w:rsid w:val="07306457"/>
    <w:rsid w:val="07370397"/>
    <w:rsid w:val="07527D8C"/>
    <w:rsid w:val="07636392"/>
    <w:rsid w:val="07636FC5"/>
    <w:rsid w:val="07746F10"/>
    <w:rsid w:val="07770C56"/>
    <w:rsid w:val="078669F9"/>
    <w:rsid w:val="07AA0C9F"/>
    <w:rsid w:val="07F7533D"/>
    <w:rsid w:val="080409E3"/>
    <w:rsid w:val="0816283A"/>
    <w:rsid w:val="08246990"/>
    <w:rsid w:val="08316608"/>
    <w:rsid w:val="083D0DD9"/>
    <w:rsid w:val="0848652F"/>
    <w:rsid w:val="085602B5"/>
    <w:rsid w:val="0886362F"/>
    <w:rsid w:val="08910623"/>
    <w:rsid w:val="08B86C12"/>
    <w:rsid w:val="08C61157"/>
    <w:rsid w:val="08EB6C4F"/>
    <w:rsid w:val="091C42D8"/>
    <w:rsid w:val="092217DD"/>
    <w:rsid w:val="092A21D5"/>
    <w:rsid w:val="092C3782"/>
    <w:rsid w:val="093727FC"/>
    <w:rsid w:val="093A7294"/>
    <w:rsid w:val="09537529"/>
    <w:rsid w:val="09564E6E"/>
    <w:rsid w:val="09635487"/>
    <w:rsid w:val="09770BBB"/>
    <w:rsid w:val="09925EFE"/>
    <w:rsid w:val="099A3140"/>
    <w:rsid w:val="09A61F2C"/>
    <w:rsid w:val="09BD2A2D"/>
    <w:rsid w:val="09C06F6A"/>
    <w:rsid w:val="09E4102D"/>
    <w:rsid w:val="0A220DD6"/>
    <w:rsid w:val="0A263993"/>
    <w:rsid w:val="0A2D3AC2"/>
    <w:rsid w:val="0A3926C9"/>
    <w:rsid w:val="0A3C7591"/>
    <w:rsid w:val="0A3D7005"/>
    <w:rsid w:val="0A867F26"/>
    <w:rsid w:val="0A8B3433"/>
    <w:rsid w:val="0AA755DF"/>
    <w:rsid w:val="0AAD1591"/>
    <w:rsid w:val="0AB060CA"/>
    <w:rsid w:val="0AE715F8"/>
    <w:rsid w:val="0AE83634"/>
    <w:rsid w:val="0B120D44"/>
    <w:rsid w:val="0B340BFB"/>
    <w:rsid w:val="0B437755"/>
    <w:rsid w:val="0B4D5672"/>
    <w:rsid w:val="0B5F75F1"/>
    <w:rsid w:val="0B6920C9"/>
    <w:rsid w:val="0B7A2D62"/>
    <w:rsid w:val="0B7C0D00"/>
    <w:rsid w:val="0BA021A6"/>
    <w:rsid w:val="0BAA5EE2"/>
    <w:rsid w:val="0BAE4863"/>
    <w:rsid w:val="0BB86D03"/>
    <w:rsid w:val="0BD27BF6"/>
    <w:rsid w:val="0BE40158"/>
    <w:rsid w:val="0BE83414"/>
    <w:rsid w:val="0C105441"/>
    <w:rsid w:val="0C28392B"/>
    <w:rsid w:val="0C2F3131"/>
    <w:rsid w:val="0C3B3C7D"/>
    <w:rsid w:val="0C3B6140"/>
    <w:rsid w:val="0C4D51A1"/>
    <w:rsid w:val="0C6B78B4"/>
    <w:rsid w:val="0C6F649D"/>
    <w:rsid w:val="0C700761"/>
    <w:rsid w:val="0C784098"/>
    <w:rsid w:val="0C7D0200"/>
    <w:rsid w:val="0C833643"/>
    <w:rsid w:val="0C9E51C4"/>
    <w:rsid w:val="0CAB2EAE"/>
    <w:rsid w:val="0CBA5A13"/>
    <w:rsid w:val="0CCB6D1E"/>
    <w:rsid w:val="0CDB17E1"/>
    <w:rsid w:val="0CE5440E"/>
    <w:rsid w:val="0CE9288B"/>
    <w:rsid w:val="0CF07607"/>
    <w:rsid w:val="0CF85923"/>
    <w:rsid w:val="0D0902D4"/>
    <w:rsid w:val="0D17074C"/>
    <w:rsid w:val="0D3859A2"/>
    <w:rsid w:val="0D3C3193"/>
    <w:rsid w:val="0D5166E6"/>
    <w:rsid w:val="0D543401"/>
    <w:rsid w:val="0D597F09"/>
    <w:rsid w:val="0D5B1089"/>
    <w:rsid w:val="0D621C7D"/>
    <w:rsid w:val="0D774ACB"/>
    <w:rsid w:val="0D7A48A8"/>
    <w:rsid w:val="0D861C02"/>
    <w:rsid w:val="0D8E5022"/>
    <w:rsid w:val="0DA15B6C"/>
    <w:rsid w:val="0DBB5D95"/>
    <w:rsid w:val="0DDD387C"/>
    <w:rsid w:val="0DE46C29"/>
    <w:rsid w:val="0DEC2665"/>
    <w:rsid w:val="0E22587A"/>
    <w:rsid w:val="0E2962E0"/>
    <w:rsid w:val="0E2E47E5"/>
    <w:rsid w:val="0E5F75BB"/>
    <w:rsid w:val="0E73034D"/>
    <w:rsid w:val="0E803068"/>
    <w:rsid w:val="0E883FB0"/>
    <w:rsid w:val="0E891EC0"/>
    <w:rsid w:val="0E90374C"/>
    <w:rsid w:val="0EA95AE9"/>
    <w:rsid w:val="0EBC32FA"/>
    <w:rsid w:val="0ED143A4"/>
    <w:rsid w:val="0ED71311"/>
    <w:rsid w:val="0EEA5D65"/>
    <w:rsid w:val="0EF232D3"/>
    <w:rsid w:val="0F13775A"/>
    <w:rsid w:val="0F1D39CF"/>
    <w:rsid w:val="0F225C57"/>
    <w:rsid w:val="0F322636"/>
    <w:rsid w:val="0F3426AB"/>
    <w:rsid w:val="0F3B72E3"/>
    <w:rsid w:val="0F444DA6"/>
    <w:rsid w:val="0F487A60"/>
    <w:rsid w:val="0F5F45FE"/>
    <w:rsid w:val="0F815E87"/>
    <w:rsid w:val="0F9365CB"/>
    <w:rsid w:val="0F961DD6"/>
    <w:rsid w:val="0F9A112B"/>
    <w:rsid w:val="0FB3172E"/>
    <w:rsid w:val="0FBA7FEB"/>
    <w:rsid w:val="0FEE2832"/>
    <w:rsid w:val="0FF0209C"/>
    <w:rsid w:val="0FF749BC"/>
    <w:rsid w:val="10051E18"/>
    <w:rsid w:val="1008257A"/>
    <w:rsid w:val="101805DC"/>
    <w:rsid w:val="10244899"/>
    <w:rsid w:val="102D6D71"/>
    <w:rsid w:val="1033153E"/>
    <w:rsid w:val="103F50C9"/>
    <w:rsid w:val="105041EB"/>
    <w:rsid w:val="10535872"/>
    <w:rsid w:val="10593038"/>
    <w:rsid w:val="106D2F64"/>
    <w:rsid w:val="10804864"/>
    <w:rsid w:val="109066D8"/>
    <w:rsid w:val="109F6DD2"/>
    <w:rsid w:val="10B63710"/>
    <w:rsid w:val="10C42D64"/>
    <w:rsid w:val="10D03DD3"/>
    <w:rsid w:val="10E45BD7"/>
    <w:rsid w:val="10ED52CC"/>
    <w:rsid w:val="10F10820"/>
    <w:rsid w:val="10FE6BB9"/>
    <w:rsid w:val="10FF5DF4"/>
    <w:rsid w:val="11093E79"/>
    <w:rsid w:val="111C2F7A"/>
    <w:rsid w:val="11293337"/>
    <w:rsid w:val="112C6057"/>
    <w:rsid w:val="11490541"/>
    <w:rsid w:val="115171DF"/>
    <w:rsid w:val="115C3FEB"/>
    <w:rsid w:val="11665CA1"/>
    <w:rsid w:val="11763006"/>
    <w:rsid w:val="11763776"/>
    <w:rsid w:val="11773758"/>
    <w:rsid w:val="11862599"/>
    <w:rsid w:val="118A0FD0"/>
    <w:rsid w:val="118E2BF3"/>
    <w:rsid w:val="1197624C"/>
    <w:rsid w:val="11A463F1"/>
    <w:rsid w:val="11BD558D"/>
    <w:rsid w:val="11DC1953"/>
    <w:rsid w:val="11DF61FD"/>
    <w:rsid w:val="11FA1275"/>
    <w:rsid w:val="127A564B"/>
    <w:rsid w:val="12956715"/>
    <w:rsid w:val="12C64B90"/>
    <w:rsid w:val="12DE5996"/>
    <w:rsid w:val="12F26E2C"/>
    <w:rsid w:val="12F6259A"/>
    <w:rsid w:val="1300000F"/>
    <w:rsid w:val="13196BB0"/>
    <w:rsid w:val="132160C6"/>
    <w:rsid w:val="13346E88"/>
    <w:rsid w:val="13355543"/>
    <w:rsid w:val="133D027F"/>
    <w:rsid w:val="13556FD4"/>
    <w:rsid w:val="13951726"/>
    <w:rsid w:val="139F091B"/>
    <w:rsid w:val="13A66AEA"/>
    <w:rsid w:val="13AE5449"/>
    <w:rsid w:val="13B36C59"/>
    <w:rsid w:val="13BB0AC0"/>
    <w:rsid w:val="13D14701"/>
    <w:rsid w:val="13D70846"/>
    <w:rsid w:val="14306300"/>
    <w:rsid w:val="14396509"/>
    <w:rsid w:val="143F1847"/>
    <w:rsid w:val="144A702A"/>
    <w:rsid w:val="144B02B5"/>
    <w:rsid w:val="144D4C62"/>
    <w:rsid w:val="149D0971"/>
    <w:rsid w:val="14B41682"/>
    <w:rsid w:val="14C65F8C"/>
    <w:rsid w:val="14DD2C3C"/>
    <w:rsid w:val="14F81AE5"/>
    <w:rsid w:val="15136362"/>
    <w:rsid w:val="15137114"/>
    <w:rsid w:val="15162C23"/>
    <w:rsid w:val="153A76F2"/>
    <w:rsid w:val="154A2F50"/>
    <w:rsid w:val="154A3236"/>
    <w:rsid w:val="15595889"/>
    <w:rsid w:val="155B1193"/>
    <w:rsid w:val="157443AD"/>
    <w:rsid w:val="159C58DF"/>
    <w:rsid w:val="15A313CF"/>
    <w:rsid w:val="15C70A44"/>
    <w:rsid w:val="15D37FCE"/>
    <w:rsid w:val="15EC2FD8"/>
    <w:rsid w:val="16087E1D"/>
    <w:rsid w:val="161A0084"/>
    <w:rsid w:val="16332E52"/>
    <w:rsid w:val="16516740"/>
    <w:rsid w:val="169556A4"/>
    <w:rsid w:val="16A079BC"/>
    <w:rsid w:val="16AE6B03"/>
    <w:rsid w:val="16C5397F"/>
    <w:rsid w:val="16E028DA"/>
    <w:rsid w:val="16F50CA4"/>
    <w:rsid w:val="16FF4635"/>
    <w:rsid w:val="1703785A"/>
    <w:rsid w:val="17056884"/>
    <w:rsid w:val="175514A9"/>
    <w:rsid w:val="17701D14"/>
    <w:rsid w:val="17716D5F"/>
    <w:rsid w:val="17735226"/>
    <w:rsid w:val="17834A8A"/>
    <w:rsid w:val="178F2B93"/>
    <w:rsid w:val="17B45D56"/>
    <w:rsid w:val="17B62435"/>
    <w:rsid w:val="17C419D1"/>
    <w:rsid w:val="17C74D2B"/>
    <w:rsid w:val="17CE68ED"/>
    <w:rsid w:val="17F15DE2"/>
    <w:rsid w:val="17F46D7F"/>
    <w:rsid w:val="180660BE"/>
    <w:rsid w:val="181361DF"/>
    <w:rsid w:val="18203937"/>
    <w:rsid w:val="182345C4"/>
    <w:rsid w:val="18237E28"/>
    <w:rsid w:val="182E6DCF"/>
    <w:rsid w:val="18311B63"/>
    <w:rsid w:val="18457474"/>
    <w:rsid w:val="1853581F"/>
    <w:rsid w:val="187459EC"/>
    <w:rsid w:val="189159BF"/>
    <w:rsid w:val="189F624C"/>
    <w:rsid w:val="18A77F31"/>
    <w:rsid w:val="18D80D3A"/>
    <w:rsid w:val="19011E15"/>
    <w:rsid w:val="1917583F"/>
    <w:rsid w:val="1928523E"/>
    <w:rsid w:val="192D3A8F"/>
    <w:rsid w:val="193F38CB"/>
    <w:rsid w:val="194B6F9E"/>
    <w:rsid w:val="19686713"/>
    <w:rsid w:val="197B09C3"/>
    <w:rsid w:val="199F5572"/>
    <w:rsid w:val="19A62D4F"/>
    <w:rsid w:val="19AE3232"/>
    <w:rsid w:val="19B70C37"/>
    <w:rsid w:val="1A0D6013"/>
    <w:rsid w:val="1A0F5ADB"/>
    <w:rsid w:val="1A106C82"/>
    <w:rsid w:val="1A1A1AC6"/>
    <w:rsid w:val="1A1C66C0"/>
    <w:rsid w:val="1A2E430E"/>
    <w:rsid w:val="1A34568A"/>
    <w:rsid w:val="1A42393B"/>
    <w:rsid w:val="1A435CA4"/>
    <w:rsid w:val="1A522CD0"/>
    <w:rsid w:val="1A616877"/>
    <w:rsid w:val="1A646509"/>
    <w:rsid w:val="1A6B14F0"/>
    <w:rsid w:val="1A6E7FFD"/>
    <w:rsid w:val="1A845784"/>
    <w:rsid w:val="1AAD45DE"/>
    <w:rsid w:val="1AB239AD"/>
    <w:rsid w:val="1AE231ED"/>
    <w:rsid w:val="1AE9011E"/>
    <w:rsid w:val="1AFA3372"/>
    <w:rsid w:val="1B046F80"/>
    <w:rsid w:val="1B3267B5"/>
    <w:rsid w:val="1B3C441F"/>
    <w:rsid w:val="1B40161D"/>
    <w:rsid w:val="1B4403D6"/>
    <w:rsid w:val="1B441859"/>
    <w:rsid w:val="1B622538"/>
    <w:rsid w:val="1B6606B1"/>
    <w:rsid w:val="1B6B1E72"/>
    <w:rsid w:val="1B8C6D93"/>
    <w:rsid w:val="1B8F0AF7"/>
    <w:rsid w:val="1B9D493D"/>
    <w:rsid w:val="1BA35CFA"/>
    <w:rsid w:val="1BD9519A"/>
    <w:rsid w:val="1BE52E52"/>
    <w:rsid w:val="1BE808E2"/>
    <w:rsid w:val="1BEA177B"/>
    <w:rsid w:val="1C02221A"/>
    <w:rsid w:val="1C16002F"/>
    <w:rsid w:val="1C277941"/>
    <w:rsid w:val="1C310980"/>
    <w:rsid w:val="1C39706C"/>
    <w:rsid w:val="1C397D04"/>
    <w:rsid w:val="1C590F48"/>
    <w:rsid w:val="1C5E7925"/>
    <w:rsid w:val="1C746B04"/>
    <w:rsid w:val="1C8B457A"/>
    <w:rsid w:val="1C951971"/>
    <w:rsid w:val="1CA03375"/>
    <w:rsid w:val="1CB65729"/>
    <w:rsid w:val="1CB87339"/>
    <w:rsid w:val="1CCD3553"/>
    <w:rsid w:val="1CD64B5E"/>
    <w:rsid w:val="1CE0499C"/>
    <w:rsid w:val="1CF8056B"/>
    <w:rsid w:val="1CFD070F"/>
    <w:rsid w:val="1CFD5617"/>
    <w:rsid w:val="1D02552E"/>
    <w:rsid w:val="1D155116"/>
    <w:rsid w:val="1D2357F2"/>
    <w:rsid w:val="1D3E59F4"/>
    <w:rsid w:val="1D480563"/>
    <w:rsid w:val="1D51139B"/>
    <w:rsid w:val="1D5F6196"/>
    <w:rsid w:val="1D6132A5"/>
    <w:rsid w:val="1D8B44EB"/>
    <w:rsid w:val="1D8E56D5"/>
    <w:rsid w:val="1DA52773"/>
    <w:rsid w:val="1DB73488"/>
    <w:rsid w:val="1DCF0DA4"/>
    <w:rsid w:val="1DDA41D1"/>
    <w:rsid w:val="1DE347F2"/>
    <w:rsid w:val="1DEC326C"/>
    <w:rsid w:val="1DF32C46"/>
    <w:rsid w:val="1DF84517"/>
    <w:rsid w:val="1DF93765"/>
    <w:rsid w:val="1DFA1CEE"/>
    <w:rsid w:val="1E200CF1"/>
    <w:rsid w:val="1E42412A"/>
    <w:rsid w:val="1E447632"/>
    <w:rsid w:val="1E4E1CF7"/>
    <w:rsid w:val="1E6B3A74"/>
    <w:rsid w:val="1E77046A"/>
    <w:rsid w:val="1E7A43DA"/>
    <w:rsid w:val="1E8247D2"/>
    <w:rsid w:val="1E844911"/>
    <w:rsid w:val="1E950B0E"/>
    <w:rsid w:val="1EB27D85"/>
    <w:rsid w:val="1ED55B31"/>
    <w:rsid w:val="1EDD7B7E"/>
    <w:rsid w:val="1EFD6E54"/>
    <w:rsid w:val="1F3D02AD"/>
    <w:rsid w:val="1F3D5DC5"/>
    <w:rsid w:val="1F4C78B0"/>
    <w:rsid w:val="1F5C21FD"/>
    <w:rsid w:val="1F6E51D3"/>
    <w:rsid w:val="1F824153"/>
    <w:rsid w:val="1FA37E2C"/>
    <w:rsid w:val="1FAC33EA"/>
    <w:rsid w:val="1FD85E14"/>
    <w:rsid w:val="1FE277E0"/>
    <w:rsid w:val="1FE7539E"/>
    <w:rsid w:val="1FFE1CDD"/>
    <w:rsid w:val="20040694"/>
    <w:rsid w:val="200B71E7"/>
    <w:rsid w:val="20195203"/>
    <w:rsid w:val="20210D51"/>
    <w:rsid w:val="2025477C"/>
    <w:rsid w:val="20307F5E"/>
    <w:rsid w:val="20334F3E"/>
    <w:rsid w:val="20425900"/>
    <w:rsid w:val="206550E2"/>
    <w:rsid w:val="20671BE0"/>
    <w:rsid w:val="206A2B6F"/>
    <w:rsid w:val="207576B2"/>
    <w:rsid w:val="208E5E0B"/>
    <w:rsid w:val="20963CB8"/>
    <w:rsid w:val="209669C5"/>
    <w:rsid w:val="20A63420"/>
    <w:rsid w:val="20A81A1B"/>
    <w:rsid w:val="20B07FB6"/>
    <w:rsid w:val="20B646FB"/>
    <w:rsid w:val="21135528"/>
    <w:rsid w:val="21186631"/>
    <w:rsid w:val="21357430"/>
    <w:rsid w:val="213B0816"/>
    <w:rsid w:val="213B3DFE"/>
    <w:rsid w:val="213B74B1"/>
    <w:rsid w:val="215A2310"/>
    <w:rsid w:val="21622815"/>
    <w:rsid w:val="21683709"/>
    <w:rsid w:val="21757D4F"/>
    <w:rsid w:val="2178613D"/>
    <w:rsid w:val="21834283"/>
    <w:rsid w:val="219F4F03"/>
    <w:rsid w:val="21AB744A"/>
    <w:rsid w:val="21B7325D"/>
    <w:rsid w:val="21C81DCC"/>
    <w:rsid w:val="21DE318A"/>
    <w:rsid w:val="21EC12A3"/>
    <w:rsid w:val="21EF5B80"/>
    <w:rsid w:val="21F54D1D"/>
    <w:rsid w:val="22054DD0"/>
    <w:rsid w:val="220D11B7"/>
    <w:rsid w:val="220D5A31"/>
    <w:rsid w:val="22115E4B"/>
    <w:rsid w:val="221729FA"/>
    <w:rsid w:val="2238734A"/>
    <w:rsid w:val="224B004F"/>
    <w:rsid w:val="225612DB"/>
    <w:rsid w:val="22576990"/>
    <w:rsid w:val="2270442A"/>
    <w:rsid w:val="227A274D"/>
    <w:rsid w:val="22835CF3"/>
    <w:rsid w:val="228D5B7D"/>
    <w:rsid w:val="22B660C8"/>
    <w:rsid w:val="22B85EFB"/>
    <w:rsid w:val="22EC2589"/>
    <w:rsid w:val="22F47480"/>
    <w:rsid w:val="22FB7864"/>
    <w:rsid w:val="230B739B"/>
    <w:rsid w:val="23171F20"/>
    <w:rsid w:val="23215CC3"/>
    <w:rsid w:val="23265870"/>
    <w:rsid w:val="2345625E"/>
    <w:rsid w:val="234870AA"/>
    <w:rsid w:val="23884092"/>
    <w:rsid w:val="239E2BE6"/>
    <w:rsid w:val="23B52C82"/>
    <w:rsid w:val="23C70A3F"/>
    <w:rsid w:val="23DC4383"/>
    <w:rsid w:val="23DE1C48"/>
    <w:rsid w:val="23E60DCA"/>
    <w:rsid w:val="23EE62DB"/>
    <w:rsid w:val="23F549CE"/>
    <w:rsid w:val="23FE4EC3"/>
    <w:rsid w:val="240210CD"/>
    <w:rsid w:val="24264B88"/>
    <w:rsid w:val="242E420B"/>
    <w:rsid w:val="243E4180"/>
    <w:rsid w:val="24417D04"/>
    <w:rsid w:val="2452763C"/>
    <w:rsid w:val="2483647E"/>
    <w:rsid w:val="24977269"/>
    <w:rsid w:val="24BF09F7"/>
    <w:rsid w:val="24C93D4F"/>
    <w:rsid w:val="24E8430B"/>
    <w:rsid w:val="24F46581"/>
    <w:rsid w:val="24F5107B"/>
    <w:rsid w:val="24F96D10"/>
    <w:rsid w:val="250F794D"/>
    <w:rsid w:val="252D53FE"/>
    <w:rsid w:val="25305714"/>
    <w:rsid w:val="25535FDC"/>
    <w:rsid w:val="258A7F48"/>
    <w:rsid w:val="258B1809"/>
    <w:rsid w:val="259423F8"/>
    <w:rsid w:val="25B41523"/>
    <w:rsid w:val="25B86958"/>
    <w:rsid w:val="25D13266"/>
    <w:rsid w:val="25E31F0B"/>
    <w:rsid w:val="25E9026F"/>
    <w:rsid w:val="25EC2D81"/>
    <w:rsid w:val="25FF1BED"/>
    <w:rsid w:val="2605179C"/>
    <w:rsid w:val="260820D4"/>
    <w:rsid w:val="26531794"/>
    <w:rsid w:val="26830793"/>
    <w:rsid w:val="26931905"/>
    <w:rsid w:val="269B236F"/>
    <w:rsid w:val="26B0201E"/>
    <w:rsid w:val="26B323CF"/>
    <w:rsid w:val="26BB3CAD"/>
    <w:rsid w:val="26BB53BB"/>
    <w:rsid w:val="26BC4A69"/>
    <w:rsid w:val="26D517AC"/>
    <w:rsid w:val="26D51EB0"/>
    <w:rsid w:val="26DA59FA"/>
    <w:rsid w:val="270F7B55"/>
    <w:rsid w:val="27166BAC"/>
    <w:rsid w:val="271F39BF"/>
    <w:rsid w:val="27280A7A"/>
    <w:rsid w:val="274533D0"/>
    <w:rsid w:val="27545D4B"/>
    <w:rsid w:val="2762702C"/>
    <w:rsid w:val="277057A2"/>
    <w:rsid w:val="279E6736"/>
    <w:rsid w:val="27A7522A"/>
    <w:rsid w:val="27AE3812"/>
    <w:rsid w:val="27B33149"/>
    <w:rsid w:val="27BF1E6D"/>
    <w:rsid w:val="27E044BB"/>
    <w:rsid w:val="280B6FD7"/>
    <w:rsid w:val="282953C9"/>
    <w:rsid w:val="283C6103"/>
    <w:rsid w:val="28492DA6"/>
    <w:rsid w:val="287E51F8"/>
    <w:rsid w:val="2883338A"/>
    <w:rsid w:val="28A40C64"/>
    <w:rsid w:val="28A6044E"/>
    <w:rsid w:val="28CF0AED"/>
    <w:rsid w:val="2919115F"/>
    <w:rsid w:val="29206EB8"/>
    <w:rsid w:val="29430740"/>
    <w:rsid w:val="294818AA"/>
    <w:rsid w:val="294D55A5"/>
    <w:rsid w:val="29595666"/>
    <w:rsid w:val="29664761"/>
    <w:rsid w:val="29874881"/>
    <w:rsid w:val="298962E5"/>
    <w:rsid w:val="298A6036"/>
    <w:rsid w:val="29A20219"/>
    <w:rsid w:val="29C8633F"/>
    <w:rsid w:val="29CB4AAB"/>
    <w:rsid w:val="29E325E0"/>
    <w:rsid w:val="2A061C3D"/>
    <w:rsid w:val="2A094F67"/>
    <w:rsid w:val="2A0D6C0A"/>
    <w:rsid w:val="2A140B85"/>
    <w:rsid w:val="2A2153A0"/>
    <w:rsid w:val="2A291789"/>
    <w:rsid w:val="2A375BD6"/>
    <w:rsid w:val="2A452503"/>
    <w:rsid w:val="2A5530AE"/>
    <w:rsid w:val="2A6D1F19"/>
    <w:rsid w:val="2ABC4498"/>
    <w:rsid w:val="2AC53EB8"/>
    <w:rsid w:val="2AC63193"/>
    <w:rsid w:val="2ACA6ACA"/>
    <w:rsid w:val="2AF635CE"/>
    <w:rsid w:val="2AFF1D63"/>
    <w:rsid w:val="2B080485"/>
    <w:rsid w:val="2B145387"/>
    <w:rsid w:val="2B252BCC"/>
    <w:rsid w:val="2B3F7001"/>
    <w:rsid w:val="2B503CF0"/>
    <w:rsid w:val="2B616119"/>
    <w:rsid w:val="2B632533"/>
    <w:rsid w:val="2B694CAD"/>
    <w:rsid w:val="2B842CDA"/>
    <w:rsid w:val="2B9160D5"/>
    <w:rsid w:val="2BA936A8"/>
    <w:rsid w:val="2BAB5EAC"/>
    <w:rsid w:val="2BC617B2"/>
    <w:rsid w:val="2BC90679"/>
    <w:rsid w:val="2BCA025E"/>
    <w:rsid w:val="2BFF37C6"/>
    <w:rsid w:val="2C06496B"/>
    <w:rsid w:val="2C0F6A50"/>
    <w:rsid w:val="2C2A293E"/>
    <w:rsid w:val="2C315A5A"/>
    <w:rsid w:val="2C32692B"/>
    <w:rsid w:val="2C4B1C25"/>
    <w:rsid w:val="2C625E73"/>
    <w:rsid w:val="2C6E33DE"/>
    <w:rsid w:val="2C9411C1"/>
    <w:rsid w:val="2CB46411"/>
    <w:rsid w:val="2CD572D6"/>
    <w:rsid w:val="2CDA6E57"/>
    <w:rsid w:val="2CEC2863"/>
    <w:rsid w:val="2CEC35ED"/>
    <w:rsid w:val="2D0E3856"/>
    <w:rsid w:val="2D4B1DE8"/>
    <w:rsid w:val="2D4F3A52"/>
    <w:rsid w:val="2D671694"/>
    <w:rsid w:val="2D710BF8"/>
    <w:rsid w:val="2D7377DF"/>
    <w:rsid w:val="2D881ACE"/>
    <w:rsid w:val="2D9E56F5"/>
    <w:rsid w:val="2DD1454C"/>
    <w:rsid w:val="2DDF5C3D"/>
    <w:rsid w:val="2DE617FD"/>
    <w:rsid w:val="2DF67298"/>
    <w:rsid w:val="2E073C8D"/>
    <w:rsid w:val="2E596F9A"/>
    <w:rsid w:val="2E637258"/>
    <w:rsid w:val="2E656033"/>
    <w:rsid w:val="2E667F96"/>
    <w:rsid w:val="2E795C15"/>
    <w:rsid w:val="2E8226AB"/>
    <w:rsid w:val="2E8257A5"/>
    <w:rsid w:val="2E9D68A0"/>
    <w:rsid w:val="2EA015F1"/>
    <w:rsid w:val="2EA10AD8"/>
    <w:rsid w:val="2EB060C2"/>
    <w:rsid w:val="2EB75121"/>
    <w:rsid w:val="2EC76C2A"/>
    <w:rsid w:val="2EE62680"/>
    <w:rsid w:val="2EEA31B5"/>
    <w:rsid w:val="2F0B116C"/>
    <w:rsid w:val="2F0E29F6"/>
    <w:rsid w:val="2F4F7689"/>
    <w:rsid w:val="2F5B2ED3"/>
    <w:rsid w:val="2F707696"/>
    <w:rsid w:val="2F8B2A9E"/>
    <w:rsid w:val="2FB01E56"/>
    <w:rsid w:val="2FB92DF9"/>
    <w:rsid w:val="2FD065E6"/>
    <w:rsid w:val="2FD96870"/>
    <w:rsid w:val="2FDD12B7"/>
    <w:rsid w:val="2FE31AD2"/>
    <w:rsid w:val="2FED28FB"/>
    <w:rsid w:val="2FFB45B9"/>
    <w:rsid w:val="300E382F"/>
    <w:rsid w:val="302315DE"/>
    <w:rsid w:val="303C5EA9"/>
    <w:rsid w:val="303F4D63"/>
    <w:rsid w:val="304778F0"/>
    <w:rsid w:val="30580BC9"/>
    <w:rsid w:val="30580DC2"/>
    <w:rsid w:val="306B49E2"/>
    <w:rsid w:val="30794CA9"/>
    <w:rsid w:val="30813010"/>
    <w:rsid w:val="308B5B05"/>
    <w:rsid w:val="30996E4F"/>
    <w:rsid w:val="30BE66B9"/>
    <w:rsid w:val="30C2771E"/>
    <w:rsid w:val="30C81806"/>
    <w:rsid w:val="30E57D69"/>
    <w:rsid w:val="30EC73BC"/>
    <w:rsid w:val="30F10EBA"/>
    <w:rsid w:val="310224D9"/>
    <w:rsid w:val="31087125"/>
    <w:rsid w:val="31091955"/>
    <w:rsid w:val="311254AF"/>
    <w:rsid w:val="311E2ED7"/>
    <w:rsid w:val="313715C7"/>
    <w:rsid w:val="314D409C"/>
    <w:rsid w:val="315619EE"/>
    <w:rsid w:val="315C449C"/>
    <w:rsid w:val="316834E4"/>
    <w:rsid w:val="318135CD"/>
    <w:rsid w:val="318768BD"/>
    <w:rsid w:val="319D5FE3"/>
    <w:rsid w:val="31AB7533"/>
    <w:rsid w:val="31B04FAA"/>
    <w:rsid w:val="31B82709"/>
    <w:rsid w:val="31C33672"/>
    <w:rsid w:val="31CB7B95"/>
    <w:rsid w:val="31D05482"/>
    <w:rsid w:val="31EA4FAC"/>
    <w:rsid w:val="31FE58ED"/>
    <w:rsid w:val="3232330A"/>
    <w:rsid w:val="32400B34"/>
    <w:rsid w:val="32536DEE"/>
    <w:rsid w:val="325C7B1E"/>
    <w:rsid w:val="3283636F"/>
    <w:rsid w:val="3291620A"/>
    <w:rsid w:val="32924211"/>
    <w:rsid w:val="32951CC1"/>
    <w:rsid w:val="329E6876"/>
    <w:rsid w:val="32BD4F02"/>
    <w:rsid w:val="32CB1529"/>
    <w:rsid w:val="32CC6B29"/>
    <w:rsid w:val="32D12807"/>
    <w:rsid w:val="32D30771"/>
    <w:rsid w:val="33217064"/>
    <w:rsid w:val="33242C79"/>
    <w:rsid w:val="333015F2"/>
    <w:rsid w:val="333F4584"/>
    <w:rsid w:val="3343713F"/>
    <w:rsid w:val="334B6320"/>
    <w:rsid w:val="335F752E"/>
    <w:rsid w:val="337F58A1"/>
    <w:rsid w:val="33813B89"/>
    <w:rsid w:val="338C35A2"/>
    <w:rsid w:val="33A46058"/>
    <w:rsid w:val="33C11382"/>
    <w:rsid w:val="33CB6983"/>
    <w:rsid w:val="33D934D4"/>
    <w:rsid w:val="33EF5425"/>
    <w:rsid w:val="33FD757D"/>
    <w:rsid w:val="33FE2F6A"/>
    <w:rsid w:val="34097725"/>
    <w:rsid w:val="340A3272"/>
    <w:rsid w:val="340E07E5"/>
    <w:rsid w:val="34223DA4"/>
    <w:rsid w:val="34235BF7"/>
    <w:rsid w:val="342804A8"/>
    <w:rsid w:val="342C61EA"/>
    <w:rsid w:val="343641A1"/>
    <w:rsid w:val="34415520"/>
    <w:rsid w:val="348D7762"/>
    <w:rsid w:val="34A24169"/>
    <w:rsid w:val="34B14942"/>
    <w:rsid w:val="34B8092C"/>
    <w:rsid w:val="34DD70DE"/>
    <w:rsid w:val="34EC41DF"/>
    <w:rsid w:val="35041EEB"/>
    <w:rsid w:val="351153E0"/>
    <w:rsid w:val="352B6EAD"/>
    <w:rsid w:val="35301D0A"/>
    <w:rsid w:val="353B40B9"/>
    <w:rsid w:val="35672BB9"/>
    <w:rsid w:val="356A6F13"/>
    <w:rsid w:val="35772266"/>
    <w:rsid w:val="35811B2D"/>
    <w:rsid w:val="35863EFE"/>
    <w:rsid w:val="358C5FA8"/>
    <w:rsid w:val="358E4F84"/>
    <w:rsid w:val="359A56C8"/>
    <w:rsid w:val="35A73CBB"/>
    <w:rsid w:val="35B529C0"/>
    <w:rsid w:val="35B63460"/>
    <w:rsid w:val="35C15DF1"/>
    <w:rsid w:val="36074A7F"/>
    <w:rsid w:val="360E2554"/>
    <w:rsid w:val="361814B5"/>
    <w:rsid w:val="362870FA"/>
    <w:rsid w:val="36327888"/>
    <w:rsid w:val="363E6A7B"/>
    <w:rsid w:val="36657031"/>
    <w:rsid w:val="366A1A35"/>
    <w:rsid w:val="366F722F"/>
    <w:rsid w:val="3670133A"/>
    <w:rsid w:val="36715F8A"/>
    <w:rsid w:val="368B4248"/>
    <w:rsid w:val="36923549"/>
    <w:rsid w:val="369A48EF"/>
    <w:rsid w:val="36A55DE0"/>
    <w:rsid w:val="36B04C59"/>
    <w:rsid w:val="36B32C31"/>
    <w:rsid w:val="36B75FBF"/>
    <w:rsid w:val="36BD0C45"/>
    <w:rsid w:val="36E74E00"/>
    <w:rsid w:val="36F6488E"/>
    <w:rsid w:val="36FF1730"/>
    <w:rsid w:val="371365E9"/>
    <w:rsid w:val="37471782"/>
    <w:rsid w:val="3748403E"/>
    <w:rsid w:val="37557806"/>
    <w:rsid w:val="378034EF"/>
    <w:rsid w:val="378577B0"/>
    <w:rsid w:val="37882D08"/>
    <w:rsid w:val="37A274A6"/>
    <w:rsid w:val="37A40F65"/>
    <w:rsid w:val="37A518FB"/>
    <w:rsid w:val="37B866D1"/>
    <w:rsid w:val="37C8207A"/>
    <w:rsid w:val="37CB4D69"/>
    <w:rsid w:val="37E00298"/>
    <w:rsid w:val="37E275EA"/>
    <w:rsid w:val="37FA7DB8"/>
    <w:rsid w:val="38045CD5"/>
    <w:rsid w:val="38121548"/>
    <w:rsid w:val="38244D79"/>
    <w:rsid w:val="382B2A06"/>
    <w:rsid w:val="383452C0"/>
    <w:rsid w:val="38384AAD"/>
    <w:rsid w:val="386F2946"/>
    <w:rsid w:val="38721450"/>
    <w:rsid w:val="38743CBC"/>
    <w:rsid w:val="389E1960"/>
    <w:rsid w:val="38AD71CE"/>
    <w:rsid w:val="38B302F9"/>
    <w:rsid w:val="38B74D35"/>
    <w:rsid w:val="38C52336"/>
    <w:rsid w:val="38E3601B"/>
    <w:rsid w:val="38EB411C"/>
    <w:rsid w:val="38F12CD3"/>
    <w:rsid w:val="38F94775"/>
    <w:rsid w:val="38FB259A"/>
    <w:rsid w:val="390D3F6D"/>
    <w:rsid w:val="390F4F04"/>
    <w:rsid w:val="392971ED"/>
    <w:rsid w:val="39325651"/>
    <w:rsid w:val="393F3BF3"/>
    <w:rsid w:val="39501827"/>
    <w:rsid w:val="39590F9B"/>
    <w:rsid w:val="39702D90"/>
    <w:rsid w:val="397103B8"/>
    <w:rsid w:val="39770D67"/>
    <w:rsid w:val="3981656F"/>
    <w:rsid w:val="399604B5"/>
    <w:rsid w:val="399B34CA"/>
    <w:rsid w:val="39C1600D"/>
    <w:rsid w:val="39C72511"/>
    <w:rsid w:val="39CB21DE"/>
    <w:rsid w:val="39E42618"/>
    <w:rsid w:val="39EF6538"/>
    <w:rsid w:val="3A0D273F"/>
    <w:rsid w:val="3A0D4436"/>
    <w:rsid w:val="3A2B6883"/>
    <w:rsid w:val="3A623D75"/>
    <w:rsid w:val="3A726921"/>
    <w:rsid w:val="3A731C3E"/>
    <w:rsid w:val="3A872856"/>
    <w:rsid w:val="3A883C64"/>
    <w:rsid w:val="3A9A1312"/>
    <w:rsid w:val="3A9B6DC2"/>
    <w:rsid w:val="3A9D5893"/>
    <w:rsid w:val="3AA5514D"/>
    <w:rsid w:val="3AB24790"/>
    <w:rsid w:val="3AD209A3"/>
    <w:rsid w:val="3B0E3D54"/>
    <w:rsid w:val="3B1F5F51"/>
    <w:rsid w:val="3B290E79"/>
    <w:rsid w:val="3B3763D1"/>
    <w:rsid w:val="3B5A6D6A"/>
    <w:rsid w:val="3B5C4B4C"/>
    <w:rsid w:val="3B76761C"/>
    <w:rsid w:val="3B76789C"/>
    <w:rsid w:val="3B7D6570"/>
    <w:rsid w:val="3B8C462B"/>
    <w:rsid w:val="3B9C6DBC"/>
    <w:rsid w:val="3BE62A6A"/>
    <w:rsid w:val="3BF25A06"/>
    <w:rsid w:val="3BF26659"/>
    <w:rsid w:val="3BFE1DB4"/>
    <w:rsid w:val="3C01769C"/>
    <w:rsid w:val="3C07315E"/>
    <w:rsid w:val="3C236125"/>
    <w:rsid w:val="3C2B6638"/>
    <w:rsid w:val="3C2F6E1E"/>
    <w:rsid w:val="3C3A521C"/>
    <w:rsid w:val="3C4C5B2C"/>
    <w:rsid w:val="3C4F64BA"/>
    <w:rsid w:val="3C5067EE"/>
    <w:rsid w:val="3C52023A"/>
    <w:rsid w:val="3C92427F"/>
    <w:rsid w:val="3C971E90"/>
    <w:rsid w:val="3CA0344A"/>
    <w:rsid w:val="3CAC5371"/>
    <w:rsid w:val="3CB0491B"/>
    <w:rsid w:val="3CDA245A"/>
    <w:rsid w:val="3CDF5911"/>
    <w:rsid w:val="3CE3482D"/>
    <w:rsid w:val="3CE533DA"/>
    <w:rsid w:val="3D000214"/>
    <w:rsid w:val="3D1E06B7"/>
    <w:rsid w:val="3D1E2B6E"/>
    <w:rsid w:val="3D2427C1"/>
    <w:rsid w:val="3D2C6001"/>
    <w:rsid w:val="3D406893"/>
    <w:rsid w:val="3D46256D"/>
    <w:rsid w:val="3D6929EA"/>
    <w:rsid w:val="3D8F574E"/>
    <w:rsid w:val="3D9654DA"/>
    <w:rsid w:val="3D9E412A"/>
    <w:rsid w:val="3DDF458D"/>
    <w:rsid w:val="3DEA2E3A"/>
    <w:rsid w:val="3DF45431"/>
    <w:rsid w:val="3DFB2911"/>
    <w:rsid w:val="3E654A04"/>
    <w:rsid w:val="3E6612A4"/>
    <w:rsid w:val="3E66679D"/>
    <w:rsid w:val="3E7530D4"/>
    <w:rsid w:val="3E7E4765"/>
    <w:rsid w:val="3E8037CF"/>
    <w:rsid w:val="3E8B387F"/>
    <w:rsid w:val="3E9142EB"/>
    <w:rsid w:val="3EBE3EE3"/>
    <w:rsid w:val="3ED26D52"/>
    <w:rsid w:val="3ED541A4"/>
    <w:rsid w:val="3EDA0523"/>
    <w:rsid w:val="3EDF52A8"/>
    <w:rsid w:val="3EE447A7"/>
    <w:rsid w:val="3EF5367D"/>
    <w:rsid w:val="3F1302A9"/>
    <w:rsid w:val="3F462630"/>
    <w:rsid w:val="3F520ACF"/>
    <w:rsid w:val="3F5900B0"/>
    <w:rsid w:val="3F6F78D3"/>
    <w:rsid w:val="3F7E66AC"/>
    <w:rsid w:val="3F8751A4"/>
    <w:rsid w:val="3FB138EF"/>
    <w:rsid w:val="3FC27B3D"/>
    <w:rsid w:val="3FC574F3"/>
    <w:rsid w:val="3FDC22E7"/>
    <w:rsid w:val="3FE206EE"/>
    <w:rsid w:val="3FF37BBC"/>
    <w:rsid w:val="40021A07"/>
    <w:rsid w:val="401B2838"/>
    <w:rsid w:val="403E2AF8"/>
    <w:rsid w:val="403E2FEC"/>
    <w:rsid w:val="406224ED"/>
    <w:rsid w:val="40794C12"/>
    <w:rsid w:val="407A6407"/>
    <w:rsid w:val="40882E65"/>
    <w:rsid w:val="40906046"/>
    <w:rsid w:val="409819DA"/>
    <w:rsid w:val="40B57AA6"/>
    <w:rsid w:val="40BE2E4A"/>
    <w:rsid w:val="40BE7759"/>
    <w:rsid w:val="40C51CDE"/>
    <w:rsid w:val="40D0614F"/>
    <w:rsid w:val="40D57477"/>
    <w:rsid w:val="40E045E4"/>
    <w:rsid w:val="40EF1917"/>
    <w:rsid w:val="41605AED"/>
    <w:rsid w:val="41712A00"/>
    <w:rsid w:val="41977E69"/>
    <w:rsid w:val="419B52F9"/>
    <w:rsid w:val="41A0625E"/>
    <w:rsid w:val="41BF1FF9"/>
    <w:rsid w:val="41C77552"/>
    <w:rsid w:val="41D41C6F"/>
    <w:rsid w:val="41F1637D"/>
    <w:rsid w:val="4200449D"/>
    <w:rsid w:val="420071D6"/>
    <w:rsid w:val="420C7893"/>
    <w:rsid w:val="420E6F2F"/>
    <w:rsid w:val="42120803"/>
    <w:rsid w:val="422236B9"/>
    <w:rsid w:val="422609CD"/>
    <w:rsid w:val="423A3BCC"/>
    <w:rsid w:val="424E57D2"/>
    <w:rsid w:val="42660B19"/>
    <w:rsid w:val="42805FB8"/>
    <w:rsid w:val="429C6840"/>
    <w:rsid w:val="42A60D07"/>
    <w:rsid w:val="42A909AC"/>
    <w:rsid w:val="42AB3789"/>
    <w:rsid w:val="42B26C49"/>
    <w:rsid w:val="42BA6D41"/>
    <w:rsid w:val="42CF64BD"/>
    <w:rsid w:val="42E6789E"/>
    <w:rsid w:val="42EC095C"/>
    <w:rsid w:val="42F474B4"/>
    <w:rsid w:val="4329074B"/>
    <w:rsid w:val="433A6FE6"/>
    <w:rsid w:val="433E27FF"/>
    <w:rsid w:val="43480868"/>
    <w:rsid w:val="4350713C"/>
    <w:rsid w:val="436653E0"/>
    <w:rsid w:val="43861DD8"/>
    <w:rsid w:val="4399044E"/>
    <w:rsid w:val="43BA0CAA"/>
    <w:rsid w:val="43C4379A"/>
    <w:rsid w:val="43C4431A"/>
    <w:rsid w:val="43DA644B"/>
    <w:rsid w:val="43DE6DD5"/>
    <w:rsid w:val="43EA3DB3"/>
    <w:rsid w:val="43ED101F"/>
    <w:rsid w:val="43FC5D17"/>
    <w:rsid w:val="440202B5"/>
    <w:rsid w:val="441806C8"/>
    <w:rsid w:val="443928F3"/>
    <w:rsid w:val="44704FFB"/>
    <w:rsid w:val="448D7E42"/>
    <w:rsid w:val="449007B6"/>
    <w:rsid w:val="44A4021D"/>
    <w:rsid w:val="44B951CC"/>
    <w:rsid w:val="44C025D5"/>
    <w:rsid w:val="44CD14E0"/>
    <w:rsid w:val="44D31075"/>
    <w:rsid w:val="44ED37C1"/>
    <w:rsid w:val="44F20B0B"/>
    <w:rsid w:val="45017268"/>
    <w:rsid w:val="45191458"/>
    <w:rsid w:val="452E5F4C"/>
    <w:rsid w:val="45304A76"/>
    <w:rsid w:val="453C1A4E"/>
    <w:rsid w:val="45490C1F"/>
    <w:rsid w:val="454A1571"/>
    <w:rsid w:val="4553384A"/>
    <w:rsid w:val="455D0AE8"/>
    <w:rsid w:val="455D78BE"/>
    <w:rsid w:val="45612018"/>
    <w:rsid w:val="45641902"/>
    <w:rsid w:val="4585470D"/>
    <w:rsid w:val="458647E4"/>
    <w:rsid w:val="458946E9"/>
    <w:rsid w:val="458A2EF4"/>
    <w:rsid w:val="45923040"/>
    <w:rsid w:val="459508FA"/>
    <w:rsid w:val="45A47C0E"/>
    <w:rsid w:val="45AA6620"/>
    <w:rsid w:val="45B67CA7"/>
    <w:rsid w:val="45C17353"/>
    <w:rsid w:val="45C3727B"/>
    <w:rsid w:val="45C65518"/>
    <w:rsid w:val="45C97056"/>
    <w:rsid w:val="45D025F2"/>
    <w:rsid w:val="45EF7EF4"/>
    <w:rsid w:val="45F12DF0"/>
    <w:rsid w:val="463C379E"/>
    <w:rsid w:val="464365A6"/>
    <w:rsid w:val="46577FD6"/>
    <w:rsid w:val="46636A74"/>
    <w:rsid w:val="46705253"/>
    <w:rsid w:val="468C5B5B"/>
    <w:rsid w:val="468E6891"/>
    <w:rsid w:val="468F62DA"/>
    <w:rsid w:val="46A91F6F"/>
    <w:rsid w:val="46D102D4"/>
    <w:rsid w:val="46D955A7"/>
    <w:rsid w:val="46DF5F90"/>
    <w:rsid w:val="46E40E1E"/>
    <w:rsid w:val="46F463E2"/>
    <w:rsid w:val="470254A2"/>
    <w:rsid w:val="470628CB"/>
    <w:rsid w:val="47133957"/>
    <w:rsid w:val="471F350B"/>
    <w:rsid w:val="471F7215"/>
    <w:rsid w:val="472629F5"/>
    <w:rsid w:val="472B7758"/>
    <w:rsid w:val="473D0A98"/>
    <w:rsid w:val="473E328A"/>
    <w:rsid w:val="476017DF"/>
    <w:rsid w:val="47786CD0"/>
    <w:rsid w:val="478426D2"/>
    <w:rsid w:val="478C5C0D"/>
    <w:rsid w:val="4792415F"/>
    <w:rsid w:val="4799283E"/>
    <w:rsid w:val="479C0B33"/>
    <w:rsid w:val="47A07E0C"/>
    <w:rsid w:val="47A35E33"/>
    <w:rsid w:val="47B85E16"/>
    <w:rsid w:val="47D11D47"/>
    <w:rsid w:val="47D13A0B"/>
    <w:rsid w:val="47FB0E07"/>
    <w:rsid w:val="47FC5871"/>
    <w:rsid w:val="48270D4B"/>
    <w:rsid w:val="48284AC3"/>
    <w:rsid w:val="4870272E"/>
    <w:rsid w:val="487A3570"/>
    <w:rsid w:val="487A3C7D"/>
    <w:rsid w:val="4884601F"/>
    <w:rsid w:val="48860305"/>
    <w:rsid w:val="488D68E0"/>
    <w:rsid w:val="48962DCF"/>
    <w:rsid w:val="48C435AA"/>
    <w:rsid w:val="48C92781"/>
    <w:rsid w:val="48D01921"/>
    <w:rsid w:val="48EC21D9"/>
    <w:rsid w:val="48ED118F"/>
    <w:rsid w:val="490E7669"/>
    <w:rsid w:val="490F322F"/>
    <w:rsid w:val="492D6300"/>
    <w:rsid w:val="49333036"/>
    <w:rsid w:val="493F5B22"/>
    <w:rsid w:val="494E2307"/>
    <w:rsid w:val="496D1A2C"/>
    <w:rsid w:val="499159AE"/>
    <w:rsid w:val="49975A5C"/>
    <w:rsid w:val="49B26913"/>
    <w:rsid w:val="49D3124A"/>
    <w:rsid w:val="49D45404"/>
    <w:rsid w:val="49DC7715"/>
    <w:rsid w:val="49DF5A70"/>
    <w:rsid w:val="49E40AF2"/>
    <w:rsid w:val="49F26D29"/>
    <w:rsid w:val="49F56217"/>
    <w:rsid w:val="4A00080A"/>
    <w:rsid w:val="4A023139"/>
    <w:rsid w:val="4A267309"/>
    <w:rsid w:val="4A5278B2"/>
    <w:rsid w:val="4A6A1F79"/>
    <w:rsid w:val="4A7706DB"/>
    <w:rsid w:val="4A7A3B35"/>
    <w:rsid w:val="4A7B576F"/>
    <w:rsid w:val="4A7E5AC7"/>
    <w:rsid w:val="4A833F62"/>
    <w:rsid w:val="4A98379F"/>
    <w:rsid w:val="4AAB138D"/>
    <w:rsid w:val="4AAB52E9"/>
    <w:rsid w:val="4AF0688F"/>
    <w:rsid w:val="4AF561A9"/>
    <w:rsid w:val="4B171119"/>
    <w:rsid w:val="4B2962CB"/>
    <w:rsid w:val="4B67093E"/>
    <w:rsid w:val="4B9C479F"/>
    <w:rsid w:val="4BD5286C"/>
    <w:rsid w:val="4BE1533C"/>
    <w:rsid w:val="4BE82A9A"/>
    <w:rsid w:val="4C132256"/>
    <w:rsid w:val="4C1406C1"/>
    <w:rsid w:val="4C172533"/>
    <w:rsid w:val="4C1926F3"/>
    <w:rsid w:val="4C1D1CED"/>
    <w:rsid w:val="4C1E4E22"/>
    <w:rsid w:val="4C2F1256"/>
    <w:rsid w:val="4C366CAE"/>
    <w:rsid w:val="4C444B00"/>
    <w:rsid w:val="4C470922"/>
    <w:rsid w:val="4C4A0649"/>
    <w:rsid w:val="4C4D5C0C"/>
    <w:rsid w:val="4C6850EC"/>
    <w:rsid w:val="4C7E5ECA"/>
    <w:rsid w:val="4C876AA5"/>
    <w:rsid w:val="4C8B2B22"/>
    <w:rsid w:val="4C9022C7"/>
    <w:rsid w:val="4C9B3AB5"/>
    <w:rsid w:val="4CA42F11"/>
    <w:rsid w:val="4CCE2BAC"/>
    <w:rsid w:val="4CD764C8"/>
    <w:rsid w:val="4CDB50CD"/>
    <w:rsid w:val="4CF17B79"/>
    <w:rsid w:val="4CF36BA4"/>
    <w:rsid w:val="4CF50515"/>
    <w:rsid w:val="4D072F96"/>
    <w:rsid w:val="4D0E00FB"/>
    <w:rsid w:val="4D1643B3"/>
    <w:rsid w:val="4D176606"/>
    <w:rsid w:val="4D202D59"/>
    <w:rsid w:val="4D2F50F8"/>
    <w:rsid w:val="4D5C348D"/>
    <w:rsid w:val="4D6B3D5A"/>
    <w:rsid w:val="4D804334"/>
    <w:rsid w:val="4D876997"/>
    <w:rsid w:val="4D887522"/>
    <w:rsid w:val="4D933ECE"/>
    <w:rsid w:val="4D9D0D8A"/>
    <w:rsid w:val="4DAC43EE"/>
    <w:rsid w:val="4DB03642"/>
    <w:rsid w:val="4DC212ED"/>
    <w:rsid w:val="4DD3633F"/>
    <w:rsid w:val="4DEC4FB0"/>
    <w:rsid w:val="4DFE24A0"/>
    <w:rsid w:val="4E075D8A"/>
    <w:rsid w:val="4E0A25FF"/>
    <w:rsid w:val="4E233626"/>
    <w:rsid w:val="4E2908CB"/>
    <w:rsid w:val="4E2F0769"/>
    <w:rsid w:val="4E3A4529"/>
    <w:rsid w:val="4E4F162B"/>
    <w:rsid w:val="4E8515B8"/>
    <w:rsid w:val="4E857BE9"/>
    <w:rsid w:val="4E9E313F"/>
    <w:rsid w:val="4EBE58CB"/>
    <w:rsid w:val="4EC00FAD"/>
    <w:rsid w:val="4ECA755A"/>
    <w:rsid w:val="4ECD5294"/>
    <w:rsid w:val="4ED70169"/>
    <w:rsid w:val="4EEB2F49"/>
    <w:rsid w:val="4EFC63A0"/>
    <w:rsid w:val="4F035EDA"/>
    <w:rsid w:val="4F1550E3"/>
    <w:rsid w:val="4F234ED1"/>
    <w:rsid w:val="4F246C5E"/>
    <w:rsid w:val="4F2F414C"/>
    <w:rsid w:val="4F3168D5"/>
    <w:rsid w:val="4F58791E"/>
    <w:rsid w:val="4F69371B"/>
    <w:rsid w:val="4F8444A1"/>
    <w:rsid w:val="4F9843DC"/>
    <w:rsid w:val="4F990102"/>
    <w:rsid w:val="4FBD2445"/>
    <w:rsid w:val="4FC62A8C"/>
    <w:rsid w:val="4FE20F0D"/>
    <w:rsid w:val="4FE51552"/>
    <w:rsid w:val="4FF0355D"/>
    <w:rsid w:val="50175B49"/>
    <w:rsid w:val="50504C4B"/>
    <w:rsid w:val="50597F0F"/>
    <w:rsid w:val="505A4451"/>
    <w:rsid w:val="508B784F"/>
    <w:rsid w:val="509A2B2F"/>
    <w:rsid w:val="509C6E7C"/>
    <w:rsid w:val="50AF03E6"/>
    <w:rsid w:val="50B53461"/>
    <w:rsid w:val="50C32DBB"/>
    <w:rsid w:val="50DA42CA"/>
    <w:rsid w:val="50DD26F1"/>
    <w:rsid w:val="50DE63C8"/>
    <w:rsid w:val="50E9301D"/>
    <w:rsid w:val="50FC276F"/>
    <w:rsid w:val="510267FB"/>
    <w:rsid w:val="51041A36"/>
    <w:rsid w:val="510E0E86"/>
    <w:rsid w:val="51142088"/>
    <w:rsid w:val="512F7EB8"/>
    <w:rsid w:val="51340C64"/>
    <w:rsid w:val="514349DF"/>
    <w:rsid w:val="5162104E"/>
    <w:rsid w:val="516C0EE5"/>
    <w:rsid w:val="516D71ED"/>
    <w:rsid w:val="51A0391C"/>
    <w:rsid w:val="51B67921"/>
    <w:rsid w:val="51CA4517"/>
    <w:rsid w:val="51E1186B"/>
    <w:rsid w:val="522007B8"/>
    <w:rsid w:val="522D20D3"/>
    <w:rsid w:val="523000CF"/>
    <w:rsid w:val="524A65DD"/>
    <w:rsid w:val="525070F0"/>
    <w:rsid w:val="52635035"/>
    <w:rsid w:val="5268268C"/>
    <w:rsid w:val="52C33067"/>
    <w:rsid w:val="52C468F8"/>
    <w:rsid w:val="52E65FFF"/>
    <w:rsid w:val="52EA12F3"/>
    <w:rsid w:val="53216551"/>
    <w:rsid w:val="532D490C"/>
    <w:rsid w:val="53735171"/>
    <w:rsid w:val="537A2251"/>
    <w:rsid w:val="53835129"/>
    <w:rsid w:val="53A039CC"/>
    <w:rsid w:val="53A1505A"/>
    <w:rsid w:val="53A67DF6"/>
    <w:rsid w:val="53AB0651"/>
    <w:rsid w:val="54063E08"/>
    <w:rsid w:val="5408079A"/>
    <w:rsid w:val="541A4E5C"/>
    <w:rsid w:val="54295E4B"/>
    <w:rsid w:val="543437E8"/>
    <w:rsid w:val="543F373B"/>
    <w:rsid w:val="54685EE8"/>
    <w:rsid w:val="54864630"/>
    <w:rsid w:val="548F37CF"/>
    <w:rsid w:val="54924981"/>
    <w:rsid w:val="54CD4A28"/>
    <w:rsid w:val="54E54279"/>
    <w:rsid w:val="54F425F4"/>
    <w:rsid w:val="54F55D2D"/>
    <w:rsid w:val="54F73313"/>
    <w:rsid w:val="54F80955"/>
    <w:rsid w:val="5512068D"/>
    <w:rsid w:val="555170A7"/>
    <w:rsid w:val="55631EE3"/>
    <w:rsid w:val="557A430A"/>
    <w:rsid w:val="557D2DF5"/>
    <w:rsid w:val="55817760"/>
    <w:rsid w:val="5587536D"/>
    <w:rsid w:val="558C5AE7"/>
    <w:rsid w:val="558E0D85"/>
    <w:rsid w:val="559B174B"/>
    <w:rsid w:val="55A95AB1"/>
    <w:rsid w:val="55CE0CF4"/>
    <w:rsid w:val="55E338B9"/>
    <w:rsid w:val="56153C71"/>
    <w:rsid w:val="561B6F98"/>
    <w:rsid w:val="561E0D43"/>
    <w:rsid w:val="563C155A"/>
    <w:rsid w:val="563E1FD9"/>
    <w:rsid w:val="564F1F29"/>
    <w:rsid w:val="567C4AA6"/>
    <w:rsid w:val="569C7A03"/>
    <w:rsid w:val="56A51FC7"/>
    <w:rsid w:val="56A54D03"/>
    <w:rsid w:val="56AA20FB"/>
    <w:rsid w:val="56B22A9C"/>
    <w:rsid w:val="56C4574F"/>
    <w:rsid w:val="56E33C6B"/>
    <w:rsid w:val="56EF0376"/>
    <w:rsid w:val="56EF4397"/>
    <w:rsid w:val="56EF6932"/>
    <w:rsid w:val="57211DAF"/>
    <w:rsid w:val="573A2B53"/>
    <w:rsid w:val="573C5226"/>
    <w:rsid w:val="57493B19"/>
    <w:rsid w:val="57553BE2"/>
    <w:rsid w:val="575B27BF"/>
    <w:rsid w:val="575D6852"/>
    <w:rsid w:val="576B154F"/>
    <w:rsid w:val="577C64F5"/>
    <w:rsid w:val="57B414C9"/>
    <w:rsid w:val="57B72A76"/>
    <w:rsid w:val="57C3426C"/>
    <w:rsid w:val="57CE1F93"/>
    <w:rsid w:val="57EC1669"/>
    <w:rsid w:val="57FD2FF7"/>
    <w:rsid w:val="58075394"/>
    <w:rsid w:val="583419CF"/>
    <w:rsid w:val="583A39F9"/>
    <w:rsid w:val="583C352F"/>
    <w:rsid w:val="584367CA"/>
    <w:rsid w:val="58447C13"/>
    <w:rsid w:val="5846015B"/>
    <w:rsid w:val="58487AE6"/>
    <w:rsid w:val="585157E3"/>
    <w:rsid w:val="587E0155"/>
    <w:rsid w:val="58832BE9"/>
    <w:rsid w:val="58857055"/>
    <w:rsid w:val="588743D1"/>
    <w:rsid w:val="5887701A"/>
    <w:rsid w:val="58890792"/>
    <w:rsid w:val="588F0F96"/>
    <w:rsid w:val="58CC4041"/>
    <w:rsid w:val="58D64281"/>
    <w:rsid w:val="59033A75"/>
    <w:rsid w:val="592D2486"/>
    <w:rsid w:val="59425920"/>
    <w:rsid w:val="59474F12"/>
    <w:rsid w:val="596030BF"/>
    <w:rsid w:val="596811C3"/>
    <w:rsid w:val="598B598C"/>
    <w:rsid w:val="59A46998"/>
    <w:rsid w:val="59C0439F"/>
    <w:rsid w:val="59C41817"/>
    <w:rsid w:val="59D0390D"/>
    <w:rsid w:val="59E63131"/>
    <w:rsid w:val="59EC70AA"/>
    <w:rsid w:val="59ED5C18"/>
    <w:rsid w:val="59F62B76"/>
    <w:rsid w:val="5A01530B"/>
    <w:rsid w:val="5A0B2C4A"/>
    <w:rsid w:val="5A623E64"/>
    <w:rsid w:val="5A6464E6"/>
    <w:rsid w:val="5A6E7E8C"/>
    <w:rsid w:val="5A7959D0"/>
    <w:rsid w:val="5A7B7EDB"/>
    <w:rsid w:val="5A932B26"/>
    <w:rsid w:val="5AAB1367"/>
    <w:rsid w:val="5ABE2233"/>
    <w:rsid w:val="5AD130EA"/>
    <w:rsid w:val="5AF20EB1"/>
    <w:rsid w:val="5AF8735C"/>
    <w:rsid w:val="5AFE1A62"/>
    <w:rsid w:val="5B431B19"/>
    <w:rsid w:val="5B542D90"/>
    <w:rsid w:val="5B670D82"/>
    <w:rsid w:val="5B75441A"/>
    <w:rsid w:val="5B7B30BB"/>
    <w:rsid w:val="5B843E3C"/>
    <w:rsid w:val="5B864E83"/>
    <w:rsid w:val="5B90562F"/>
    <w:rsid w:val="5BA077B8"/>
    <w:rsid w:val="5BD606BD"/>
    <w:rsid w:val="5BD90B93"/>
    <w:rsid w:val="5BDF5D95"/>
    <w:rsid w:val="5BEE03A1"/>
    <w:rsid w:val="5BF13D64"/>
    <w:rsid w:val="5BFD6638"/>
    <w:rsid w:val="5BFE7528"/>
    <w:rsid w:val="5C363CDD"/>
    <w:rsid w:val="5C392759"/>
    <w:rsid w:val="5C533C55"/>
    <w:rsid w:val="5C564D8D"/>
    <w:rsid w:val="5C82571E"/>
    <w:rsid w:val="5C8C6049"/>
    <w:rsid w:val="5C966102"/>
    <w:rsid w:val="5C9746D3"/>
    <w:rsid w:val="5CA663FD"/>
    <w:rsid w:val="5CC934E6"/>
    <w:rsid w:val="5D0576AB"/>
    <w:rsid w:val="5D071AB8"/>
    <w:rsid w:val="5D156CCB"/>
    <w:rsid w:val="5D2900DD"/>
    <w:rsid w:val="5D350B78"/>
    <w:rsid w:val="5D367403"/>
    <w:rsid w:val="5D3F618A"/>
    <w:rsid w:val="5D465377"/>
    <w:rsid w:val="5D632B9E"/>
    <w:rsid w:val="5D7001DA"/>
    <w:rsid w:val="5D7768CC"/>
    <w:rsid w:val="5D847A44"/>
    <w:rsid w:val="5D920387"/>
    <w:rsid w:val="5D9E05A7"/>
    <w:rsid w:val="5DC6470A"/>
    <w:rsid w:val="5DC6688C"/>
    <w:rsid w:val="5DDC40D6"/>
    <w:rsid w:val="5DEC6996"/>
    <w:rsid w:val="5E090A7C"/>
    <w:rsid w:val="5E0B1935"/>
    <w:rsid w:val="5E2467F1"/>
    <w:rsid w:val="5E321CDE"/>
    <w:rsid w:val="5E434C52"/>
    <w:rsid w:val="5E442CA0"/>
    <w:rsid w:val="5E563BFF"/>
    <w:rsid w:val="5E591A42"/>
    <w:rsid w:val="5E7B72A3"/>
    <w:rsid w:val="5E7F7D1C"/>
    <w:rsid w:val="5E8D24F9"/>
    <w:rsid w:val="5E944527"/>
    <w:rsid w:val="5E9E26C8"/>
    <w:rsid w:val="5EA60CFE"/>
    <w:rsid w:val="5EBE02DB"/>
    <w:rsid w:val="5ED3232E"/>
    <w:rsid w:val="5EDD1A0D"/>
    <w:rsid w:val="5EE22D1E"/>
    <w:rsid w:val="5EEB53C1"/>
    <w:rsid w:val="5EF85D34"/>
    <w:rsid w:val="5EFD23AE"/>
    <w:rsid w:val="5F0B40EB"/>
    <w:rsid w:val="5F172392"/>
    <w:rsid w:val="5F1A2B43"/>
    <w:rsid w:val="5F294AE5"/>
    <w:rsid w:val="5F2D41D5"/>
    <w:rsid w:val="5F311A8C"/>
    <w:rsid w:val="5F577493"/>
    <w:rsid w:val="5F5B6DE6"/>
    <w:rsid w:val="5F5F0972"/>
    <w:rsid w:val="5F647D46"/>
    <w:rsid w:val="5F661200"/>
    <w:rsid w:val="5F7C05C5"/>
    <w:rsid w:val="5FA06F17"/>
    <w:rsid w:val="5FA94790"/>
    <w:rsid w:val="5FB837BB"/>
    <w:rsid w:val="5FC060AE"/>
    <w:rsid w:val="5FC67A7F"/>
    <w:rsid w:val="5FD35112"/>
    <w:rsid w:val="601E0F1E"/>
    <w:rsid w:val="602816AC"/>
    <w:rsid w:val="60293C95"/>
    <w:rsid w:val="602F1E07"/>
    <w:rsid w:val="603116A7"/>
    <w:rsid w:val="60343388"/>
    <w:rsid w:val="603766C1"/>
    <w:rsid w:val="603A0C28"/>
    <w:rsid w:val="604B2775"/>
    <w:rsid w:val="604F3CE0"/>
    <w:rsid w:val="608645FD"/>
    <w:rsid w:val="608E1541"/>
    <w:rsid w:val="60BA22EA"/>
    <w:rsid w:val="60CC405A"/>
    <w:rsid w:val="60CC565A"/>
    <w:rsid w:val="60CF0010"/>
    <w:rsid w:val="60E80E3E"/>
    <w:rsid w:val="60F859FA"/>
    <w:rsid w:val="612155FE"/>
    <w:rsid w:val="6124721E"/>
    <w:rsid w:val="6128205D"/>
    <w:rsid w:val="612D1708"/>
    <w:rsid w:val="614918DA"/>
    <w:rsid w:val="615B2D1D"/>
    <w:rsid w:val="6174564F"/>
    <w:rsid w:val="61776447"/>
    <w:rsid w:val="618407E7"/>
    <w:rsid w:val="61B009E9"/>
    <w:rsid w:val="61B73BDF"/>
    <w:rsid w:val="61B85EB8"/>
    <w:rsid w:val="61BB4F80"/>
    <w:rsid w:val="61E215D8"/>
    <w:rsid w:val="61FD104C"/>
    <w:rsid w:val="62187BC7"/>
    <w:rsid w:val="621B3775"/>
    <w:rsid w:val="62364782"/>
    <w:rsid w:val="62592339"/>
    <w:rsid w:val="626562A0"/>
    <w:rsid w:val="626F7C94"/>
    <w:rsid w:val="628E2EF5"/>
    <w:rsid w:val="62936ADB"/>
    <w:rsid w:val="62A46138"/>
    <w:rsid w:val="62D34C09"/>
    <w:rsid w:val="62F3644F"/>
    <w:rsid w:val="63433E8C"/>
    <w:rsid w:val="634C32FF"/>
    <w:rsid w:val="635667D9"/>
    <w:rsid w:val="63703AA7"/>
    <w:rsid w:val="6394356A"/>
    <w:rsid w:val="63AA1725"/>
    <w:rsid w:val="63AE7638"/>
    <w:rsid w:val="63BA4040"/>
    <w:rsid w:val="63C61B2C"/>
    <w:rsid w:val="63D40BE9"/>
    <w:rsid w:val="63DE25DA"/>
    <w:rsid w:val="63E4526F"/>
    <w:rsid w:val="64102431"/>
    <w:rsid w:val="641920C5"/>
    <w:rsid w:val="641E0988"/>
    <w:rsid w:val="641F4B74"/>
    <w:rsid w:val="64211EE5"/>
    <w:rsid w:val="64216B3E"/>
    <w:rsid w:val="64557AE9"/>
    <w:rsid w:val="646A0092"/>
    <w:rsid w:val="64831AF0"/>
    <w:rsid w:val="64A5243A"/>
    <w:rsid w:val="64B83D30"/>
    <w:rsid w:val="64BE204E"/>
    <w:rsid w:val="64E20C5E"/>
    <w:rsid w:val="64E536C8"/>
    <w:rsid w:val="64EB536B"/>
    <w:rsid w:val="64ED37AB"/>
    <w:rsid w:val="64EF09EB"/>
    <w:rsid w:val="64F531DE"/>
    <w:rsid w:val="6502023B"/>
    <w:rsid w:val="65034475"/>
    <w:rsid w:val="650A66C8"/>
    <w:rsid w:val="651C083D"/>
    <w:rsid w:val="65222BDE"/>
    <w:rsid w:val="65373578"/>
    <w:rsid w:val="653C2980"/>
    <w:rsid w:val="65435DE9"/>
    <w:rsid w:val="65483C13"/>
    <w:rsid w:val="65491AB6"/>
    <w:rsid w:val="654C013B"/>
    <w:rsid w:val="655A4097"/>
    <w:rsid w:val="655A4B55"/>
    <w:rsid w:val="65666BCE"/>
    <w:rsid w:val="65812D67"/>
    <w:rsid w:val="65863933"/>
    <w:rsid w:val="658E60A3"/>
    <w:rsid w:val="65AB02D0"/>
    <w:rsid w:val="65B36DEF"/>
    <w:rsid w:val="65D14E30"/>
    <w:rsid w:val="65E120E1"/>
    <w:rsid w:val="65EE05EB"/>
    <w:rsid w:val="65EF62E3"/>
    <w:rsid w:val="65F02B9F"/>
    <w:rsid w:val="65F3525F"/>
    <w:rsid w:val="660D7CC5"/>
    <w:rsid w:val="66100C18"/>
    <w:rsid w:val="6614005E"/>
    <w:rsid w:val="6618760C"/>
    <w:rsid w:val="66557471"/>
    <w:rsid w:val="666B5A11"/>
    <w:rsid w:val="66876188"/>
    <w:rsid w:val="66BD399D"/>
    <w:rsid w:val="66BE2423"/>
    <w:rsid w:val="66C01ABB"/>
    <w:rsid w:val="66D006EF"/>
    <w:rsid w:val="66D24930"/>
    <w:rsid w:val="66DB4D83"/>
    <w:rsid w:val="66E77372"/>
    <w:rsid w:val="66EF68AF"/>
    <w:rsid w:val="66FC710B"/>
    <w:rsid w:val="67006EDF"/>
    <w:rsid w:val="67057D46"/>
    <w:rsid w:val="671F124A"/>
    <w:rsid w:val="675863D3"/>
    <w:rsid w:val="677A33C6"/>
    <w:rsid w:val="67827E91"/>
    <w:rsid w:val="67843FA6"/>
    <w:rsid w:val="67861860"/>
    <w:rsid w:val="678F3674"/>
    <w:rsid w:val="67932B6E"/>
    <w:rsid w:val="67A87D12"/>
    <w:rsid w:val="67AE636D"/>
    <w:rsid w:val="67B07183"/>
    <w:rsid w:val="67C06E3C"/>
    <w:rsid w:val="68017DE0"/>
    <w:rsid w:val="6806201B"/>
    <w:rsid w:val="681E14B0"/>
    <w:rsid w:val="681F1AE0"/>
    <w:rsid w:val="681F6961"/>
    <w:rsid w:val="68380A78"/>
    <w:rsid w:val="68517ED9"/>
    <w:rsid w:val="68610A2F"/>
    <w:rsid w:val="68632057"/>
    <w:rsid w:val="68805514"/>
    <w:rsid w:val="68916427"/>
    <w:rsid w:val="68C42907"/>
    <w:rsid w:val="68D238E3"/>
    <w:rsid w:val="68D82888"/>
    <w:rsid w:val="68E629DE"/>
    <w:rsid w:val="69025F20"/>
    <w:rsid w:val="6907225D"/>
    <w:rsid w:val="69087969"/>
    <w:rsid w:val="69316E2F"/>
    <w:rsid w:val="694E2071"/>
    <w:rsid w:val="6969358B"/>
    <w:rsid w:val="696D0967"/>
    <w:rsid w:val="69761FDD"/>
    <w:rsid w:val="69766163"/>
    <w:rsid w:val="697A3B33"/>
    <w:rsid w:val="69BA6A16"/>
    <w:rsid w:val="69D44760"/>
    <w:rsid w:val="69D743CA"/>
    <w:rsid w:val="69DC5E5C"/>
    <w:rsid w:val="69DE6E8D"/>
    <w:rsid w:val="69E23ECC"/>
    <w:rsid w:val="69FF7BB4"/>
    <w:rsid w:val="6A520EC7"/>
    <w:rsid w:val="6A7E546E"/>
    <w:rsid w:val="6A7F5888"/>
    <w:rsid w:val="6AC025F2"/>
    <w:rsid w:val="6AD73E29"/>
    <w:rsid w:val="6AD912D7"/>
    <w:rsid w:val="6AE53503"/>
    <w:rsid w:val="6AE90A61"/>
    <w:rsid w:val="6AF75F04"/>
    <w:rsid w:val="6AF87E20"/>
    <w:rsid w:val="6B0661AA"/>
    <w:rsid w:val="6B0B1692"/>
    <w:rsid w:val="6B322639"/>
    <w:rsid w:val="6B424CD1"/>
    <w:rsid w:val="6B433D86"/>
    <w:rsid w:val="6B4D4826"/>
    <w:rsid w:val="6B5270A4"/>
    <w:rsid w:val="6B5A1965"/>
    <w:rsid w:val="6B6433C1"/>
    <w:rsid w:val="6B6A4067"/>
    <w:rsid w:val="6B95202E"/>
    <w:rsid w:val="6BB44515"/>
    <w:rsid w:val="6BBA58AE"/>
    <w:rsid w:val="6BE24647"/>
    <w:rsid w:val="6BE26BB3"/>
    <w:rsid w:val="6C0E202B"/>
    <w:rsid w:val="6C16656A"/>
    <w:rsid w:val="6C352571"/>
    <w:rsid w:val="6C636C38"/>
    <w:rsid w:val="6C677CCE"/>
    <w:rsid w:val="6C684F19"/>
    <w:rsid w:val="6C7655BB"/>
    <w:rsid w:val="6C913668"/>
    <w:rsid w:val="6C974DC6"/>
    <w:rsid w:val="6CA6757D"/>
    <w:rsid w:val="6CAD0F6F"/>
    <w:rsid w:val="6CC51CA4"/>
    <w:rsid w:val="6CC9172C"/>
    <w:rsid w:val="6CCC7477"/>
    <w:rsid w:val="6CE67E96"/>
    <w:rsid w:val="6CFB04E0"/>
    <w:rsid w:val="6CFF0B45"/>
    <w:rsid w:val="6D1A57E7"/>
    <w:rsid w:val="6D1D4107"/>
    <w:rsid w:val="6D227C98"/>
    <w:rsid w:val="6D410BCE"/>
    <w:rsid w:val="6D536D97"/>
    <w:rsid w:val="6D673A8B"/>
    <w:rsid w:val="6D6D4BA2"/>
    <w:rsid w:val="6D8A34D6"/>
    <w:rsid w:val="6D965EA7"/>
    <w:rsid w:val="6D9D55E5"/>
    <w:rsid w:val="6DA75BAB"/>
    <w:rsid w:val="6DA81E02"/>
    <w:rsid w:val="6DAB2C8A"/>
    <w:rsid w:val="6DAE66ED"/>
    <w:rsid w:val="6DB34098"/>
    <w:rsid w:val="6DB545B6"/>
    <w:rsid w:val="6DC50917"/>
    <w:rsid w:val="6DC67C18"/>
    <w:rsid w:val="6DDD1535"/>
    <w:rsid w:val="6DDE33AA"/>
    <w:rsid w:val="6DE02FB4"/>
    <w:rsid w:val="6DE36C13"/>
    <w:rsid w:val="6DE62D33"/>
    <w:rsid w:val="6DE63109"/>
    <w:rsid w:val="6DFE6541"/>
    <w:rsid w:val="6E1C7225"/>
    <w:rsid w:val="6E3D4575"/>
    <w:rsid w:val="6E514CED"/>
    <w:rsid w:val="6E5378F4"/>
    <w:rsid w:val="6E675F15"/>
    <w:rsid w:val="6E7064BC"/>
    <w:rsid w:val="6E7A1D2F"/>
    <w:rsid w:val="6E7D0E15"/>
    <w:rsid w:val="6E845BD5"/>
    <w:rsid w:val="6EA3381F"/>
    <w:rsid w:val="6EB563D5"/>
    <w:rsid w:val="6ED92677"/>
    <w:rsid w:val="6EDB17D1"/>
    <w:rsid w:val="6EDD144A"/>
    <w:rsid w:val="6EEE586F"/>
    <w:rsid w:val="6F1E6154"/>
    <w:rsid w:val="6F225983"/>
    <w:rsid w:val="6F2A4DA3"/>
    <w:rsid w:val="6F340F35"/>
    <w:rsid w:val="6F732867"/>
    <w:rsid w:val="6F972ACD"/>
    <w:rsid w:val="6FD165D7"/>
    <w:rsid w:val="6FFC5590"/>
    <w:rsid w:val="700943F5"/>
    <w:rsid w:val="70541BB6"/>
    <w:rsid w:val="705E1831"/>
    <w:rsid w:val="706D1DD0"/>
    <w:rsid w:val="708265DE"/>
    <w:rsid w:val="70826FC5"/>
    <w:rsid w:val="70856B87"/>
    <w:rsid w:val="70A67B23"/>
    <w:rsid w:val="70A807C6"/>
    <w:rsid w:val="70CB6B0C"/>
    <w:rsid w:val="70D527EE"/>
    <w:rsid w:val="70F30660"/>
    <w:rsid w:val="70F72A21"/>
    <w:rsid w:val="71137758"/>
    <w:rsid w:val="7113780F"/>
    <w:rsid w:val="71231CD1"/>
    <w:rsid w:val="71504AF6"/>
    <w:rsid w:val="71580581"/>
    <w:rsid w:val="715B5300"/>
    <w:rsid w:val="717224A8"/>
    <w:rsid w:val="718F788D"/>
    <w:rsid w:val="7197625B"/>
    <w:rsid w:val="71B72595"/>
    <w:rsid w:val="71BA6E32"/>
    <w:rsid w:val="71CC3085"/>
    <w:rsid w:val="71D27F8A"/>
    <w:rsid w:val="722F16E0"/>
    <w:rsid w:val="7233357B"/>
    <w:rsid w:val="72553024"/>
    <w:rsid w:val="72564A11"/>
    <w:rsid w:val="727A4A28"/>
    <w:rsid w:val="72B926C4"/>
    <w:rsid w:val="72C102BC"/>
    <w:rsid w:val="72C258EA"/>
    <w:rsid w:val="72D76045"/>
    <w:rsid w:val="72DF436B"/>
    <w:rsid w:val="72E26260"/>
    <w:rsid w:val="73122968"/>
    <w:rsid w:val="731F5D5E"/>
    <w:rsid w:val="73465C7A"/>
    <w:rsid w:val="73540C2C"/>
    <w:rsid w:val="737B02B7"/>
    <w:rsid w:val="7384761B"/>
    <w:rsid w:val="738934CF"/>
    <w:rsid w:val="73893DB8"/>
    <w:rsid w:val="73A95D94"/>
    <w:rsid w:val="73AE7809"/>
    <w:rsid w:val="73C51AD5"/>
    <w:rsid w:val="73D31D65"/>
    <w:rsid w:val="73EA5388"/>
    <w:rsid w:val="73EC0CB5"/>
    <w:rsid w:val="73EF4D9E"/>
    <w:rsid w:val="73FE455D"/>
    <w:rsid w:val="74050A99"/>
    <w:rsid w:val="74056110"/>
    <w:rsid w:val="741E793C"/>
    <w:rsid w:val="743722C7"/>
    <w:rsid w:val="743F6C3D"/>
    <w:rsid w:val="744E0792"/>
    <w:rsid w:val="74512859"/>
    <w:rsid w:val="74565626"/>
    <w:rsid w:val="7456738C"/>
    <w:rsid w:val="745C3B85"/>
    <w:rsid w:val="745E3944"/>
    <w:rsid w:val="747B6DC4"/>
    <w:rsid w:val="749F21A4"/>
    <w:rsid w:val="74B07C2D"/>
    <w:rsid w:val="74C66EA0"/>
    <w:rsid w:val="74D55507"/>
    <w:rsid w:val="74E21FFB"/>
    <w:rsid w:val="75261540"/>
    <w:rsid w:val="7531117B"/>
    <w:rsid w:val="753E7047"/>
    <w:rsid w:val="754E27EF"/>
    <w:rsid w:val="7552783C"/>
    <w:rsid w:val="756652F1"/>
    <w:rsid w:val="757B02C5"/>
    <w:rsid w:val="757C5983"/>
    <w:rsid w:val="75855A79"/>
    <w:rsid w:val="75944076"/>
    <w:rsid w:val="75AD3111"/>
    <w:rsid w:val="75C15A8B"/>
    <w:rsid w:val="75C64A95"/>
    <w:rsid w:val="75DC126D"/>
    <w:rsid w:val="75DF3C62"/>
    <w:rsid w:val="76094526"/>
    <w:rsid w:val="7612475B"/>
    <w:rsid w:val="7618684D"/>
    <w:rsid w:val="761F259E"/>
    <w:rsid w:val="7635099D"/>
    <w:rsid w:val="76364AE6"/>
    <w:rsid w:val="7644698B"/>
    <w:rsid w:val="76451D18"/>
    <w:rsid w:val="765B4A61"/>
    <w:rsid w:val="766372D6"/>
    <w:rsid w:val="76C132DA"/>
    <w:rsid w:val="76CD21FF"/>
    <w:rsid w:val="76D66828"/>
    <w:rsid w:val="76D75987"/>
    <w:rsid w:val="76D8478C"/>
    <w:rsid w:val="76E052D5"/>
    <w:rsid w:val="76EE065D"/>
    <w:rsid w:val="77065956"/>
    <w:rsid w:val="77106CCA"/>
    <w:rsid w:val="771D3195"/>
    <w:rsid w:val="772113EC"/>
    <w:rsid w:val="772B3258"/>
    <w:rsid w:val="77366751"/>
    <w:rsid w:val="773B62E9"/>
    <w:rsid w:val="77561E61"/>
    <w:rsid w:val="77762421"/>
    <w:rsid w:val="777E6441"/>
    <w:rsid w:val="77811E43"/>
    <w:rsid w:val="77B56B1F"/>
    <w:rsid w:val="77C61210"/>
    <w:rsid w:val="77CB584B"/>
    <w:rsid w:val="77CF7DC0"/>
    <w:rsid w:val="77E24114"/>
    <w:rsid w:val="78084406"/>
    <w:rsid w:val="780D398B"/>
    <w:rsid w:val="780F09F4"/>
    <w:rsid w:val="781778BB"/>
    <w:rsid w:val="7820387C"/>
    <w:rsid w:val="782C23C9"/>
    <w:rsid w:val="782C4019"/>
    <w:rsid w:val="782D11B6"/>
    <w:rsid w:val="78394278"/>
    <w:rsid w:val="78690258"/>
    <w:rsid w:val="789C633C"/>
    <w:rsid w:val="78A04C36"/>
    <w:rsid w:val="78A0547C"/>
    <w:rsid w:val="78A90480"/>
    <w:rsid w:val="78B6065F"/>
    <w:rsid w:val="78B91F01"/>
    <w:rsid w:val="78BB7E05"/>
    <w:rsid w:val="78DF4BA6"/>
    <w:rsid w:val="78E84CE4"/>
    <w:rsid w:val="78F81D84"/>
    <w:rsid w:val="78F910FB"/>
    <w:rsid w:val="791B5346"/>
    <w:rsid w:val="791D239E"/>
    <w:rsid w:val="79354D05"/>
    <w:rsid w:val="793E3CC3"/>
    <w:rsid w:val="795F1FF1"/>
    <w:rsid w:val="798929BE"/>
    <w:rsid w:val="798B1137"/>
    <w:rsid w:val="799C05F9"/>
    <w:rsid w:val="79B15C6C"/>
    <w:rsid w:val="79CA7A8D"/>
    <w:rsid w:val="79D23554"/>
    <w:rsid w:val="79DC5BD6"/>
    <w:rsid w:val="79E748F2"/>
    <w:rsid w:val="79EE7CD5"/>
    <w:rsid w:val="79F113D1"/>
    <w:rsid w:val="79F77CCE"/>
    <w:rsid w:val="7A12013C"/>
    <w:rsid w:val="7A193B1E"/>
    <w:rsid w:val="7A206D05"/>
    <w:rsid w:val="7A364017"/>
    <w:rsid w:val="7A4E0214"/>
    <w:rsid w:val="7A805488"/>
    <w:rsid w:val="7A8265E1"/>
    <w:rsid w:val="7A8F04A7"/>
    <w:rsid w:val="7AC1798C"/>
    <w:rsid w:val="7AC21015"/>
    <w:rsid w:val="7AD05873"/>
    <w:rsid w:val="7ADC3B7E"/>
    <w:rsid w:val="7AF41F17"/>
    <w:rsid w:val="7AFF4F3D"/>
    <w:rsid w:val="7B004ADD"/>
    <w:rsid w:val="7B1251BC"/>
    <w:rsid w:val="7B173ADE"/>
    <w:rsid w:val="7B22290C"/>
    <w:rsid w:val="7B537186"/>
    <w:rsid w:val="7B686D42"/>
    <w:rsid w:val="7B6C1C0D"/>
    <w:rsid w:val="7B841746"/>
    <w:rsid w:val="7B860A2C"/>
    <w:rsid w:val="7B8A691F"/>
    <w:rsid w:val="7B952855"/>
    <w:rsid w:val="7B993C05"/>
    <w:rsid w:val="7B9A1569"/>
    <w:rsid w:val="7B9F6FED"/>
    <w:rsid w:val="7BAC1A48"/>
    <w:rsid w:val="7BAC4AFF"/>
    <w:rsid w:val="7BAD7B4A"/>
    <w:rsid w:val="7BD32074"/>
    <w:rsid w:val="7BDD78B2"/>
    <w:rsid w:val="7BE47FDE"/>
    <w:rsid w:val="7BF42B6F"/>
    <w:rsid w:val="7BFB3340"/>
    <w:rsid w:val="7C08134D"/>
    <w:rsid w:val="7C1459B3"/>
    <w:rsid w:val="7C64519A"/>
    <w:rsid w:val="7C6454AE"/>
    <w:rsid w:val="7C6C5AC7"/>
    <w:rsid w:val="7C7C095E"/>
    <w:rsid w:val="7C91470E"/>
    <w:rsid w:val="7CC6544B"/>
    <w:rsid w:val="7CF961F7"/>
    <w:rsid w:val="7D0239FF"/>
    <w:rsid w:val="7D3B0CA8"/>
    <w:rsid w:val="7D473441"/>
    <w:rsid w:val="7D53622B"/>
    <w:rsid w:val="7D5E40CD"/>
    <w:rsid w:val="7D6951E5"/>
    <w:rsid w:val="7D7409B1"/>
    <w:rsid w:val="7D75175A"/>
    <w:rsid w:val="7D7D1662"/>
    <w:rsid w:val="7D8064AC"/>
    <w:rsid w:val="7DA077EC"/>
    <w:rsid w:val="7DA37098"/>
    <w:rsid w:val="7DB36D5C"/>
    <w:rsid w:val="7DB57F5F"/>
    <w:rsid w:val="7DCD56F2"/>
    <w:rsid w:val="7DE84943"/>
    <w:rsid w:val="7DF764EE"/>
    <w:rsid w:val="7E03352B"/>
    <w:rsid w:val="7E157327"/>
    <w:rsid w:val="7E1A5462"/>
    <w:rsid w:val="7E207DF2"/>
    <w:rsid w:val="7E240588"/>
    <w:rsid w:val="7E3243AD"/>
    <w:rsid w:val="7E37222F"/>
    <w:rsid w:val="7E3C517E"/>
    <w:rsid w:val="7E517702"/>
    <w:rsid w:val="7E591B17"/>
    <w:rsid w:val="7E751B09"/>
    <w:rsid w:val="7E8D0C00"/>
    <w:rsid w:val="7E927FC5"/>
    <w:rsid w:val="7E9A5A22"/>
    <w:rsid w:val="7EA85E94"/>
    <w:rsid w:val="7EA96C28"/>
    <w:rsid w:val="7EB42003"/>
    <w:rsid w:val="7EC116E2"/>
    <w:rsid w:val="7ECA4E00"/>
    <w:rsid w:val="7EFE6266"/>
    <w:rsid w:val="7F001CE7"/>
    <w:rsid w:val="7F14491D"/>
    <w:rsid w:val="7F6B05E2"/>
    <w:rsid w:val="7F6B3D69"/>
    <w:rsid w:val="7FDF2FEA"/>
    <w:rsid w:val="7FE47E50"/>
    <w:rsid w:val="7FE63405"/>
    <w:rsid w:val="7FEF52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iPriority="0" w:semiHidden="0" w:name="heading 4" w:locked="1"/>
    <w:lsdException w:qFormat="1"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semiHidden="0" w:name="caption" w:locked="1"/>
    <w:lsdException w:qFormat="1" w:uiPriority="99"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iPriority="99"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qFormat="1"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iPriority="99" w:semiHidden="0" w:name="Body Text 2" w:locked="1"/>
    <w:lsdException w:qFormat="1"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semiHidden="0" w:name="Balloon Text"/>
    <w:lsdException w:qFormat="1" w:unhideWhenUsed="0" w:uiPriority="0" w:semiHidden="0" w:name="Table Grid"/>
    <w:lsdException w:uiPriority="0"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napToGrid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autoRedefine/>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109"/>
    <w:autoRedefine/>
    <w:qFormat/>
    <w:locked/>
    <w:uiPriority w:val="0"/>
    <w:pPr>
      <w:keepNext/>
      <w:keepLines/>
      <w:spacing w:line="360" w:lineRule="auto"/>
      <w:ind w:firstLine="0" w:firstLineChars="0"/>
      <w:outlineLvl w:val="1"/>
    </w:pPr>
    <w:rPr>
      <w:b/>
      <w:bCs/>
      <w:szCs w:val="32"/>
    </w:rPr>
  </w:style>
  <w:style w:type="paragraph" w:styleId="4">
    <w:name w:val="heading 3"/>
    <w:basedOn w:val="1"/>
    <w:next w:val="1"/>
    <w:link w:val="41"/>
    <w:autoRedefine/>
    <w:qFormat/>
    <w:locked/>
    <w:uiPriority w:val="0"/>
    <w:pPr>
      <w:keepLines/>
      <w:adjustRightInd w:val="0"/>
      <w:spacing w:before="120" w:after="120" w:line="416" w:lineRule="atLeast"/>
      <w:textAlignment w:val="baseline"/>
      <w:outlineLvl w:val="2"/>
    </w:pPr>
    <w:rPr>
      <w:b/>
      <w:kern w:val="0"/>
      <w:sz w:val="24"/>
      <w:szCs w:val="20"/>
    </w:rPr>
  </w:style>
  <w:style w:type="paragraph" w:styleId="5">
    <w:name w:val="heading 4"/>
    <w:basedOn w:val="1"/>
    <w:next w:val="1"/>
    <w:autoRedefine/>
    <w:unhideWhenUsed/>
    <w:qFormat/>
    <w:locked/>
    <w:uiPriority w:val="0"/>
    <w:pPr>
      <w:spacing w:line="240" w:lineRule="auto"/>
      <w:outlineLvl w:val="3"/>
    </w:pPr>
    <w:rPr>
      <w:rFonts w:ascii="Times New Roman" w:hAnsi="Times New Roman" w:eastAsia="宋体"/>
      <w:b/>
      <w:bCs/>
      <w:sz w:val="21"/>
      <w:szCs w:val="28"/>
    </w:rPr>
  </w:style>
  <w:style w:type="paragraph" w:styleId="6">
    <w:name w:val="heading 5"/>
    <w:basedOn w:val="1"/>
    <w:next w:val="1"/>
    <w:autoRedefine/>
    <w:unhideWhenUsed/>
    <w:qFormat/>
    <w:locked/>
    <w:uiPriority w:val="0"/>
    <w:pPr>
      <w:keepNext/>
      <w:keepLines/>
      <w:spacing w:beforeLines="0" w:beforeAutospacing="0" w:afterLines="0" w:afterAutospacing="0" w:line="360" w:lineRule="auto"/>
      <w:ind w:firstLine="0" w:firstLineChars="0"/>
      <w:outlineLvl w:val="4"/>
    </w:pPr>
    <w:rPr>
      <w:rFonts w:ascii="Times New Roman" w:hAnsi="Times New Roman"/>
      <w:b/>
      <w:sz w:val="24"/>
    </w:rPr>
  </w:style>
  <w:style w:type="character" w:default="1" w:styleId="32">
    <w:name w:val="Default Paragraph Font"/>
    <w:autoRedefine/>
    <w:semiHidden/>
    <w:unhideWhenUsed/>
    <w:qFormat/>
    <w:uiPriority w:val="1"/>
  </w:style>
  <w:style w:type="table" w:default="1" w:styleId="30">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next w:val="1"/>
    <w:autoRedefine/>
    <w:qFormat/>
    <w:locked/>
    <w:uiPriority w:val="0"/>
    <w:pPr>
      <w:spacing w:line="240" w:lineRule="auto"/>
      <w:ind w:firstLine="0" w:firstLineChars="0"/>
      <w:jc w:val="center"/>
    </w:pPr>
    <w:rPr>
      <w:rFonts w:ascii="Times New Roman" w:hAnsi="Times New Roman"/>
      <w:sz w:val="21"/>
    </w:rPr>
  </w:style>
  <w:style w:type="paragraph" w:styleId="8">
    <w:name w:val="caption"/>
    <w:basedOn w:val="1"/>
    <w:next w:val="1"/>
    <w:unhideWhenUsed/>
    <w:qFormat/>
    <w:locked/>
    <w:uiPriority w:val="0"/>
    <w:pPr>
      <w:keepNext/>
      <w:adjustRightInd w:val="0"/>
      <w:spacing w:line="240" w:lineRule="auto"/>
      <w:ind w:firstLine="720" w:firstLineChars="200"/>
      <w:jc w:val="left"/>
    </w:pPr>
    <w:rPr>
      <w:rFonts w:ascii="Times New Roman" w:hAnsi="Times New Roman" w:eastAsia="宋体"/>
      <w:b/>
      <w:kern w:val="21"/>
      <w:sz w:val="21"/>
      <w:szCs w:val="20"/>
    </w:rPr>
  </w:style>
  <w:style w:type="paragraph" w:styleId="9">
    <w:name w:val="annotation text"/>
    <w:basedOn w:val="1"/>
    <w:link w:val="40"/>
    <w:autoRedefine/>
    <w:qFormat/>
    <w:uiPriority w:val="0"/>
    <w:pPr>
      <w:jc w:val="left"/>
    </w:pPr>
    <w:rPr>
      <w:kern w:val="0"/>
      <w:sz w:val="24"/>
      <w:szCs w:val="20"/>
    </w:rPr>
  </w:style>
  <w:style w:type="paragraph" w:styleId="10">
    <w:name w:val="Body Text 3"/>
    <w:basedOn w:val="1"/>
    <w:autoRedefine/>
    <w:qFormat/>
    <w:locked/>
    <w:uiPriority w:val="0"/>
    <w:pPr>
      <w:spacing w:line="360" w:lineRule="auto"/>
      <w:ind w:firstLine="0" w:firstLineChars="0"/>
      <w:jc w:val="center"/>
    </w:pPr>
    <w:rPr>
      <w:rFonts w:ascii="宋体" w:hAnsi="宋体"/>
      <w:b/>
      <w:sz w:val="28"/>
    </w:rPr>
  </w:style>
  <w:style w:type="paragraph" w:styleId="11">
    <w:name w:val="Body Text"/>
    <w:basedOn w:val="1"/>
    <w:next w:val="12"/>
    <w:link w:val="39"/>
    <w:autoRedefine/>
    <w:qFormat/>
    <w:uiPriority w:val="0"/>
    <w:pPr>
      <w:widowControl/>
      <w:adjustRightInd w:val="0"/>
      <w:snapToGrid w:val="0"/>
      <w:spacing w:line="240" w:lineRule="auto"/>
      <w:ind w:right="0" w:firstLine="0" w:firstLineChars="0"/>
      <w:jc w:val="center"/>
    </w:pPr>
    <w:rPr>
      <w:kern w:val="0"/>
      <w:szCs w:val="20"/>
    </w:rPr>
  </w:style>
  <w:style w:type="paragraph" w:styleId="12">
    <w:name w:val="List Bullet 5"/>
    <w:basedOn w:val="1"/>
    <w:autoRedefine/>
    <w:qFormat/>
    <w:locked/>
    <w:uiPriority w:val="0"/>
    <w:pPr>
      <w:numPr>
        <w:ilvl w:val="0"/>
        <w:numId w:val="1"/>
      </w:numPr>
    </w:pPr>
  </w:style>
  <w:style w:type="paragraph" w:styleId="13">
    <w:name w:val="Body Text Indent"/>
    <w:basedOn w:val="1"/>
    <w:next w:val="5"/>
    <w:link w:val="64"/>
    <w:autoRedefine/>
    <w:qFormat/>
    <w:uiPriority w:val="0"/>
    <w:pPr>
      <w:spacing w:after="120"/>
      <w:ind w:left="420" w:leftChars="200"/>
    </w:pPr>
    <w:rPr>
      <w:kern w:val="0"/>
      <w:sz w:val="24"/>
      <w:szCs w:val="20"/>
    </w:rPr>
  </w:style>
  <w:style w:type="paragraph" w:styleId="14">
    <w:name w:val="Block Text"/>
    <w:basedOn w:val="1"/>
    <w:autoRedefine/>
    <w:qFormat/>
    <w:locked/>
    <w:uiPriority w:val="0"/>
    <w:pPr>
      <w:spacing w:after="120"/>
      <w:ind w:left="1440" w:leftChars="700" w:right="700" w:rightChars="700"/>
    </w:pPr>
  </w:style>
  <w:style w:type="paragraph" w:styleId="15">
    <w:name w:val="Plain Text"/>
    <w:basedOn w:val="1"/>
    <w:next w:val="10"/>
    <w:autoRedefine/>
    <w:qFormat/>
    <w:locked/>
    <w:uiPriority w:val="0"/>
    <w:pPr>
      <w:ind w:firstLine="200" w:firstLineChars="200"/>
    </w:pPr>
    <w:rPr>
      <w:rFonts w:ascii="宋体"/>
      <w:bCs/>
      <w:color w:val="000000"/>
      <w:sz w:val="28"/>
      <w:szCs w:val="28"/>
    </w:rPr>
  </w:style>
  <w:style w:type="paragraph" w:styleId="16">
    <w:name w:val="Date"/>
    <w:basedOn w:val="1"/>
    <w:next w:val="1"/>
    <w:link w:val="70"/>
    <w:autoRedefine/>
    <w:qFormat/>
    <w:uiPriority w:val="0"/>
    <w:pPr>
      <w:ind w:left="100" w:leftChars="2500"/>
    </w:pPr>
    <w:rPr>
      <w:kern w:val="0"/>
      <w:sz w:val="24"/>
      <w:szCs w:val="20"/>
    </w:rPr>
  </w:style>
  <w:style w:type="paragraph" w:styleId="17">
    <w:name w:val="Body Text Indent 2"/>
    <w:basedOn w:val="1"/>
    <w:autoRedefine/>
    <w:qFormat/>
    <w:locked/>
    <w:uiPriority w:val="0"/>
    <w:pPr>
      <w:spacing w:line="360" w:lineRule="auto"/>
      <w:ind w:firstLine="573"/>
    </w:pPr>
    <w:rPr>
      <w:sz w:val="28"/>
    </w:rPr>
  </w:style>
  <w:style w:type="paragraph" w:styleId="18">
    <w:name w:val="Balloon Text"/>
    <w:basedOn w:val="1"/>
    <w:link w:val="71"/>
    <w:autoRedefine/>
    <w:qFormat/>
    <w:uiPriority w:val="0"/>
    <w:rPr>
      <w:kern w:val="0"/>
      <w:sz w:val="18"/>
      <w:szCs w:val="20"/>
    </w:rPr>
  </w:style>
  <w:style w:type="paragraph" w:styleId="19">
    <w:name w:val="footer"/>
    <w:basedOn w:val="1"/>
    <w:link w:val="72"/>
    <w:autoRedefine/>
    <w:qFormat/>
    <w:uiPriority w:val="99"/>
    <w:pPr>
      <w:tabs>
        <w:tab w:val="center" w:pos="4153"/>
        <w:tab w:val="right" w:pos="8306"/>
      </w:tabs>
      <w:snapToGrid w:val="0"/>
      <w:jc w:val="left"/>
    </w:pPr>
    <w:rPr>
      <w:kern w:val="0"/>
      <w:sz w:val="18"/>
      <w:szCs w:val="20"/>
    </w:rPr>
  </w:style>
  <w:style w:type="paragraph" w:styleId="20">
    <w:name w:val="header"/>
    <w:basedOn w:val="1"/>
    <w:link w:val="73"/>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21">
    <w:name w:val="List Continue 4"/>
    <w:basedOn w:val="1"/>
    <w:next w:val="1"/>
    <w:autoRedefine/>
    <w:qFormat/>
    <w:locked/>
    <w:uiPriority w:val="0"/>
    <w:pPr>
      <w:widowControl w:val="0"/>
      <w:autoSpaceDE/>
      <w:autoSpaceDN/>
      <w:spacing w:before="0" w:after="120" w:line="360" w:lineRule="auto"/>
      <w:ind w:left="1680" w:firstLine="480"/>
      <w:jc w:val="both"/>
    </w:pPr>
    <w:rPr>
      <w:rFonts w:ascii="宋体" w:eastAsia="宋体"/>
      <w:sz w:val="24"/>
    </w:rPr>
  </w:style>
  <w:style w:type="paragraph" w:styleId="22">
    <w:name w:val="List"/>
    <w:basedOn w:val="1"/>
    <w:next w:val="1"/>
    <w:autoRedefine/>
    <w:semiHidden/>
    <w:unhideWhenUsed/>
    <w:qFormat/>
    <w:locked/>
    <w:uiPriority w:val="99"/>
    <w:pPr>
      <w:ind w:left="200" w:hanging="200" w:hangingChars="200"/>
      <w:contextualSpacing/>
    </w:pPr>
  </w:style>
  <w:style w:type="paragraph" w:styleId="23">
    <w:name w:val="table of figures"/>
    <w:basedOn w:val="1"/>
    <w:next w:val="1"/>
    <w:autoRedefine/>
    <w:unhideWhenUsed/>
    <w:qFormat/>
    <w:locked/>
    <w:uiPriority w:val="99"/>
    <w:pPr>
      <w:jc w:val="center"/>
    </w:pPr>
    <w:rPr>
      <w:sz w:val="24"/>
    </w:rPr>
  </w:style>
  <w:style w:type="paragraph" w:styleId="24">
    <w:name w:val="Body Text 2"/>
    <w:basedOn w:val="1"/>
    <w:autoRedefine/>
    <w:unhideWhenUsed/>
    <w:qFormat/>
    <w:locked/>
    <w:uiPriority w:val="99"/>
    <w:pPr>
      <w:spacing w:after="120" w:line="480" w:lineRule="auto"/>
    </w:pPr>
  </w:style>
  <w:style w:type="paragraph" w:styleId="25">
    <w:name w:val="Normal (Web)"/>
    <w:basedOn w:val="1"/>
    <w:link w:val="65"/>
    <w:autoRedefine/>
    <w:qFormat/>
    <w:uiPriority w:val="0"/>
    <w:pPr>
      <w:widowControl/>
      <w:spacing w:beforeAutospacing="1" w:afterAutospacing="1"/>
      <w:jc w:val="left"/>
    </w:pPr>
    <w:rPr>
      <w:rFonts w:ascii="宋体" w:hAnsi="宋体"/>
      <w:kern w:val="0"/>
      <w:szCs w:val="20"/>
    </w:rPr>
  </w:style>
  <w:style w:type="paragraph" w:styleId="26">
    <w:name w:val="Title"/>
    <w:basedOn w:val="1"/>
    <w:next w:val="1"/>
    <w:autoRedefine/>
    <w:qFormat/>
    <w:locked/>
    <w:uiPriority w:val="0"/>
    <w:pPr>
      <w:spacing w:before="240" w:after="60"/>
      <w:jc w:val="center"/>
      <w:outlineLvl w:val="0"/>
    </w:pPr>
    <w:rPr>
      <w:rFonts w:ascii="Cambria" w:hAnsi="Cambria"/>
      <w:b/>
      <w:bCs/>
      <w:sz w:val="32"/>
      <w:szCs w:val="32"/>
    </w:rPr>
  </w:style>
  <w:style w:type="paragraph" w:styleId="27">
    <w:name w:val="annotation subject"/>
    <w:basedOn w:val="9"/>
    <w:next w:val="9"/>
    <w:link w:val="74"/>
    <w:autoRedefine/>
    <w:semiHidden/>
    <w:qFormat/>
    <w:uiPriority w:val="0"/>
    <w:rPr>
      <w:b/>
    </w:rPr>
  </w:style>
  <w:style w:type="paragraph" w:styleId="28">
    <w:name w:val="Body Text First Indent"/>
    <w:basedOn w:val="11"/>
    <w:next w:val="1"/>
    <w:autoRedefine/>
    <w:qFormat/>
    <w:locked/>
    <w:uiPriority w:val="0"/>
    <w:pPr>
      <w:spacing w:after="120"/>
      <w:ind w:firstLine="420" w:firstLineChars="100"/>
    </w:pPr>
    <w:rPr>
      <w:kern w:val="2"/>
      <w:sz w:val="21"/>
      <w:szCs w:val="24"/>
    </w:rPr>
  </w:style>
  <w:style w:type="paragraph" w:styleId="29">
    <w:name w:val="Body Text First Indent 2"/>
    <w:basedOn w:val="13"/>
    <w:next w:val="1"/>
    <w:autoRedefine/>
    <w:qFormat/>
    <w:locked/>
    <w:uiPriority w:val="0"/>
    <w:pPr>
      <w:ind w:firstLine="420"/>
    </w:pPr>
  </w:style>
  <w:style w:type="table" w:styleId="31">
    <w:name w:val="Table Grid"/>
    <w:basedOn w:val="3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autoRedefine/>
    <w:qFormat/>
    <w:locked/>
    <w:uiPriority w:val="0"/>
    <w:rPr>
      <w:b/>
      <w:bCs/>
    </w:rPr>
  </w:style>
  <w:style w:type="character" w:styleId="34">
    <w:name w:val="page number"/>
    <w:basedOn w:val="32"/>
    <w:autoRedefine/>
    <w:qFormat/>
    <w:locked/>
    <w:uiPriority w:val="0"/>
  </w:style>
  <w:style w:type="character" w:styleId="35">
    <w:name w:val="FollowedHyperlink"/>
    <w:basedOn w:val="32"/>
    <w:autoRedefine/>
    <w:qFormat/>
    <w:locked/>
    <w:uiPriority w:val="0"/>
    <w:rPr>
      <w:color w:val="000000"/>
      <w:u w:val="none"/>
    </w:rPr>
  </w:style>
  <w:style w:type="character" w:styleId="36">
    <w:name w:val="Emphasis"/>
    <w:basedOn w:val="32"/>
    <w:autoRedefine/>
    <w:qFormat/>
    <w:locked/>
    <w:uiPriority w:val="0"/>
  </w:style>
  <w:style w:type="character" w:styleId="37">
    <w:name w:val="Hyperlink"/>
    <w:basedOn w:val="32"/>
    <w:autoRedefine/>
    <w:qFormat/>
    <w:locked/>
    <w:uiPriority w:val="0"/>
    <w:rPr>
      <w:color w:val="000000"/>
      <w:u w:val="none"/>
    </w:rPr>
  </w:style>
  <w:style w:type="character" w:styleId="38">
    <w:name w:val="annotation reference"/>
    <w:autoRedefine/>
    <w:semiHidden/>
    <w:qFormat/>
    <w:uiPriority w:val="0"/>
    <w:rPr>
      <w:sz w:val="21"/>
    </w:rPr>
  </w:style>
  <w:style w:type="character" w:customStyle="1" w:styleId="39">
    <w:name w:val="正文文本 字符"/>
    <w:link w:val="11"/>
    <w:autoRedefine/>
    <w:qFormat/>
    <w:locked/>
    <w:uiPriority w:val="0"/>
    <w:rPr>
      <w:rFonts w:ascii="Times New Roman" w:hAnsi="Times New Roman" w:eastAsia="宋体"/>
      <w:sz w:val="24"/>
    </w:rPr>
  </w:style>
  <w:style w:type="character" w:customStyle="1" w:styleId="40">
    <w:name w:val="批注文字 字符"/>
    <w:link w:val="9"/>
    <w:autoRedefine/>
    <w:qFormat/>
    <w:locked/>
    <w:uiPriority w:val="0"/>
    <w:rPr>
      <w:rFonts w:ascii="Times New Roman" w:hAnsi="Times New Roman" w:eastAsia="宋体"/>
      <w:sz w:val="24"/>
    </w:rPr>
  </w:style>
  <w:style w:type="character" w:customStyle="1" w:styleId="41">
    <w:name w:val="标题 3 Char"/>
    <w:link w:val="4"/>
    <w:semiHidden/>
    <w:qFormat/>
    <w:uiPriority w:val="0"/>
    <w:rPr>
      <w:b/>
      <w:kern w:val="0"/>
      <w:sz w:val="24"/>
      <w:szCs w:val="20"/>
    </w:rPr>
  </w:style>
  <w:style w:type="paragraph" w:customStyle="1" w:styleId="42">
    <w:name w:val="表头"/>
    <w:basedOn w:val="43"/>
    <w:next w:val="1"/>
    <w:autoRedefine/>
    <w:qFormat/>
    <w:uiPriority w:val="0"/>
    <w:rPr>
      <w:rFonts w:ascii="黑体" w:eastAsia="黑体"/>
      <w:sz w:val="24"/>
    </w:rPr>
  </w:style>
  <w:style w:type="paragraph" w:customStyle="1" w:styleId="43">
    <w:name w:val="报告表格"/>
    <w:basedOn w:val="1"/>
    <w:autoRedefine/>
    <w:qFormat/>
    <w:uiPriority w:val="0"/>
    <w:pPr>
      <w:autoSpaceDE w:val="0"/>
      <w:autoSpaceDN w:val="0"/>
      <w:adjustRightInd w:val="0"/>
      <w:jc w:val="center"/>
      <w:textAlignment w:val="baseline"/>
    </w:pPr>
    <w:rPr>
      <w:kern w:val="0"/>
      <w:szCs w:val="20"/>
    </w:rPr>
  </w:style>
  <w:style w:type="paragraph" w:customStyle="1" w:styleId="44">
    <w:name w:val="xl27"/>
    <w:basedOn w:val="1"/>
    <w:qFormat/>
    <w:uiPriority w:val="0"/>
    <w:pPr>
      <w:widowControl/>
      <w:pBdr>
        <w:bottom w:val="single" w:color="auto" w:sz="4" w:space="0"/>
        <w:right w:val="single" w:color="auto" w:sz="4" w:space="0"/>
      </w:pBdr>
      <w:spacing w:before="100" w:beforeAutospacing="1" w:after="100" w:afterAutospacing="1" w:line="360" w:lineRule="auto"/>
      <w:jc w:val="center"/>
      <w:textAlignment w:val="top"/>
    </w:pPr>
    <w:rPr>
      <w:rFonts w:ascii="宋体" w:hAnsi="宋体" w:eastAsia="Arial Unicode MS" w:cs="宋体"/>
      <w:kern w:val="0"/>
      <w:sz w:val="20"/>
      <w:szCs w:val="20"/>
    </w:rPr>
  </w:style>
  <w:style w:type="paragraph" w:customStyle="1" w:styleId="45">
    <w:name w:val="Default"/>
    <w:basedOn w:val="46"/>
    <w:next w:val="1"/>
    <w:autoRedefine/>
    <w:qFormat/>
    <w:uiPriority w:val="0"/>
    <w:pPr>
      <w:autoSpaceDE w:val="0"/>
      <w:autoSpaceDN w:val="0"/>
      <w:jc w:val="left"/>
    </w:pPr>
    <w:rPr>
      <w:rFonts w:hint="eastAsia" w:ascii="宋体"/>
      <w:kern w:val="0"/>
      <w:sz w:val="24"/>
      <w:szCs w:val="24"/>
    </w:rPr>
  </w:style>
  <w:style w:type="paragraph" w:customStyle="1" w:styleId="46">
    <w:name w:val="1 表头"/>
    <w:basedOn w:val="1"/>
    <w:autoRedefine/>
    <w:qFormat/>
    <w:uiPriority w:val="0"/>
    <w:pPr>
      <w:adjustRightInd w:val="0"/>
      <w:snapToGrid w:val="0"/>
      <w:jc w:val="center"/>
    </w:pPr>
    <w:rPr>
      <w:b/>
      <w:color w:val="000000"/>
      <w:szCs w:val="21"/>
    </w:rPr>
  </w:style>
  <w:style w:type="paragraph" w:customStyle="1" w:styleId="47">
    <w:name w:val="正文1"/>
    <w:basedOn w:val="7"/>
    <w:next w:val="1"/>
    <w:autoRedefine/>
    <w:qFormat/>
    <w:uiPriority w:val="0"/>
    <w:pPr>
      <w:adjustRightInd w:val="0"/>
      <w:snapToGrid w:val="0"/>
      <w:spacing w:line="500" w:lineRule="atLeast"/>
      <w:ind w:firstLine="567"/>
    </w:pPr>
    <w:rPr>
      <w:sz w:val="28"/>
    </w:rPr>
  </w:style>
  <w:style w:type="paragraph" w:customStyle="1" w:styleId="48">
    <w:name w:val="样式 标题 1一级标题 + 段前: 0.5 行 段后: 0.5 行"/>
    <w:basedOn w:val="2"/>
    <w:autoRedefine/>
    <w:qFormat/>
    <w:uiPriority w:val="99"/>
    <w:pPr>
      <w:spacing w:line="320" w:lineRule="exact"/>
      <w:outlineLvl w:val="9"/>
    </w:pPr>
    <w:rPr>
      <w:spacing w:val="-6"/>
      <w:sz w:val="21"/>
      <w:szCs w:val="21"/>
    </w:rPr>
  </w:style>
  <w:style w:type="paragraph" w:customStyle="1" w:styleId="49">
    <w:name w:val="默认段落"/>
    <w:basedOn w:val="1"/>
    <w:autoRedefine/>
    <w:qFormat/>
    <w:uiPriority w:val="0"/>
  </w:style>
  <w:style w:type="paragraph" w:customStyle="1" w:styleId="50">
    <w:name w:val="Default1"/>
    <w:basedOn w:val="1"/>
    <w:next w:val="1"/>
    <w:autoRedefine/>
    <w:qFormat/>
    <w:uiPriority w:val="0"/>
    <w:pPr>
      <w:widowControl w:val="0"/>
      <w:autoSpaceDE w:val="0"/>
      <w:autoSpaceDN w:val="0"/>
      <w:adjustRightInd w:val="0"/>
    </w:pPr>
    <w:rPr>
      <w:rFonts w:ascii="宋体" w:hAnsi="宋体" w:cs="宋体"/>
      <w:color w:val="000000"/>
      <w:kern w:val="0"/>
      <w:sz w:val="24"/>
    </w:rPr>
  </w:style>
  <w:style w:type="paragraph" w:customStyle="1" w:styleId="51">
    <w:name w:val="纯文本1"/>
    <w:basedOn w:val="1"/>
    <w:autoRedefine/>
    <w:qFormat/>
    <w:uiPriority w:val="0"/>
    <w:rPr>
      <w:rFonts w:ascii="宋体" w:hAnsi="Courier New" w:cs="Courier New"/>
      <w:kern w:val="2"/>
      <w:sz w:val="21"/>
      <w:szCs w:val="21"/>
    </w:rPr>
  </w:style>
  <w:style w:type="paragraph" w:customStyle="1" w:styleId="52">
    <w:name w:val="Body Text 21"/>
    <w:basedOn w:val="1"/>
    <w:autoRedefine/>
    <w:qFormat/>
    <w:uiPriority w:val="0"/>
    <w:pPr>
      <w:spacing w:after="120" w:line="480" w:lineRule="auto"/>
    </w:pPr>
  </w:style>
  <w:style w:type="paragraph" w:customStyle="1" w:styleId="53">
    <w:name w:val="表格内"/>
    <w:basedOn w:val="1"/>
    <w:autoRedefine/>
    <w:qFormat/>
    <w:uiPriority w:val="0"/>
    <w:pPr>
      <w:widowControl/>
      <w:adjustRightInd w:val="0"/>
      <w:snapToGrid w:val="0"/>
      <w:spacing w:after="200" w:line="360" w:lineRule="exact"/>
      <w:jc w:val="center"/>
    </w:pPr>
    <w:rPr>
      <w:rFonts w:eastAsia="微软雅黑"/>
      <w:snapToGrid w:val="0"/>
      <w:kern w:val="0"/>
      <w:sz w:val="22"/>
      <w:szCs w:val="21"/>
    </w:rPr>
  </w:style>
  <w:style w:type="paragraph" w:customStyle="1" w:styleId="54">
    <w:name w:val="表格文字"/>
    <w:basedOn w:val="28"/>
    <w:next w:val="1"/>
    <w:autoRedefine/>
    <w:qFormat/>
    <w:uiPriority w:val="0"/>
    <w:pPr>
      <w:adjustRightInd w:val="0"/>
      <w:spacing w:line="320" w:lineRule="exact"/>
      <w:ind w:left="-80"/>
      <w:jc w:val="center"/>
      <w:textAlignment w:val="baseline"/>
    </w:pPr>
    <w:rPr>
      <w:szCs w:val="21"/>
    </w:rPr>
  </w:style>
  <w:style w:type="paragraph" w:customStyle="1" w:styleId="55">
    <w:name w:val="表格"/>
    <w:basedOn w:val="56"/>
    <w:next w:val="57"/>
    <w:link w:val="75"/>
    <w:autoRedefine/>
    <w:qFormat/>
    <w:uiPriority w:val="0"/>
    <w:pPr>
      <w:adjustRightInd w:val="0"/>
      <w:snapToGrid w:val="0"/>
      <w:spacing w:beforeLines="10" w:afterLines="10" w:line="259" w:lineRule="auto"/>
      <w:jc w:val="center"/>
    </w:pPr>
    <w:rPr>
      <w:kern w:val="0"/>
      <w:szCs w:val="20"/>
    </w:rPr>
  </w:style>
  <w:style w:type="paragraph" w:customStyle="1" w:styleId="56">
    <w:name w:val="Table Paragraph"/>
    <w:basedOn w:val="1"/>
    <w:autoRedefine/>
    <w:qFormat/>
    <w:uiPriority w:val="1"/>
    <w:rPr>
      <w:rFonts w:ascii="宋体" w:hAnsi="宋体" w:cs="宋体"/>
      <w:lang w:val="zh-CN" w:bidi="zh-CN"/>
    </w:rPr>
  </w:style>
  <w:style w:type="paragraph" w:customStyle="1" w:styleId="57">
    <w:name w:val="样式 标题 2 + 首行缩进:  2 字符"/>
    <w:basedOn w:val="3"/>
    <w:next w:val="58"/>
    <w:autoRedefine/>
    <w:qFormat/>
    <w:uiPriority w:val="0"/>
    <w:pPr>
      <w:widowControl/>
      <w:spacing w:line="300" w:lineRule="auto"/>
      <w:ind w:left="1320" w:hanging="420"/>
    </w:pPr>
    <w:rPr>
      <w:rFonts w:eastAsia="黑体"/>
      <w:b w:val="0"/>
      <w:sz w:val="30"/>
    </w:rPr>
  </w:style>
  <w:style w:type="paragraph" w:customStyle="1" w:styleId="58">
    <w:name w:val="图号"/>
    <w:next w:val="59"/>
    <w:autoRedefine/>
    <w:qFormat/>
    <w:uiPriority w:val="0"/>
    <w:pPr>
      <w:widowControl w:val="0"/>
      <w:spacing w:line="529" w:lineRule="exact"/>
      <w:ind w:left="198"/>
    </w:pPr>
    <w:rPr>
      <w:rFonts w:ascii="宋体" w:hAnsi="Times New Roman" w:eastAsia="宋体" w:cs="Times New Roman"/>
      <w:b/>
      <w:sz w:val="24"/>
      <w:lang w:val="en-US" w:eastAsia="zh-CN" w:bidi="ar-SA"/>
    </w:rPr>
  </w:style>
  <w:style w:type="paragraph" w:customStyle="1" w:styleId="59">
    <w:name w:val=" Char Char Char Char Char Char Char Char Char Char Char Char Char Char Char Char Char Char Char Char Char Char"/>
    <w:basedOn w:val="1"/>
    <w:next w:val="1"/>
    <w:autoRedefine/>
    <w:qFormat/>
    <w:uiPriority w:val="0"/>
    <w:pPr>
      <w:widowControl w:val="0"/>
      <w:autoSpaceDE/>
      <w:autoSpaceDN/>
      <w:spacing w:before="0" w:after="0" w:line="360" w:lineRule="auto"/>
      <w:ind w:left="0" w:firstLine="200"/>
    </w:pPr>
    <w:rPr>
      <w:rFonts w:ascii="宋体" w:eastAsia="宋体"/>
      <w:sz w:val="24"/>
    </w:rPr>
  </w:style>
  <w:style w:type="paragraph" w:customStyle="1" w:styleId="60">
    <w:name w:val="Char Char Char Char Char Char Char Char Char Char Char Char Char Char Char Char Char Char Char Char Char Char"/>
    <w:basedOn w:val="1"/>
    <w:next w:val="1"/>
    <w:autoRedefine/>
    <w:qFormat/>
    <w:uiPriority w:val="0"/>
    <w:pPr>
      <w:spacing w:line="360" w:lineRule="auto"/>
      <w:ind w:firstLine="200"/>
    </w:pPr>
    <w:rPr>
      <w:rFonts w:ascii="宋体"/>
      <w:sz w:val="24"/>
    </w:rPr>
  </w:style>
  <w:style w:type="character" w:customStyle="1" w:styleId="61">
    <w:name w:val="cur"/>
    <w:basedOn w:val="32"/>
    <w:autoRedefine/>
    <w:qFormat/>
    <w:uiPriority w:val="0"/>
    <w:rPr>
      <w:color w:val="FFFFFF"/>
      <w:shd w:val="clear" w:color="auto" w:fill="2F6B98"/>
    </w:rPr>
  </w:style>
  <w:style w:type="character" w:customStyle="1" w:styleId="62">
    <w:name w:val="_Style 5"/>
    <w:autoRedefine/>
    <w:qFormat/>
    <w:uiPriority w:val="0"/>
    <w:rPr>
      <w:b/>
      <w:smallCaps/>
      <w:spacing w:val="5"/>
    </w:rPr>
  </w:style>
  <w:style w:type="character" w:customStyle="1" w:styleId="63">
    <w:name w:val="radio-btn"/>
    <w:basedOn w:val="32"/>
    <w:autoRedefine/>
    <w:qFormat/>
    <w:uiPriority w:val="0"/>
    <w:rPr>
      <w:sz w:val="16"/>
      <w:szCs w:val="16"/>
    </w:rPr>
  </w:style>
  <w:style w:type="character" w:customStyle="1" w:styleId="64">
    <w:name w:val="正文文本缩进 字符"/>
    <w:link w:val="13"/>
    <w:autoRedefine/>
    <w:semiHidden/>
    <w:qFormat/>
    <w:locked/>
    <w:uiPriority w:val="0"/>
    <w:rPr>
      <w:rFonts w:ascii="Times New Roman" w:hAnsi="Times New Roman" w:eastAsia="宋体"/>
      <w:sz w:val="24"/>
    </w:rPr>
  </w:style>
  <w:style w:type="character" w:customStyle="1" w:styleId="65">
    <w:name w:val="普通(网站) 字符"/>
    <w:link w:val="25"/>
    <w:autoRedefine/>
    <w:qFormat/>
    <w:locked/>
    <w:uiPriority w:val="0"/>
    <w:rPr>
      <w:rFonts w:ascii="宋体" w:hAnsi="宋体" w:eastAsia="宋体"/>
      <w:sz w:val="24"/>
    </w:rPr>
  </w:style>
  <w:style w:type="character" w:customStyle="1" w:styleId="66">
    <w:name w:val="radio-btn2"/>
    <w:basedOn w:val="32"/>
    <w:autoRedefine/>
    <w:qFormat/>
    <w:uiPriority w:val="0"/>
    <w:rPr>
      <w:sz w:val="19"/>
      <w:szCs w:val="19"/>
    </w:rPr>
  </w:style>
  <w:style w:type="character" w:customStyle="1" w:styleId="67">
    <w:name w:val="日期 字符"/>
    <w:autoRedefine/>
    <w:semiHidden/>
    <w:qFormat/>
    <w:uiPriority w:val="0"/>
    <w:rPr>
      <w:rFonts w:ascii="Times New Roman" w:hAnsi="Times New Roman" w:eastAsia="宋体"/>
      <w:sz w:val="24"/>
    </w:rPr>
  </w:style>
  <w:style w:type="character" w:customStyle="1" w:styleId="68">
    <w:name w:val="正文文本 字符1"/>
    <w:autoRedefine/>
    <w:semiHidden/>
    <w:qFormat/>
    <w:uiPriority w:val="0"/>
    <w:rPr>
      <w:rFonts w:ascii="Times New Roman" w:hAnsi="Times New Roman" w:eastAsia="宋体"/>
      <w:sz w:val="24"/>
    </w:rPr>
  </w:style>
  <w:style w:type="character" w:customStyle="1" w:styleId="69">
    <w:name w:val="批注文字 字符1"/>
    <w:autoRedefine/>
    <w:semiHidden/>
    <w:qFormat/>
    <w:uiPriority w:val="0"/>
    <w:rPr>
      <w:rFonts w:ascii="Times New Roman" w:hAnsi="Times New Roman" w:eastAsia="宋体"/>
      <w:sz w:val="24"/>
    </w:rPr>
  </w:style>
  <w:style w:type="character" w:customStyle="1" w:styleId="70">
    <w:name w:val="日期 字符1"/>
    <w:link w:val="16"/>
    <w:autoRedefine/>
    <w:qFormat/>
    <w:locked/>
    <w:uiPriority w:val="0"/>
    <w:rPr>
      <w:rFonts w:ascii="Times New Roman" w:hAnsi="Times New Roman" w:eastAsia="宋体"/>
      <w:sz w:val="24"/>
    </w:rPr>
  </w:style>
  <w:style w:type="character" w:customStyle="1" w:styleId="71">
    <w:name w:val="批注框文本 字符"/>
    <w:link w:val="18"/>
    <w:autoRedefine/>
    <w:semiHidden/>
    <w:qFormat/>
    <w:locked/>
    <w:uiPriority w:val="0"/>
    <w:rPr>
      <w:rFonts w:ascii="Times New Roman" w:hAnsi="Times New Roman" w:eastAsia="宋体"/>
      <w:sz w:val="18"/>
    </w:rPr>
  </w:style>
  <w:style w:type="character" w:customStyle="1" w:styleId="72">
    <w:name w:val="页脚 字符1"/>
    <w:link w:val="19"/>
    <w:autoRedefine/>
    <w:qFormat/>
    <w:locked/>
    <w:uiPriority w:val="99"/>
    <w:rPr>
      <w:sz w:val="18"/>
    </w:rPr>
  </w:style>
  <w:style w:type="character" w:customStyle="1" w:styleId="73">
    <w:name w:val="页眉 字符"/>
    <w:link w:val="20"/>
    <w:autoRedefine/>
    <w:qFormat/>
    <w:locked/>
    <w:uiPriority w:val="0"/>
    <w:rPr>
      <w:sz w:val="18"/>
    </w:rPr>
  </w:style>
  <w:style w:type="character" w:customStyle="1" w:styleId="74">
    <w:name w:val="批注主题 字符"/>
    <w:link w:val="27"/>
    <w:autoRedefine/>
    <w:semiHidden/>
    <w:qFormat/>
    <w:locked/>
    <w:uiPriority w:val="0"/>
    <w:rPr>
      <w:rFonts w:ascii="Times New Roman" w:hAnsi="Times New Roman" w:eastAsia="宋体"/>
      <w:b/>
      <w:kern w:val="2"/>
      <w:sz w:val="24"/>
    </w:rPr>
  </w:style>
  <w:style w:type="character" w:customStyle="1" w:styleId="75">
    <w:name w:val="表格 Char"/>
    <w:link w:val="55"/>
    <w:autoRedefine/>
    <w:qFormat/>
    <w:locked/>
    <w:uiPriority w:val="0"/>
    <w:rPr>
      <w:rFonts w:ascii="宋体"/>
      <w:sz w:val="21"/>
    </w:rPr>
  </w:style>
  <w:style w:type="character" w:customStyle="1" w:styleId="76">
    <w:name w:val="lable"/>
    <w:basedOn w:val="32"/>
    <w:autoRedefine/>
    <w:qFormat/>
    <w:uiPriority w:val="0"/>
    <w:rPr>
      <w:sz w:val="19"/>
      <w:szCs w:val="19"/>
    </w:rPr>
  </w:style>
  <w:style w:type="character" w:customStyle="1" w:styleId="77">
    <w:name w:val="radio-btn1"/>
    <w:basedOn w:val="32"/>
    <w:autoRedefine/>
    <w:qFormat/>
    <w:uiPriority w:val="0"/>
    <w:rPr>
      <w:sz w:val="19"/>
      <w:szCs w:val="19"/>
    </w:rPr>
  </w:style>
  <w:style w:type="character" w:customStyle="1" w:styleId="78">
    <w:name w:val="lishishuju"/>
    <w:basedOn w:val="32"/>
    <w:autoRedefine/>
    <w:qFormat/>
    <w:uiPriority w:val="0"/>
    <w:rPr>
      <w:b/>
      <w:bCs/>
      <w:color w:val="000052"/>
      <w:sz w:val="19"/>
      <w:szCs w:val="19"/>
      <w:bdr w:val="single" w:color="E3E3E3" w:sz="4" w:space="0"/>
    </w:rPr>
  </w:style>
  <w:style w:type="character" w:customStyle="1" w:styleId="79">
    <w:name w:val="cur1"/>
    <w:basedOn w:val="32"/>
    <w:autoRedefine/>
    <w:qFormat/>
    <w:uiPriority w:val="0"/>
    <w:rPr>
      <w:color w:val="FFFFFF"/>
      <w:shd w:val="clear" w:color="auto" w:fill="2F6B98"/>
    </w:rPr>
  </w:style>
  <w:style w:type="character" w:customStyle="1" w:styleId="80">
    <w:name w:val="页脚 字符"/>
    <w:basedOn w:val="32"/>
    <w:autoRedefine/>
    <w:qFormat/>
    <w:uiPriority w:val="99"/>
  </w:style>
  <w:style w:type="character" w:customStyle="1" w:styleId="81">
    <w:name w:val="znspantitle"/>
    <w:basedOn w:val="32"/>
    <w:autoRedefine/>
    <w:qFormat/>
    <w:uiPriority w:val="0"/>
    <w:rPr>
      <w:b/>
      <w:bCs/>
      <w:color w:val="333333"/>
    </w:rPr>
  </w:style>
  <w:style w:type="paragraph" w:customStyle="1" w:styleId="82">
    <w:name w:val="Char"/>
    <w:basedOn w:val="1"/>
    <w:autoRedefine/>
    <w:qFormat/>
    <w:uiPriority w:val="0"/>
  </w:style>
  <w:style w:type="paragraph" w:customStyle="1" w:styleId="83">
    <w:name w:val="图表"/>
    <w:basedOn w:val="1"/>
    <w:autoRedefine/>
    <w:qFormat/>
    <w:uiPriority w:val="0"/>
    <w:pPr>
      <w:tabs>
        <w:tab w:val="left" w:pos="1322"/>
        <w:tab w:val="center" w:pos="4635"/>
      </w:tabs>
      <w:adjustRightInd w:val="0"/>
      <w:snapToGrid w:val="0"/>
      <w:jc w:val="center"/>
      <w:outlineLvl w:val="1"/>
    </w:pPr>
    <w:rPr>
      <w:rFonts w:eastAsia="黑体"/>
      <w:b/>
      <w:snapToGrid w:val="0"/>
      <w:kern w:val="0"/>
      <w:sz w:val="22"/>
      <w:szCs w:val="22"/>
    </w:rPr>
  </w:style>
  <w:style w:type="paragraph" w:customStyle="1" w:styleId="84">
    <w:name w:val="标题三！！！！！！！"/>
    <w:basedOn w:val="4"/>
    <w:autoRedefine/>
    <w:qFormat/>
    <w:uiPriority w:val="0"/>
    <w:pPr>
      <w:keepLines w:val="0"/>
      <w:adjustRightInd/>
      <w:spacing w:before="0" w:after="0" w:line="500" w:lineRule="exact"/>
      <w:textAlignment w:val="auto"/>
    </w:pPr>
    <w:rPr>
      <w:rFonts w:ascii="楷体_GB2312" w:hAnsi="楷体_GB2312" w:eastAsia="楷体_GB2312" w:cs="楷体_GB2312"/>
      <w:sz w:val="28"/>
      <w:szCs w:val="28"/>
    </w:rPr>
  </w:style>
  <w:style w:type="paragraph" w:customStyle="1" w:styleId="85">
    <w:name w:val="样式 标题 3 + 黑体 非加粗"/>
    <w:basedOn w:val="4"/>
    <w:autoRedefine/>
    <w:qFormat/>
    <w:uiPriority w:val="0"/>
    <w:pPr>
      <w:tabs>
        <w:tab w:val="left" w:pos="4678"/>
      </w:tabs>
      <w:snapToGrid w:val="0"/>
      <w:spacing w:before="156" w:beforeLines="50" w:after="156" w:afterLines="50" w:line="360" w:lineRule="auto"/>
    </w:pPr>
  </w:style>
  <w:style w:type="paragraph" w:customStyle="1" w:styleId="86">
    <w:name w:val="表格后空行"/>
    <w:basedOn w:val="1"/>
    <w:autoRedefine/>
    <w:qFormat/>
    <w:uiPriority w:val="0"/>
    <w:pPr>
      <w:widowControl/>
      <w:spacing w:line="240" w:lineRule="exact"/>
      <w:textAlignment w:val="baseline"/>
    </w:pPr>
    <w:rPr>
      <w:rFonts w:ascii="宋体" w:cs="宋体"/>
      <w:color w:val="000000"/>
      <w:kern w:val="0"/>
      <w:sz w:val="18"/>
      <w:szCs w:val="20"/>
      <w:u w:color="000000"/>
    </w:rPr>
  </w:style>
  <w:style w:type="paragraph" w:customStyle="1" w:styleId="87">
    <w:name w:val="表格的文字"/>
    <w:basedOn w:val="1"/>
    <w:autoRedefine/>
    <w:qFormat/>
    <w:uiPriority w:val="0"/>
    <w:pPr>
      <w:adjustRightInd w:val="0"/>
      <w:snapToGrid w:val="0"/>
      <w:spacing w:line="240" w:lineRule="atLeast"/>
      <w:jc w:val="center"/>
    </w:pPr>
    <w:rPr>
      <w:rFonts w:ascii="仿宋_GB2312" w:hAnsi="仿宋_GB2312"/>
      <w:bCs/>
      <w:szCs w:val="20"/>
    </w:rPr>
  </w:style>
  <w:style w:type="paragraph" w:customStyle="1" w:styleId="88">
    <w:name w:val="缩进"/>
    <w:basedOn w:val="1"/>
    <w:autoRedefine/>
    <w:qFormat/>
    <w:uiPriority w:val="0"/>
    <w:pPr>
      <w:spacing w:line="360" w:lineRule="auto"/>
      <w:ind w:firstLine="200" w:firstLineChars="200"/>
    </w:pPr>
    <w:rPr>
      <w:sz w:val="24"/>
    </w:rPr>
  </w:style>
  <w:style w:type="paragraph" w:customStyle="1" w:styleId="89">
    <w:name w:val="报告正文"/>
    <w:basedOn w:val="1"/>
    <w:autoRedefine/>
    <w:qFormat/>
    <w:uiPriority w:val="0"/>
    <w:pPr>
      <w:spacing w:line="520" w:lineRule="exact"/>
      <w:ind w:firstLine="488" w:firstLineChars="200"/>
      <w:jc w:val="left"/>
    </w:pPr>
    <w:rPr>
      <w:bCs/>
      <w:spacing w:val="8"/>
      <w:kern w:val="0"/>
      <w:sz w:val="24"/>
    </w:rPr>
  </w:style>
  <w:style w:type="paragraph" w:customStyle="1" w:styleId="90">
    <w:name w:val="正本文字"/>
    <w:basedOn w:val="1"/>
    <w:autoRedefine/>
    <w:qFormat/>
    <w:uiPriority w:val="0"/>
    <w:pPr>
      <w:adjustRightInd w:val="0"/>
      <w:snapToGrid w:val="0"/>
      <w:spacing w:line="360" w:lineRule="auto"/>
      <w:ind w:firstLine="480" w:firstLineChars="200"/>
      <w:jc w:val="left"/>
    </w:pPr>
    <w:rPr>
      <w:kern w:val="18"/>
      <w:sz w:val="24"/>
      <w:szCs w:val="20"/>
    </w:rPr>
  </w:style>
  <w:style w:type="paragraph" w:customStyle="1" w:styleId="91">
    <w:name w:val="正文(首行缩进)"/>
    <w:basedOn w:val="1"/>
    <w:next w:val="3"/>
    <w:autoRedefine/>
    <w:qFormat/>
    <w:uiPriority w:val="0"/>
    <w:pPr>
      <w:spacing w:line="360" w:lineRule="auto"/>
      <w:ind w:firstLine="480" w:firstLineChars="200"/>
    </w:pPr>
    <w:rPr>
      <w:bCs/>
      <w:color w:val="000000"/>
      <w:kern w:val="24"/>
      <w:sz w:val="24"/>
    </w:rPr>
  </w:style>
  <w:style w:type="paragraph" w:customStyle="1" w:styleId="92">
    <w:name w:val="表头、图号"/>
    <w:basedOn w:val="1"/>
    <w:autoRedefine/>
    <w:unhideWhenUsed/>
    <w:qFormat/>
    <w:uiPriority w:val="0"/>
    <w:pPr>
      <w:widowControl/>
    </w:pPr>
    <w:rPr>
      <w:rFonts w:eastAsia="黑体"/>
      <w:kern w:val="0"/>
    </w:rPr>
  </w:style>
  <w:style w:type="paragraph" w:customStyle="1" w:styleId="93">
    <w:name w:val="正文2"/>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94">
    <w:name w:val="li_正文"/>
    <w:basedOn w:val="1"/>
    <w:autoRedefine/>
    <w:qFormat/>
    <w:uiPriority w:val="0"/>
    <w:pPr>
      <w:ind w:firstLine="200" w:firstLineChars="200"/>
      <w:jc w:val="left"/>
    </w:pPr>
    <w:rPr>
      <w:rFonts w:ascii="Calibri" w:hAnsi="Calibri"/>
      <w:sz w:val="28"/>
      <w:szCs w:val="28"/>
    </w:rPr>
  </w:style>
  <w:style w:type="paragraph" w:customStyle="1" w:styleId="95">
    <w:name w:val="表格文字中"/>
    <w:basedOn w:val="1"/>
    <w:autoRedefine/>
    <w:qFormat/>
    <w:uiPriority w:val="0"/>
    <w:pPr>
      <w:jc w:val="center"/>
    </w:pPr>
    <w:rPr>
      <w:kern w:val="0"/>
      <w:sz w:val="24"/>
      <w:szCs w:val="20"/>
    </w:rPr>
  </w:style>
  <w:style w:type="paragraph" w:customStyle="1" w:styleId="96">
    <w:name w:val="样式5"/>
    <w:basedOn w:val="1"/>
    <w:autoRedefine/>
    <w:qFormat/>
    <w:uiPriority w:val="0"/>
    <w:pPr>
      <w:snapToGrid w:val="0"/>
      <w:spacing w:line="360" w:lineRule="auto"/>
      <w:ind w:firstLine="510"/>
    </w:pPr>
    <w:rPr>
      <w:sz w:val="28"/>
    </w:rPr>
  </w:style>
  <w:style w:type="paragraph" w:customStyle="1" w:styleId="97">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
    <w:name w:val="表题"/>
    <w:basedOn w:val="1"/>
    <w:next w:val="1"/>
    <w:qFormat/>
    <w:uiPriority w:val="0"/>
    <w:pPr>
      <w:spacing w:before="50" w:beforeLines="50"/>
      <w:jc w:val="center"/>
    </w:pPr>
    <w:rPr>
      <w:b/>
    </w:rPr>
  </w:style>
  <w:style w:type="paragraph" w:customStyle="1" w:styleId="99">
    <w:name w:val="表、图名"/>
    <w:basedOn w:val="1"/>
    <w:qFormat/>
    <w:uiPriority w:val="0"/>
    <w:pPr>
      <w:adjustRightInd w:val="0"/>
      <w:snapToGrid w:val="0"/>
      <w:spacing w:line="520" w:lineRule="exact"/>
      <w:ind w:left="-6" w:firstLine="560"/>
    </w:pPr>
    <w:rPr>
      <w:b/>
      <w:szCs w:val="20"/>
    </w:rPr>
  </w:style>
  <w:style w:type="paragraph" w:customStyle="1" w:styleId="100">
    <w:name w:val="0"/>
    <w:basedOn w:val="82"/>
    <w:qFormat/>
    <w:uiPriority w:val="0"/>
    <w:pPr>
      <w:overflowPunct w:val="0"/>
      <w:snapToGrid w:val="0"/>
      <w:jc w:val="center"/>
    </w:pPr>
    <w:rPr>
      <w:rFonts w:ascii="Arial" w:hAnsi="Arial" w:eastAsia="仿宋_GB2312" w:cs="Arial"/>
      <w:bCs/>
      <w:snapToGrid w:val="0"/>
      <w:kern w:val="0"/>
      <w:szCs w:val="28"/>
    </w:rPr>
  </w:style>
  <w:style w:type="paragraph" w:customStyle="1" w:styleId="101">
    <w:name w:val="表头及表尾"/>
    <w:autoRedefine/>
    <w:qFormat/>
    <w:uiPriority w:val="0"/>
    <w:pPr>
      <w:tabs>
        <w:tab w:val="center" w:pos="4200"/>
        <w:tab w:val="right" w:pos="8400"/>
      </w:tabs>
      <w:adjustRightInd w:val="0"/>
      <w:snapToGrid w:val="0"/>
      <w:spacing w:line="360" w:lineRule="auto"/>
      <w:jc w:val="center"/>
    </w:pPr>
    <w:rPr>
      <w:rFonts w:ascii="Times New Roman" w:hAnsi="Times New Roman" w:eastAsia="宋体" w:cs="Times New Roman"/>
      <w:b/>
      <w:sz w:val="21"/>
      <w:szCs w:val="21"/>
      <w:lang w:val="en-US" w:eastAsia="zh-CN" w:bidi="ar-SA"/>
    </w:rPr>
  </w:style>
  <w:style w:type="paragraph" w:customStyle="1" w:styleId="102">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3">
    <w:name w:val="正文文本1"/>
    <w:basedOn w:val="1"/>
    <w:autoRedefine/>
    <w:qFormat/>
    <w:uiPriority w:val="0"/>
    <w:pPr>
      <w:shd w:val="clear" w:color="auto" w:fill="FFFFFF"/>
      <w:spacing w:line="0" w:lineRule="atLeast"/>
      <w:jc w:val="distribute"/>
    </w:pPr>
    <w:rPr>
      <w:rFonts w:ascii="宋体" w:hAnsi="宋体" w:cs="宋体"/>
      <w:kern w:val="0"/>
      <w:sz w:val="26"/>
      <w:szCs w:val="26"/>
    </w:rPr>
  </w:style>
  <w:style w:type="paragraph" w:customStyle="1" w:styleId="104">
    <w:name w:val="样式 首行缩进:  2 字符1"/>
    <w:basedOn w:val="1"/>
    <w:autoRedefine/>
    <w:qFormat/>
    <w:uiPriority w:val="0"/>
    <w:pPr>
      <w:adjustRightInd w:val="0"/>
      <w:snapToGrid w:val="0"/>
      <w:spacing w:line="360" w:lineRule="auto"/>
      <w:ind w:firstLine="480"/>
    </w:pPr>
    <w:rPr>
      <w:rFonts w:cs="宋体"/>
    </w:rPr>
  </w:style>
  <w:style w:type="paragraph" w:customStyle="1" w:styleId="105">
    <w:name w:val="ach正文"/>
    <w:basedOn w:val="1"/>
    <w:qFormat/>
    <w:uiPriority w:val="0"/>
    <w:pPr>
      <w:spacing w:line="500" w:lineRule="exact"/>
      <w:ind w:firstLine="200" w:firstLineChars="200"/>
    </w:pPr>
    <w:rPr>
      <w:rFonts w:hAnsi="宋体"/>
      <w:color w:val="0000FF"/>
    </w:rPr>
  </w:style>
  <w:style w:type="paragraph" w:styleId="106">
    <w:name w:val="No Spacing"/>
    <w:basedOn w:val="22"/>
    <w:next w:val="1"/>
    <w:autoRedefine/>
    <w:qFormat/>
    <w:uiPriority w:val="1"/>
    <w:pPr>
      <w:ind w:left="0" w:firstLine="0" w:firstLineChars="0"/>
      <w:jc w:val="center"/>
    </w:pPr>
  </w:style>
  <w:style w:type="paragraph" w:customStyle="1" w:styleId="107">
    <w:name w:val="标题文本"/>
    <w:basedOn w:val="108"/>
    <w:autoRedefine/>
    <w:qFormat/>
    <w:uiPriority w:val="0"/>
    <w:pPr>
      <w:ind w:firstLine="0" w:firstLineChars="0"/>
    </w:pPr>
    <w:rPr>
      <w:b/>
      <w:snapToGrid w:val="0"/>
    </w:rPr>
  </w:style>
  <w:style w:type="paragraph" w:customStyle="1" w:styleId="108">
    <w:name w:val="文本"/>
    <w:basedOn w:val="24"/>
    <w:next w:val="24"/>
    <w:autoRedefine/>
    <w:qFormat/>
    <w:uiPriority w:val="0"/>
    <w:pPr>
      <w:adjustRightInd w:val="0"/>
      <w:snapToGrid w:val="0"/>
      <w:spacing w:after="0" w:line="520" w:lineRule="exact"/>
      <w:ind w:firstLine="200" w:firstLineChars="200"/>
    </w:pPr>
    <w:rPr>
      <w:rFonts w:ascii="宋体"/>
      <w:sz w:val="24"/>
    </w:rPr>
  </w:style>
  <w:style w:type="character" w:customStyle="1" w:styleId="109">
    <w:name w:val="标题 2 Char1"/>
    <w:link w:val="3"/>
    <w:qFormat/>
    <w:uiPriority w:val="0"/>
    <w:rPr>
      <w:b/>
      <w:bCs/>
      <w:szCs w:val="32"/>
    </w:rPr>
  </w:style>
  <w:style w:type="table" w:customStyle="1" w:styleId="110">
    <w:name w:val="Table Normal"/>
    <w:semiHidden/>
    <w:unhideWhenUsed/>
    <w:qFormat/>
    <w:uiPriority w:val="0"/>
    <w:tblPr>
      <w:tblCellMar>
        <w:top w:w="0" w:type="dxa"/>
        <w:left w:w="0" w:type="dxa"/>
        <w:bottom w:w="0" w:type="dxa"/>
        <w:right w:w="0" w:type="dxa"/>
      </w:tblCellMar>
    </w:tblPr>
  </w:style>
  <w:style w:type="character" w:customStyle="1" w:styleId="111">
    <w:name w:val="bold align2"/>
    <w:basedOn w:val="32"/>
    <w:qFormat/>
    <w:uiPriority w:val="0"/>
  </w:style>
  <w:style w:type="character" w:customStyle="1" w:styleId="112">
    <w:name w:val="apple-converted-space"/>
    <w:basedOn w:val="32"/>
    <w:autoRedefine/>
    <w:qFormat/>
    <w:uiPriority w:val="0"/>
  </w:style>
  <w:style w:type="character" w:customStyle="1" w:styleId="113">
    <w:name w:val="bold align1"/>
    <w:basedOn w:val="32"/>
    <w:autoRedefine/>
    <w:qFormat/>
    <w:uiPriority w:val="0"/>
  </w:style>
  <w:style w:type="character" w:customStyle="1" w:styleId="114">
    <w:name w:val="bold"/>
    <w:basedOn w:val="32"/>
    <w:autoRedefine/>
    <w:qFormat/>
    <w:uiPriority w:val="0"/>
  </w:style>
  <w:style w:type="character" w:customStyle="1" w:styleId="115">
    <w:name w:val="bsharetext"/>
    <w:basedOn w:val="32"/>
    <w:autoRedefine/>
    <w:qFormat/>
    <w:uiPriority w:val="0"/>
  </w:style>
  <w:style w:type="character" w:customStyle="1" w:styleId="116">
    <w:name w:val="hover26"/>
    <w:basedOn w:val="32"/>
    <w:qFormat/>
    <w:uiPriority w:val="0"/>
  </w:style>
  <w:style w:type="character" w:customStyle="1" w:styleId="117">
    <w:name w:val="15"/>
    <w:basedOn w:val="32"/>
    <w:qFormat/>
    <w:uiPriority w:val="0"/>
    <w:rPr>
      <w:rFonts w:hint="default" w:ascii="Times New Roman" w:hAnsi="Times New Roman" w:cs="Times New Roman"/>
      <w:b/>
      <w:bCs/>
    </w:rPr>
  </w:style>
  <w:style w:type="paragraph" w:customStyle="1" w:styleId="118">
    <w:name w:val="表样式2"/>
    <w:basedOn w:val="1"/>
    <w:autoRedefine/>
    <w:qFormat/>
    <w:uiPriority w:val="0"/>
    <w:pPr>
      <w:adjustRightInd w:val="0"/>
      <w:snapToGrid w:val="0"/>
      <w:spacing w:line="420" w:lineRule="exact"/>
    </w:pPr>
    <w:rPr>
      <w:rFonts w:ascii="宋体" w:hAnsi="宋体"/>
      <w:sz w:val="24"/>
    </w:rPr>
  </w:style>
  <w:style w:type="paragraph" w:customStyle="1" w:styleId="119">
    <w:name w:val="报告表正文"/>
    <w:basedOn w:val="1"/>
    <w:autoRedefine/>
    <w:qFormat/>
    <w:uiPriority w:val="0"/>
    <w:pPr>
      <w:adjustRightInd w:val="0"/>
      <w:spacing w:line="360" w:lineRule="auto"/>
      <w:ind w:left="0" w:right="0" w:firstLine="720" w:firstLineChars="200"/>
      <w:jc w:val="left"/>
      <w:textAlignment w:val="baseline"/>
    </w:pPr>
    <w:rPr>
      <w:rFonts w:ascii="Times New Roman" w:hAnsi="Times New Roman" w:eastAsia="宋体"/>
      <w:kern w:val="0"/>
      <w:sz w:val="24"/>
    </w:rPr>
  </w:style>
  <w:style w:type="paragraph" w:customStyle="1" w:styleId="120">
    <w:name w:val="表内文字"/>
    <w:basedOn w:val="1"/>
    <w:autoRedefine/>
    <w:qFormat/>
    <w:uiPriority w:val="0"/>
    <w:pPr>
      <w:widowControl/>
      <w:jc w:val="center"/>
    </w:pPr>
    <w:rPr>
      <w:szCs w:val="21"/>
    </w:rPr>
  </w:style>
  <w:style w:type="paragraph" w:customStyle="1" w:styleId="121">
    <w:name w:val="表中文字"/>
    <w:basedOn w:val="1"/>
    <w:autoRedefine/>
    <w:qFormat/>
    <w:uiPriority w:val="0"/>
    <w:pPr>
      <w:tabs>
        <w:tab w:val="left" w:pos="2700"/>
      </w:tabs>
      <w:spacing w:line="240" w:lineRule="auto"/>
      <w:ind w:firstLine="0" w:firstLineChars="0"/>
      <w:jc w:val="center"/>
      <w:textAlignment w:val="center"/>
    </w:pPr>
    <w:rPr>
      <w:sz w:val="21"/>
      <w:szCs w:val="21"/>
    </w:rPr>
  </w:style>
  <w:style w:type="paragraph" w:customStyle="1" w:styleId="122">
    <w:name w:val="标1"/>
    <w:basedOn w:val="1"/>
    <w:autoRedefine/>
    <w:qFormat/>
    <w:uiPriority w:val="0"/>
    <w:pPr>
      <w:spacing w:before="60" w:beforeLines="0" w:beforeAutospacing="0" w:line="460" w:lineRule="exact"/>
      <w:outlineLvl w:val="0"/>
    </w:pPr>
    <w:rPr>
      <w:rFonts w:ascii="Times New Roman" w:hAnsi="Times New Roman" w:eastAsia="宋体" w:cs="Times New Roman"/>
      <w:b/>
      <w:kern w:val="2"/>
      <w:sz w:val="32"/>
      <w:lang w:val="en-US" w:eastAsia="zh-CN"/>
    </w:rPr>
  </w:style>
  <w:style w:type="character" w:customStyle="1" w:styleId="123">
    <w:name w:val="font111"/>
    <w:basedOn w:val="32"/>
    <w:qFormat/>
    <w:uiPriority w:val="0"/>
    <w:rPr>
      <w:rFonts w:ascii="Arial" w:hAnsi="Arial" w:cs="Arial"/>
      <w:color w:val="000000"/>
      <w:sz w:val="16"/>
      <w:szCs w:val="16"/>
      <w:u w:val="none"/>
    </w:rPr>
  </w:style>
  <w:style w:type="paragraph" w:customStyle="1" w:styleId="124">
    <w:name w:val="样式4"/>
    <w:basedOn w:val="1"/>
    <w:qFormat/>
    <w:uiPriority w:val="0"/>
    <w:pPr>
      <w:tabs>
        <w:tab w:val="left" w:pos="9128"/>
      </w:tabs>
      <w:adjustRightInd w:val="0"/>
      <w:snapToGrid w:val="0"/>
      <w:spacing w:line="500" w:lineRule="exact"/>
      <w:jc w:val="center"/>
    </w:pPr>
  </w:style>
  <w:style w:type="character" w:customStyle="1" w:styleId="125">
    <w:name w:val="font21"/>
    <w:basedOn w:val="32"/>
    <w:autoRedefine/>
    <w:qFormat/>
    <w:uiPriority w:val="0"/>
    <w:rPr>
      <w:rFonts w:hint="eastAsia" w:ascii="宋体" w:hAnsi="宋体" w:eastAsia="宋体" w:cs="宋体"/>
      <w:color w:val="000000"/>
      <w:sz w:val="21"/>
      <w:szCs w:val="21"/>
      <w:u w:val="none"/>
    </w:rPr>
  </w:style>
  <w:style w:type="character" w:customStyle="1" w:styleId="126">
    <w:name w:val="font11"/>
    <w:basedOn w:val="32"/>
    <w:autoRedefine/>
    <w:qFormat/>
    <w:uiPriority w:val="0"/>
    <w:rPr>
      <w:rFonts w:hint="default" w:ascii="Times New Roman" w:hAnsi="Times New Roman" w:cs="Times New Roman"/>
      <w:color w:val="000000"/>
      <w:sz w:val="21"/>
      <w:szCs w:val="21"/>
      <w:u w:val="none"/>
    </w:rPr>
  </w:style>
  <w:style w:type="character" w:customStyle="1" w:styleId="127">
    <w:name w:val="font31"/>
    <w:basedOn w:val="32"/>
    <w:autoRedefine/>
    <w:qFormat/>
    <w:uiPriority w:val="0"/>
    <w:rPr>
      <w:rFonts w:hint="default" w:ascii="Times New Roman" w:hAnsi="Times New Roman" w:cs="Times New Roman"/>
      <w:color w:val="000000"/>
      <w:sz w:val="21"/>
      <w:szCs w:val="21"/>
      <w:u w:val="none"/>
      <w:vertAlign w:val="superscript"/>
    </w:rPr>
  </w:style>
  <w:style w:type="character" w:customStyle="1" w:styleId="128">
    <w:name w:val="font41"/>
    <w:basedOn w:val="32"/>
    <w:autoRedefine/>
    <w:qFormat/>
    <w:uiPriority w:val="0"/>
    <w:rPr>
      <w:rFonts w:hint="eastAsia" w:ascii="宋体" w:hAnsi="宋体" w:eastAsia="宋体" w:cs="宋体"/>
      <w:color w:val="000000"/>
      <w:sz w:val="24"/>
      <w:szCs w:val="24"/>
      <w:u w:val="none"/>
    </w:rPr>
  </w:style>
  <w:style w:type="paragraph" w:customStyle="1" w:styleId="129">
    <w:name w:val="Char Char Char Char Char Char Char Char Char1 Char"/>
    <w:basedOn w:val="1"/>
    <w:autoRedefine/>
    <w:qFormat/>
    <w:uiPriority w:val="0"/>
    <w:pPr>
      <w:spacing w:line="360" w:lineRule="auto"/>
      <w:ind w:firstLine="200" w:firstLineChars="200"/>
    </w:pPr>
    <w:rPr>
      <w:rFonts w:hAnsi="宋体" w:cs="宋体"/>
      <w:spacing w:val="0"/>
      <w:sz w:val="24"/>
      <w:szCs w:val="24"/>
    </w:rPr>
  </w:style>
  <w:style w:type="paragraph" w:customStyle="1" w:styleId="130">
    <w:name w:val="样式3"/>
    <w:basedOn w:val="1"/>
    <w:next w:val="1"/>
    <w:autoRedefine/>
    <w:qFormat/>
    <w:uiPriority w:val="0"/>
    <w:pPr>
      <w:keepNext/>
      <w:keepLines/>
      <w:spacing w:beforeLines="0" w:afterLines="0" w:line="240" w:lineRule="auto"/>
      <w:ind w:firstLine="0" w:firstLineChars="0"/>
      <w:jc w:val="center"/>
      <w:outlineLvl w:val="1"/>
    </w:pPr>
    <w:rPr>
      <w:sz w:val="21"/>
    </w:rPr>
  </w:style>
  <w:style w:type="paragraph" w:customStyle="1" w:styleId="131">
    <w:name w:val="邓图后正文"/>
    <w:autoRedefine/>
    <w:qFormat/>
    <w:uiPriority w:val="0"/>
    <w:pPr>
      <w:snapToGrid w:val="0"/>
      <w:spacing w:line="360" w:lineRule="auto"/>
      <w:jc w:val="center"/>
    </w:pPr>
    <w:rPr>
      <w:rFonts w:ascii="黑体" w:hAnsi="黑体" w:eastAsia="黑体" w:cs="Times New Roman"/>
      <w:b/>
      <w:bCs/>
      <w:kern w:val="2"/>
      <w:sz w:val="24"/>
      <w:szCs w:val="24"/>
      <w:lang w:val="en-US" w:eastAsia="zh-CN" w:bidi="ar-SA"/>
    </w:rPr>
  </w:style>
  <w:style w:type="paragraph" w:customStyle="1" w:styleId="132">
    <w:name w:val="B表内字"/>
    <w:autoRedefine/>
    <w:qFormat/>
    <w:uiPriority w:val="0"/>
    <w:pPr>
      <w:jc w:val="center"/>
    </w:pPr>
    <w:rPr>
      <w:rFonts w:ascii="Times New Roman" w:hAnsi="Times New Roman" w:eastAsia="宋体" w:cs="宋体"/>
      <w:sz w:val="21"/>
      <w:szCs w:val="24"/>
      <w:lang w:val="en-US" w:eastAsia="zh-CN" w:bidi="ar-SA"/>
    </w:rPr>
  </w:style>
  <w:style w:type="paragraph" w:customStyle="1" w:styleId="133">
    <w:name w:val="邓表格文字"/>
    <w:basedOn w:val="134"/>
    <w:autoRedefine/>
    <w:qFormat/>
    <w:uiPriority w:val="0"/>
    <w:pPr>
      <w:spacing w:line="240" w:lineRule="auto"/>
    </w:pPr>
  </w:style>
  <w:style w:type="paragraph" w:customStyle="1" w:styleId="134">
    <w:name w:val="表格文字邓"/>
    <w:autoRedefine/>
    <w:qFormat/>
    <w:uiPriority w:val="0"/>
    <w:pPr>
      <w:snapToGrid w:val="0"/>
      <w:spacing w:line="200" w:lineRule="exact"/>
      <w:jc w:val="center"/>
    </w:pPr>
    <w:rPr>
      <w:rFonts w:ascii="宋体" w:hAnsi="宋体" w:eastAsia="华文中宋" w:cs="Times New Roman"/>
      <w:color w:val="000000"/>
      <w:kern w:val="2"/>
      <w:sz w:val="18"/>
      <w:szCs w:val="18"/>
      <w:lang w:val="en-US" w:eastAsia="zh-CN" w:bidi="ar-SA"/>
    </w:rPr>
  </w:style>
  <w:style w:type="paragraph" w:customStyle="1" w:styleId="135">
    <w:name w:val="正文邓"/>
    <w:autoRedefine/>
    <w:qFormat/>
    <w:uiPriority w:val="0"/>
    <w:pPr>
      <w:widowControl w:val="0"/>
      <w:adjustRightInd w:val="0"/>
      <w:snapToGrid w:val="0"/>
      <w:spacing w:line="360" w:lineRule="auto"/>
      <w:ind w:firstLine="480" w:firstLineChars="200"/>
    </w:pPr>
    <w:rPr>
      <w:rFonts w:ascii="Times New Roman" w:hAnsi="Times New Roman" w:eastAsia="宋体" w:cs="Times New Roman"/>
      <w:bCs/>
      <w:color w:val="000000"/>
      <w:sz w:val="24"/>
      <w:szCs w:val="26"/>
      <w:lang w:val="en-US" w:eastAsia="zh-CN" w:bidi="ar-SA"/>
    </w:rPr>
  </w:style>
  <w:style w:type="paragraph" w:customStyle="1" w:styleId="136">
    <w:name w:val="B正文"/>
    <w:autoRedefine/>
    <w:qFormat/>
    <w:uiPriority w:val="0"/>
    <w:pPr>
      <w:spacing w:line="360" w:lineRule="auto"/>
      <w:ind w:firstLine="200" w:firstLineChars="200"/>
    </w:pPr>
    <w:rPr>
      <w:rFonts w:ascii="Times New Roman" w:hAnsi="Times New Roman" w:eastAsia="宋体" w:cs="宋体"/>
      <w:sz w:val="24"/>
      <w:szCs w:val="24"/>
      <w:lang w:val="en-US" w:eastAsia="zh-CN" w:bidi="ar-SA"/>
    </w:rPr>
  </w:style>
  <w:style w:type="paragraph" w:customStyle="1" w:styleId="137">
    <w:name w:val="B图表标题"/>
    <w:basedOn w:val="138"/>
    <w:next w:val="17"/>
    <w:qFormat/>
    <w:uiPriority w:val="0"/>
    <w:pPr>
      <w:widowControl/>
      <w:adjustRightInd w:val="0"/>
      <w:snapToGrid w:val="0"/>
      <w:spacing w:before="120" w:line="240" w:lineRule="auto"/>
    </w:pPr>
    <w:rPr>
      <w:rFonts w:eastAsia="宋体"/>
      <w:b/>
      <w:snapToGrid w:val="0"/>
      <w:color w:val="000000"/>
      <w:kern w:val="0"/>
      <w:szCs w:val="28"/>
    </w:rPr>
  </w:style>
  <w:style w:type="paragraph" w:customStyle="1" w:styleId="138">
    <w:name w:val="图表名"/>
    <w:basedOn w:val="1"/>
    <w:autoRedefine/>
    <w:semiHidden/>
    <w:qFormat/>
    <w:uiPriority w:val="0"/>
    <w:pPr>
      <w:spacing w:beforeLines="30" w:afterLines="20" w:line="440" w:lineRule="exact"/>
      <w:ind w:firstLine="480" w:firstLineChars="200"/>
      <w:jc w:val="center"/>
    </w:pPr>
    <w:rPr>
      <w:rFonts w:ascii="Times New Roman" w:hAnsi="Times New Roman" w:eastAsia="黑体"/>
      <w:sz w:val="24"/>
      <w:szCs w:val="24"/>
    </w:rPr>
  </w:style>
  <w:style w:type="paragraph" w:styleId="139">
    <w:name w:val="List Paragraph"/>
    <w:basedOn w:val="1"/>
    <w:autoRedefine/>
    <w:qFormat/>
    <w:uiPriority w:val="99"/>
    <w:pPr>
      <w:ind w:firstLine="420" w:firstLineChars="200"/>
    </w:pPr>
  </w:style>
  <w:style w:type="character" w:customStyle="1" w:styleId="140">
    <w:name w:val="font71"/>
    <w:basedOn w:val="32"/>
    <w:qFormat/>
    <w:uiPriority w:val="0"/>
    <w:rPr>
      <w:rFonts w:hint="eastAsia" w:ascii="宋体" w:hAnsi="宋体" w:eastAsia="宋体" w:cs="宋体"/>
      <w:b/>
      <w:bCs/>
      <w:color w:val="000000"/>
      <w:sz w:val="18"/>
      <w:szCs w:val="18"/>
      <w:u w:val="none"/>
      <w:vertAlign w:val="superscript"/>
    </w:rPr>
  </w:style>
  <w:style w:type="paragraph" w:customStyle="1" w:styleId="141">
    <w:name w:val="表格填充1"/>
    <w:basedOn w:val="1"/>
    <w:qFormat/>
    <w:uiPriority w:val="0"/>
    <w:pPr>
      <w:adjustRightInd w:val="0"/>
      <w:snapToGrid w:val="0"/>
      <w:spacing w:line="400" w:lineRule="exact"/>
      <w:jc w:val="center"/>
    </w:pPr>
    <w:rPr>
      <w:snapToGrid w:val="0"/>
      <w:szCs w:val="18"/>
    </w:rPr>
  </w:style>
  <w:style w:type="paragraph" w:customStyle="1" w:styleId="142">
    <w:name w:val="A表"/>
    <w:basedOn w:val="1"/>
    <w:qFormat/>
    <w:uiPriority w:val="0"/>
    <w:pPr>
      <w:spacing w:line="360" w:lineRule="auto"/>
      <w:jc w:val="center"/>
    </w:pPr>
    <w:rPr>
      <w:rFonts w:ascii="Times New Roman" w:hAnsi="Times New Roman" w:eastAsia="黑体"/>
      <w:color w:val="000000"/>
      <w:sz w:val="24"/>
      <w:szCs w:val="24"/>
    </w:rPr>
  </w:style>
  <w:style w:type="paragraph" w:customStyle="1" w:styleId="143">
    <w:name w:val="A表内容"/>
    <w:basedOn w:val="144"/>
    <w:qFormat/>
    <w:uiPriority w:val="0"/>
    <w:pPr>
      <w:spacing w:line="340" w:lineRule="exact"/>
      <w:ind w:firstLine="0" w:firstLineChars="0"/>
      <w:jc w:val="center"/>
    </w:pPr>
    <w:rPr>
      <w:rFonts w:ascii="Times New Roman"/>
      <w:sz w:val="21"/>
      <w:szCs w:val="21"/>
    </w:rPr>
  </w:style>
  <w:style w:type="paragraph" w:customStyle="1" w:styleId="144">
    <w:name w:val="正文格式"/>
    <w:basedOn w:val="145"/>
    <w:next w:val="11"/>
    <w:qFormat/>
    <w:uiPriority w:val="0"/>
    <w:pPr>
      <w:spacing w:line="360" w:lineRule="auto"/>
      <w:ind w:firstLine="482"/>
    </w:pPr>
    <w:rPr>
      <w:rFonts w:ascii="宋体" w:hAnsi="宋体"/>
      <w:sz w:val="24"/>
      <w:szCs w:val="20"/>
    </w:rPr>
  </w:style>
  <w:style w:type="paragraph" w:customStyle="1" w:styleId="145">
    <w:name w:val="正文文本首行缩进"/>
    <w:basedOn w:val="11"/>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3.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U5MTA3NDU5Nzk5IiwKCSJHcm91cElkIiA6ICI0Njc0MjM2NDgiLAoJIkltYWdlIiA6ICIiLAoJIlRoZW1lIiA6ICIiLAoJIlR5cGUiIDogImZsb3ciLAoJIlVzZXJJZCIgOiAiIiwKCSJWZXJzaW9uIiA6ICIiCn0K"/>
    </extobj>
    <extobj name="ECB019B1-382A-4266-B25C-5B523AA43C14-2">
      <extobjdata type="ECB019B1-382A-4266-B25C-5B523AA43C14" data="ewoJIkZpbGVJZCIgOiAiNTU5MTI2MDY5MjA5IiwKCSJHcm91cElkIiA6ICI0Njc0MjM2NDgiLAoJIkltYWdlIiA6ICIiLAoJIlRoZW1lIiA6ICIiLAoJIlR5cGUiIDogImZsb3ciLAoJIlVzZXJJZCIgOiAiIiwKCSJWZXJzaW9uIiA6ICIiCn0K"/>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d6ba019d-1baa-4f63-9553-c8156501e7dc</errorID>
      <errorWord>：/</errorWord>
      <group>L1_Punc</group>
      <groupName>标点问题</groupName>
      <ability>L2_Punc_CN</ability>
      <abilityName>标点符号检查</abilityName>
      <candidateList>
        <item>：</item>
      </candidateList>
      <explain/>
      <paraID>22341A3B</paraID>
      <start>2</start>
      <end>4</end>
      <status>unmodified</status>
      <modifiedWord/>
      <trackRevisions>false</trackRevisions>
    </reviewItem>
    <reviewItem>
      <errorID>edf9aec2-48d9-4d5d-b379-1ef9bb6dc610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19DCF269</paraID>
      <start>0</start>
      <end>2</end>
      <status>unmodified</status>
      <modifiedWord/>
      <trackRevisions>false</trackRevisions>
    </reviewItem>
    <reviewItem>
      <errorID>f75ee6a9-baa4-4049-83c3-8b990349f63f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4C513C1C</paraID>
      <start>0</start>
      <end>2</end>
      <status>unmodified</status>
      <modifiedWord/>
      <trackRevisions>false</trackRevisions>
    </reviewItem>
    <reviewItem>
      <errorID>bdab4039-6641-4864-bc3c-102a6830ffe5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4635A9EC</paraID>
      <start>0</start>
      <end>2</end>
      <status>unmodified</status>
      <modifiedWord/>
      <trackRevisions>false</trackRevisions>
    </reviewItem>
    <reviewItem>
      <errorID>293cb44a-4eea-4d3a-b20f-7d2f79759bdf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355ADF1B</paraID>
      <start>0</start>
      <end>2</end>
      <status>unmodified</status>
      <modifiedWord/>
      <trackRevisions>false</trackRevisions>
    </reviewItem>
    <reviewItem>
      <errorID>e1f62b35-adda-4179-9e45-24fd7bd64171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6095D38A</paraID>
      <start>0</start>
      <end>2</end>
      <status>unmodified</status>
      <modifiedWord/>
      <trackRevisions>false</trackRevisions>
    </reviewItem>
    <reviewItem>
      <errorID>47e6a373-6b89-44a3-89d8-1b9ca862830d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3BDB2A1B</paraID>
      <start>0</start>
      <end>2</end>
      <status>unmodified</status>
      <modifiedWord/>
      <trackRevisions>false</trackRevisions>
    </reviewItem>
    <reviewItem>
      <errorID>1a437a59-52f3-4c60-a26b-666aa6775e0d</errorID>
      <errorWord>，，</errorWord>
      <group>L1_Punc</group>
      <groupName>标点问题</groupName>
      <ability>L2_Punc_CN</ability>
      <abilityName>标点符号检查</abilityName>
      <candidateList>
        <item>，</item>
      </candidateList>
      <explain/>
      <paraID>1E87789C</paraID>
      <start>35</start>
      <end>37</end>
      <status>unmodified</status>
      <modifiedWord/>
      <trackRevisions>false</trackRevisions>
    </reviewItem>
    <reviewItem>
      <errorID>9dd1b97f-14ea-48ad-8406-7ed224cd1e3d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7709C4B4</paraID>
      <start>0</start>
      <end>2</end>
      <status>unmodified</status>
      <modifiedWord/>
      <trackRevisions>false</trackRevisions>
    </reviewItem>
    <reviewItem>
      <errorID>b4939e8b-2ca9-4897-a444-295678b2efe1</errorID>
      <errorWord>）</errorWord>
      <group>L1_Format</group>
      <groupName>格式问题</groupName>
      <ability>L2_HalfPunc_CN</ability>
      <abilityName>全半角检查</abilityName>
      <candidateList>
        <item>)</item>
      </candidateList>
      <explain>文本全半角错误。</explain>
      <paraID>5BE31AD6</paraID>
      <start>8</start>
      <end>9</end>
      <status>unmodified</status>
      <modifiedWord/>
      <trackRevisions>false</trackRevisions>
    </reviewItem>
    <reviewItem>
      <errorID>c89952b2-95d4-48cc-baf2-ffdfe1b8388d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23A57EB</paraID>
      <start>0</start>
      <end>2</end>
      <status>unmodified</status>
      <modifiedWord/>
      <trackRevisions>false</trackRevisions>
    </reviewItem>
    <reviewItem>
      <errorID>7ede138a-6af0-41b6-96fc-62092fabd3c9</errorID>
      <errorWord>放控</errorWord>
      <group>L1_Word</group>
      <groupName>字词问题</groupName>
      <ability>L2_Typo</ability>
      <abilityName>字词错误</abilityName>
      <candidateList>
        <item>防控</item>
      </candidateList>
      <explain/>
      <paraID>1FC9E591</paraID>
      <start>0</start>
      <end>2</end>
      <status>unmodified</status>
      <modifiedWord/>
      <trackRevisions>false</trackRevisions>
    </reviewItem>
    <reviewItem>
      <errorID>c9557739-9a68-4ef4-bdce-2f2a38a172fd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14178F20</paraID>
      <start>0</start>
      <end>2</end>
      <status>unmodified</status>
      <modifiedWord/>
      <trackRevisions>false</trackRevisions>
    </reviewItem>
    <reviewItem>
      <errorID>b613bbca-9f7d-404e-be9a-fd1c49c8d05b</errorID>
      <errorWord>)</errorWord>
      <group>L1_Format</group>
      <groupName>格式问题</groupName>
      <ability>L2_HalfPunc_CN</ability>
      <abilityName>全半角检查</abilityName>
      <candidateList>
        <item>）</item>
      </candidateList>
      <explain>文本全半角错误。</explain>
      <paraID>5F879E76</paraID>
      <start>52</start>
      <end>53</end>
      <status>unmodified</status>
      <modifiedWord/>
      <trackRevisions>false</trackRevisions>
    </reviewItem>
    <reviewItem>
      <errorID>427b3d7d-f7da-4613-93c5-daec2d9adf89</errorID>
      <errorWord>)</errorWord>
      <group>L1_Format</group>
      <groupName>格式问题</groupName>
      <ability>L2_HalfPunc_CN</ability>
      <abilityName>全半角检查</abilityName>
      <candidateList>
        <item>）</item>
      </candidateList>
      <explain>文本全半角错误。</explain>
      <paraID>5F879E76</paraID>
      <start>63</start>
      <end>64</end>
      <status>unmodified</status>
      <modifiedWord/>
      <trackRevisions>false</trackRevisions>
    </reviewItem>
    <reviewItem>
      <errorID>97fc4d02-45c2-44a4-ba42-360a708f0082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346AE16F</paraID>
      <start>0</start>
      <end>2</end>
      <status>unmodified</status>
      <modifiedWord/>
      <trackRevisions>false</trackRevisions>
    </reviewItem>
    <reviewItem>
      <errorID>54f76cfe-4552-4e9d-ac3e-6309d8def10a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157BD370</paraID>
      <start>0</start>
      <end>2</end>
      <status>unmodified</status>
      <modifiedWord/>
      <trackRevisions>false</trackRevisions>
    </reviewItem>
    <reviewItem>
      <errorID>0f703290-ef10-4d3f-a92f-3e8f8acede8d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59423694</paraID>
      <start>0</start>
      <end>2</end>
      <status>unmodified</status>
      <modifiedWord/>
      <trackRevisions>false</trackRevisions>
    </reviewItem>
    <reviewItem>
      <errorID>00537f24-3ad0-4ffd-84f4-64de422c5195</errorID>
      <errorWord>)</errorWord>
      <group>L1_Format</group>
      <groupName>格式问题</groupName>
      <ability>L2_HalfPunc_CN</ability>
      <abilityName>全半角检查</abilityName>
      <candidateList>
        <item>）</item>
      </candidateList>
      <explain>文本全半角错误。</explain>
      <paraID>61069D28</paraID>
      <start>10</start>
      <end>11</end>
      <status>unmodified</status>
      <modifiedWord/>
      <trackRevisions>false</trackRevisions>
    </reviewItem>
    <reviewItem>
      <errorID>392f4e28-75a7-4ffc-907b-7ddec4eb31de</errorID>
      <errorWord>)</errorWord>
      <group>L1_Format</group>
      <groupName>格式问题</groupName>
      <ability>L2_HalfPunc_CN</ability>
      <abilityName>全半角检查</abilityName>
      <candidateList>
        <item>）</item>
      </candidateList>
      <explain>文本全半角错误。</explain>
      <paraID>6D0A46C7</paraID>
      <start>7</start>
      <end>8</end>
      <status>unmodified</status>
      <modifiedWord/>
      <trackRevisions>false</trackRevisions>
    </reviewItem>
    <reviewItem>
      <errorID>8949389b-6b9f-4e79-9895-263565157808</errorID>
      <errorWord>)</errorWord>
      <group>L1_Format</group>
      <groupName>格式问题</groupName>
      <ability>L2_HalfPunc_CN</ability>
      <abilityName>全半角检查</abilityName>
      <candidateList>
        <item>）</item>
      </candidateList>
      <explain>文本全半角错误。</explain>
      <paraID>1532BA4D</paraID>
      <start>10</start>
      <end>11</end>
      <status>unmodified</status>
      <modifiedWord/>
      <trackRevisions>false</trackRevisions>
    </reviewItem>
    <reviewItem>
      <errorID>4e4f4f1c-159e-4713-8e17-c19017427878</errorID>
      <errorWord>(</errorWord>
      <group>L1_Format</group>
      <groupName>格式问题</groupName>
      <ability>L2_HalfPunc_CN</ability>
      <abilityName>全半角检查</abilityName>
      <candidateList>
        <item>（</item>
      </candidateList>
      <explain>文本全半角错误。</explain>
      <paraID>21DE0F11</paraID>
      <start>3</start>
      <end>4</end>
      <status>unmodified</status>
      <modifiedWord/>
      <trackRevisions>false</trackRevisions>
    </reviewItem>
    <reviewItem>
      <errorID>0607be4e-2d58-40c4-aea5-a0d29068a717</errorID>
      <errorWord>)</errorWord>
      <group>L1_Format</group>
      <groupName>格式问题</groupName>
      <ability>L2_HalfPunc_CN</ability>
      <abilityName>全半角检查</abilityName>
      <candidateList>
        <item>）</item>
      </candidateList>
      <explain>文本全半角错误。</explain>
      <paraID>21DE0F11</paraID>
      <start>7</start>
      <end>8</end>
      <status>unmodified</status>
      <modifiedWord/>
      <trackRevisions>false</trackRevisions>
    </reviewItem>
    <reviewItem>
      <errorID>3d931dd3-98e6-4fee-8d88-57c3e7101af0</errorID>
      <errorWord>)</errorWord>
      <group>L1_Format</group>
      <groupName>格式问题</groupName>
      <ability>L2_HalfPunc_CN</ability>
      <abilityName>全半角检查</abilityName>
      <candidateList>
        <item>）</item>
      </candidateList>
      <explain>文本全半角错误。</explain>
      <paraID>2F6FCF65</paraID>
      <start>10</start>
      <end>11</end>
      <status>unmodified</status>
      <modifiedWord/>
      <trackRevisions>false</trackRevisions>
    </reviewItem>
    <reviewItem>
      <errorID>5479f20d-4fe1-4cf9-98df-a6eac755534c</errorID>
      <errorWord>)</errorWord>
      <group>L1_Format</group>
      <groupName>格式问题</groupName>
      <ability>L2_HalfPunc_CN</ability>
      <abilityName>全半角检查</abilityName>
      <candidateList>
        <item>）</item>
      </candidateList>
      <explain>文本全半角错误。</explain>
      <paraID>7B6B7E59</paraID>
      <start>4</start>
      <end>5</end>
      <status>unmodified</status>
      <modifiedWord/>
      <trackRevisions>false</trackRevisions>
    </reviewItem>
    <reviewItem>
      <errorID>86312461-2378-4d21-b77d-072910e70a84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187C8A34</paraID>
      <start>0</start>
      <end>2</end>
      <status>unmodified</status>
      <modifiedWord/>
      <trackRevisions>false</trackRevisions>
    </reviewItem>
    <reviewItem>
      <errorID>79decb74-937e-4897-a569-4c1fa485778a</errorID>
      <errorWord>&gt;</errorWord>
      <group>L1_Format</group>
      <groupName>格式问题</groupName>
      <ability>L2_HalfPunc_CN</ability>
      <abilityName>全半角检查</abilityName>
      <candidateList>
        <item>〉</item>
      </candidateList>
      <explain>文本全半角错误。</explain>
      <paraID>72971886</paraID>
      <start>237</start>
      <end>238</end>
      <status>unmodified</status>
      <modifiedWord/>
      <trackRevisions>false</trackRevisions>
    </reviewItem>
    <reviewItem>
      <errorID>c3739612-e207-4860-9d84-94c172ad55a4</errorID>
      <errorWord>）</errorWord>
      <group>L1_Format</group>
      <groupName>格式问题</groupName>
      <ability>L2_HalfPunc_CN</ability>
      <abilityName>全半角检查</abilityName>
      <candidateList>
        <item>)</item>
      </candidateList>
      <explain>文本全半角错误。</explain>
      <paraID>3DDBD40D</paraID>
      <start>5</start>
      <end>6</end>
      <status>unmodified</status>
      <modifiedWord/>
      <trackRevisions>false</trackRevisions>
    </reviewItem>
    <reviewItem>
      <errorID>cfa430cd-9b66-4932-b900-8839a5e59b9b</errorID>
      <errorWord>）</errorWord>
      <group>L1_Format</group>
      <groupName>格式问题</groupName>
      <ability>L2_HalfPunc_CN</ability>
      <abilityName>全半角检查</abilityName>
      <candidateList>
        <item>)</item>
      </candidateList>
      <explain>文本全半角错误。</explain>
      <paraID> A057C31</paraID>
      <start>6</start>
      <end>7</end>
      <status>unmodified</status>
      <modifiedWord/>
      <trackRevisions>false</trackRevisions>
    </reviewItem>
    <reviewItem>
      <errorID>fa9d3221-48b3-4348-bf97-7c9c9d8e47de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F14067B</paraID>
      <start>0</start>
      <end>2</end>
      <status>unmodified</status>
      <modifiedWord/>
      <trackRevisions>false</trackRevisions>
    </reviewItem>
    <reviewItem>
      <errorID>fe5fc4c3-5235-49dc-bcde-2e0b1cfc820f</errorID>
      <errorWord>）</errorWord>
      <group>L1_Format</group>
      <groupName>格式问题</groupName>
      <ability>L2_HalfPunc_CN</ability>
      <abilityName>全半角检查</abilityName>
      <candidateList>
        <item>)</item>
      </candidateList>
      <explain>文本全半角错误。</explain>
      <paraID>28A31457</paraID>
      <start>5</start>
      <end>6</end>
      <status>unmodified</status>
      <modifiedWord/>
      <trackRevisions>false</trackRevisions>
    </reviewItem>
    <reviewItem>
      <errorID>fdad5240-3452-4546-8285-09ea23c07928</errorID>
      <errorWord>）</errorWord>
      <group>L1_Format</group>
      <groupName>格式问题</groupName>
      <ability>L2_HalfPunc_CN</ability>
      <abilityName>全半角检查</abilityName>
      <candidateList>
        <item>)</item>
      </candidateList>
      <explain>文本全半角错误。</explain>
      <paraID>4F197624</paraID>
      <start>4</start>
      <end>5</end>
      <status>unmodified</status>
      <modifiedWord/>
      <trackRevisions>false</trackRevisions>
    </reviewItem>
    <reviewItem>
      <errorID>b6420116-af12-41a2-becb-92e4fc11bef4</errorID>
      <errorWord>）</errorWord>
      <group>L1_Format</group>
      <groupName>格式问题</groupName>
      <ability>L2_HalfPunc_CN</ability>
      <abilityName>全半角检查</abilityName>
      <candidateList>
        <item>)</item>
      </candidateList>
      <explain>文本全半角错误。</explain>
      <paraID>163E3A8D</paraID>
      <start>3</start>
      <end>4</end>
      <status>unmodified</status>
      <modifiedWord/>
      <trackRevisions>false</trackRevisions>
    </reviewItem>
    <reviewItem>
      <errorID>2fe6d0c4-e643-4a67-b44c-5076d544ae27</errorID>
      <errorWord>）</errorWord>
      <group>L1_Word</group>
      <groupName>字词问题</groupName>
      <ability>L2_Typo</ability>
      <abilityName>字词错误</abilityName>
      <candidateList>
        <item>）和</item>
      </candidateList>
      <explain/>
      <paraID>409F2B29</paraID>
      <start>30</start>
      <end>31</end>
      <status>unmodified</status>
      <modifiedWord/>
      <trackRevisions>false</trackRevisions>
    </reviewItem>
    <reviewItem>
      <errorID>f5aa7e7b-2ff4-4b15-9f3c-fb1f8a25187b</errorID>
      <errorWord>(</errorWord>
      <group>L1_Format</group>
      <groupName>格式问题</groupName>
      <ability>L2_HalfPunc_CN</ability>
      <abilityName>全半角检查</abilityName>
      <candidateList>
        <item>（</item>
      </candidateList>
      <explain>文本全半角错误。</explain>
      <paraID>54ACC91D</paraID>
      <start>26</start>
      <end>27</end>
      <status>unmodified</status>
      <modifiedWord/>
      <trackRevisions>false</trackRevisions>
    </reviewItem>
    <reviewItem>
      <errorID>d2309c75-e6d3-4254-bed3-6d4600f1440d</errorID>
      <errorWord>)</errorWord>
      <group>L1_Format</group>
      <groupName>格式问题</groupName>
      <ability>L2_HalfPunc_CN</ability>
      <abilityName>全半角检查</abilityName>
      <candidateList>
        <item>）</item>
      </candidateList>
      <explain>文本全半角错误。</explain>
      <paraID>54ACC91D</paraID>
      <start>37</start>
      <end>38</end>
      <status>unmodified</status>
      <modifiedWord/>
      <trackRevisions>false</trackRevisions>
    </reviewItem>
    <reviewItem>
      <errorID>04330b5b-14e5-46ad-ba92-260460386db4</errorID>
      <errorWord>(</errorWord>
      <group>L1_Punc</group>
      <groupName>标点问题</groupName>
      <ability>L2_Punc_CN</ability>
      <abilityName>标点符号检查</abilityName>
      <candidateList/>
      <explain>同一形式括号套用。</explain>
      <paraID>1F463601</paraID>
      <start>15</start>
      <end>16</end>
      <status>unmodified</status>
      <modifiedWord/>
      <trackRevisions>false</trackRevisions>
    </reviewItem>
    <reviewItem>
      <errorID>1b1bf622-d280-4b2f-ac07-26f1e15e4bac</errorID>
      <errorWord>)</errorWord>
      <group>L1_Punc</group>
      <groupName>标点问题</groupName>
      <ability>L2_Punc_CN</ability>
      <abilityName>标点符号检查</abilityName>
      <candidateList/>
      <explain>同一形式括号套用。</explain>
      <paraID>1F463601</paraID>
      <start>17</start>
      <end>18</end>
      <status>unmodified</status>
      <modifiedWord/>
      <trackRevisions>false</trackRevisions>
    </reviewItem>
    <reviewItem>
      <errorID>ef78d85f-e4b8-4069-97ab-a3399c998971</errorID>
      <errorWord>）</errorWord>
      <group>L1_Punc</group>
      <groupName>标点问题</groupName>
      <ability>L2_Punc_CN</ability>
      <abilityName>标点符号检查</abilityName>
      <candidateList/>
      <explain>同一形式括号套用。</explain>
      <paraID>1F463601</paraID>
      <start>20</start>
      <end>21</end>
      <status>unmodified</status>
      <modifiedWord/>
      <trackRevisions>false</trackRevisions>
    </reviewItem>
    <reviewItem>
      <errorID>4bef9728-3afb-4774-8651-f173f61c3b2f</errorID>
      <errorWord>北</errorWord>
      <group>L1_Word</group>
      <groupName>字词问题</groupName>
      <ability>L2_Typo</ability>
      <abilityName>字词错误</abilityName>
      <candidateList>
        <item>被</item>
      </candidateList>
      <explain/>
      <paraID>269333AB</paraID>
      <start>0</start>
      <end>1</end>
      <status>unmodified</status>
      <modifiedWord/>
      <trackRevisions>false</trackRevisions>
    </reviewItem>
    <reviewItem>
      <errorID>487c6c21-7192-4bf3-b4a6-f5324ae18cce</errorID>
      <errorWord>北</errorWord>
      <group>L1_Word</group>
      <groupName>字词问题</groupName>
      <ability>L2_Typo</ability>
      <abilityName>字词错误</abilityName>
      <candidateList>
        <item>被</item>
      </candidateList>
      <explain/>
      <paraID>239A254D</paraID>
      <start>0</start>
      <end>1</end>
      <status>unmodified</status>
      <modifiedWord/>
      <trackRevisions>false</trackRevisions>
    </reviewItem>
    <reviewItem>
      <errorID>d9a561c2-2052-4641-ab7d-cdf0fd278697</errorID>
      <errorWord>北</errorWord>
      <group>L1_Word</group>
      <groupName>字词问题</groupName>
      <ability>L2_Typo</ability>
      <abilityName>字词错误</abilityName>
      <candidateList>
        <item>被</item>
      </candidateList>
      <explain/>
      <paraID>62C2BB2C</paraID>
      <start>0</start>
      <end>1</end>
      <status>unmodified</status>
      <modifiedWord/>
      <trackRevisions>false</trackRevisions>
    </reviewItem>
    <reviewItem>
      <errorID>3076f447-1190-472f-a74c-415405957118</errorID>
      <errorWord>北</errorWord>
      <group>L1_Word</group>
      <groupName>字词问题</groupName>
      <ability>L2_Typo</ability>
      <abilityName>字词错误</abilityName>
      <candidateList>
        <item>被</item>
      </candidateList>
      <explain/>
      <paraID>7748ADB7</paraID>
      <start>0</start>
      <end>1</end>
      <status>unmodified</status>
      <modifiedWord/>
      <trackRevisions>false</trackRevisions>
    </reviewItem>
    <reviewItem>
      <errorID>a4081560-9e34-4bcd-a8d7-56f34af36a27</errorID>
      <errorWord>)</errorWord>
      <group>L1_Format</group>
      <groupName>格式问题</groupName>
      <ability>L2_HalfPunc_CN</ability>
      <abilityName>全半角检查</abilityName>
      <candidateList>
        <item>）</item>
      </candidateList>
      <explain>文本全半角错误。</explain>
      <paraID>21C9DD59</paraID>
      <start>11</start>
      <end>12</end>
      <status>unmodified</status>
      <modifiedWord/>
      <trackRevisions>false</trackRevisions>
    </reviewItem>
    <reviewItem>
      <errorID>1fb60cbd-37b4-4a63-9452-7e846f004676</errorID>
      <errorWord>(</errorWord>
      <group>L1_Punc</group>
      <groupName>标点问题</groupName>
      <ability>L2_Punc_CN</ability>
      <abilityName>标点符号检查</abilityName>
      <candidateList/>
      <explain>同一形式括号套用。</explain>
      <paraID>6E1A10D6</paraID>
      <start>6</start>
      <end>7</end>
      <status>unmodified</status>
      <modifiedWord/>
      <trackRevisions>false</trackRevisions>
    </reviewItem>
    <reviewItem>
      <errorID>6c16f2fd-3248-43ff-9e48-898fb4dfda26</errorID>
      <errorWord>)</errorWord>
      <group>L1_Punc</group>
      <groupName>标点问题</groupName>
      <ability>L2_Punc_CN</ability>
      <abilityName>标点符号检查</abilityName>
      <candidateList/>
      <explain>同一形式括号套用。</explain>
      <paraID>6E1A10D6</paraID>
      <start>8</start>
      <end>9</end>
      <status>unmodified</status>
      <modifiedWord/>
      <trackRevisions>false</trackRevisions>
    </reviewItem>
    <reviewItem>
      <errorID>1c8c3d91-7e91-42a0-8288-828834166cc5</errorID>
      <errorWord>）</errorWord>
      <group>L1_Punc</group>
      <groupName>标点问题</groupName>
      <ability>L2_Punc_CN</ability>
      <abilityName>标点符号检查</abilityName>
      <candidateList/>
      <explain>同一形式括号套用。</explain>
      <paraID>6E1A10D6</paraID>
      <start>9</start>
      <end>10</end>
      <status>unmodified</status>
      <modifiedWord/>
      <trackRevisions>false</trackRevisions>
    </reviewItem>
    <reviewItem>
      <errorID>320a0670-281f-4ad9-afb0-d3ee5fc48958</errorID>
      <errorWord>(</errorWord>
      <group>L1_Punc</group>
      <groupName>标点问题</groupName>
      <ability>L2_Punc_CN</ability>
      <abilityName>标点符号检查</abilityName>
      <candidateList/>
      <explain>同一形式括号套用。</explain>
      <paraID>385A5E70</paraID>
      <start>7</start>
      <end>8</end>
      <status>unmodified</status>
      <modifiedWord/>
      <trackRevisions>false</trackRevisions>
    </reviewItem>
    <reviewItem>
      <errorID>54493871-24a4-4717-87c1-b5ff307e1336</errorID>
      <errorWord>)</errorWord>
      <group>L1_Punc</group>
      <groupName>标点问题</groupName>
      <ability>L2_Punc_CN</ability>
      <abilityName>标点符号检查</abilityName>
      <candidateList/>
      <explain>同一形式括号套用。</explain>
      <paraID>385A5E70</paraID>
      <start>9</start>
      <end>10</end>
      <status>unmodified</status>
      <modifiedWord/>
      <trackRevisions>false</trackRevisions>
    </reviewItem>
    <reviewItem>
      <errorID>1aa9f50b-8114-411d-a3ac-cee9ea618997</errorID>
      <errorWord>）</errorWord>
      <group>L1_Punc</group>
      <groupName>标点问题</groupName>
      <ability>L2_Punc_CN</ability>
      <abilityName>标点符号检查</abilityName>
      <candidateList/>
      <explain>同一形式括号套用。</explain>
      <paraID>385A5E70</paraID>
      <start>10</start>
      <end>11</end>
      <status>unmodified</status>
      <modifiedWord/>
      <trackRevisions>false</trackRevisions>
    </reviewItem>
    <reviewItem>
      <errorID>bbe429b8-87da-4f9f-9cc4-f62bfac0141d</errorID>
      <errorWord>)</errorWord>
      <group>L1_Format</group>
      <groupName>格式问题</groupName>
      <ability>L2_HalfPunc_CN</ability>
      <abilityName>全半角检查</abilityName>
      <candidateList>
        <item>）</item>
      </candidateList>
      <explain>文本全半角错误。</explain>
      <paraID> 8ADCDF6</paraID>
      <start>28</start>
      <end>29</end>
      <status>unmodified</status>
      <modifiedWord/>
      <trackRevisions>false</trackRevisions>
    </reviewItem>
    <reviewItem>
      <errorID>4f268c45-b534-43d0-b205-1a8a065c6c6c</errorID>
      <errorWord>喷砂</errorWord>
      <group>L1_Word</group>
      <groupName>字词问题</groupName>
      <ability>L2_Typo</ability>
      <abilityName>字词错误</abilityName>
      <candidateList>
        <item>喷洒</item>
      </candidateList>
      <explain/>
      <paraID>2980838A</paraID>
      <start>0</start>
      <end>2</end>
      <status>unmodified</status>
      <modifiedWord/>
      <trackRevisions>false</trackRevisions>
    </reviewItem>
    <reviewItem>
      <errorID>00902607-ed1c-4f6f-9321-5e71fa210b4f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16A1AD21</paraID>
      <start>0</start>
      <end>2</end>
      <status>unmodified</status>
      <modifiedWord/>
      <trackRevisions>false</trackRevisions>
    </reviewItem>
    <reviewItem>
      <errorID>23196e6e-73df-42b7-bd7f-ea994e20f62e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21B38142</paraID>
      <start>0</start>
      <end>2</end>
      <status>unmodified</status>
      <modifiedWord/>
      <trackRevisions>false</trackRevisions>
    </reviewItem>
    <reviewItem>
      <errorID>2517d7ab-58ca-40ac-84b1-de2e0ccf8012</errorID>
      <errorWord>喷砂</errorWord>
      <group>L1_Word</group>
      <groupName>字词问题</groupName>
      <ability>L2_Typo</ability>
      <abilityName>字词错误</abilityName>
      <candidateList>
        <item>喷洒</item>
      </candidateList>
      <explain/>
      <paraID>77994FF4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B87275-A3A7-42D3-8205-659BCCF11ECE}">
  <ds:schemaRefs/>
</ds:datastoreItem>
</file>

<file path=customXml/itemProps3.xml><?xml version="1.0" encoding="utf-8"?>
<ds:datastoreItem xmlns:ds="http://schemas.openxmlformats.org/officeDocument/2006/customXml" ds:itemID="{f7cb7851-7793-4403-a551-44f17f8110ab}">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46</Pages>
  <Words>12896</Words>
  <Characters>13978</Characters>
  <Lines>1</Lines>
  <Paragraphs>1</Paragraphs>
  <TotalTime>0</TotalTime>
  <ScaleCrop>false</ScaleCrop>
  <LinksUpToDate>false</LinksUpToDate>
  <CharactersWithSpaces>14263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D  Q</cp:lastModifiedBy>
  <cp:lastPrinted>2023-08-03T09:02:00Z</cp:lastPrinted>
  <dcterms:modified xsi:type="dcterms:W3CDTF">2026-10-20T09:28:03Z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0C73FDE7D9454C9CA95517164A88D941_13</vt:lpwstr>
  </property>
  <property fmtid="{D5CDD505-2E9C-101B-9397-08002B2CF9AE}" pid="4" name="KSOTemplateDocerSaveRecord">
    <vt:lpwstr>eyJoZGlkIjoiM2MxMzYxMTFjNDY5MmI5ZTdkYzhhMWI5OGEyMmY5MzUiLCJ1c2VySWQiOiI0MjE3NTY0MTUifQ==</vt:lpwstr>
  </property>
</Properties>
</file>